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9C09F4" w:rsidTr="00EB5864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9C09F4" w:rsidRDefault="009C09F4" w:rsidP="00EB5864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9C09F4" w:rsidRDefault="009C09F4" w:rsidP="00EB5864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9C09F4" w:rsidTr="00EB5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9C09F4" w:rsidRDefault="009C09F4" w:rsidP="00EB5864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t>Distr.</w:t>
            </w:r>
          </w:p>
          <w:p w:rsidR="009C09F4" w:rsidRDefault="009C09F4" w:rsidP="00EB5864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9C09F4" w:rsidRPr="009B0D30" w:rsidRDefault="009C09F4" w:rsidP="009C09F4"/>
          <w:bookmarkStart w:id="0" w:name="_GoBack"/>
          <w:p w:rsidR="009C09F4" w:rsidRPr="009B0D30" w:rsidRDefault="00702C8C" w:rsidP="009C09F4">
            <w:r>
              <w:fldChar w:fldCharType="begin"/>
            </w:r>
            <w:r w:rsidR="009C09F4">
              <w:instrText xml:space="preserve"> DOCPROPERTY "Document number"  \* MERGEFORMAT </w:instrText>
            </w:r>
            <w:r>
              <w:fldChar w:fldCharType="separate"/>
            </w:r>
            <w:r w:rsidR="00C152A6">
              <w:t>UNEP/OzL.Pro/ExCom/88/5</w:t>
            </w:r>
            <w:r>
              <w:fldChar w:fldCharType="end"/>
            </w:r>
          </w:p>
          <w:p w:rsidR="009C09F4" w:rsidRPr="009B0D30" w:rsidRDefault="00702C8C" w:rsidP="009C09F4">
            <w:r w:rsidRPr="009B0D30">
              <w:fldChar w:fldCharType="begin"/>
            </w:r>
            <w:r w:rsidR="009C09F4" w:rsidRPr="009B0D30">
              <w:instrText xml:space="preserve"> DOCPROPERTY "Revision date" \@ "d MMMM YYYY"  \* MERGEFORMAT </w:instrText>
            </w:r>
            <w:r w:rsidRPr="009B0D30">
              <w:fldChar w:fldCharType="separate"/>
            </w:r>
            <w:r w:rsidR="00C152A6">
              <w:t>21 October 2021</w:t>
            </w:r>
            <w:r w:rsidRPr="009B0D30">
              <w:fldChar w:fldCharType="end"/>
            </w:r>
          </w:p>
          <w:bookmarkEnd w:id="0"/>
          <w:p w:rsidR="009C09F4" w:rsidRPr="009B0D30" w:rsidRDefault="009C09F4" w:rsidP="009C09F4">
            <w:pPr>
              <w:rPr>
                <w:caps/>
              </w:rPr>
            </w:pPr>
          </w:p>
          <w:p w:rsidR="009C09F4" w:rsidRDefault="009C09F4" w:rsidP="00EB5864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9C09F4" w:rsidRDefault="009C09F4" w:rsidP="00EB5864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9C09F4" w:rsidRDefault="009C09F4" w:rsidP="00EB5864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9C09F4" w:rsidRDefault="009C09F4" w:rsidP="00EB5864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9C09F4" w:rsidRDefault="009C09F4" w:rsidP="00EB5864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9C09F4" w:rsidRDefault="009C09F4" w:rsidP="00EB5864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9C09F4" w:rsidRDefault="009C09F4" w:rsidP="00EB5864">
            <w:pPr>
              <w:rPr>
                <w:caps/>
                <w:lang w:val="en-US"/>
              </w:rPr>
            </w:pPr>
          </w:p>
          <w:p w:rsidR="009C09F4" w:rsidRDefault="009C09F4" w:rsidP="00EB5864">
            <w:pPr>
              <w:rPr>
                <w:lang w:val="en-US"/>
              </w:rPr>
            </w:pPr>
          </w:p>
        </w:tc>
      </w:tr>
    </w:tbl>
    <w:p w:rsidR="009C09F4" w:rsidRDefault="009C09F4" w:rsidP="009C09F4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9C09F4" w:rsidRDefault="009C09F4" w:rsidP="009C09F4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9C09F4" w:rsidRDefault="009C09F4" w:rsidP="009C09F4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9C09F4" w:rsidRPr="00A755B6" w:rsidRDefault="009C09F4" w:rsidP="009C09F4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 w:rsidRPr="00A755B6">
        <w:rPr>
          <w:sz w:val="28"/>
          <w:szCs w:val="28"/>
          <w:rtl/>
          <w:lang w:val="en-US" w:eastAsia="en-CA"/>
        </w:rPr>
        <w:t xml:space="preserve">الاجتمــــــاع </w:t>
      </w:r>
      <w:r>
        <w:rPr>
          <w:rFonts w:hint="cs"/>
          <w:sz w:val="28"/>
          <w:szCs w:val="28"/>
          <w:rtl/>
          <w:lang w:val="en-US" w:eastAsia="en-CA"/>
        </w:rPr>
        <w:t>الثامن</w:t>
      </w:r>
      <w:r w:rsidRPr="00A755B6">
        <w:rPr>
          <w:rFonts w:hint="cs"/>
          <w:sz w:val="28"/>
          <w:szCs w:val="28"/>
          <w:rtl/>
          <w:lang w:val="en-US" w:eastAsia="en-CA"/>
        </w:rPr>
        <w:t xml:space="preserve"> والثمانون</w:t>
      </w:r>
    </w:p>
    <w:p w:rsidR="009C09F4" w:rsidRDefault="009C09F4" w:rsidP="009C09F4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 w:rsidRPr="00A755B6">
        <w:rPr>
          <w:rFonts w:hint="cs"/>
          <w:sz w:val="28"/>
          <w:szCs w:val="28"/>
          <w:rtl/>
        </w:rPr>
        <w:t>مونتريال</w:t>
      </w:r>
      <w:r w:rsidRPr="00A755B6">
        <w:rPr>
          <w:sz w:val="28"/>
          <w:szCs w:val="28"/>
          <w:rtl/>
        </w:rPr>
        <w:t>،</w:t>
      </w:r>
      <w:r w:rsidRPr="00A755B6">
        <w:rPr>
          <w:rFonts w:hint="cs"/>
          <w:sz w:val="28"/>
          <w:szCs w:val="28"/>
          <w:rtl/>
        </w:rPr>
        <w:t xml:space="preserve">  من 15 </w:t>
      </w:r>
      <w:r>
        <w:rPr>
          <w:rFonts w:hint="cs"/>
          <w:sz w:val="28"/>
          <w:szCs w:val="28"/>
          <w:rtl/>
        </w:rPr>
        <w:t>إلى</w:t>
      </w:r>
      <w:r w:rsidRPr="00A755B6">
        <w:rPr>
          <w:rFonts w:hint="cs"/>
          <w:sz w:val="28"/>
          <w:szCs w:val="28"/>
          <w:rtl/>
        </w:rPr>
        <w:t xml:space="preserve"> 19 نوفمب</w:t>
      </w:r>
      <w:r>
        <w:rPr>
          <w:rFonts w:hint="cs"/>
          <w:sz w:val="28"/>
          <w:szCs w:val="28"/>
          <w:rtl/>
        </w:rPr>
        <w:t>ر</w:t>
      </w:r>
      <w:r w:rsidRPr="00A755B6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Pr="00A755B6">
        <w:rPr>
          <w:rFonts w:hint="cs"/>
          <w:sz w:val="28"/>
          <w:szCs w:val="28"/>
          <w:rtl/>
        </w:rPr>
        <w:t xml:space="preserve"> </w:t>
      </w:r>
      <w:r w:rsidRPr="00A755B6">
        <w:rPr>
          <w:rFonts w:ascii="Arial" w:hAnsi="Arial" w:cs="Arial"/>
          <w:color w:val="474747"/>
          <w:sz w:val="28"/>
          <w:szCs w:val="28"/>
          <w:rtl/>
          <w:lang w:val="en-US"/>
        </w:rPr>
        <w:t>تشرين الثاني</w:t>
      </w:r>
      <w:r w:rsidRPr="00DB2568">
        <w:rPr>
          <w:rFonts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2021 </w:t>
      </w:r>
      <w:r>
        <w:rPr>
          <w:rStyle w:val="FootnoteReference"/>
          <w:rFonts w:asciiTheme="majorBidi" w:hAnsiTheme="majorBidi" w:cstheme="majorBidi"/>
          <w:sz w:val="26"/>
          <w:szCs w:val="26"/>
          <w:rtl/>
          <w:lang w:bidi="ar-SY"/>
        </w:rPr>
        <w:footnoteReference w:id="1"/>
      </w:r>
    </w:p>
    <w:p w:rsidR="00D404EF" w:rsidRDefault="00D404EF" w:rsidP="009C09F4">
      <w:pPr>
        <w:bidi/>
        <w:jc w:val="left"/>
        <w:rPr>
          <w:rtl/>
          <w:lang w:val="en-CA" w:bidi="ar-EG"/>
        </w:rPr>
      </w:pPr>
    </w:p>
    <w:p w:rsidR="00B67FB0" w:rsidRPr="00730810" w:rsidRDefault="00B67FB0" w:rsidP="009C09F4">
      <w:pPr>
        <w:bidi/>
        <w:jc w:val="left"/>
        <w:rPr>
          <w:sz w:val="32"/>
          <w:szCs w:val="32"/>
          <w:lang w:val="en-CA"/>
        </w:rPr>
      </w:pPr>
    </w:p>
    <w:p w:rsidR="00B67FB0" w:rsidRPr="00730810" w:rsidRDefault="00B67FB0" w:rsidP="009C09F4">
      <w:pPr>
        <w:bidi/>
        <w:jc w:val="left"/>
        <w:rPr>
          <w:sz w:val="32"/>
          <w:szCs w:val="32"/>
          <w:lang w:val="en-CA"/>
        </w:rPr>
      </w:pPr>
    </w:p>
    <w:p w:rsidR="004C12A9" w:rsidRPr="00730810" w:rsidRDefault="00730810" w:rsidP="00730810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730810">
        <w:rPr>
          <w:b/>
          <w:bCs/>
          <w:sz w:val="32"/>
          <w:szCs w:val="32"/>
          <w:rtl/>
        </w:rPr>
        <w:t xml:space="preserve">الحسابات الختامية لعام </w:t>
      </w:r>
      <w:r w:rsidRPr="00730810">
        <w:rPr>
          <w:b/>
          <w:bCs/>
          <w:sz w:val="32"/>
          <w:szCs w:val="32"/>
          <w:rtl/>
          <w:lang w:bidi="ar"/>
        </w:rPr>
        <w:t>2020</w:t>
      </w:r>
    </w:p>
    <w:p w:rsidR="00B67FB0" w:rsidRPr="00730810" w:rsidRDefault="00B67FB0" w:rsidP="009C09F4">
      <w:pPr>
        <w:bidi/>
        <w:jc w:val="center"/>
        <w:rPr>
          <w:b/>
          <w:sz w:val="32"/>
          <w:szCs w:val="32"/>
          <w:rtl/>
          <w:lang w:bidi="ar-EG"/>
        </w:rPr>
      </w:pPr>
    </w:p>
    <w:p w:rsidR="00B53459" w:rsidRPr="00730810" w:rsidRDefault="00B53459" w:rsidP="009C09F4">
      <w:pPr>
        <w:bidi/>
        <w:rPr>
          <w:b/>
          <w:bCs/>
          <w:sz w:val="28"/>
          <w:szCs w:val="28"/>
        </w:rPr>
      </w:pPr>
    </w:p>
    <w:p w:rsidR="00B53459" w:rsidRPr="00730810" w:rsidRDefault="000249B1" w:rsidP="009C09F4">
      <w:pPr>
        <w:bidi/>
        <w:rPr>
          <w:b/>
          <w:bCs/>
          <w:sz w:val="28"/>
          <w:szCs w:val="28"/>
        </w:rPr>
      </w:pPr>
      <w:r w:rsidRPr="00730810">
        <w:rPr>
          <w:rFonts w:hint="cs"/>
          <w:b/>
          <w:bCs/>
          <w:sz w:val="28"/>
          <w:szCs w:val="28"/>
          <w:rtl/>
        </w:rPr>
        <w:t>مقدمة</w:t>
      </w:r>
    </w:p>
    <w:p w:rsidR="00B53459" w:rsidRPr="00424C17" w:rsidRDefault="00B53459" w:rsidP="009C09F4">
      <w:pPr>
        <w:pStyle w:val="Heading2"/>
        <w:numPr>
          <w:ilvl w:val="0"/>
          <w:numId w:val="0"/>
        </w:numPr>
        <w:bidi/>
        <w:spacing w:after="0"/>
        <w:rPr>
          <w:lang w:bidi="ar-EG"/>
        </w:rPr>
      </w:pPr>
    </w:p>
    <w:p w:rsidR="004C12A9" w:rsidRPr="00730810" w:rsidRDefault="004C12A9" w:rsidP="00570AE4">
      <w:pPr>
        <w:pStyle w:val="Heading1"/>
        <w:numPr>
          <w:ilvl w:val="0"/>
          <w:numId w:val="26"/>
        </w:numPr>
        <w:bidi/>
        <w:rPr>
          <w:sz w:val="26"/>
          <w:szCs w:val="26"/>
        </w:rPr>
      </w:pPr>
      <w:r w:rsidRPr="00730810">
        <w:rPr>
          <w:rFonts w:hint="cs"/>
          <w:sz w:val="26"/>
          <w:szCs w:val="26"/>
          <w:rtl/>
        </w:rPr>
        <w:t>تمثل هذه الوثيقة الحسابات ال</w:t>
      </w:r>
      <w:r w:rsidR="00730810" w:rsidRPr="00730810">
        <w:rPr>
          <w:sz w:val="26"/>
          <w:szCs w:val="26"/>
          <w:rtl/>
        </w:rPr>
        <w:t xml:space="preserve"> </w:t>
      </w:r>
      <w:r w:rsidR="00730810" w:rsidRPr="00F53970">
        <w:rPr>
          <w:sz w:val="26"/>
          <w:szCs w:val="26"/>
          <w:rtl/>
        </w:rPr>
        <w:t xml:space="preserve">الحسابات الختامية لعام </w:t>
      </w:r>
      <w:r w:rsidR="00730810" w:rsidRPr="00F53970">
        <w:rPr>
          <w:sz w:val="26"/>
          <w:szCs w:val="26"/>
          <w:rtl/>
          <w:lang w:bidi="ar"/>
        </w:rPr>
        <w:t>2020</w:t>
      </w:r>
      <w:r w:rsidRPr="00730810">
        <w:rPr>
          <w:rFonts w:hint="cs"/>
          <w:sz w:val="26"/>
          <w:szCs w:val="26"/>
          <w:rtl/>
        </w:rPr>
        <w:t xml:space="preserve"> للصندوق المتعدد الأطراف للعام المنتهي في 31 ديسمبر/ كانون الأول 2020. يتألف المرفق بهذه الوثيقة من الجداول التالية:</w:t>
      </w:r>
    </w:p>
    <w:p w:rsidR="002C78AD" w:rsidRPr="00730810" w:rsidRDefault="004C12A9" w:rsidP="004C12A9">
      <w:pPr>
        <w:pStyle w:val="Heading2"/>
        <w:numPr>
          <w:ilvl w:val="0"/>
          <w:numId w:val="0"/>
        </w:numPr>
        <w:tabs>
          <w:tab w:val="left" w:pos="2520"/>
        </w:tabs>
        <w:bidi/>
        <w:spacing w:after="0"/>
        <w:ind w:left="1440" w:hanging="720"/>
        <w:rPr>
          <w:sz w:val="26"/>
          <w:szCs w:val="26"/>
          <w:rtl/>
          <w:lang w:bidi="ar-EG"/>
        </w:rPr>
      </w:pPr>
      <w:r w:rsidRPr="00730810">
        <w:rPr>
          <w:rFonts w:hint="cs"/>
          <w:sz w:val="26"/>
          <w:szCs w:val="26"/>
          <w:rtl/>
          <w:lang w:bidi="ar-EG"/>
        </w:rPr>
        <w:t>ال</w:t>
      </w:r>
      <w:r w:rsidR="00025EE4" w:rsidRPr="00730810">
        <w:rPr>
          <w:rFonts w:hint="cs"/>
          <w:sz w:val="26"/>
          <w:szCs w:val="26"/>
          <w:rtl/>
          <w:lang w:bidi="ar-EG"/>
        </w:rPr>
        <w:t>مخطط</w:t>
      </w:r>
      <w:r w:rsidRPr="00730810">
        <w:rPr>
          <w:rFonts w:hint="cs"/>
          <w:sz w:val="26"/>
          <w:szCs w:val="26"/>
          <w:rtl/>
          <w:lang w:bidi="ar-EG"/>
        </w:rPr>
        <w:t xml:space="preserve"> 1-1</w:t>
      </w:r>
      <w:r w:rsidRPr="00730810">
        <w:rPr>
          <w:rFonts w:hint="cs"/>
          <w:sz w:val="26"/>
          <w:szCs w:val="26"/>
          <w:rtl/>
          <w:lang w:bidi="ar-EG"/>
        </w:rPr>
        <w:tab/>
        <w:t>كشف الإيرادات والمصروفات</w:t>
      </w:r>
    </w:p>
    <w:p w:rsidR="002C78AD" w:rsidRPr="00730810" w:rsidRDefault="004C12A9" w:rsidP="009C09F4">
      <w:pPr>
        <w:pStyle w:val="ListParagraph"/>
        <w:tabs>
          <w:tab w:val="left" w:pos="2520"/>
        </w:tabs>
        <w:bidi/>
        <w:rPr>
          <w:sz w:val="26"/>
          <w:szCs w:val="26"/>
          <w:rtl/>
          <w:lang w:bidi="ar-EG"/>
        </w:rPr>
      </w:pPr>
      <w:r w:rsidRPr="00730810">
        <w:rPr>
          <w:rFonts w:hint="cs"/>
          <w:sz w:val="26"/>
          <w:szCs w:val="26"/>
          <w:rtl/>
          <w:lang w:bidi="ar-EG"/>
        </w:rPr>
        <w:t>ال</w:t>
      </w:r>
      <w:r w:rsidR="00025EE4" w:rsidRPr="00730810">
        <w:rPr>
          <w:rFonts w:hint="cs"/>
          <w:sz w:val="26"/>
          <w:szCs w:val="26"/>
          <w:rtl/>
          <w:lang w:bidi="ar-EG"/>
        </w:rPr>
        <w:t>مخطط</w:t>
      </w:r>
      <w:r w:rsidRPr="00730810">
        <w:rPr>
          <w:rFonts w:hint="cs"/>
          <w:sz w:val="26"/>
          <w:szCs w:val="26"/>
          <w:rtl/>
          <w:lang w:bidi="ar-EG"/>
        </w:rPr>
        <w:t xml:space="preserve"> </w:t>
      </w:r>
      <w:r w:rsidR="002C78AD" w:rsidRPr="00730810">
        <w:rPr>
          <w:rFonts w:hint="cs"/>
          <w:sz w:val="26"/>
          <w:szCs w:val="26"/>
          <w:rtl/>
          <w:lang w:bidi="ar-EG"/>
        </w:rPr>
        <w:t xml:space="preserve">1-2 </w:t>
      </w:r>
      <w:r w:rsidRPr="00730810">
        <w:rPr>
          <w:rFonts w:hint="cs"/>
          <w:sz w:val="26"/>
          <w:szCs w:val="26"/>
          <w:rtl/>
          <w:lang w:bidi="ar-EG"/>
        </w:rPr>
        <w:tab/>
        <w:t>كشف الوضع المالي في 2020</w:t>
      </w:r>
    </w:p>
    <w:p w:rsidR="002C78AD" w:rsidRPr="00730810" w:rsidRDefault="004C12A9" w:rsidP="009C09F4">
      <w:pPr>
        <w:pStyle w:val="Heading2"/>
        <w:numPr>
          <w:ilvl w:val="0"/>
          <w:numId w:val="0"/>
        </w:numPr>
        <w:tabs>
          <w:tab w:val="left" w:pos="2520"/>
        </w:tabs>
        <w:bidi/>
        <w:spacing w:after="0"/>
        <w:ind w:left="720"/>
        <w:rPr>
          <w:sz w:val="26"/>
          <w:szCs w:val="26"/>
          <w:rtl/>
          <w:lang w:bidi="ar-EG"/>
        </w:rPr>
      </w:pPr>
      <w:r w:rsidRPr="00730810">
        <w:rPr>
          <w:rFonts w:hint="cs"/>
          <w:sz w:val="26"/>
          <w:szCs w:val="26"/>
          <w:rtl/>
          <w:lang w:bidi="ar-EG"/>
        </w:rPr>
        <w:t>ال</w:t>
      </w:r>
      <w:r w:rsidR="00025EE4" w:rsidRPr="00730810">
        <w:rPr>
          <w:rFonts w:hint="cs"/>
          <w:sz w:val="26"/>
          <w:szCs w:val="26"/>
          <w:rtl/>
          <w:lang w:bidi="ar-EG"/>
        </w:rPr>
        <w:t>مخطط</w:t>
      </w:r>
      <w:r w:rsidRPr="00730810">
        <w:rPr>
          <w:rFonts w:hint="cs"/>
          <w:sz w:val="26"/>
          <w:szCs w:val="26"/>
          <w:rtl/>
          <w:lang w:bidi="ar-EG"/>
        </w:rPr>
        <w:t xml:space="preserve"> </w:t>
      </w:r>
      <w:r w:rsidR="002C78AD" w:rsidRPr="00730810">
        <w:rPr>
          <w:rFonts w:hint="cs"/>
          <w:sz w:val="26"/>
          <w:szCs w:val="26"/>
          <w:rtl/>
          <w:lang w:bidi="ar-EG"/>
        </w:rPr>
        <w:t xml:space="preserve">1-3 </w:t>
      </w:r>
      <w:r w:rsidRPr="00730810">
        <w:rPr>
          <w:rFonts w:hint="cs"/>
          <w:sz w:val="26"/>
          <w:szCs w:val="26"/>
          <w:rtl/>
          <w:lang w:bidi="ar-EG"/>
        </w:rPr>
        <w:tab/>
      </w:r>
      <w:r w:rsidR="00C62119" w:rsidRPr="00730810">
        <w:rPr>
          <w:rFonts w:hint="cs"/>
          <w:sz w:val="26"/>
          <w:szCs w:val="26"/>
          <w:rtl/>
          <w:lang w:bidi="ar-EG"/>
        </w:rPr>
        <w:t>مصروفات الأمانة في 2020</w:t>
      </w:r>
    </w:p>
    <w:p w:rsidR="002C78AD" w:rsidRPr="00730810" w:rsidRDefault="004C12A9" w:rsidP="002C78AD">
      <w:pPr>
        <w:pStyle w:val="Heading2"/>
        <w:numPr>
          <w:ilvl w:val="0"/>
          <w:numId w:val="0"/>
        </w:numPr>
        <w:tabs>
          <w:tab w:val="left" w:pos="2520"/>
        </w:tabs>
        <w:bidi/>
        <w:spacing w:after="0"/>
        <w:ind w:left="720"/>
        <w:rPr>
          <w:sz w:val="26"/>
          <w:szCs w:val="26"/>
          <w:rtl/>
          <w:lang w:bidi="ar-EG"/>
        </w:rPr>
      </w:pPr>
      <w:r w:rsidRPr="00730810">
        <w:rPr>
          <w:rFonts w:hint="cs"/>
          <w:sz w:val="26"/>
          <w:szCs w:val="26"/>
          <w:rtl/>
          <w:lang w:bidi="ar-EG"/>
        </w:rPr>
        <w:t>ال</w:t>
      </w:r>
      <w:r w:rsidR="00025EE4" w:rsidRPr="00730810">
        <w:rPr>
          <w:rFonts w:hint="cs"/>
          <w:sz w:val="26"/>
          <w:szCs w:val="26"/>
          <w:rtl/>
          <w:lang w:bidi="ar-EG"/>
        </w:rPr>
        <w:t>مخطط</w:t>
      </w:r>
      <w:r w:rsidRPr="00730810">
        <w:rPr>
          <w:rFonts w:hint="cs"/>
          <w:sz w:val="26"/>
          <w:szCs w:val="26"/>
          <w:rtl/>
          <w:lang w:bidi="ar-EG"/>
        </w:rPr>
        <w:t xml:space="preserve"> </w:t>
      </w:r>
      <w:r w:rsidR="002C78AD" w:rsidRPr="00730810">
        <w:rPr>
          <w:rFonts w:hint="cs"/>
          <w:sz w:val="26"/>
          <w:szCs w:val="26"/>
          <w:rtl/>
          <w:lang w:bidi="ar-EG"/>
        </w:rPr>
        <w:t xml:space="preserve">1-4 </w:t>
      </w:r>
      <w:r w:rsidR="002C78AD" w:rsidRPr="00730810">
        <w:rPr>
          <w:rFonts w:hint="cs"/>
          <w:sz w:val="26"/>
          <w:szCs w:val="26"/>
          <w:rtl/>
          <w:lang w:bidi="ar-EG"/>
        </w:rPr>
        <w:tab/>
      </w:r>
      <w:r w:rsidR="002C78AD" w:rsidRPr="00730810">
        <w:rPr>
          <w:sz w:val="26"/>
          <w:szCs w:val="26"/>
          <w:rtl/>
          <w:lang w:bidi="ar-EG"/>
        </w:rPr>
        <w:t xml:space="preserve">الحسابات الفرعية للأنشطة التي يديرها </w:t>
      </w:r>
      <w:r w:rsidR="00C62119" w:rsidRPr="00730810">
        <w:rPr>
          <w:rFonts w:hint="cs"/>
          <w:sz w:val="26"/>
          <w:szCs w:val="26"/>
          <w:rtl/>
          <w:lang w:bidi="ar-EG"/>
        </w:rPr>
        <w:t>ال</w:t>
      </w:r>
      <w:r w:rsidR="002C78AD" w:rsidRPr="00730810">
        <w:rPr>
          <w:rFonts w:hint="cs"/>
          <w:sz w:val="26"/>
          <w:szCs w:val="26"/>
          <w:rtl/>
          <w:lang w:bidi="ar-EG"/>
        </w:rPr>
        <w:t>يوئنديبي</w:t>
      </w:r>
      <w:r w:rsidR="002C78AD" w:rsidRPr="00730810">
        <w:rPr>
          <w:sz w:val="26"/>
          <w:szCs w:val="26"/>
          <w:rtl/>
          <w:lang w:bidi="ar-EG"/>
        </w:rPr>
        <w:t xml:space="preserve"> 1991-2020</w:t>
      </w:r>
    </w:p>
    <w:p w:rsidR="002C78AD" w:rsidRPr="00730810" w:rsidRDefault="004C12A9" w:rsidP="00C62119">
      <w:pPr>
        <w:pStyle w:val="Heading2"/>
        <w:numPr>
          <w:ilvl w:val="0"/>
          <w:numId w:val="0"/>
        </w:numPr>
        <w:tabs>
          <w:tab w:val="left" w:pos="2520"/>
        </w:tabs>
        <w:bidi/>
        <w:spacing w:after="0"/>
        <w:ind w:left="720"/>
        <w:rPr>
          <w:sz w:val="26"/>
          <w:szCs w:val="26"/>
          <w:rtl/>
          <w:lang w:bidi="ar-EG"/>
        </w:rPr>
      </w:pPr>
      <w:r w:rsidRPr="00730810">
        <w:rPr>
          <w:rFonts w:hint="cs"/>
          <w:sz w:val="26"/>
          <w:szCs w:val="26"/>
          <w:rtl/>
          <w:lang w:bidi="ar-EG"/>
        </w:rPr>
        <w:t>ال</w:t>
      </w:r>
      <w:r w:rsidR="00025EE4" w:rsidRPr="00730810">
        <w:rPr>
          <w:rFonts w:hint="cs"/>
          <w:sz w:val="26"/>
          <w:szCs w:val="26"/>
          <w:rtl/>
          <w:lang w:bidi="ar-EG"/>
        </w:rPr>
        <w:t>مخطط</w:t>
      </w:r>
      <w:r w:rsidRPr="00730810">
        <w:rPr>
          <w:rFonts w:hint="cs"/>
          <w:sz w:val="26"/>
          <w:szCs w:val="26"/>
          <w:rtl/>
          <w:lang w:bidi="ar-EG"/>
        </w:rPr>
        <w:t xml:space="preserve"> </w:t>
      </w:r>
      <w:r w:rsidR="002C78AD" w:rsidRPr="00730810">
        <w:rPr>
          <w:rFonts w:hint="cs"/>
          <w:sz w:val="26"/>
          <w:szCs w:val="26"/>
          <w:rtl/>
          <w:lang w:bidi="ar-EG"/>
        </w:rPr>
        <w:t xml:space="preserve">1-5 </w:t>
      </w:r>
      <w:r w:rsidRPr="00730810">
        <w:rPr>
          <w:rFonts w:hint="cs"/>
          <w:sz w:val="26"/>
          <w:szCs w:val="26"/>
          <w:rtl/>
          <w:lang w:bidi="ar-EG"/>
        </w:rPr>
        <w:tab/>
      </w:r>
      <w:r w:rsidR="00C62119" w:rsidRPr="00730810">
        <w:rPr>
          <w:sz w:val="26"/>
          <w:szCs w:val="26"/>
          <w:rtl/>
          <w:lang w:bidi="ar-EG"/>
        </w:rPr>
        <w:t xml:space="preserve">الحسابات الفرعية للأنشطة التي يديرها </w:t>
      </w:r>
      <w:r w:rsidR="00C62119" w:rsidRPr="00730810">
        <w:rPr>
          <w:rFonts w:hint="cs"/>
          <w:sz w:val="26"/>
          <w:szCs w:val="26"/>
          <w:rtl/>
          <w:lang w:bidi="ar-EG"/>
        </w:rPr>
        <w:t>اليونيب</w:t>
      </w:r>
      <w:r w:rsidR="00C62119" w:rsidRPr="00730810">
        <w:rPr>
          <w:sz w:val="26"/>
          <w:szCs w:val="26"/>
          <w:rtl/>
          <w:lang w:bidi="ar-EG"/>
        </w:rPr>
        <w:t xml:space="preserve"> 1991-2020</w:t>
      </w:r>
    </w:p>
    <w:p w:rsidR="002C78AD" w:rsidRPr="00730810" w:rsidRDefault="004C12A9" w:rsidP="00C62119">
      <w:pPr>
        <w:pStyle w:val="Heading2"/>
        <w:numPr>
          <w:ilvl w:val="0"/>
          <w:numId w:val="0"/>
        </w:numPr>
        <w:tabs>
          <w:tab w:val="left" w:pos="2520"/>
        </w:tabs>
        <w:bidi/>
        <w:spacing w:after="0"/>
        <w:ind w:left="720"/>
        <w:rPr>
          <w:sz w:val="26"/>
          <w:szCs w:val="26"/>
          <w:rtl/>
          <w:lang w:bidi="ar-EG"/>
        </w:rPr>
      </w:pPr>
      <w:r w:rsidRPr="00730810">
        <w:rPr>
          <w:rFonts w:hint="cs"/>
          <w:sz w:val="26"/>
          <w:szCs w:val="26"/>
          <w:rtl/>
          <w:lang w:bidi="ar-EG"/>
        </w:rPr>
        <w:t>ال</w:t>
      </w:r>
      <w:r w:rsidR="00025EE4" w:rsidRPr="00730810">
        <w:rPr>
          <w:rFonts w:hint="cs"/>
          <w:sz w:val="26"/>
          <w:szCs w:val="26"/>
          <w:rtl/>
          <w:lang w:bidi="ar-EG"/>
        </w:rPr>
        <w:t>مخطط</w:t>
      </w:r>
      <w:r w:rsidRPr="00730810">
        <w:rPr>
          <w:rFonts w:hint="cs"/>
          <w:sz w:val="26"/>
          <w:szCs w:val="26"/>
          <w:rtl/>
          <w:lang w:bidi="ar-EG"/>
        </w:rPr>
        <w:t xml:space="preserve"> </w:t>
      </w:r>
      <w:r w:rsidR="002C78AD" w:rsidRPr="00730810">
        <w:rPr>
          <w:rFonts w:hint="cs"/>
          <w:sz w:val="26"/>
          <w:szCs w:val="26"/>
          <w:rtl/>
          <w:lang w:bidi="ar-EG"/>
        </w:rPr>
        <w:t xml:space="preserve">1-6 </w:t>
      </w:r>
      <w:r w:rsidRPr="00730810">
        <w:rPr>
          <w:rFonts w:hint="cs"/>
          <w:sz w:val="26"/>
          <w:szCs w:val="26"/>
          <w:rtl/>
          <w:lang w:bidi="ar-EG"/>
        </w:rPr>
        <w:tab/>
      </w:r>
      <w:r w:rsidR="00C62119" w:rsidRPr="00730810">
        <w:rPr>
          <w:sz w:val="26"/>
          <w:szCs w:val="26"/>
          <w:rtl/>
          <w:lang w:bidi="ar-EG"/>
        </w:rPr>
        <w:t xml:space="preserve">الحسابات الفرعية للأنشطة التي </w:t>
      </w:r>
      <w:r w:rsidR="00C62119" w:rsidRPr="00730810">
        <w:rPr>
          <w:rFonts w:hint="cs"/>
          <w:sz w:val="26"/>
          <w:szCs w:val="26"/>
          <w:rtl/>
          <w:lang w:bidi="ar-EG"/>
        </w:rPr>
        <w:t>ت</w:t>
      </w:r>
      <w:r w:rsidR="00C62119" w:rsidRPr="00730810">
        <w:rPr>
          <w:sz w:val="26"/>
          <w:szCs w:val="26"/>
          <w:rtl/>
          <w:lang w:bidi="ar-EG"/>
        </w:rPr>
        <w:t xml:space="preserve">ديرها </w:t>
      </w:r>
      <w:r w:rsidR="00C62119" w:rsidRPr="00730810">
        <w:rPr>
          <w:rFonts w:hint="cs"/>
          <w:sz w:val="26"/>
          <w:szCs w:val="26"/>
          <w:rtl/>
          <w:lang w:bidi="ar-EG"/>
        </w:rPr>
        <w:t>اليونيدو</w:t>
      </w:r>
      <w:r w:rsidR="00C62119" w:rsidRPr="00730810">
        <w:rPr>
          <w:sz w:val="26"/>
          <w:szCs w:val="26"/>
          <w:rtl/>
          <w:lang w:bidi="ar-EG"/>
        </w:rPr>
        <w:t xml:space="preserve"> 1991-2020</w:t>
      </w:r>
    </w:p>
    <w:p w:rsidR="002C78AD" w:rsidRPr="00730810" w:rsidRDefault="004C12A9" w:rsidP="00C62119">
      <w:pPr>
        <w:pStyle w:val="Heading2"/>
        <w:numPr>
          <w:ilvl w:val="0"/>
          <w:numId w:val="0"/>
        </w:numPr>
        <w:tabs>
          <w:tab w:val="left" w:pos="2520"/>
        </w:tabs>
        <w:bidi/>
        <w:spacing w:after="0"/>
        <w:ind w:left="720"/>
        <w:rPr>
          <w:sz w:val="26"/>
          <w:szCs w:val="26"/>
          <w:rtl/>
          <w:lang w:bidi="ar-EG"/>
        </w:rPr>
      </w:pPr>
      <w:r w:rsidRPr="00730810">
        <w:rPr>
          <w:rFonts w:hint="cs"/>
          <w:sz w:val="26"/>
          <w:szCs w:val="26"/>
          <w:rtl/>
          <w:lang w:bidi="ar-EG"/>
        </w:rPr>
        <w:t>ال</w:t>
      </w:r>
      <w:r w:rsidR="00025EE4" w:rsidRPr="00730810">
        <w:rPr>
          <w:rFonts w:hint="cs"/>
          <w:sz w:val="26"/>
          <w:szCs w:val="26"/>
          <w:rtl/>
          <w:lang w:bidi="ar-EG"/>
        </w:rPr>
        <w:t>مخطط</w:t>
      </w:r>
      <w:r w:rsidRPr="00730810">
        <w:rPr>
          <w:rFonts w:hint="cs"/>
          <w:sz w:val="26"/>
          <w:szCs w:val="26"/>
          <w:rtl/>
          <w:lang w:bidi="ar-EG"/>
        </w:rPr>
        <w:t xml:space="preserve"> </w:t>
      </w:r>
      <w:r w:rsidR="002C78AD" w:rsidRPr="00730810">
        <w:rPr>
          <w:rFonts w:hint="cs"/>
          <w:sz w:val="26"/>
          <w:szCs w:val="26"/>
          <w:rtl/>
          <w:lang w:bidi="ar-EG"/>
        </w:rPr>
        <w:t xml:space="preserve">1-7 </w:t>
      </w:r>
      <w:r w:rsidRPr="00730810">
        <w:rPr>
          <w:rFonts w:hint="cs"/>
          <w:sz w:val="26"/>
          <w:szCs w:val="26"/>
          <w:rtl/>
          <w:lang w:bidi="ar-EG"/>
        </w:rPr>
        <w:tab/>
      </w:r>
      <w:r w:rsidR="00C62119" w:rsidRPr="00730810">
        <w:rPr>
          <w:sz w:val="26"/>
          <w:szCs w:val="26"/>
          <w:rtl/>
          <w:lang w:bidi="ar-EG"/>
        </w:rPr>
        <w:t xml:space="preserve">الحسابات الفرعية للأنشطة التي يديرها </w:t>
      </w:r>
      <w:r w:rsidR="00C62119" w:rsidRPr="00730810">
        <w:rPr>
          <w:rFonts w:hint="cs"/>
          <w:sz w:val="26"/>
          <w:szCs w:val="26"/>
          <w:rtl/>
          <w:lang w:bidi="ar-EG"/>
        </w:rPr>
        <w:t>البنك الدولي</w:t>
      </w:r>
      <w:r w:rsidR="00C62119" w:rsidRPr="00730810">
        <w:rPr>
          <w:sz w:val="26"/>
          <w:szCs w:val="26"/>
          <w:rtl/>
          <w:lang w:bidi="ar-EG"/>
        </w:rPr>
        <w:t xml:space="preserve"> 1991-2020</w:t>
      </w:r>
    </w:p>
    <w:p w:rsidR="002A121B" w:rsidRPr="00730810" w:rsidRDefault="002A121B" w:rsidP="009C09F4">
      <w:pPr>
        <w:bidi/>
        <w:ind w:left="720"/>
        <w:rPr>
          <w:sz w:val="26"/>
          <w:szCs w:val="26"/>
          <w:rtl/>
          <w:lang w:bidi="ar-EG"/>
        </w:rPr>
      </w:pPr>
    </w:p>
    <w:p w:rsidR="00C62119" w:rsidRPr="00730810" w:rsidRDefault="00C62119" w:rsidP="009C09F4">
      <w:pPr>
        <w:pStyle w:val="Heading1"/>
        <w:bidi/>
        <w:rPr>
          <w:sz w:val="26"/>
          <w:szCs w:val="26"/>
        </w:rPr>
      </w:pPr>
      <w:r w:rsidRPr="00730810">
        <w:rPr>
          <w:rFonts w:hint="cs"/>
          <w:sz w:val="26"/>
          <w:szCs w:val="26"/>
          <w:rtl/>
        </w:rPr>
        <w:t>يقدم ال</w:t>
      </w:r>
      <w:r w:rsidR="00025EE4" w:rsidRPr="00730810">
        <w:rPr>
          <w:rFonts w:hint="cs"/>
          <w:sz w:val="26"/>
          <w:szCs w:val="26"/>
          <w:rtl/>
        </w:rPr>
        <w:t>مخطط</w:t>
      </w:r>
      <w:r w:rsidRPr="00730810">
        <w:rPr>
          <w:rFonts w:hint="cs"/>
          <w:sz w:val="26"/>
          <w:szCs w:val="26"/>
          <w:rtl/>
        </w:rPr>
        <w:t xml:space="preserve"> 1-1- معلومات عن المساهمات الموافق عليها بموجب فئة الإيرادات. ويبين زيادة في آلية سعر الصرف الثابت تبلغ </w:t>
      </w:r>
      <w:r w:rsidRPr="00730810">
        <w:rPr>
          <w:color w:val="000000"/>
          <w:sz w:val="26"/>
          <w:szCs w:val="26"/>
          <w:lang w:val="en-US"/>
        </w:rPr>
        <w:t>1,973,814</w:t>
      </w:r>
      <w:r w:rsidRPr="00730810">
        <w:rPr>
          <w:rFonts w:hint="cs"/>
          <w:sz w:val="26"/>
          <w:szCs w:val="26"/>
          <w:rtl/>
        </w:rPr>
        <w:t xml:space="preserve"> دولارا</w:t>
      </w:r>
      <w:r w:rsidRPr="00730810">
        <w:rPr>
          <w:rFonts w:hint="cs"/>
          <w:sz w:val="26"/>
          <w:szCs w:val="26"/>
          <w:rtl/>
          <w:lang w:bidi="ar-EG"/>
        </w:rPr>
        <w:t xml:space="preserve"> أمريكيا في 2020 مقابل زيادة تبلغ </w:t>
      </w:r>
      <w:r w:rsidRPr="00730810">
        <w:rPr>
          <w:color w:val="000000"/>
          <w:sz w:val="26"/>
          <w:szCs w:val="26"/>
          <w:lang w:val="en-US"/>
        </w:rPr>
        <w:t>507,935</w:t>
      </w:r>
      <w:r w:rsidRPr="00730810">
        <w:rPr>
          <w:rFonts w:hint="cs"/>
          <w:sz w:val="26"/>
          <w:szCs w:val="26"/>
          <w:rtl/>
          <w:lang w:val="en-US"/>
        </w:rPr>
        <w:t xml:space="preserve"> دولارا أمريكيا في 2019 تعزى الى سعر صرف دولار الولايات المتحدة الأمريكية في 2020 مقابل العملات الأخرى. ويقدم هذا ال</w:t>
      </w:r>
      <w:r w:rsidR="00025EE4" w:rsidRPr="00730810">
        <w:rPr>
          <w:rFonts w:hint="cs"/>
          <w:sz w:val="26"/>
          <w:szCs w:val="26"/>
          <w:rtl/>
          <w:lang w:val="en-US"/>
        </w:rPr>
        <w:t>مخطط</w:t>
      </w:r>
      <w:r w:rsidRPr="00730810">
        <w:rPr>
          <w:rFonts w:hint="cs"/>
          <w:sz w:val="26"/>
          <w:szCs w:val="26"/>
          <w:rtl/>
          <w:lang w:val="en-US"/>
        </w:rPr>
        <w:t xml:space="preserve"> أيضا بيانات مجمعة عن مصروفات الأمانة والوكالات المنفذة والرصيد الصافي للصندوق المتعدد الأطراف في نهاية 2020.</w:t>
      </w:r>
    </w:p>
    <w:p w:rsidR="000124C0" w:rsidRPr="00730810" w:rsidRDefault="00C62119" w:rsidP="009C09F4">
      <w:pPr>
        <w:pStyle w:val="Heading1"/>
        <w:bidi/>
        <w:rPr>
          <w:sz w:val="26"/>
          <w:szCs w:val="26"/>
          <w:lang w:eastAsia="fr-FR"/>
        </w:rPr>
      </w:pPr>
      <w:r w:rsidRPr="00730810">
        <w:rPr>
          <w:rFonts w:hint="cs"/>
          <w:sz w:val="26"/>
          <w:szCs w:val="26"/>
          <w:rtl/>
          <w:lang w:eastAsia="fr-FR" w:bidi="ar-EG"/>
        </w:rPr>
        <w:lastRenderedPageBreak/>
        <w:t>ويقدم ال</w:t>
      </w:r>
      <w:r w:rsidR="00025EE4" w:rsidRPr="00730810">
        <w:rPr>
          <w:rFonts w:hint="cs"/>
          <w:sz w:val="26"/>
          <w:szCs w:val="26"/>
          <w:rtl/>
          <w:lang w:eastAsia="fr-FR" w:bidi="ar-EG"/>
        </w:rPr>
        <w:t>مخطط</w:t>
      </w:r>
      <w:r w:rsidRPr="00730810">
        <w:rPr>
          <w:rFonts w:hint="cs"/>
          <w:sz w:val="26"/>
          <w:szCs w:val="26"/>
          <w:rtl/>
          <w:lang w:eastAsia="fr-FR" w:bidi="ar-EG"/>
        </w:rPr>
        <w:t xml:space="preserve"> 1-2 حالة التعهدات الطوعية المقدرة التي تلقيت والبالغة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 </w:t>
      </w:r>
      <w:r w:rsidR="000124C0" w:rsidRPr="00730810">
        <w:rPr>
          <w:sz w:val="26"/>
          <w:szCs w:val="26"/>
          <w:lang w:eastAsia="fr-FR"/>
        </w:rPr>
        <w:t>6,086,973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 دولار</w:t>
      </w:r>
      <w:r w:rsidRPr="00730810">
        <w:rPr>
          <w:rFonts w:hint="cs"/>
          <w:sz w:val="26"/>
          <w:szCs w:val="26"/>
          <w:rtl/>
          <w:lang w:eastAsia="fr-FR"/>
        </w:rPr>
        <w:t>ا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 أمريكي</w:t>
      </w:r>
      <w:r w:rsidRPr="00730810">
        <w:rPr>
          <w:rFonts w:hint="cs"/>
          <w:sz w:val="26"/>
          <w:szCs w:val="26"/>
          <w:rtl/>
          <w:lang w:eastAsia="fr-FR"/>
        </w:rPr>
        <w:t>ا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. </w:t>
      </w:r>
      <w:r w:rsidR="00203D01" w:rsidRPr="00730810">
        <w:rPr>
          <w:rFonts w:hint="cs"/>
          <w:sz w:val="26"/>
          <w:szCs w:val="26"/>
          <w:rtl/>
          <w:lang w:eastAsia="fr-FR"/>
        </w:rPr>
        <w:t>ويرد هذا المبلغ بعد خفض مجموع المتحصلات التجميعية البالغة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 </w:t>
      </w:r>
      <w:r w:rsidR="000124C0" w:rsidRPr="00730810">
        <w:rPr>
          <w:sz w:val="26"/>
          <w:szCs w:val="26"/>
          <w:lang w:eastAsia="fr-FR"/>
        </w:rPr>
        <w:t>187,535,516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 دولار</w:t>
      </w:r>
      <w:r w:rsidR="00203D01" w:rsidRPr="00730810">
        <w:rPr>
          <w:rFonts w:hint="cs"/>
          <w:sz w:val="26"/>
          <w:szCs w:val="26"/>
          <w:rtl/>
          <w:lang w:eastAsia="fr-FR"/>
        </w:rPr>
        <w:t>ا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 أمريكي</w:t>
      </w:r>
      <w:r w:rsidR="00203D01" w:rsidRPr="00730810">
        <w:rPr>
          <w:rFonts w:hint="cs"/>
          <w:sz w:val="26"/>
          <w:szCs w:val="26"/>
          <w:rtl/>
          <w:lang w:eastAsia="fr-FR"/>
        </w:rPr>
        <w:t>ا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 </w:t>
      </w:r>
      <w:r w:rsidR="00203D01" w:rsidRPr="00730810">
        <w:rPr>
          <w:rFonts w:hint="cs"/>
          <w:sz w:val="26"/>
          <w:szCs w:val="26"/>
          <w:rtl/>
          <w:lang w:eastAsia="fr-FR"/>
        </w:rPr>
        <w:t>بمقدار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 </w:t>
      </w:r>
      <w:r w:rsidR="000124C0" w:rsidRPr="00730810">
        <w:rPr>
          <w:sz w:val="26"/>
          <w:szCs w:val="26"/>
          <w:lang w:eastAsia="fr-FR"/>
        </w:rPr>
        <w:t>181,448,541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 دولار</w:t>
      </w:r>
      <w:r w:rsidR="00203D01" w:rsidRPr="00730810">
        <w:rPr>
          <w:rFonts w:hint="cs"/>
          <w:sz w:val="26"/>
          <w:szCs w:val="26"/>
          <w:rtl/>
          <w:lang w:eastAsia="fr-FR"/>
        </w:rPr>
        <w:t>ا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 أمريكي</w:t>
      </w:r>
      <w:r w:rsidR="00203D01" w:rsidRPr="00730810">
        <w:rPr>
          <w:rFonts w:hint="cs"/>
          <w:sz w:val="26"/>
          <w:szCs w:val="26"/>
          <w:rtl/>
          <w:lang w:eastAsia="fr-FR"/>
        </w:rPr>
        <w:t>ا</w:t>
      </w:r>
      <w:r w:rsidR="000124C0" w:rsidRPr="00730810">
        <w:rPr>
          <w:rFonts w:hint="cs"/>
          <w:sz w:val="26"/>
          <w:szCs w:val="26"/>
          <w:rtl/>
          <w:lang w:eastAsia="fr-FR"/>
        </w:rPr>
        <w:t xml:space="preserve">، </w:t>
      </w:r>
      <w:r w:rsidR="00203D01" w:rsidRPr="00730810">
        <w:rPr>
          <w:rFonts w:hint="cs"/>
          <w:sz w:val="26"/>
          <w:szCs w:val="26"/>
          <w:rtl/>
          <w:lang w:eastAsia="fr-FR"/>
        </w:rPr>
        <w:t>تشكل حسابات مشكوك فيها إعمالا للمعايير الدولية لمحاسبة القطاع العام.</w:t>
      </w:r>
    </w:p>
    <w:p w:rsidR="000124C0" w:rsidRPr="00730810" w:rsidRDefault="00203D01" w:rsidP="00203D01">
      <w:pPr>
        <w:pStyle w:val="Heading1"/>
        <w:bidi/>
        <w:rPr>
          <w:sz w:val="26"/>
          <w:szCs w:val="26"/>
          <w:lang w:val="en-CA"/>
        </w:rPr>
      </w:pPr>
      <w:r w:rsidRPr="00730810">
        <w:rPr>
          <w:rFonts w:hint="cs"/>
          <w:sz w:val="26"/>
          <w:szCs w:val="26"/>
          <w:rtl/>
          <w:lang w:val="en-CA"/>
        </w:rPr>
        <w:t>ويقدم ال</w:t>
      </w:r>
      <w:r w:rsidR="00025EE4" w:rsidRPr="00730810">
        <w:rPr>
          <w:rFonts w:hint="cs"/>
          <w:sz w:val="26"/>
          <w:szCs w:val="26"/>
          <w:rtl/>
          <w:lang w:val="en-CA"/>
        </w:rPr>
        <w:t>مخطط</w:t>
      </w:r>
      <w:r w:rsidRPr="00730810">
        <w:rPr>
          <w:rFonts w:hint="cs"/>
          <w:sz w:val="26"/>
          <w:szCs w:val="26"/>
          <w:rtl/>
          <w:lang w:val="en-CA"/>
        </w:rPr>
        <w:t xml:space="preserve"> 1-3 التكاليف الفعلية المحسوبة مقابل ميزانية الأمانة في 2020 الموافق عليها بموجب</w:t>
      </w:r>
      <w:r w:rsidR="000124C0" w:rsidRPr="00730810">
        <w:rPr>
          <w:rFonts w:hint="cs"/>
          <w:sz w:val="26"/>
          <w:szCs w:val="26"/>
          <w:rtl/>
          <w:lang w:val="en-CA"/>
        </w:rPr>
        <w:t xml:space="preserve"> المقرر 82/6(ب)(1) و87/3(أ)(2)، </w:t>
      </w:r>
      <w:r w:rsidRPr="00730810">
        <w:rPr>
          <w:rFonts w:hint="cs"/>
          <w:sz w:val="26"/>
          <w:szCs w:val="26"/>
          <w:rtl/>
          <w:lang w:val="en-CA"/>
        </w:rPr>
        <w:t xml:space="preserve">وميزانية الرصد والتقييم الموافق عليها بموجب </w:t>
      </w:r>
      <w:r w:rsidR="000124C0" w:rsidRPr="00730810">
        <w:rPr>
          <w:rFonts w:hint="cs"/>
          <w:sz w:val="26"/>
          <w:szCs w:val="26"/>
          <w:rtl/>
          <w:lang w:val="en-CA"/>
        </w:rPr>
        <w:t>المقرر 84/11(أ).</w:t>
      </w:r>
      <w:r w:rsidR="004E35A3" w:rsidRPr="00730810">
        <w:rPr>
          <w:rFonts w:hint="cs"/>
          <w:sz w:val="26"/>
          <w:szCs w:val="26"/>
          <w:rtl/>
          <w:lang w:val="en-CA"/>
        </w:rPr>
        <w:t xml:space="preserve"> </w:t>
      </w:r>
      <w:r w:rsidRPr="00730810">
        <w:rPr>
          <w:rFonts w:hint="cs"/>
          <w:sz w:val="26"/>
          <w:szCs w:val="26"/>
          <w:rtl/>
          <w:lang w:val="en-CA"/>
        </w:rPr>
        <w:t>وتبلغ المبالغ المعادة للصندوق المتعدد الأطراف خلال الاجتماع الثامن والثمانين</w:t>
      </w:r>
      <w:r w:rsidR="000124C0" w:rsidRPr="00730810">
        <w:rPr>
          <w:rFonts w:hint="cs"/>
          <w:sz w:val="26"/>
          <w:szCs w:val="26"/>
          <w:rtl/>
          <w:lang w:val="en-CA"/>
        </w:rPr>
        <w:t xml:space="preserve"> </w:t>
      </w:r>
      <w:r w:rsidR="000124C0" w:rsidRPr="00730810">
        <w:rPr>
          <w:sz w:val="26"/>
          <w:szCs w:val="26"/>
        </w:rPr>
        <w:t>2,430,831</w:t>
      </w:r>
      <w:r w:rsidR="000124C0" w:rsidRPr="00730810">
        <w:rPr>
          <w:rFonts w:hint="cs"/>
          <w:sz w:val="26"/>
          <w:szCs w:val="26"/>
          <w:rtl/>
          <w:lang w:val="en-CA"/>
        </w:rPr>
        <w:t xml:space="preserve"> دولار أمريكي</w:t>
      </w:r>
      <w:r w:rsidR="004E35A3" w:rsidRPr="00730810">
        <w:rPr>
          <w:rFonts w:hint="cs"/>
          <w:sz w:val="26"/>
          <w:szCs w:val="26"/>
          <w:rtl/>
          <w:lang w:val="en-CA"/>
        </w:rPr>
        <w:t xml:space="preserve"> (</w:t>
      </w:r>
      <w:r w:rsidRPr="00730810">
        <w:rPr>
          <w:rFonts w:hint="cs"/>
          <w:sz w:val="26"/>
          <w:szCs w:val="26"/>
          <w:rtl/>
          <w:lang w:val="en-CA"/>
        </w:rPr>
        <w:t xml:space="preserve">أي </w:t>
      </w:r>
      <w:r w:rsidR="004E35A3" w:rsidRPr="00730810">
        <w:rPr>
          <w:sz w:val="26"/>
          <w:szCs w:val="26"/>
        </w:rPr>
        <w:t>2,427,831</w:t>
      </w:r>
      <w:r w:rsidR="004E35A3" w:rsidRPr="00730810">
        <w:rPr>
          <w:rFonts w:hint="cs"/>
          <w:sz w:val="26"/>
          <w:szCs w:val="26"/>
          <w:rtl/>
          <w:lang w:val="en-CA"/>
        </w:rPr>
        <w:t xml:space="preserve"> دولار أمريكي </w:t>
      </w:r>
      <w:r w:rsidRPr="00730810">
        <w:rPr>
          <w:rFonts w:hint="cs"/>
          <w:sz w:val="26"/>
          <w:szCs w:val="26"/>
          <w:rtl/>
          <w:lang w:val="en-CA"/>
        </w:rPr>
        <w:t>من ميزانية الأمانة و</w:t>
      </w:r>
      <w:r w:rsidR="004E35A3" w:rsidRPr="00730810">
        <w:rPr>
          <w:sz w:val="26"/>
          <w:szCs w:val="26"/>
        </w:rPr>
        <w:t>3,000</w:t>
      </w:r>
      <w:r w:rsidR="004E35A3" w:rsidRPr="00730810">
        <w:rPr>
          <w:rFonts w:hint="cs"/>
          <w:sz w:val="26"/>
          <w:szCs w:val="26"/>
          <w:rtl/>
          <w:lang w:val="en-CA"/>
        </w:rPr>
        <w:t xml:space="preserve"> دولار أمريكي</w:t>
      </w:r>
      <w:r w:rsidRPr="00730810">
        <w:rPr>
          <w:rFonts w:hint="cs"/>
          <w:sz w:val="26"/>
          <w:szCs w:val="26"/>
          <w:rtl/>
          <w:lang w:val="en-CA" w:bidi="ar-EG"/>
        </w:rPr>
        <w:t xml:space="preserve"> من ميزانية الرصد والتقييم.</w:t>
      </w:r>
    </w:p>
    <w:p w:rsidR="00203D01" w:rsidRPr="00730810" w:rsidRDefault="00784967" w:rsidP="00BE24A0">
      <w:pPr>
        <w:pStyle w:val="Heading1"/>
        <w:bidi/>
        <w:spacing w:after="0"/>
        <w:rPr>
          <w:b/>
          <w:sz w:val="26"/>
          <w:szCs w:val="26"/>
        </w:rPr>
      </w:pPr>
      <w:r w:rsidRPr="00730810">
        <w:rPr>
          <w:rFonts w:hint="cs"/>
          <w:b/>
          <w:sz w:val="26"/>
          <w:szCs w:val="26"/>
          <w:rtl/>
        </w:rPr>
        <w:t xml:space="preserve">وتتضمن </w:t>
      </w:r>
      <w:r w:rsidR="00BE24A0" w:rsidRPr="00730810">
        <w:rPr>
          <w:rFonts w:hint="cs"/>
          <w:b/>
          <w:sz w:val="26"/>
          <w:szCs w:val="26"/>
          <w:rtl/>
        </w:rPr>
        <w:t>المخططات</w:t>
      </w:r>
      <w:r w:rsidRPr="00730810">
        <w:rPr>
          <w:rFonts w:hint="cs"/>
          <w:b/>
          <w:sz w:val="26"/>
          <w:szCs w:val="26"/>
          <w:rtl/>
        </w:rPr>
        <w:t xml:space="preserve"> 1-4 الى 1-7 الحسابات ال</w:t>
      </w:r>
      <w:r w:rsidR="00730810">
        <w:rPr>
          <w:rFonts w:hint="cs"/>
          <w:b/>
          <w:sz w:val="26"/>
          <w:szCs w:val="26"/>
          <w:rtl/>
        </w:rPr>
        <w:t>ختامية</w:t>
      </w:r>
      <w:r w:rsidRPr="00730810">
        <w:rPr>
          <w:rFonts w:hint="cs"/>
          <w:b/>
          <w:sz w:val="26"/>
          <w:szCs w:val="26"/>
          <w:rtl/>
        </w:rPr>
        <w:t xml:space="preserve"> لعام 2020 للوكالات المنفذة التي قدمت لأمين الخزانة في نهاية سبتمبر/ أيلول 2021. ونظرا لأن الحسابات ال</w:t>
      </w:r>
      <w:r w:rsidR="00730810">
        <w:rPr>
          <w:rFonts w:hint="cs"/>
          <w:b/>
          <w:sz w:val="26"/>
          <w:szCs w:val="26"/>
          <w:rtl/>
        </w:rPr>
        <w:t>ختامية</w:t>
      </w:r>
      <w:r w:rsidRPr="00730810">
        <w:rPr>
          <w:rFonts w:hint="cs"/>
          <w:b/>
          <w:sz w:val="26"/>
          <w:szCs w:val="26"/>
          <w:rtl/>
        </w:rPr>
        <w:t xml:space="preserve"> للوكالات المنفذة قدمت بعد اغلاق حسابات اليونيب لعام 2020، لم يسجل سوى الحسابات المؤقتة بواسطة الوكالات المنفذة في يناير/ كانون الثاني 2021 في الحسابات ال</w:t>
      </w:r>
      <w:r w:rsidR="00730810">
        <w:rPr>
          <w:rFonts w:hint="cs"/>
          <w:b/>
          <w:sz w:val="26"/>
          <w:szCs w:val="26"/>
          <w:rtl/>
        </w:rPr>
        <w:t>ختامية</w:t>
      </w:r>
      <w:r w:rsidRPr="00730810">
        <w:rPr>
          <w:rFonts w:hint="cs"/>
          <w:b/>
          <w:sz w:val="26"/>
          <w:szCs w:val="26"/>
          <w:rtl/>
        </w:rPr>
        <w:t xml:space="preserve"> لليونيب ويقدم ال</w:t>
      </w:r>
      <w:r w:rsidR="00025EE4" w:rsidRPr="00730810">
        <w:rPr>
          <w:rFonts w:hint="cs"/>
          <w:b/>
          <w:sz w:val="26"/>
          <w:szCs w:val="26"/>
          <w:rtl/>
        </w:rPr>
        <w:t>مخطط</w:t>
      </w:r>
      <w:r w:rsidRPr="00730810">
        <w:rPr>
          <w:rFonts w:hint="cs"/>
          <w:b/>
          <w:sz w:val="26"/>
          <w:szCs w:val="26"/>
          <w:rtl/>
        </w:rPr>
        <w:t xml:space="preserve"> 1 الفرق بين الحسابات المؤقتة وال</w:t>
      </w:r>
      <w:r w:rsidR="00730810">
        <w:rPr>
          <w:rFonts w:hint="cs"/>
          <w:b/>
          <w:sz w:val="26"/>
          <w:szCs w:val="26"/>
          <w:rtl/>
        </w:rPr>
        <w:t>ختامية</w:t>
      </w:r>
      <w:r w:rsidRPr="00730810">
        <w:rPr>
          <w:rFonts w:hint="cs"/>
          <w:b/>
          <w:sz w:val="26"/>
          <w:szCs w:val="26"/>
          <w:rtl/>
        </w:rPr>
        <w:t xml:space="preserve"> لعام 2020 بشأن الايرادات والمصروفات التجميعية</w:t>
      </w:r>
      <w:r w:rsidR="00BE24A0" w:rsidRPr="00730810">
        <w:rPr>
          <w:rFonts w:hint="cs"/>
          <w:b/>
          <w:sz w:val="26"/>
          <w:szCs w:val="26"/>
          <w:rtl/>
        </w:rPr>
        <w:t>الذى</w:t>
      </w:r>
      <w:r w:rsidRPr="00730810">
        <w:rPr>
          <w:rFonts w:hint="cs"/>
          <w:b/>
          <w:sz w:val="26"/>
          <w:szCs w:val="26"/>
          <w:rtl/>
        </w:rPr>
        <w:t xml:space="preserve"> سوف تسجل في حسابات 2021.</w:t>
      </w:r>
    </w:p>
    <w:p w:rsidR="00A80888" w:rsidRPr="00730810" w:rsidRDefault="00A80888" w:rsidP="009C09F4">
      <w:pPr>
        <w:bidi/>
        <w:rPr>
          <w:sz w:val="26"/>
          <w:szCs w:val="26"/>
          <w:rtl/>
          <w:lang w:bidi="ar-EG"/>
        </w:rPr>
      </w:pPr>
    </w:p>
    <w:p w:rsidR="00B53459" w:rsidRPr="00730810" w:rsidRDefault="005734F6" w:rsidP="00784967">
      <w:pPr>
        <w:keepNext/>
        <w:tabs>
          <w:tab w:val="left" w:pos="1260"/>
        </w:tabs>
        <w:bidi/>
        <w:rPr>
          <w:bCs/>
          <w:sz w:val="26"/>
          <w:szCs w:val="26"/>
          <w:rtl/>
          <w:lang w:bidi="ar-EG"/>
        </w:rPr>
      </w:pPr>
      <w:r>
        <w:rPr>
          <w:rFonts w:hint="cs"/>
          <w:bCs/>
          <w:sz w:val="26"/>
          <w:szCs w:val="26"/>
          <w:rtl/>
          <w:lang w:bidi="ar-EG"/>
        </w:rPr>
        <w:t>الجدول</w:t>
      </w:r>
      <w:r w:rsidR="00784967" w:rsidRPr="00730810">
        <w:rPr>
          <w:rFonts w:hint="cs"/>
          <w:bCs/>
          <w:sz w:val="26"/>
          <w:szCs w:val="26"/>
          <w:rtl/>
          <w:lang w:bidi="ar-EG"/>
        </w:rPr>
        <w:t xml:space="preserve"> 1: الفروق بين الحسابات المؤقتة وال</w:t>
      </w:r>
      <w:r w:rsidR="00730810">
        <w:rPr>
          <w:rFonts w:hint="cs"/>
          <w:bCs/>
          <w:sz w:val="26"/>
          <w:szCs w:val="26"/>
          <w:rtl/>
          <w:lang w:bidi="ar-EG"/>
        </w:rPr>
        <w:t>ختامية</w:t>
      </w:r>
      <w:r w:rsidR="00784967" w:rsidRPr="00730810">
        <w:rPr>
          <w:rFonts w:hint="cs"/>
          <w:bCs/>
          <w:sz w:val="26"/>
          <w:szCs w:val="26"/>
          <w:rtl/>
          <w:lang w:bidi="ar-EG"/>
        </w:rPr>
        <w:t xml:space="preserve"> لعام 2020 في الإيرادات والمصروفات التجميعية (بالدولار الأمريكي)</w:t>
      </w:r>
    </w:p>
    <w:tbl>
      <w:tblPr>
        <w:bidiVisual/>
        <w:tblW w:w="9356" w:type="dxa"/>
        <w:tblInd w:w="-5" w:type="dxa"/>
        <w:tblLook w:val="04A0" w:firstRow="1" w:lastRow="0" w:firstColumn="1" w:lastColumn="0" w:noHBand="0" w:noVBand="1"/>
      </w:tblPr>
      <w:tblGrid>
        <w:gridCol w:w="2436"/>
        <w:gridCol w:w="12"/>
        <w:gridCol w:w="2293"/>
        <w:gridCol w:w="8"/>
        <w:gridCol w:w="2302"/>
        <w:gridCol w:w="2305"/>
      </w:tblGrid>
      <w:tr w:rsidR="00B53459" w:rsidRPr="00D404EF" w:rsidTr="00595E3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9" w:rsidRPr="00730810" w:rsidRDefault="00595E34" w:rsidP="009C09F4">
            <w:pPr>
              <w:widowControl w:val="0"/>
              <w:bidi/>
              <w:jc w:val="left"/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b/>
                <w:bCs/>
                <w:sz w:val="24"/>
                <w:szCs w:val="24"/>
                <w:rtl/>
                <w:lang w:eastAsia="ja-JP"/>
              </w:rPr>
              <w:t>الوكالة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459" w:rsidRPr="00730810" w:rsidRDefault="00784967" w:rsidP="009C09F4">
            <w:pPr>
              <w:keepNext/>
              <w:bidi/>
              <w:jc w:val="center"/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b/>
                <w:bCs/>
                <w:sz w:val="24"/>
                <w:szCs w:val="24"/>
                <w:rtl/>
                <w:lang w:eastAsia="ja-JP"/>
              </w:rPr>
              <w:t>الحسابات المؤقتة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459" w:rsidRPr="00730810" w:rsidRDefault="00784967" w:rsidP="009C09F4">
            <w:pPr>
              <w:keepNext/>
              <w:bidi/>
              <w:jc w:val="center"/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b/>
                <w:bCs/>
                <w:sz w:val="24"/>
                <w:szCs w:val="24"/>
                <w:rtl/>
                <w:lang w:eastAsia="ja-JP"/>
              </w:rPr>
              <w:t>الحسابات ال</w:t>
            </w:r>
            <w:r w:rsidR="00730810">
              <w:rPr>
                <w:rFonts w:eastAsia="MS Mincho" w:hint="cs"/>
                <w:b/>
                <w:bCs/>
                <w:sz w:val="24"/>
                <w:szCs w:val="24"/>
                <w:rtl/>
                <w:lang w:eastAsia="ja-JP"/>
              </w:rPr>
              <w:t>ختامية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459" w:rsidRPr="00730810" w:rsidRDefault="00784967" w:rsidP="009C09F4">
            <w:pPr>
              <w:keepNext/>
              <w:bidi/>
              <w:jc w:val="center"/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b/>
                <w:bCs/>
                <w:sz w:val="24"/>
                <w:szCs w:val="24"/>
                <w:rtl/>
                <w:lang w:eastAsia="ja-JP"/>
              </w:rPr>
              <w:t>الفرق</w:t>
            </w:r>
          </w:p>
        </w:tc>
      </w:tr>
      <w:tr w:rsidR="00B53459" w:rsidRPr="00D404EF" w:rsidTr="00595E34"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59" w:rsidRPr="00730810" w:rsidRDefault="00467074" w:rsidP="009C09F4">
            <w:pPr>
              <w:bidi/>
              <w:jc w:val="left"/>
              <w:rPr>
                <w:bCs/>
                <w:sz w:val="24"/>
                <w:szCs w:val="24"/>
              </w:rPr>
            </w:pPr>
            <w:r w:rsidRPr="00730810">
              <w:rPr>
                <w:rFonts w:eastAsia="MS Mincho" w:hint="cs"/>
                <w:bCs/>
                <w:sz w:val="24"/>
                <w:szCs w:val="24"/>
                <w:rtl/>
                <w:lang w:eastAsia="ja-JP"/>
              </w:rPr>
              <w:t>الإيرادات</w:t>
            </w:r>
          </w:p>
        </w:tc>
      </w:tr>
      <w:tr w:rsidR="00B53459" w:rsidRPr="00D404EF" w:rsidTr="00595E34"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9" w:rsidRPr="00730810" w:rsidRDefault="00595E34" w:rsidP="009C09F4">
            <w:pPr>
              <w:widowControl w:val="0"/>
              <w:bidi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sz w:val="24"/>
                <w:szCs w:val="24"/>
                <w:rtl/>
                <w:lang w:eastAsia="ja-JP"/>
              </w:rPr>
              <w:t>اليوئنديبي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727F57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984,437,730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3E3265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984,978,464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4F4A27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540,734</w:t>
            </w:r>
          </w:p>
        </w:tc>
      </w:tr>
      <w:tr w:rsidR="00B53459" w:rsidRPr="00D404EF" w:rsidTr="00595E34"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9" w:rsidRPr="00730810" w:rsidRDefault="00595E34" w:rsidP="009C09F4">
            <w:pPr>
              <w:widowControl w:val="0"/>
              <w:bidi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sz w:val="24"/>
                <w:szCs w:val="24"/>
                <w:rtl/>
                <w:lang w:eastAsia="ja-JP"/>
              </w:rPr>
              <w:t>اليونيب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F2015C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386,461,492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2324BE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386,461,492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1B360C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-</w:t>
            </w:r>
          </w:p>
        </w:tc>
      </w:tr>
      <w:tr w:rsidR="00B53459" w:rsidRPr="00D404EF" w:rsidTr="00595E34"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9" w:rsidRPr="00730810" w:rsidRDefault="00595E34" w:rsidP="009C09F4">
            <w:pPr>
              <w:bidi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sz w:val="24"/>
                <w:szCs w:val="24"/>
                <w:rtl/>
                <w:lang w:eastAsia="ja-JP"/>
              </w:rPr>
              <w:t>اليونيدو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2C32D8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972,657,</w:t>
            </w:r>
            <w:r w:rsidR="00D8291D" w:rsidRPr="00730810">
              <w:rPr>
                <w:sz w:val="24"/>
                <w:szCs w:val="24"/>
              </w:rPr>
              <w:t>47</w:t>
            </w:r>
            <w:r w:rsidR="00DE70D9" w:rsidRPr="00730810"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C924F5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972,657,47</w:t>
            </w:r>
            <w:r w:rsidR="00DE70D9" w:rsidRPr="00730810"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B53459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-</w:t>
            </w:r>
          </w:p>
        </w:tc>
      </w:tr>
      <w:tr w:rsidR="00B53459" w:rsidRPr="00D404EF" w:rsidTr="00595E34"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9" w:rsidRPr="00730810" w:rsidRDefault="00595E34" w:rsidP="009C09F4">
            <w:pPr>
              <w:bidi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sz w:val="24"/>
                <w:szCs w:val="24"/>
                <w:rtl/>
                <w:lang w:eastAsia="ja-JP"/>
              </w:rPr>
              <w:t>البنك الدولي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A51B9D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1,296,</w:t>
            </w:r>
            <w:r w:rsidR="00983A14" w:rsidRPr="00730810">
              <w:rPr>
                <w:sz w:val="24"/>
                <w:szCs w:val="24"/>
              </w:rPr>
              <w:t>846,681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D53090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1,296,846,681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B53459" w:rsidRPr="00730810" w:rsidRDefault="00B53459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-</w:t>
            </w:r>
          </w:p>
        </w:tc>
      </w:tr>
      <w:tr w:rsidR="00B53459" w:rsidRPr="00D404EF" w:rsidTr="00595E34"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9" w:rsidRPr="00730810" w:rsidRDefault="00467074" w:rsidP="00595E34">
            <w:pPr>
              <w:bidi/>
              <w:jc w:val="left"/>
              <w:rPr>
                <w:bCs/>
                <w:sz w:val="24"/>
                <w:szCs w:val="24"/>
              </w:rPr>
            </w:pPr>
            <w:r w:rsidRPr="00730810">
              <w:rPr>
                <w:rFonts w:eastAsia="MS Mincho" w:hint="cs"/>
                <w:bCs/>
                <w:sz w:val="24"/>
                <w:szCs w:val="24"/>
                <w:rtl/>
                <w:lang w:eastAsia="ja-JP"/>
              </w:rPr>
              <w:t>المصروفات</w:t>
            </w:r>
          </w:p>
        </w:tc>
      </w:tr>
      <w:tr w:rsidR="00595E34" w:rsidRPr="000F0FAB" w:rsidTr="00595E34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34" w:rsidRPr="00730810" w:rsidRDefault="00595E34" w:rsidP="00595E34">
            <w:pPr>
              <w:bidi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sz w:val="24"/>
                <w:szCs w:val="24"/>
                <w:rtl/>
                <w:lang w:eastAsia="ja-JP"/>
              </w:rPr>
              <w:t>اليوئنديبي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911,874,174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912,406,941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</w:rPr>
            </w:pPr>
            <w:r w:rsidRPr="00730810">
              <w:rPr>
                <w:sz w:val="24"/>
                <w:szCs w:val="24"/>
              </w:rPr>
              <w:t>532,767</w:t>
            </w:r>
          </w:p>
        </w:tc>
      </w:tr>
      <w:tr w:rsidR="00595E34" w:rsidRPr="000F0FAB" w:rsidTr="00595E34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34" w:rsidRPr="00730810" w:rsidRDefault="00595E34" w:rsidP="00595E34">
            <w:pPr>
              <w:bidi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sz w:val="24"/>
                <w:szCs w:val="24"/>
                <w:rtl/>
                <w:lang w:eastAsia="ja-JP"/>
              </w:rPr>
              <w:t>اليونيب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  <w:highlight w:val="yellow"/>
              </w:rPr>
            </w:pPr>
            <w:r w:rsidRPr="00730810">
              <w:rPr>
                <w:sz w:val="24"/>
                <w:szCs w:val="24"/>
              </w:rPr>
              <w:t>332,676,734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  <w:highlight w:val="yellow"/>
              </w:rPr>
            </w:pPr>
            <w:r w:rsidRPr="00730810">
              <w:rPr>
                <w:sz w:val="24"/>
                <w:szCs w:val="24"/>
              </w:rPr>
              <w:t>333,067,582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  <w:highlight w:val="yellow"/>
              </w:rPr>
            </w:pPr>
            <w:r w:rsidRPr="00730810">
              <w:rPr>
                <w:sz w:val="24"/>
                <w:szCs w:val="24"/>
              </w:rPr>
              <w:t>390,848</w:t>
            </w:r>
          </w:p>
        </w:tc>
      </w:tr>
      <w:tr w:rsidR="00595E34" w:rsidRPr="000F0FAB" w:rsidTr="00595E34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34" w:rsidRPr="00730810" w:rsidRDefault="00595E34" w:rsidP="00595E34">
            <w:pPr>
              <w:bidi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sz w:val="24"/>
                <w:szCs w:val="24"/>
                <w:rtl/>
                <w:lang w:eastAsia="ja-JP"/>
              </w:rPr>
              <w:t>اليونيدو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  <w:highlight w:val="yellow"/>
              </w:rPr>
            </w:pPr>
            <w:r w:rsidRPr="00730810">
              <w:rPr>
                <w:sz w:val="24"/>
                <w:szCs w:val="24"/>
              </w:rPr>
              <w:t>863,727,545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  <w:highlight w:val="yellow"/>
              </w:rPr>
            </w:pPr>
            <w:r w:rsidRPr="00730810">
              <w:rPr>
                <w:sz w:val="24"/>
                <w:szCs w:val="24"/>
              </w:rPr>
              <w:t>863,656,123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  <w:highlight w:val="yellow"/>
              </w:rPr>
            </w:pPr>
            <w:r w:rsidRPr="00730810">
              <w:rPr>
                <w:sz w:val="24"/>
                <w:szCs w:val="24"/>
              </w:rPr>
              <w:t>(71,422)</w:t>
            </w:r>
          </w:p>
        </w:tc>
      </w:tr>
      <w:tr w:rsidR="00595E34" w:rsidRPr="000F0FAB" w:rsidTr="00595E34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34" w:rsidRPr="00730810" w:rsidRDefault="00595E34" w:rsidP="00595E34">
            <w:pPr>
              <w:bidi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30810">
              <w:rPr>
                <w:rFonts w:eastAsia="MS Mincho" w:hint="cs"/>
                <w:sz w:val="24"/>
                <w:szCs w:val="24"/>
                <w:rtl/>
                <w:lang w:eastAsia="ja-JP"/>
              </w:rPr>
              <w:t>البنك الدولي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  <w:highlight w:val="yellow"/>
              </w:rPr>
            </w:pPr>
            <w:r w:rsidRPr="00730810">
              <w:rPr>
                <w:sz w:val="24"/>
                <w:szCs w:val="24"/>
              </w:rPr>
              <w:t>1,267,642,404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  <w:highlight w:val="yellow"/>
              </w:rPr>
            </w:pPr>
            <w:r w:rsidRPr="00730810">
              <w:rPr>
                <w:sz w:val="24"/>
                <w:szCs w:val="24"/>
              </w:rPr>
              <w:t>1,267,642,404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576" w:type="dxa"/>
            </w:tcMar>
          </w:tcPr>
          <w:p w:rsidR="00595E34" w:rsidRPr="00730810" w:rsidRDefault="00595E34" w:rsidP="00595E34">
            <w:pPr>
              <w:bidi/>
              <w:jc w:val="left"/>
              <w:rPr>
                <w:sz w:val="24"/>
                <w:szCs w:val="24"/>
                <w:highlight w:val="yellow"/>
              </w:rPr>
            </w:pPr>
            <w:r w:rsidRPr="00730810">
              <w:rPr>
                <w:sz w:val="24"/>
                <w:szCs w:val="24"/>
              </w:rPr>
              <w:t>-</w:t>
            </w:r>
          </w:p>
        </w:tc>
      </w:tr>
    </w:tbl>
    <w:p w:rsidR="00B53459" w:rsidRPr="00905264" w:rsidRDefault="00B53459" w:rsidP="009C09F4">
      <w:pPr>
        <w:bidi/>
        <w:jc w:val="left"/>
      </w:pPr>
    </w:p>
    <w:p w:rsidR="00467074" w:rsidRPr="00730810" w:rsidRDefault="00467074" w:rsidP="009C09F4">
      <w:pPr>
        <w:bidi/>
        <w:rPr>
          <w:bCs/>
          <w:sz w:val="26"/>
          <w:szCs w:val="26"/>
          <w:rtl/>
          <w:lang w:bidi="ar-EG"/>
        </w:rPr>
      </w:pPr>
      <w:r w:rsidRPr="00730810">
        <w:rPr>
          <w:rFonts w:hint="cs"/>
          <w:bCs/>
          <w:sz w:val="26"/>
          <w:szCs w:val="26"/>
          <w:rtl/>
          <w:lang w:bidi="ar-EG"/>
        </w:rPr>
        <w:t>تقرير مجلس مراجعي الأمم المتحدة على الكشوف المالية للصندوق المتعدد الأطراف للعام المنتهي في 31 ديسمبر/ كانون الأول 2020</w:t>
      </w:r>
    </w:p>
    <w:p w:rsidR="00B53459" w:rsidRPr="00730810" w:rsidRDefault="00B53459" w:rsidP="009C09F4">
      <w:pPr>
        <w:bidi/>
        <w:jc w:val="left"/>
        <w:rPr>
          <w:sz w:val="26"/>
          <w:szCs w:val="26"/>
          <w:u w:val="single"/>
          <w:rtl/>
          <w:lang w:bidi="ar-EG"/>
        </w:rPr>
      </w:pPr>
    </w:p>
    <w:p w:rsidR="00467074" w:rsidRPr="00730810" w:rsidRDefault="00467074" w:rsidP="009C09F4">
      <w:pPr>
        <w:pStyle w:val="Heading1"/>
        <w:bidi/>
        <w:rPr>
          <w:sz w:val="26"/>
          <w:szCs w:val="26"/>
        </w:rPr>
      </w:pPr>
      <w:r w:rsidRPr="00730810">
        <w:rPr>
          <w:rFonts w:hint="cs"/>
          <w:sz w:val="26"/>
          <w:szCs w:val="26"/>
          <w:rtl/>
          <w:lang w:bidi="ar-EG"/>
        </w:rPr>
        <w:t>قدم التقرير المالي والكشوف المالية المراجعة للعام المنتهي في 31 ديسمبر/ كانون الأول 2020 وتقرير مجلس مراجعي صندوق برنامج الأمم المتحدة للبيئة للدورة السادسة والسبعين للجمعية العامة للأمم المتحدة (</w:t>
      </w:r>
      <w:r w:rsidRPr="00730810">
        <w:rPr>
          <w:sz w:val="26"/>
          <w:szCs w:val="26"/>
          <w:lang w:val="en-CA"/>
        </w:rPr>
        <w:t>A/76/5/Add.7</w:t>
      </w:r>
      <w:r w:rsidRPr="00730810">
        <w:rPr>
          <w:rFonts w:hint="cs"/>
          <w:sz w:val="26"/>
          <w:szCs w:val="26"/>
          <w:rtl/>
          <w:lang w:bidi="ar-EG"/>
        </w:rPr>
        <w:t>)</w:t>
      </w:r>
      <w:r w:rsidRPr="00730810">
        <w:rPr>
          <w:rFonts w:hint="cs"/>
          <w:sz w:val="26"/>
          <w:szCs w:val="26"/>
          <w:rtl/>
        </w:rPr>
        <w:t>.</w:t>
      </w:r>
      <w:r w:rsidRPr="00730810">
        <w:rPr>
          <w:rStyle w:val="FootnoteReference"/>
          <w:sz w:val="26"/>
          <w:szCs w:val="26"/>
        </w:rPr>
        <w:t xml:space="preserve"> </w:t>
      </w:r>
      <w:r w:rsidRPr="00730810">
        <w:rPr>
          <w:rStyle w:val="FootnoteReference"/>
          <w:sz w:val="26"/>
          <w:szCs w:val="26"/>
        </w:rPr>
        <w:footnoteReference w:id="2"/>
      </w:r>
      <w:r w:rsidRPr="00730810">
        <w:rPr>
          <w:rFonts w:hint="cs"/>
          <w:sz w:val="26"/>
          <w:szCs w:val="26"/>
          <w:rtl/>
        </w:rPr>
        <w:t xml:space="preserve"> وتضمن</w:t>
      </w:r>
      <w:r w:rsidRPr="00730810">
        <w:rPr>
          <w:rFonts w:hint="cs"/>
          <w:sz w:val="26"/>
          <w:szCs w:val="26"/>
          <w:rtl/>
          <w:lang w:bidi="ar-EG"/>
        </w:rPr>
        <w:t xml:space="preserve"> التقرير المقدم للجمعية العامة استعاضا دقيقا للكشوف المالية للصندوق المتعدد الأطراف. ولايوجد أي </w:t>
      </w:r>
      <w:r w:rsidR="00E96454" w:rsidRPr="00730810">
        <w:rPr>
          <w:rFonts w:hint="cs"/>
          <w:sz w:val="26"/>
          <w:szCs w:val="26"/>
          <w:rtl/>
          <w:lang w:bidi="ar-EG"/>
        </w:rPr>
        <w:t>شيء</w:t>
      </w:r>
      <w:r w:rsidRPr="00730810">
        <w:rPr>
          <w:rFonts w:hint="cs"/>
          <w:sz w:val="26"/>
          <w:szCs w:val="26"/>
          <w:rtl/>
          <w:lang w:bidi="ar-EG"/>
        </w:rPr>
        <w:t xml:space="preserve"> </w:t>
      </w:r>
      <w:r w:rsidR="00E96454" w:rsidRPr="00730810">
        <w:rPr>
          <w:rFonts w:hint="cs"/>
          <w:sz w:val="26"/>
          <w:szCs w:val="26"/>
          <w:rtl/>
          <w:lang w:bidi="ar-EG"/>
        </w:rPr>
        <w:t>في النتائج والتوصيات الرئيسية في التقرير يتعلق بالصندوق المتعدد الأطراف.</w:t>
      </w:r>
    </w:p>
    <w:p w:rsidR="00B53459" w:rsidRPr="00730810" w:rsidRDefault="00E96454" w:rsidP="009C09F4">
      <w:pPr>
        <w:tabs>
          <w:tab w:val="left" w:pos="0"/>
        </w:tabs>
        <w:bidi/>
        <w:rPr>
          <w:b/>
          <w:bCs/>
          <w:sz w:val="26"/>
          <w:szCs w:val="26"/>
        </w:rPr>
      </w:pPr>
      <w:r w:rsidRPr="00730810">
        <w:rPr>
          <w:rFonts w:hint="cs"/>
          <w:b/>
          <w:bCs/>
          <w:sz w:val="26"/>
          <w:szCs w:val="26"/>
          <w:rtl/>
        </w:rPr>
        <w:t>التوصية:</w:t>
      </w:r>
    </w:p>
    <w:p w:rsidR="00B53459" w:rsidRPr="00730810" w:rsidRDefault="00B53459" w:rsidP="009C09F4">
      <w:pPr>
        <w:bidi/>
        <w:ind w:left="720"/>
        <w:rPr>
          <w:sz w:val="26"/>
          <w:szCs w:val="26"/>
          <w:highlight w:val="yellow"/>
        </w:rPr>
      </w:pPr>
    </w:p>
    <w:p w:rsidR="00B53459" w:rsidRPr="00730810" w:rsidRDefault="00E96454" w:rsidP="009C09F4">
      <w:pPr>
        <w:pStyle w:val="Heading1"/>
        <w:bidi/>
        <w:rPr>
          <w:sz w:val="26"/>
          <w:szCs w:val="26"/>
        </w:rPr>
      </w:pPr>
      <w:r w:rsidRPr="00730810">
        <w:rPr>
          <w:rFonts w:hint="cs"/>
          <w:sz w:val="26"/>
          <w:szCs w:val="26"/>
          <w:rtl/>
        </w:rPr>
        <w:t>قد ترغب اللجنة التنفيذية فيمايلي:</w:t>
      </w:r>
    </w:p>
    <w:p w:rsidR="000249B1" w:rsidRPr="00730810" w:rsidRDefault="00E96454" w:rsidP="000249B1">
      <w:pPr>
        <w:pStyle w:val="Heading2"/>
        <w:bidi/>
        <w:rPr>
          <w:sz w:val="26"/>
          <w:szCs w:val="26"/>
        </w:rPr>
      </w:pPr>
      <w:r w:rsidRPr="00730810">
        <w:rPr>
          <w:rFonts w:hint="cs"/>
          <w:sz w:val="26"/>
          <w:szCs w:val="26"/>
          <w:rtl/>
        </w:rPr>
        <w:t>أن تحاط علما بالكشوف المالية المراجعة للصندوق المتعدد الأطراف في 31 ديسمبر/ كانون الأول 2020 التي أعدت وفقا للمعايير الدولية لمحاسبة القطاع العام، الواردة في</w:t>
      </w:r>
      <w:r w:rsidR="000249B1" w:rsidRPr="00730810">
        <w:rPr>
          <w:rFonts w:hint="cs"/>
          <w:sz w:val="26"/>
          <w:szCs w:val="26"/>
          <w:rtl/>
        </w:rPr>
        <w:t xml:space="preserve"> الوثيقة </w:t>
      </w:r>
      <w:r w:rsidR="000249B1" w:rsidRPr="00730810">
        <w:rPr>
          <w:sz w:val="26"/>
          <w:szCs w:val="26"/>
        </w:rPr>
        <w:t>UNEP/OzL.Pro/ExCom/88/5</w:t>
      </w:r>
      <w:r w:rsidR="000249B1" w:rsidRPr="00730810">
        <w:rPr>
          <w:rFonts w:hint="cs"/>
          <w:sz w:val="26"/>
          <w:szCs w:val="26"/>
          <w:rtl/>
        </w:rPr>
        <w:t>؛</w:t>
      </w:r>
    </w:p>
    <w:p w:rsidR="000249B1" w:rsidRPr="00730810" w:rsidRDefault="00E96454" w:rsidP="00E96454">
      <w:pPr>
        <w:pStyle w:val="Heading2"/>
        <w:bidi/>
        <w:rPr>
          <w:rStyle w:val="bumpedfont15"/>
          <w:sz w:val="26"/>
          <w:szCs w:val="26"/>
        </w:rPr>
      </w:pPr>
      <w:r w:rsidRPr="00730810">
        <w:rPr>
          <w:rStyle w:val="bumpedfont15"/>
          <w:rFonts w:hint="cs"/>
          <w:sz w:val="26"/>
          <w:szCs w:val="26"/>
          <w:rtl/>
        </w:rPr>
        <w:lastRenderedPageBreak/>
        <w:t>أن تط</w:t>
      </w:r>
      <w:r w:rsidRPr="00730810">
        <w:rPr>
          <w:rStyle w:val="bumpedfont15"/>
          <w:rFonts w:hint="cs"/>
          <w:sz w:val="26"/>
          <w:szCs w:val="26"/>
          <w:rtl/>
          <w:lang w:bidi="ar-EG"/>
        </w:rPr>
        <w:t>لب من أمين الخزانة أن يسجل في حسابات 2021 للصندوق المتعدد الأطراف الفروق بين الكشوف المالية المؤقتة لعام 2020 للوكالات المنفذة، والكشوف ال</w:t>
      </w:r>
      <w:r w:rsidR="00730810">
        <w:rPr>
          <w:rStyle w:val="bumpedfont15"/>
          <w:rFonts w:hint="cs"/>
          <w:sz w:val="26"/>
          <w:szCs w:val="26"/>
          <w:rtl/>
          <w:lang w:bidi="ar-EG"/>
        </w:rPr>
        <w:t>ختامية</w:t>
      </w:r>
      <w:r w:rsidRPr="00730810">
        <w:rPr>
          <w:rStyle w:val="bumpedfont15"/>
          <w:rFonts w:hint="cs"/>
          <w:sz w:val="26"/>
          <w:szCs w:val="26"/>
          <w:rtl/>
          <w:lang w:bidi="ar-EG"/>
        </w:rPr>
        <w:t xml:space="preserve"> لعام 2020 المبينة في ال</w:t>
      </w:r>
      <w:r w:rsidR="00025EE4" w:rsidRPr="00730810">
        <w:rPr>
          <w:rStyle w:val="bumpedfont15"/>
          <w:rFonts w:hint="cs"/>
          <w:sz w:val="26"/>
          <w:szCs w:val="26"/>
          <w:rtl/>
          <w:lang w:bidi="ar-EG"/>
        </w:rPr>
        <w:t>مخطط</w:t>
      </w:r>
      <w:r w:rsidRPr="00730810">
        <w:rPr>
          <w:rStyle w:val="bumpedfont15"/>
          <w:rFonts w:hint="cs"/>
          <w:sz w:val="26"/>
          <w:szCs w:val="26"/>
          <w:rtl/>
          <w:lang w:bidi="ar-EG"/>
        </w:rPr>
        <w:t xml:space="preserve"> 1 من</w:t>
      </w:r>
      <w:r w:rsidR="000249B1" w:rsidRPr="00730810">
        <w:rPr>
          <w:rStyle w:val="bumpedfont15"/>
          <w:rFonts w:hint="cs"/>
          <w:sz w:val="26"/>
          <w:szCs w:val="26"/>
          <w:rtl/>
        </w:rPr>
        <w:t xml:space="preserve"> الوثيقة </w:t>
      </w:r>
      <w:r w:rsidR="000249B1" w:rsidRPr="00730810">
        <w:rPr>
          <w:sz w:val="26"/>
          <w:szCs w:val="26"/>
        </w:rPr>
        <w:t>UNEP/OzL.Pro/ExCom/88/5</w:t>
      </w:r>
      <w:r w:rsidR="000249B1" w:rsidRPr="00730810">
        <w:rPr>
          <w:rStyle w:val="bumpedfont15"/>
          <w:rFonts w:hint="cs"/>
          <w:sz w:val="26"/>
          <w:szCs w:val="26"/>
          <w:rtl/>
        </w:rPr>
        <w:t>.</w:t>
      </w:r>
    </w:p>
    <w:p w:rsidR="00E22C16" w:rsidRPr="00730810" w:rsidRDefault="00E22C16" w:rsidP="00E96454">
      <w:pPr>
        <w:pStyle w:val="Heading2"/>
        <w:numPr>
          <w:ilvl w:val="0"/>
          <w:numId w:val="0"/>
        </w:numPr>
        <w:bidi/>
        <w:ind w:left="1288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B53459" w:rsidTr="00CE63A3">
        <w:tc>
          <w:tcPr>
            <w:tcW w:w="1871" w:type="dxa"/>
          </w:tcPr>
          <w:p w:rsidR="00B53459" w:rsidRDefault="00B53459" w:rsidP="009C09F4">
            <w:pPr>
              <w:bidi/>
              <w:rPr>
                <w:lang w:val="en-CA"/>
              </w:rPr>
            </w:pPr>
          </w:p>
        </w:tc>
        <w:tc>
          <w:tcPr>
            <w:tcW w:w="1872" w:type="dxa"/>
          </w:tcPr>
          <w:p w:rsidR="00B53459" w:rsidRDefault="00B53459" w:rsidP="009C09F4">
            <w:pPr>
              <w:bidi/>
              <w:rPr>
                <w:lang w:val="en-C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53459" w:rsidRDefault="00B53459" w:rsidP="009C09F4">
            <w:pPr>
              <w:bidi/>
              <w:rPr>
                <w:lang w:val="en-CA"/>
              </w:rPr>
            </w:pPr>
          </w:p>
        </w:tc>
        <w:tc>
          <w:tcPr>
            <w:tcW w:w="1872" w:type="dxa"/>
          </w:tcPr>
          <w:p w:rsidR="00B53459" w:rsidRDefault="00B53459" w:rsidP="009C09F4">
            <w:pPr>
              <w:bidi/>
              <w:rPr>
                <w:lang w:val="en-CA"/>
              </w:rPr>
            </w:pPr>
          </w:p>
        </w:tc>
        <w:tc>
          <w:tcPr>
            <w:tcW w:w="1873" w:type="dxa"/>
          </w:tcPr>
          <w:p w:rsidR="00B53459" w:rsidRDefault="00B53459" w:rsidP="009C09F4">
            <w:pPr>
              <w:bidi/>
              <w:rPr>
                <w:lang w:val="en-CA"/>
              </w:rPr>
            </w:pPr>
          </w:p>
        </w:tc>
      </w:tr>
    </w:tbl>
    <w:p w:rsidR="008C5738" w:rsidRPr="00BB2764" w:rsidRDefault="008C5738" w:rsidP="009C09F4">
      <w:pPr>
        <w:pStyle w:val="StyleHeader4Para4Left0Firstline0"/>
        <w:numPr>
          <w:ilvl w:val="0"/>
          <w:numId w:val="0"/>
        </w:numPr>
        <w:bidi/>
        <w:rPr>
          <w:sz w:val="22"/>
        </w:rPr>
      </w:pPr>
    </w:p>
    <w:sectPr w:rsidR="008C5738" w:rsidRPr="00BB2764" w:rsidSect="002A121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 w:code="1"/>
      <w:pgMar w:top="720" w:right="1440" w:bottom="821" w:left="1440" w:header="720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72" w:rsidRDefault="00200872" w:rsidP="004A504B">
      <w:r>
        <w:separator/>
      </w:r>
    </w:p>
  </w:endnote>
  <w:endnote w:type="continuationSeparator" w:id="0">
    <w:p w:rsidR="00200872" w:rsidRDefault="00200872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10" w:rsidRPr="0033525D" w:rsidRDefault="00702C8C">
    <w:pPr>
      <w:jc w:val="center"/>
    </w:pPr>
    <w:r>
      <w:fldChar w:fldCharType="begin"/>
    </w:r>
    <w:r w:rsidR="00851352">
      <w:instrText xml:space="preserve"> PAGE </w:instrText>
    </w:r>
    <w:r>
      <w:fldChar w:fldCharType="separate"/>
    </w:r>
    <w:r w:rsidR="00C152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10" w:rsidRPr="0033525D" w:rsidRDefault="00702C8C">
    <w:pPr>
      <w:jc w:val="center"/>
    </w:pPr>
    <w:r>
      <w:fldChar w:fldCharType="begin"/>
    </w:r>
    <w:r w:rsidR="00851352">
      <w:instrText xml:space="preserve"> PAGE </w:instrText>
    </w:r>
    <w:r>
      <w:fldChar w:fldCharType="separate"/>
    </w:r>
    <w:r w:rsidR="00C152A6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F4" w:rsidRDefault="009C09F4" w:rsidP="009C09F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>
      <w:rPr>
        <w:rFonts w:cs="Arabic Transparent"/>
      </w:rPr>
      <w:t xml:space="preserve"> </w:t>
    </w:r>
  </w:p>
  <w:p w:rsidR="009C09F4" w:rsidRDefault="009C09F4" w:rsidP="009C09F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>
      <w:rPr>
        <w:rFonts w:cs="Arabic Transparent" w:hint="cs"/>
        <w:rtl/>
      </w:rPr>
      <w:t>قد تصدر دون إخلال بأي قرار تتخذه اللجنة التنفيذية بعد صدورها.</w:t>
    </w:r>
    <w:r>
      <w:rPr>
        <w:rFonts w:cs="Arabic Transparent"/>
      </w:rPr>
      <w:t xml:space="preserve"> </w:t>
    </w:r>
  </w:p>
  <w:p w:rsidR="004E7F9C" w:rsidRPr="009C09F4" w:rsidRDefault="004E7F9C" w:rsidP="009C0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72" w:rsidRDefault="00200872" w:rsidP="009C09F4">
      <w:pPr>
        <w:bidi/>
      </w:pPr>
      <w:r>
        <w:separator/>
      </w:r>
    </w:p>
  </w:footnote>
  <w:footnote w:type="continuationSeparator" w:id="0">
    <w:p w:rsidR="00200872" w:rsidRDefault="00200872" w:rsidP="004A504B">
      <w:r>
        <w:continuationSeparator/>
      </w:r>
    </w:p>
  </w:footnote>
  <w:footnote w:id="1">
    <w:p w:rsidR="009C09F4" w:rsidRDefault="009C09F4" w:rsidP="009C09F4">
      <w:pPr>
        <w:pStyle w:val="FootnoteText"/>
        <w:bidi/>
        <w:rPr>
          <w:lang w:val="en-US"/>
        </w:rPr>
      </w:pPr>
      <w:r>
        <w:rPr>
          <w:rStyle w:val="FootnoteReference"/>
        </w:rPr>
        <w:footnoteRef/>
      </w:r>
      <w:r>
        <w:rPr>
          <w:lang w:val="en-US" w:bidi="ar-BH"/>
        </w:rPr>
        <w:t xml:space="preserve"> </w:t>
      </w:r>
      <w:r>
        <w:rPr>
          <w:rFonts w:hint="cs"/>
          <w:rtl/>
          <w:lang w:val="en-US" w:bidi="ar-SY"/>
        </w:rPr>
        <w:t xml:space="preserve"> </w:t>
      </w:r>
      <w:r>
        <w:rPr>
          <w:rFonts w:hint="cs"/>
          <w:rtl/>
          <w:lang w:val="en-US" w:bidi="ar-BH"/>
        </w:rPr>
        <w:t>ستعقد اجتماعات عبر الانترنت وعملية الموافقة فيما بي</w:t>
      </w:r>
      <w:r>
        <w:rPr>
          <w:rFonts w:hint="cs"/>
          <w:rtl/>
          <w:lang w:val="en-US"/>
        </w:rPr>
        <w:t xml:space="preserve">ن الدورات في </w:t>
      </w:r>
      <w:r w:rsidRPr="007D141D">
        <w:rPr>
          <w:rFonts w:hint="cs"/>
          <w:rtl/>
          <w:lang w:val="en-US"/>
        </w:rPr>
        <w:t xml:space="preserve">نوفمبر/ </w:t>
      </w:r>
      <w:r w:rsidRPr="007D141D">
        <w:rPr>
          <w:rtl/>
          <w:lang w:val="en-US"/>
        </w:rPr>
        <w:t>تشرين الثاني</w:t>
      </w:r>
      <w:r w:rsidRPr="007D141D">
        <w:rPr>
          <w:rFonts w:hint="cs"/>
          <w:rtl/>
          <w:lang w:val="en-US"/>
        </w:rPr>
        <w:t xml:space="preserve"> وديسمبر/ كانو</w:t>
      </w:r>
      <w:r w:rsidRPr="007D141D">
        <w:rPr>
          <w:rtl/>
          <w:lang w:val="en-US"/>
        </w:rPr>
        <w:t>ن ا</w:t>
      </w:r>
      <w:r w:rsidRPr="007D141D">
        <w:rPr>
          <w:rFonts w:hint="cs"/>
          <w:rtl/>
          <w:lang w:val="en-US"/>
        </w:rPr>
        <w:t xml:space="preserve">لأول </w:t>
      </w:r>
      <w:r>
        <w:rPr>
          <w:rFonts w:hint="cs"/>
          <w:rtl/>
          <w:lang w:val="en-US"/>
        </w:rPr>
        <w:t>بسبب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 xml:space="preserve"> فيروس  كورونا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 xml:space="preserve"> (كوفيد</w:t>
      </w:r>
      <w:r>
        <w:rPr>
          <w:rtl/>
          <w:lang w:val="en-US"/>
        </w:rPr>
        <w:noBreakHyphen/>
      </w:r>
      <w:r>
        <w:rPr>
          <w:rFonts w:hint="cs"/>
          <w:rtl/>
          <w:lang w:val="en-US"/>
        </w:rPr>
        <w:t>19)</w:t>
      </w:r>
    </w:p>
    <w:p w:rsidR="00730810" w:rsidRDefault="00730810" w:rsidP="00730810">
      <w:pPr>
        <w:pStyle w:val="FootnoteText"/>
        <w:bidi/>
        <w:rPr>
          <w:lang w:val="en-US"/>
        </w:rPr>
      </w:pPr>
    </w:p>
    <w:p w:rsidR="00730810" w:rsidRPr="00C0337B" w:rsidRDefault="00730810" w:rsidP="00730810">
      <w:pPr>
        <w:pStyle w:val="FootnoteText"/>
        <w:bidi/>
        <w:rPr>
          <w:rtl/>
          <w:lang w:val="en-US" w:bidi="ar-SY"/>
        </w:rPr>
      </w:pPr>
    </w:p>
  </w:footnote>
  <w:footnote w:id="2">
    <w:p w:rsidR="00467074" w:rsidRPr="00B67FB0" w:rsidRDefault="00467074" w:rsidP="00467074">
      <w:pPr>
        <w:pStyle w:val="FootnoteText"/>
        <w:bidi/>
        <w:rPr>
          <w:rtl/>
          <w:lang w:bidi="ar-EG"/>
        </w:rPr>
      </w:pPr>
      <w:r w:rsidRPr="00B67FB0"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</w:t>
      </w:r>
      <w:r w:rsidR="00420742">
        <w:rPr>
          <w:rFonts w:hint="cs"/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hyperlink r:id="rId1" w:history="1">
        <w:r w:rsidRPr="00B67FB0">
          <w:rPr>
            <w:rStyle w:val="Hyperlink"/>
            <w:color w:val="auto"/>
          </w:rPr>
          <w:t>https://undocs.org/en/A/76/5/Add.7</w:t>
        </w:r>
      </w:hyperlink>
      <w:r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10" w:rsidRPr="0033525D" w:rsidRDefault="00702C8C" w:rsidP="00730810">
    <w:pPr>
      <w:jc w:val="right"/>
    </w:pPr>
    <w:r>
      <w:fldChar w:fldCharType="begin"/>
    </w:r>
    <w:r w:rsidR="003940A3">
      <w:instrText xml:space="preserve"> DOCPROPERTY "Document number"  \* MERGEFORMAT </w:instrText>
    </w:r>
    <w:r>
      <w:fldChar w:fldCharType="separate"/>
    </w:r>
    <w:r w:rsidR="002401E0">
      <w:t>UNEP/OzL.Pro/ExCom/8</w:t>
    </w:r>
    <w:r w:rsidR="00334248">
      <w:t>8</w:t>
    </w:r>
    <w:r w:rsidR="002401E0">
      <w:t>/5</w:t>
    </w:r>
    <w:r>
      <w:fldChar w:fldCharType="end"/>
    </w:r>
  </w:p>
  <w:p w:rsidR="00DC6A10" w:rsidRPr="0033525D" w:rsidRDefault="00DC6A10"/>
  <w:p w:rsidR="00DC6A10" w:rsidRPr="0033525D" w:rsidRDefault="00DC6A1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10" w:rsidRPr="0033525D" w:rsidRDefault="00702C8C" w:rsidP="00730810">
    <w:pPr>
      <w:jc w:val="left"/>
    </w:pPr>
    <w:r>
      <w:fldChar w:fldCharType="begin"/>
    </w:r>
    <w:r w:rsidR="003940A3">
      <w:instrText xml:space="preserve"> DOCPROPERTY "Document number"  \* MERGEFORMAT </w:instrText>
    </w:r>
    <w:r>
      <w:fldChar w:fldCharType="separate"/>
    </w:r>
    <w:r w:rsidR="002401E0">
      <w:t>UNEP/OzL.Pro/ExCom/86/5</w:t>
    </w:r>
    <w:r>
      <w:fldChar w:fldCharType="end"/>
    </w:r>
  </w:p>
  <w:p w:rsidR="00DC6A10" w:rsidRPr="0033525D" w:rsidRDefault="00DC6A10"/>
  <w:p w:rsidR="00DC6A10" w:rsidRPr="0033525D" w:rsidRDefault="00DC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6CAF08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</w:rPr>
    </w:lvl>
    <w:lvl w:ilvl="1">
      <w:start w:val="1"/>
      <w:numFmt w:val="arabicAbjad"/>
      <w:pStyle w:val="Heading2"/>
      <w:lvlText w:val="(%2)"/>
      <w:lvlJc w:val="left"/>
      <w:pPr>
        <w:tabs>
          <w:tab w:val="num" w:pos="-152"/>
        </w:tabs>
        <w:ind w:left="1288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1" w15:restartNumberingAfterBreak="0">
    <w:nsid w:val="0AD70D6D"/>
    <w:multiLevelType w:val="hybridMultilevel"/>
    <w:tmpl w:val="5EF67BF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4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16"/>
  </w:num>
  <w:num w:numId="20">
    <w:abstractNumId w:val="13"/>
  </w:num>
  <w:num w:numId="21">
    <w:abstractNumId w:val="1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M0tTQyNTW0MDI1MzdS0lEKTi0uzszPAykwNKgFABGPPpktAAAA"/>
  </w:docVars>
  <w:rsids>
    <w:rsidRoot w:val="00ED3E97"/>
    <w:rsid w:val="00000FED"/>
    <w:rsid w:val="0000434E"/>
    <w:rsid w:val="000124C0"/>
    <w:rsid w:val="00017FFE"/>
    <w:rsid w:val="000211A9"/>
    <w:rsid w:val="000249B1"/>
    <w:rsid w:val="00025EE4"/>
    <w:rsid w:val="00031260"/>
    <w:rsid w:val="0003501B"/>
    <w:rsid w:val="0003681A"/>
    <w:rsid w:val="000372B7"/>
    <w:rsid w:val="00042625"/>
    <w:rsid w:val="00050F6E"/>
    <w:rsid w:val="00061EC2"/>
    <w:rsid w:val="00080ED0"/>
    <w:rsid w:val="00085B8F"/>
    <w:rsid w:val="00087FBA"/>
    <w:rsid w:val="00090481"/>
    <w:rsid w:val="000920A6"/>
    <w:rsid w:val="000A3826"/>
    <w:rsid w:val="000A3EF1"/>
    <w:rsid w:val="000A6C26"/>
    <w:rsid w:val="000B468F"/>
    <w:rsid w:val="000C799F"/>
    <w:rsid w:val="000D52A4"/>
    <w:rsid w:val="000E07BC"/>
    <w:rsid w:val="000F1CD4"/>
    <w:rsid w:val="000F4103"/>
    <w:rsid w:val="000F70A7"/>
    <w:rsid w:val="00113CCA"/>
    <w:rsid w:val="00122546"/>
    <w:rsid w:val="00122F25"/>
    <w:rsid w:val="00127914"/>
    <w:rsid w:val="00135980"/>
    <w:rsid w:val="00151FF8"/>
    <w:rsid w:val="00161BF1"/>
    <w:rsid w:val="00164719"/>
    <w:rsid w:val="00166FC4"/>
    <w:rsid w:val="001677AC"/>
    <w:rsid w:val="001804EA"/>
    <w:rsid w:val="00190A61"/>
    <w:rsid w:val="001A3342"/>
    <w:rsid w:val="001A3E3D"/>
    <w:rsid w:val="001A7049"/>
    <w:rsid w:val="001B0B9D"/>
    <w:rsid w:val="001B1E40"/>
    <w:rsid w:val="001B360C"/>
    <w:rsid w:val="001B64DB"/>
    <w:rsid w:val="001C764E"/>
    <w:rsid w:val="001E1052"/>
    <w:rsid w:val="001E21B1"/>
    <w:rsid w:val="001E2F93"/>
    <w:rsid w:val="001E4554"/>
    <w:rsid w:val="001E61E5"/>
    <w:rsid w:val="001F2159"/>
    <w:rsid w:val="00200872"/>
    <w:rsid w:val="00203D01"/>
    <w:rsid w:val="00210B8B"/>
    <w:rsid w:val="00214863"/>
    <w:rsid w:val="002156B4"/>
    <w:rsid w:val="00224FCD"/>
    <w:rsid w:val="0022777F"/>
    <w:rsid w:val="002324BE"/>
    <w:rsid w:val="002401E0"/>
    <w:rsid w:val="00247E59"/>
    <w:rsid w:val="00253222"/>
    <w:rsid w:val="002571B6"/>
    <w:rsid w:val="0026031A"/>
    <w:rsid w:val="00262847"/>
    <w:rsid w:val="00281BB2"/>
    <w:rsid w:val="00286A6B"/>
    <w:rsid w:val="00297716"/>
    <w:rsid w:val="002A121B"/>
    <w:rsid w:val="002B254E"/>
    <w:rsid w:val="002B72E9"/>
    <w:rsid w:val="002C27F9"/>
    <w:rsid w:val="002C32D8"/>
    <w:rsid w:val="002C78AD"/>
    <w:rsid w:val="002C7998"/>
    <w:rsid w:val="002F1E53"/>
    <w:rsid w:val="002F2CAA"/>
    <w:rsid w:val="002F6D0E"/>
    <w:rsid w:val="0030052C"/>
    <w:rsid w:val="003007EE"/>
    <w:rsid w:val="003306E1"/>
    <w:rsid w:val="00331F18"/>
    <w:rsid w:val="003320E4"/>
    <w:rsid w:val="00334248"/>
    <w:rsid w:val="0033525D"/>
    <w:rsid w:val="003414F3"/>
    <w:rsid w:val="0035613E"/>
    <w:rsid w:val="00363EE9"/>
    <w:rsid w:val="00376128"/>
    <w:rsid w:val="00376D43"/>
    <w:rsid w:val="0037742E"/>
    <w:rsid w:val="00377D56"/>
    <w:rsid w:val="0038245A"/>
    <w:rsid w:val="003840E6"/>
    <w:rsid w:val="00385CFC"/>
    <w:rsid w:val="0039337A"/>
    <w:rsid w:val="003940A3"/>
    <w:rsid w:val="003A3189"/>
    <w:rsid w:val="003A3CA7"/>
    <w:rsid w:val="003A7F25"/>
    <w:rsid w:val="003B33BD"/>
    <w:rsid w:val="003B569D"/>
    <w:rsid w:val="003C3C0E"/>
    <w:rsid w:val="003C3DCC"/>
    <w:rsid w:val="003D42A6"/>
    <w:rsid w:val="003D4F21"/>
    <w:rsid w:val="003D4FAC"/>
    <w:rsid w:val="003E3265"/>
    <w:rsid w:val="003E7906"/>
    <w:rsid w:val="003F3C50"/>
    <w:rsid w:val="00406A6A"/>
    <w:rsid w:val="00406B22"/>
    <w:rsid w:val="00420742"/>
    <w:rsid w:val="00425FE4"/>
    <w:rsid w:val="004328A7"/>
    <w:rsid w:val="00433BB0"/>
    <w:rsid w:val="00434C74"/>
    <w:rsid w:val="00441DC0"/>
    <w:rsid w:val="00456EB4"/>
    <w:rsid w:val="004611DA"/>
    <w:rsid w:val="00467074"/>
    <w:rsid w:val="004718F3"/>
    <w:rsid w:val="00475040"/>
    <w:rsid w:val="00493D40"/>
    <w:rsid w:val="004967B6"/>
    <w:rsid w:val="004A504B"/>
    <w:rsid w:val="004A6911"/>
    <w:rsid w:val="004B54E0"/>
    <w:rsid w:val="004B7384"/>
    <w:rsid w:val="004C12A9"/>
    <w:rsid w:val="004C4269"/>
    <w:rsid w:val="004D6236"/>
    <w:rsid w:val="004D7F90"/>
    <w:rsid w:val="004E35A3"/>
    <w:rsid w:val="004E4DBB"/>
    <w:rsid w:val="004E4E41"/>
    <w:rsid w:val="004E7F9C"/>
    <w:rsid w:val="004F109A"/>
    <w:rsid w:val="004F3493"/>
    <w:rsid w:val="004F4A27"/>
    <w:rsid w:val="004F5143"/>
    <w:rsid w:val="00500376"/>
    <w:rsid w:val="00512B09"/>
    <w:rsid w:val="005220ED"/>
    <w:rsid w:val="005279A0"/>
    <w:rsid w:val="00533796"/>
    <w:rsid w:val="00536C32"/>
    <w:rsid w:val="00537343"/>
    <w:rsid w:val="0054440F"/>
    <w:rsid w:val="00555D75"/>
    <w:rsid w:val="00560DF0"/>
    <w:rsid w:val="005630F4"/>
    <w:rsid w:val="00565673"/>
    <w:rsid w:val="0056759C"/>
    <w:rsid w:val="00570AE4"/>
    <w:rsid w:val="005718DD"/>
    <w:rsid w:val="005734F6"/>
    <w:rsid w:val="0059513E"/>
    <w:rsid w:val="00595E34"/>
    <w:rsid w:val="00596B23"/>
    <w:rsid w:val="00596D41"/>
    <w:rsid w:val="005A6D9F"/>
    <w:rsid w:val="005B2C51"/>
    <w:rsid w:val="005B48FF"/>
    <w:rsid w:val="005D252C"/>
    <w:rsid w:val="005D363F"/>
    <w:rsid w:val="00604C15"/>
    <w:rsid w:val="006158D5"/>
    <w:rsid w:val="00625D83"/>
    <w:rsid w:val="006623E7"/>
    <w:rsid w:val="00662B80"/>
    <w:rsid w:val="00670F6C"/>
    <w:rsid w:val="00675AAE"/>
    <w:rsid w:val="006852C7"/>
    <w:rsid w:val="006852CE"/>
    <w:rsid w:val="00692D14"/>
    <w:rsid w:val="006B65C7"/>
    <w:rsid w:val="006C1727"/>
    <w:rsid w:val="006C32FD"/>
    <w:rsid w:val="006C39CE"/>
    <w:rsid w:val="006C6C6A"/>
    <w:rsid w:val="006D0FCC"/>
    <w:rsid w:val="006D21F5"/>
    <w:rsid w:val="006E126D"/>
    <w:rsid w:val="006E1FC3"/>
    <w:rsid w:val="006F0D50"/>
    <w:rsid w:val="00702C8C"/>
    <w:rsid w:val="00704CE9"/>
    <w:rsid w:val="0070616B"/>
    <w:rsid w:val="00706295"/>
    <w:rsid w:val="00706FDA"/>
    <w:rsid w:val="00711F9A"/>
    <w:rsid w:val="007133D7"/>
    <w:rsid w:val="00713810"/>
    <w:rsid w:val="007246FF"/>
    <w:rsid w:val="00727F57"/>
    <w:rsid w:val="007303A5"/>
    <w:rsid w:val="00730810"/>
    <w:rsid w:val="00730B3E"/>
    <w:rsid w:val="0073420B"/>
    <w:rsid w:val="00735032"/>
    <w:rsid w:val="0074760E"/>
    <w:rsid w:val="00754ABA"/>
    <w:rsid w:val="007814D8"/>
    <w:rsid w:val="00784967"/>
    <w:rsid w:val="00793D77"/>
    <w:rsid w:val="007A1546"/>
    <w:rsid w:val="007A228C"/>
    <w:rsid w:val="007A368E"/>
    <w:rsid w:val="007A5868"/>
    <w:rsid w:val="007B04CE"/>
    <w:rsid w:val="007B302F"/>
    <w:rsid w:val="007B6871"/>
    <w:rsid w:val="007B7A2F"/>
    <w:rsid w:val="007C0CDA"/>
    <w:rsid w:val="007C3D33"/>
    <w:rsid w:val="007D294A"/>
    <w:rsid w:val="007D47D2"/>
    <w:rsid w:val="007D6EC0"/>
    <w:rsid w:val="007D7E1D"/>
    <w:rsid w:val="007E0F1E"/>
    <w:rsid w:val="007F59B7"/>
    <w:rsid w:val="00811699"/>
    <w:rsid w:val="00820297"/>
    <w:rsid w:val="00831979"/>
    <w:rsid w:val="00831A32"/>
    <w:rsid w:val="0083595B"/>
    <w:rsid w:val="008369E4"/>
    <w:rsid w:val="00851352"/>
    <w:rsid w:val="00857077"/>
    <w:rsid w:val="00863230"/>
    <w:rsid w:val="00865BD0"/>
    <w:rsid w:val="008717D8"/>
    <w:rsid w:val="0087215C"/>
    <w:rsid w:val="00872FBC"/>
    <w:rsid w:val="00875D25"/>
    <w:rsid w:val="00877F2C"/>
    <w:rsid w:val="00880E35"/>
    <w:rsid w:val="008875FE"/>
    <w:rsid w:val="00887F8E"/>
    <w:rsid w:val="00894601"/>
    <w:rsid w:val="00896234"/>
    <w:rsid w:val="00897E43"/>
    <w:rsid w:val="008A262B"/>
    <w:rsid w:val="008A49F2"/>
    <w:rsid w:val="008B1D6F"/>
    <w:rsid w:val="008B3BAC"/>
    <w:rsid w:val="008C5738"/>
    <w:rsid w:val="008C7EAD"/>
    <w:rsid w:val="008D0CFE"/>
    <w:rsid w:val="008D6152"/>
    <w:rsid w:val="008F0F81"/>
    <w:rsid w:val="008F27BF"/>
    <w:rsid w:val="009142EC"/>
    <w:rsid w:val="009154C3"/>
    <w:rsid w:val="00917FB2"/>
    <w:rsid w:val="00923540"/>
    <w:rsid w:val="00926767"/>
    <w:rsid w:val="009361D5"/>
    <w:rsid w:val="009428A4"/>
    <w:rsid w:val="00943F85"/>
    <w:rsid w:val="009659F4"/>
    <w:rsid w:val="00970D60"/>
    <w:rsid w:val="009761C5"/>
    <w:rsid w:val="00983A14"/>
    <w:rsid w:val="0099390E"/>
    <w:rsid w:val="009960E5"/>
    <w:rsid w:val="009A4EE8"/>
    <w:rsid w:val="009A7ADC"/>
    <w:rsid w:val="009C09F4"/>
    <w:rsid w:val="009C19B7"/>
    <w:rsid w:val="009C5ABB"/>
    <w:rsid w:val="009D7C51"/>
    <w:rsid w:val="009E196C"/>
    <w:rsid w:val="009E40F5"/>
    <w:rsid w:val="009F36BF"/>
    <w:rsid w:val="00A05298"/>
    <w:rsid w:val="00A111B6"/>
    <w:rsid w:val="00A17103"/>
    <w:rsid w:val="00A24D54"/>
    <w:rsid w:val="00A26D27"/>
    <w:rsid w:val="00A376EE"/>
    <w:rsid w:val="00A42A99"/>
    <w:rsid w:val="00A5151A"/>
    <w:rsid w:val="00A51B9D"/>
    <w:rsid w:val="00A56502"/>
    <w:rsid w:val="00A57E0A"/>
    <w:rsid w:val="00A75433"/>
    <w:rsid w:val="00A80888"/>
    <w:rsid w:val="00A823F6"/>
    <w:rsid w:val="00A8719E"/>
    <w:rsid w:val="00AA0A89"/>
    <w:rsid w:val="00AA6429"/>
    <w:rsid w:val="00AC01AA"/>
    <w:rsid w:val="00AC01BD"/>
    <w:rsid w:val="00AC4F72"/>
    <w:rsid w:val="00AC6525"/>
    <w:rsid w:val="00AC6FE6"/>
    <w:rsid w:val="00AF5712"/>
    <w:rsid w:val="00AF741A"/>
    <w:rsid w:val="00B01ADB"/>
    <w:rsid w:val="00B04161"/>
    <w:rsid w:val="00B056F9"/>
    <w:rsid w:val="00B11E3D"/>
    <w:rsid w:val="00B17AA8"/>
    <w:rsid w:val="00B17E82"/>
    <w:rsid w:val="00B233E7"/>
    <w:rsid w:val="00B4575A"/>
    <w:rsid w:val="00B53459"/>
    <w:rsid w:val="00B575BA"/>
    <w:rsid w:val="00B60223"/>
    <w:rsid w:val="00B63C30"/>
    <w:rsid w:val="00B67FB0"/>
    <w:rsid w:val="00B71608"/>
    <w:rsid w:val="00B71BAF"/>
    <w:rsid w:val="00B76429"/>
    <w:rsid w:val="00B81BD6"/>
    <w:rsid w:val="00B92D22"/>
    <w:rsid w:val="00B93A38"/>
    <w:rsid w:val="00B956D4"/>
    <w:rsid w:val="00B95A0E"/>
    <w:rsid w:val="00B97446"/>
    <w:rsid w:val="00BA7432"/>
    <w:rsid w:val="00BB2764"/>
    <w:rsid w:val="00BC1AA0"/>
    <w:rsid w:val="00BC2495"/>
    <w:rsid w:val="00BC7EB9"/>
    <w:rsid w:val="00BD2643"/>
    <w:rsid w:val="00BD56B1"/>
    <w:rsid w:val="00BD6558"/>
    <w:rsid w:val="00BE24A0"/>
    <w:rsid w:val="00BF2F76"/>
    <w:rsid w:val="00BF3022"/>
    <w:rsid w:val="00BF3214"/>
    <w:rsid w:val="00BF5573"/>
    <w:rsid w:val="00C07CD4"/>
    <w:rsid w:val="00C10E7C"/>
    <w:rsid w:val="00C1191E"/>
    <w:rsid w:val="00C152A6"/>
    <w:rsid w:val="00C15867"/>
    <w:rsid w:val="00C220B4"/>
    <w:rsid w:val="00C2296D"/>
    <w:rsid w:val="00C23155"/>
    <w:rsid w:val="00C33CB1"/>
    <w:rsid w:val="00C40C41"/>
    <w:rsid w:val="00C45885"/>
    <w:rsid w:val="00C46FFC"/>
    <w:rsid w:val="00C509EB"/>
    <w:rsid w:val="00C50F22"/>
    <w:rsid w:val="00C57971"/>
    <w:rsid w:val="00C62119"/>
    <w:rsid w:val="00C65BD7"/>
    <w:rsid w:val="00C67591"/>
    <w:rsid w:val="00C76BA4"/>
    <w:rsid w:val="00C76F37"/>
    <w:rsid w:val="00C83A48"/>
    <w:rsid w:val="00C85865"/>
    <w:rsid w:val="00C85E85"/>
    <w:rsid w:val="00C924F5"/>
    <w:rsid w:val="00CA2EAE"/>
    <w:rsid w:val="00CA4AC1"/>
    <w:rsid w:val="00CB0316"/>
    <w:rsid w:val="00CB0B11"/>
    <w:rsid w:val="00CB426A"/>
    <w:rsid w:val="00CB5354"/>
    <w:rsid w:val="00CC3C9E"/>
    <w:rsid w:val="00CC6A14"/>
    <w:rsid w:val="00CC70A3"/>
    <w:rsid w:val="00CD261D"/>
    <w:rsid w:val="00CD4442"/>
    <w:rsid w:val="00CD53C3"/>
    <w:rsid w:val="00CD574E"/>
    <w:rsid w:val="00CD7FB3"/>
    <w:rsid w:val="00CE4C22"/>
    <w:rsid w:val="00CF16BE"/>
    <w:rsid w:val="00CF41EC"/>
    <w:rsid w:val="00CF5D04"/>
    <w:rsid w:val="00D011E1"/>
    <w:rsid w:val="00D04DE4"/>
    <w:rsid w:val="00D063F1"/>
    <w:rsid w:val="00D14F22"/>
    <w:rsid w:val="00D261BB"/>
    <w:rsid w:val="00D404EF"/>
    <w:rsid w:val="00D4741C"/>
    <w:rsid w:val="00D53090"/>
    <w:rsid w:val="00D57918"/>
    <w:rsid w:val="00D71AEE"/>
    <w:rsid w:val="00D73DC6"/>
    <w:rsid w:val="00D74C1A"/>
    <w:rsid w:val="00D754C1"/>
    <w:rsid w:val="00D77393"/>
    <w:rsid w:val="00D77A35"/>
    <w:rsid w:val="00D81B3E"/>
    <w:rsid w:val="00D8291D"/>
    <w:rsid w:val="00D90C70"/>
    <w:rsid w:val="00D90E49"/>
    <w:rsid w:val="00D96ADE"/>
    <w:rsid w:val="00DA0CE2"/>
    <w:rsid w:val="00DA2FF9"/>
    <w:rsid w:val="00DB6BF2"/>
    <w:rsid w:val="00DC241B"/>
    <w:rsid w:val="00DC4323"/>
    <w:rsid w:val="00DC6A10"/>
    <w:rsid w:val="00DE657E"/>
    <w:rsid w:val="00DE70D9"/>
    <w:rsid w:val="00DF4704"/>
    <w:rsid w:val="00E024AA"/>
    <w:rsid w:val="00E140C9"/>
    <w:rsid w:val="00E15C77"/>
    <w:rsid w:val="00E22C16"/>
    <w:rsid w:val="00E250F1"/>
    <w:rsid w:val="00E25E65"/>
    <w:rsid w:val="00E3550D"/>
    <w:rsid w:val="00E52838"/>
    <w:rsid w:val="00E614E0"/>
    <w:rsid w:val="00E71B02"/>
    <w:rsid w:val="00E73F7F"/>
    <w:rsid w:val="00E74281"/>
    <w:rsid w:val="00E8265D"/>
    <w:rsid w:val="00E85409"/>
    <w:rsid w:val="00E96454"/>
    <w:rsid w:val="00EA429F"/>
    <w:rsid w:val="00EA4F9E"/>
    <w:rsid w:val="00EA63CA"/>
    <w:rsid w:val="00EA6D3B"/>
    <w:rsid w:val="00EB00AD"/>
    <w:rsid w:val="00EB136C"/>
    <w:rsid w:val="00EB480E"/>
    <w:rsid w:val="00EB5EC6"/>
    <w:rsid w:val="00EB7FC9"/>
    <w:rsid w:val="00ED27E8"/>
    <w:rsid w:val="00ED3E97"/>
    <w:rsid w:val="00ED7137"/>
    <w:rsid w:val="00EF06EA"/>
    <w:rsid w:val="00F13307"/>
    <w:rsid w:val="00F2015C"/>
    <w:rsid w:val="00F21088"/>
    <w:rsid w:val="00F302D9"/>
    <w:rsid w:val="00F327E7"/>
    <w:rsid w:val="00F35746"/>
    <w:rsid w:val="00F36129"/>
    <w:rsid w:val="00F447C7"/>
    <w:rsid w:val="00F459B4"/>
    <w:rsid w:val="00F5211B"/>
    <w:rsid w:val="00F554A9"/>
    <w:rsid w:val="00F716FD"/>
    <w:rsid w:val="00F80355"/>
    <w:rsid w:val="00F87C43"/>
    <w:rsid w:val="00F91C0D"/>
    <w:rsid w:val="00F93045"/>
    <w:rsid w:val="00F958BB"/>
    <w:rsid w:val="00FA68F7"/>
    <w:rsid w:val="00FB0C81"/>
    <w:rsid w:val="00FC2200"/>
    <w:rsid w:val="00FC2540"/>
    <w:rsid w:val="00FD0F45"/>
    <w:rsid w:val="00FD0FD7"/>
    <w:rsid w:val="00FD6355"/>
    <w:rsid w:val="00FD6573"/>
    <w:rsid w:val="00FF0204"/>
    <w:rsid w:val="00FF3AE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CA4F8"/>
  <w15:docId w15:val="{017DCBD4-2A8E-4767-B4AA-3CF17EB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SubPara (a) Char"/>
    <w:basedOn w:val="Normal"/>
    <w:next w:val="Normal"/>
    <w:link w:val="Heading2Char"/>
    <w:qFormat/>
    <w:rsid w:val="0033525D"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2,Heading 3 Char Char1 Char,Heading 3 Char1 Char,Heading 3 Char Char Char,Char Char Char Char,Char Char1 Char,Char Char2,Char Char Char1"/>
    <w:basedOn w:val="Normal"/>
    <w:next w:val="Normal"/>
    <w:qFormat/>
    <w:rsid w:val="0033525D"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qFormat/>
    <w:rsid w:val="007B6871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uiPriority w:val="99"/>
    <w:rsid w:val="0033525D"/>
    <w:rPr>
      <w:sz w:val="22"/>
      <w:szCs w:val="22"/>
      <w:lang w:val="en-GB"/>
    </w:rPr>
  </w:style>
  <w:style w:type="paragraph" w:styleId="Footer">
    <w:name w:val="footer"/>
    <w:basedOn w:val="Normal"/>
    <w:semiHidden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E12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126D"/>
    <w:rPr>
      <w:lang w:val="en-GB"/>
    </w:rPr>
  </w:style>
  <w:style w:type="character" w:styleId="FootnoteReference">
    <w:name w:val="footnote reference"/>
    <w:aliases w:val="Footnote text,Footnote Text1,Footnote Text2"/>
    <w:basedOn w:val="DefaultParagraphFont"/>
    <w:uiPriority w:val="99"/>
    <w:unhideWhenUsed/>
    <w:rsid w:val="006E126D"/>
    <w:rPr>
      <w:vertAlign w:val="superscript"/>
    </w:rPr>
  </w:style>
  <w:style w:type="character" w:customStyle="1" w:styleId="Heading2Char">
    <w:name w:val="Heading 2 Char"/>
    <w:aliases w:val="SubPara (a) Char1,Heading 2 Char3 Char,Heading 2 Char Char2 Char,Heading 2 Char1 Char Char1 Char,SubPara (a) Char Char Char1 Char,Heading 2 Char Char Char Char1 Char,Heading 2 Char1 Char Char Char Char1 Char,Heading 2 Char2 Char"/>
    <w:link w:val="Heading2"/>
    <w:rsid w:val="00B53459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53459"/>
    <w:pPr>
      <w:ind w:left="720"/>
      <w:contextualSpacing/>
    </w:pPr>
  </w:style>
  <w:style w:type="character" w:customStyle="1" w:styleId="bumpedfont15">
    <w:name w:val="bumpedfont15"/>
    <w:basedOn w:val="DefaultParagraphFont"/>
    <w:rsid w:val="00B53459"/>
  </w:style>
  <w:style w:type="paragraph" w:styleId="Revision">
    <w:name w:val="Revision"/>
    <w:hidden/>
    <w:uiPriority w:val="99"/>
    <w:semiHidden/>
    <w:rsid w:val="00161BF1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46F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FFC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9C09F4"/>
    <w:pPr>
      <w:bidi/>
      <w:ind w:left="180" w:hanging="180"/>
      <w:jc w:val="lowKashida"/>
    </w:pPr>
    <w:rPr>
      <w:rFonts w:cs="Simplified Arabic"/>
      <w:sz w:val="24"/>
      <w:szCs w:val="32"/>
      <w:lang w:val="en-US" w:eastAsia="en-CA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en/A/76/5/Add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Number xmlns="ca155cdd-9bf1-4174-8a2d-8747f528ddda">UNEP/OzL.Pro/ExCom/88/5</Document_x0020_Number>
    <DocumentType xmlns="48d2d36d-b4e3-478b-a344-cdbeebaca89a">Pre-session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D9FAD523F8946A9A809FFA43FA4BD" ma:contentTypeVersion="2" ma:contentTypeDescription="Create a new document." ma:contentTypeScope="" ma:versionID="9f091bdf76256a17cc493f600be46c5b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352f80ee2244741f7e7f9b92aaa31388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8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47AECBC-0E54-41EC-95C2-ED10449B9EFC}"/>
</file>

<file path=customXml/itemProps2.xml><?xml version="1.0" encoding="utf-8"?>
<ds:datastoreItem xmlns:ds="http://schemas.openxmlformats.org/officeDocument/2006/customXml" ds:itemID="{C45DB7A9-FEE9-4BFC-8C08-0DFD9E7260EC}"/>
</file>

<file path=customXml/itemProps3.xml><?xml version="1.0" encoding="utf-8"?>
<ds:datastoreItem xmlns:ds="http://schemas.openxmlformats.org/officeDocument/2006/customXml" ds:itemID="{24C9D310-C63A-4FF7-AA14-47AFB5C014F4}"/>
</file>

<file path=customXml/itemProps4.xml><?xml version="1.0" encoding="utf-8"?>
<ds:datastoreItem xmlns:ds="http://schemas.openxmlformats.org/officeDocument/2006/customXml" ds:itemID="{66C5C80B-8345-4BE5-91EC-72D65C597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الحسابات الختامية لعام 2020</vt:lpstr>
    </vt:vector>
  </TitlesOfParts>
  <Company>UNMFS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الحسابات الختامية لعام 2020</dc:title>
  <dc:creator>Botheina Bendahmane</dc:creator>
  <cp:lastModifiedBy>HBE</cp:lastModifiedBy>
  <cp:revision>12</cp:revision>
  <cp:lastPrinted>2001-05-26T16:40:00Z</cp:lastPrinted>
  <dcterms:created xsi:type="dcterms:W3CDTF">2021-10-22T07:01:00Z</dcterms:created>
  <dcterms:modified xsi:type="dcterms:W3CDTF">2021-11-17T01:41:00Z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UNEP/OzL.Pro/ExCom/88/5</vt:lpwstr>
  </property>
  <property fmtid="{D5CDD505-2E9C-101B-9397-08002B2CF9AE}" pid="3" name="Revision date">
    <vt:lpwstr>10/21/2021</vt:lpwstr>
  </property>
  <property fmtid="{D5CDD505-2E9C-101B-9397-08002B2CF9AE}" pid="4" name="ContentTypeId">
    <vt:lpwstr>0x010100488D9FAD523F8946A9A809FFA43FA4BD</vt:lpwstr>
  </property>
  <property fmtid="{D5CDD505-2E9C-101B-9397-08002B2CF9AE}" pid="5" name="Order">
    <vt:r8>13200</vt:r8>
  </property>
  <property fmtid="{D5CDD505-2E9C-101B-9397-08002B2CF9AE}" pid="6" name="Posted after IAP">
    <vt:lpwstr>true</vt:lpwstr>
  </property>
</Properties>
</file>