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Look w:val="0000" w:firstRow="0" w:lastRow="0" w:firstColumn="0" w:lastColumn="0" w:noHBand="0" w:noVBand="0"/>
      </w:tblPr>
      <w:tblGrid>
        <w:gridCol w:w="2070"/>
        <w:gridCol w:w="4424"/>
        <w:gridCol w:w="3146"/>
      </w:tblGrid>
      <w:tr w:rsidR="0087455A" w:rsidRPr="00190842" w14:paraId="24F79BFB" w14:textId="77777777" w:rsidTr="00227192">
        <w:trPr>
          <w:trHeight w:val="720"/>
        </w:trPr>
        <w:tc>
          <w:tcPr>
            <w:tcW w:w="6494" w:type="dxa"/>
            <w:gridSpan w:val="2"/>
            <w:tcBorders>
              <w:bottom w:val="single" w:sz="18" w:space="0" w:color="auto"/>
            </w:tcBorders>
          </w:tcPr>
          <w:p w14:paraId="0579F7B5" w14:textId="77777777" w:rsidR="0087455A" w:rsidRPr="00190842" w:rsidRDefault="0024162E" w:rsidP="00B41EBD">
            <w:pPr>
              <w:rPr>
                <w:rFonts w:ascii="Univers" w:hAnsi="Univers"/>
                <w:b/>
                <w:sz w:val="28"/>
                <w:szCs w:val="28"/>
                <w:lang w:val="es-AR"/>
              </w:rPr>
            </w:pPr>
            <w:r w:rsidRPr="00190842">
              <w:rPr>
                <w:rFonts w:ascii="Univers" w:hAnsi="Univers"/>
                <w:b/>
                <w:sz w:val="28"/>
                <w:szCs w:val="28"/>
                <w:lang w:val="es-AR"/>
              </w:rPr>
              <w:t>NACIONES</w:t>
            </w:r>
          </w:p>
          <w:p w14:paraId="33208E61" w14:textId="77777777" w:rsidR="0087455A" w:rsidRPr="00190842" w:rsidRDefault="0024162E" w:rsidP="00B41EBD">
            <w:pPr>
              <w:rPr>
                <w:rFonts w:ascii="Univers" w:hAnsi="Univers"/>
                <w:b/>
                <w:sz w:val="28"/>
                <w:szCs w:val="28"/>
                <w:lang w:val="es-AR"/>
              </w:rPr>
            </w:pPr>
            <w:r w:rsidRPr="00190842">
              <w:rPr>
                <w:rFonts w:ascii="Univers" w:hAnsi="Univers"/>
                <w:b/>
                <w:sz w:val="28"/>
                <w:szCs w:val="28"/>
                <w:lang w:val="es-AR"/>
              </w:rPr>
              <w:t>UNIDAS</w:t>
            </w:r>
          </w:p>
        </w:tc>
        <w:tc>
          <w:tcPr>
            <w:tcW w:w="3146" w:type="dxa"/>
            <w:tcBorders>
              <w:bottom w:val="single" w:sz="18" w:space="0" w:color="auto"/>
            </w:tcBorders>
          </w:tcPr>
          <w:p w14:paraId="0302FEDA" w14:textId="77777777" w:rsidR="0087455A" w:rsidRPr="00190842" w:rsidRDefault="0024162E" w:rsidP="00B41EBD">
            <w:pPr>
              <w:jc w:val="right"/>
              <w:rPr>
                <w:rFonts w:asciiTheme="minorBidi" w:hAnsiTheme="minorBidi" w:cstheme="minorBidi"/>
                <w:sz w:val="52"/>
                <w:szCs w:val="52"/>
                <w:lang w:val="es-AR"/>
              </w:rPr>
            </w:pPr>
            <w:r w:rsidRPr="00190842">
              <w:rPr>
                <w:rFonts w:asciiTheme="minorBidi" w:hAnsiTheme="minorBidi" w:cstheme="minorBidi"/>
                <w:b/>
                <w:sz w:val="72"/>
                <w:lang w:val="es-AR"/>
              </w:rPr>
              <w:t>EP</w:t>
            </w:r>
          </w:p>
        </w:tc>
      </w:tr>
      <w:tr w:rsidR="0087455A" w:rsidRPr="00190842" w14:paraId="40BAA409" w14:textId="77777777" w:rsidTr="0022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A27BB29" w14:textId="22347062" w:rsidR="0087455A" w:rsidRPr="00190842" w:rsidRDefault="00227192" w:rsidP="00B41EBD">
            <w:pPr>
              <w:spacing w:before="120"/>
              <w:rPr>
                <w:lang w:val="es-AR"/>
              </w:rPr>
            </w:pPr>
            <w:r w:rsidRPr="00190842">
              <w:rPr>
                <w:noProof/>
                <w:lang w:val="en-US"/>
              </w:rPr>
              <w:drawing>
                <wp:anchor distT="0" distB="0" distL="114300" distR="114300" simplePos="0" relativeHeight="251660288" behindDoc="0" locked="0" layoutInCell="1" allowOverlap="1" wp14:anchorId="148670E4" wp14:editId="4BD708F5">
                  <wp:simplePos x="0" y="0"/>
                  <wp:positionH relativeFrom="column">
                    <wp:posOffset>68580</wp:posOffset>
                  </wp:positionH>
                  <wp:positionV relativeFrom="paragraph">
                    <wp:posOffset>944880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190842">
              <w:rPr>
                <w:noProof/>
                <w:lang w:val="en-US"/>
              </w:rPr>
              <w:drawing>
                <wp:anchor distT="0" distB="0" distL="114300" distR="114300" simplePos="0" relativeHeight="251661312" behindDoc="1" locked="0" layoutInCell="0" allowOverlap="1" wp14:anchorId="625069F7" wp14:editId="50C81985">
                  <wp:simplePos x="0" y="0"/>
                  <wp:positionH relativeFrom="column">
                    <wp:posOffset>43815</wp:posOffset>
                  </wp:positionH>
                  <wp:positionV relativeFrom="paragraph">
                    <wp:posOffset>85725</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15543A3B" w14:textId="77777777" w:rsidR="001E2B6F" w:rsidRDefault="001E2B6F" w:rsidP="002271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40"/>
              <w:jc w:val="left"/>
              <w:rPr>
                <w:rFonts w:ascii="Univers" w:hAnsi="Univers"/>
                <w:b/>
                <w:sz w:val="32"/>
                <w:lang w:val="es-AR"/>
              </w:rPr>
            </w:pPr>
          </w:p>
          <w:p w14:paraId="564BF3BC" w14:textId="556EC3A3" w:rsidR="0087455A" w:rsidRPr="00190842" w:rsidRDefault="0024162E" w:rsidP="002271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40"/>
              <w:jc w:val="left"/>
              <w:rPr>
                <w:rFonts w:ascii="Univers" w:hAnsi="Univers"/>
                <w:b/>
                <w:sz w:val="32"/>
                <w:lang w:val="es-AR"/>
              </w:rPr>
            </w:pPr>
            <w:r w:rsidRPr="00190842">
              <w:rPr>
                <w:rFonts w:ascii="Univers" w:hAnsi="Univers"/>
                <w:b/>
                <w:sz w:val="32"/>
                <w:lang w:val="es-AR"/>
              </w:rPr>
              <w:t>Programa de las</w:t>
            </w:r>
          </w:p>
          <w:p w14:paraId="3AD258D3" w14:textId="77777777" w:rsidR="0087455A" w:rsidRPr="00190842"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190842">
              <w:rPr>
                <w:rFonts w:ascii="Univers" w:hAnsi="Univers"/>
                <w:b/>
                <w:sz w:val="32"/>
                <w:lang w:val="es-AR"/>
              </w:rPr>
              <w:t>Naciones Unidas</w:t>
            </w:r>
          </w:p>
          <w:p w14:paraId="32A67537" w14:textId="77777777" w:rsidR="0087455A" w:rsidRPr="00190842"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190842">
              <w:rPr>
                <w:rFonts w:ascii="Univers" w:hAnsi="Univers"/>
                <w:b/>
                <w:sz w:val="32"/>
                <w:lang w:val="es-AR"/>
              </w:rPr>
              <w:t>para el Medio Ambiente</w:t>
            </w:r>
          </w:p>
          <w:p w14:paraId="36EB7B4C" w14:textId="77777777" w:rsidR="0087455A" w:rsidRPr="00190842" w:rsidRDefault="0087455A"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02E5F4EB" w14:textId="77777777" w:rsidR="0087455A" w:rsidRPr="00190842" w:rsidRDefault="0087455A" w:rsidP="00B41EBD">
            <w:pPr>
              <w:spacing w:before="720"/>
              <w:ind w:left="158"/>
              <w:rPr>
                <w:lang w:val="es-AR"/>
              </w:rPr>
            </w:pPr>
          </w:p>
        </w:tc>
        <w:tc>
          <w:tcPr>
            <w:tcW w:w="3146" w:type="dxa"/>
            <w:tcBorders>
              <w:top w:val="nil"/>
              <w:left w:val="nil"/>
              <w:bottom w:val="single" w:sz="36" w:space="0" w:color="auto"/>
              <w:right w:val="nil"/>
            </w:tcBorders>
          </w:tcPr>
          <w:p w14:paraId="2B04110B" w14:textId="77777777" w:rsidR="001E0683" w:rsidRDefault="001E0683" w:rsidP="00227192">
            <w:pPr>
              <w:spacing w:before="40"/>
              <w:rPr>
                <w:lang w:val="es-AR"/>
              </w:rPr>
            </w:pPr>
          </w:p>
          <w:p w14:paraId="31CDD7D1" w14:textId="4FB34252" w:rsidR="0087455A" w:rsidRPr="00190842" w:rsidRDefault="0024162E" w:rsidP="00227192">
            <w:pPr>
              <w:spacing w:before="40"/>
              <w:rPr>
                <w:lang w:val="es-AR"/>
              </w:rPr>
            </w:pPr>
            <w:proofErr w:type="spellStart"/>
            <w:r w:rsidRPr="00190842">
              <w:rPr>
                <w:lang w:val="es-AR"/>
              </w:rPr>
              <w:t>Distr</w:t>
            </w:r>
            <w:proofErr w:type="spellEnd"/>
            <w:r w:rsidRPr="00190842">
              <w:rPr>
                <w:lang w:val="es-AR"/>
              </w:rPr>
              <w:t>.</w:t>
            </w:r>
          </w:p>
          <w:p w14:paraId="40DD2FC3" w14:textId="77777777" w:rsidR="0087455A" w:rsidRPr="00190842" w:rsidRDefault="0024162E" w:rsidP="00B41EBD">
            <w:pPr>
              <w:rPr>
                <w:lang w:val="es-AR"/>
              </w:rPr>
            </w:pPr>
            <w:r w:rsidRPr="00190842">
              <w:rPr>
                <w:lang w:val="es-AR"/>
              </w:rPr>
              <w:t>GENERAL</w:t>
            </w:r>
          </w:p>
          <w:p w14:paraId="215E6A0B" w14:textId="77777777" w:rsidR="00227192" w:rsidRPr="00190842" w:rsidRDefault="00227192" w:rsidP="00B41EBD">
            <w:pPr>
              <w:rPr>
                <w:lang w:val="es-AR"/>
              </w:rPr>
            </w:pPr>
          </w:p>
          <w:p w14:paraId="029AD456" w14:textId="23487257" w:rsidR="0087455A" w:rsidRPr="00190842" w:rsidRDefault="0024162E" w:rsidP="00B41EBD">
            <w:pPr>
              <w:rPr>
                <w:lang w:val="es-AR"/>
              </w:rPr>
            </w:pPr>
            <w:r w:rsidRPr="00190842">
              <w:rPr>
                <w:lang w:val="es-AR"/>
              </w:rPr>
              <w:fldChar w:fldCharType="begin"/>
            </w:r>
            <w:r w:rsidRPr="00190842">
              <w:rPr>
                <w:lang w:val="es-AR"/>
              </w:rPr>
              <w:instrText xml:space="preserve"> DOCPROPERTY "Document number"  \* MERGEFORMAT </w:instrText>
            </w:r>
            <w:r w:rsidRPr="00190842">
              <w:rPr>
                <w:lang w:val="es-AR"/>
              </w:rPr>
              <w:fldChar w:fldCharType="separate"/>
            </w:r>
            <w:r w:rsidR="009F4988">
              <w:rPr>
                <w:lang w:val="es-AR"/>
              </w:rPr>
              <w:t>UNEP/</w:t>
            </w:r>
            <w:proofErr w:type="spellStart"/>
            <w:r w:rsidR="009F4988">
              <w:rPr>
                <w:lang w:val="es-AR"/>
              </w:rPr>
              <w:t>OzL.Pro</w:t>
            </w:r>
            <w:proofErr w:type="spellEnd"/>
            <w:r w:rsidR="009F4988">
              <w:rPr>
                <w:lang w:val="es-AR"/>
              </w:rPr>
              <w:t>/</w:t>
            </w:r>
            <w:proofErr w:type="spellStart"/>
            <w:r w:rsidR="009F4988">
              <w:rPr>
                <w:lang w:val="es-AR"/>
              </w:rPr>
              <w:t>ExCom</w:t>
            </w:r>
            <w:proofErr w:type="spellEnd"/>
            <w:r w:rsidR="009F4988">
              <w:rPr>
                <w:lang w:val="es-AR"/>
              </w:rPr>
              <w:t>/87/42</w:t>
            </w:r>
            <w:r w:rsidRPr="00190842">
              <w:rPr>
                <w:lang w:val="es-AR"/>
              </w:rPr>
              <w:fldChar w:fldCharType="end"/>
            </w:r>
          </w:p>
          <w:p w14:paraId="636B40F8" w14:textId="34CC9DA5" w:rsidR="008D0C2E" w:rsidRPr="00247E29" w:rsidRDefault="008D0C2E" w:rsidP="008D0C2E">
            <w:pPr>
              <w:rPr>
                <w:lang w:val="es-AR"/>
              </w:rPr>
            </w:pPr>
            <w:r>
              <w:fldChar w:fldCharType="begin"/>
            </w:r>
            <w:r w:rsidRPr="00247E29">
              <w:rPr>
                <w:lang w:val="es-AR"/>
              </w:rPr>
              <w:instrText xml:space="preserve"> DOCPROPERTY "Revision date" \@ "d MMMM YYYY"  \* MERGEFORMAT </w:instrText>
            </w:r>
            <w:r>
              <w:fldChar w:fldCharType="separate"/>
            </w:r>
            <w:r w:rsidR="009F4988">
              <w:rPr>
                <w:lang w:val="es-AR"/>
              </w:rPr>
              <w:t>21 de julio de 2021</w:t>
            </w:r>
            <w:r>
              <w:fldChar w:fldCharType="end"/>
            </w:r>
          </w:p>
          <w:p w14:paraId="4411B5EE" w14:textId="77777777" w:rsidR="00114CAA" w:rsidRPr="00190842" w:rsidRDefault="00114CAA" w:rsidP="00B41EBD">
            <w:pPr>
              <w:rPr>
                <w:caps/>
                <w:lang w:val="es-AR"/>
              </w:rPr>
            </w:pPr>
          </w:p>
          <w:p w14:paraId="767D5155" w14:textId="77777777" w:rsidR="0087455A" w:rsidRPr="00190842" w:rsidRDefault="0024162E" w:rsidP="00B41EBD">
            <w:pPr>
              <w:rPr>
                <w:lang w:val="es-AR"/>
              </w:rPr>
            </w:pPr>
            <w:r w:rsidRPr="00190842">
              <w:rPr>
                <w:lang w:val="es-AR"/>
              </w:rPr>
              <w:t xml:space="preserve">ESPAÑOL </w:t>
            </w:r>
          </w:p>
          <w:p w14:paraId="40A623DD" w14:textId="77777777" w:rsidR="0087455A" w:rsidRPr="00190842" w:rsidRDefault="0024162E" w:rsidP="00B41EBD">
            <w:pPr>
              <w:rPr>
                <w:lang w:val="es-AR"/>
              </w:rPr>
            </w:pPr>
            <w:r w:rsidRPr="00190842">
              <w:rPr>
                <w:lang w:val="es-AR"/>
              </w:rPr>
              <w:t>ORIGINAL: INGLÉS</w:t>
            </w:r>
          </w:p>
        </w:tc>
      </w:tr>
    </w:tbl>
    <w:p w14:paraId="5333C370" w14:textId="77777777" w:rsidR="0087455A" w:rsidRPr="00190842" w:rsidRDefault="0087455A" w:rsidP="00B41EBD">
      <w:pPr>
        <w:jc w:val="left"/>
        <w:rPr>
          <w:lang w:val="es-AR"/>
        </w:rPr>
      </w:pPr>
    </w:p>
    <w:p w14:paraId="211C57FE" w14:textId="77777777" w:rsidR="009F4988" w:rsidRPr="00E351C1" w:rsidRDefault="009F4988" w:rsidP="009F4988">
      <w:pPr>
        <w:jc w:val="left"/>
        <w:rPr>
          <w:lang w:val="es-MX"/>
        </w:rPr>
      </w:pPr>
      <w:r>
        <w:rPr>
          <w:lang w:val="es-MX"/>
        </w:rPr>
        <w:t>COMITÉ EJECUTIVO DEL FONDO MULTILATERAL</w:t>
      </w:r>
      <w:r>
        <w:rPr>
          <w:lang w:val="es-MX"/>
        </w:rPr>
        <w:br/>
        <w:t xml:space="preserve">  PARA LA </w:t>
      </w:r>
      <w:r w:rsidRPr="00E351C1">
        <w:rPr>
          <w:lang w:val="es-MX"/>
        </w:rPr>
        <w:t>APLICACIÓN DEL</w:t>
      </w:r>
      <w:r w:rsidRPr="00E351C1">
        <w:rPr>
          <w:lang w:val="es-MX"/>
        </w:rPr>
        <w:br/>
        <w:t xml:space="preserve">  PROTOCOLO DE MONTREAL</w:t>
      </w:r>
    </w:p>
    <w:p w14:paraId="2F6CE77A" w14:textId="57685F6C" w:rsidR="00106F6E" w:rsidRDefault="009F4988" w:rsidP="009F4988">
      <w:pPr>
        <w:jc w:val="left"/>
        <w:rPr>
          <w:lang w:val="es-AR"/>
        </w:rPr>
      </w:pPr>
      <w:r w:rsidRPr="00E351C1">
        <w:rPr>
          <w:lang w:val="es-ES"/>
        </w:rPr>
        <w:t>Octogésima séptima Reunión</w:t>
      </w:r>
      <w:r w:rsidRPr="00E351C1">
        <w:rPr>
          <w:lang w:val="es-ES"/>
        </w:rPr>
        <w:br/>
        <w:t>Montreal, 28 de junio – 2 de julio de 2021</w:t>
      </w:r>
      <w:r w:rsidRPr="00E351C1">
        <w:rPr>
          <w:rStyle w:val="FootnoteReference"/>
          <w:lang w:val="es-ES"/>
        </w:rPr>
        <w:footnoteReference w:id="1"/>
      </w:r>
    </w:p>
    <w:p w14:paraId="6B9C2245" w14:textId="623B1171" w:rsidR="00227192" w:rsidRDefault="00227192" w:rsidP="00B41EBD">
      <w:pPr>
        <w:jc w:val="left"/>
        <w:rPr>
          <w:lang w:val="es-AR"/>
        </w:rPr>
      </w:pPr>
    </w:p>
    <w:p w14:paraId="0F1900FC" w14:textId="77777777" w:rsidR="00E351C1" w:rsidRDefault="00E351C1" w:rsidP="00B41EBD">
      <w:pPr>
        <w:jc w:val="left"/>
        <w:rPr>
          <w:lang w:val="es-AR"/>
        </w:rPr>
      </w:pPr>
    </w:p>
    <w:p w14:paraId="4843C760" w14:textId="77777777" w:rsidR="007830AD" w:rsidRDefault="00D007B6" w:rsidP="007830AD">
      <w:pPr>
        <w:pStyle w:val="Title1"/>
        <w:rPr>
          <w:szCs w:val="24"/>
          <w:lang w:val="es-AR"/>
        </w:rPr>
      </w:pPr>
      <w:r>
        <w:rPr>
          <w:szCs w:val="24"/>
          <w:lang w:val="es-AR"/>
        </w:rPr>
        <w:t xml:space="preserve">RESEÑA DE LOS PROYECTOS DE </w:t>
      </w:r>
      <w:r w:rsidR="00674039">
        <w:rPr>
          <w:szCs w:val="24"/>
          <w:lang w:val="es-AR"/>
        </w:rPr>
        <w:t>fortalecimiento institucional</w:t>
      </w:r>
    </w:p>
    <w:p w14:paraId="73B7AC88" w14:textId="77777777" w:rsidR="00247E29" w:rsidRDefault="00D007B6" w:rsidP="007830AD">
      <w:pPr>
        <w:pStyle w:val="Title1"/>
        <w:rPr>
          <w:szCs w:val="24"/>
          <w:lang w:val="es-AR"/>
        </w:rPr>
      </w:pPr>
      <w:r>
        <w:rPr>
          <w:szCs w:val="24"/>
          <w:lang w:val="es-AR"/>
        </w:rPr>
        <w:t xml:space="preserve"> CON SUS NIVELES DE </w:t>
      </w:r>
      <w:r w:rsidR="00306314" w:rsidRPr="00190842">
        <w:rPr>
          <w:szCs w:val="24"/>
          <w:lang w:val="es-AR"/>
        </w:rPr>
        <w:t xml:space="preserve">financiación </w:t>
      </w:r>
    </w:p>
    <w:p w14:paraId="05541D2D" w14:textId="407F6E4F" w:rsidR="00306314" w:rsidRPr="00190842" w:rsidRDefault="00306314" w:rsidP="007830AD">
      <w:pPr>
        <w:pStyle w:val="Title1"/>
        <w:rPr>
          <w:lang w:val="es-AR"/>
        </w:rPr>
      </w:pPr>
      <w:r w:rsidRPr="00190842">
        <w:rPr>
          <w:szCs w:val="24"/>
          <w:lang w:val="es-AR"/>
        </w:rPr>
        <w:t xml:space="preserve">(decisión 74/51 </w:t>
      </w:r>
      <w:r w:rsidRPr="00190842">
        <w:rPr>
          <w:caps w:val="0"/>
          <w:szCs w:val="24"/>
          <w:lang w:val="es-AR"/>
        </w:rPr>
        <w:t>d)</w:t>
      </w:r>
      <w:r w:rsidRPr="00190842">
        <w:rPr>
          <w:szCs w:val="24"/>
          <w:lang w:val="es-AR"/>
        </w:rPr>
        <w:t>)</w:t>
      </w:r>
      <w:r w:rsidRPr="00190842">
        <w:rPr>
          <w:lang w:val="es-AR"/>
        </w:rPr>
        <w:t xml:space="preserve"> </w:t>
      </w:r>
    </w:p>
    <w:p w14:paraId="06F007DD" w14:textId="7E8293C5" w:rsidR="00306314" w:rsidRDefault="00306314" w:rsidP="00190842">
      <w:pPr>
        <w:pStyle w:val="StyleHeader4Para4Left0Firstline0"/>
        <w:numPr>
          <w:ilvl w:val="0"/>
          <w:numId w:val="0"/>
        </w:numPr>
        <w:spacing w:after="0"/>
        <w:rPr>
          <w:lang w:val="es-AR"/>
        </w:rPr>
      </w:pPr>
    </w:p>
    <w:p w14:paraId="726BDB9B" w14:textId="77777777" w:rsidR="00247E29" w:rsidRPr="00190842" w:rsidRDefault="00247E29" w:rsidP="00190842">
      <w:pPr>
        <w:pStyle w:val="StyleHeader4Para4Left0Firstline0"/>
        <w:numPr>
          <w:ilvl w:val="0"/>
          <w:numId w:val="0"/>
        </w:numPr>
        <w:spacing w:after="0"/>
        <w:rPr>
          <w:lang w:val="es-AR"/>
        </w:rPr>
      </w:pPr>
    </w:p>
    <w:p w14:paraId="416A6BD2" w14:textId="6444F59F" w:rsidR="00306314" w:rsidRPr="00190842" w:rsidRDefault="009E3957" w:rsidP="00306314">
      <w:pPr>
        <w:rPr>
          <w:b/>
          <w:lang w:val="es-AR"/>
        </w:rPr>
      </w:pPr>
      <w:r>
        <w:rPr>
          <w:b/>
          <w:lang w:val="es-AR"/>
        </w:rPr>
        <w:t>Antecedentes</w:t>
      </w:r>
    </w:p>
    <w:p w14:paraId="2AB73C85" w14:textId="77777777" w:rsidR="00306314" w:rsidRPr="00190842" w:rsidRDefault="00306314" w:rsidP="00306314">
      <w:pPr>
        <w:rPr>
          <w:lang w:val="es-AR"/>
        </w:rPr>
      </w:pPr>
    </w:p>
    <w:p w14:paraId="52997D00" w14:textId="18E89900" w:rsidR="00306314" w:rsidRPr="00190842" w:rsidRDefault="00306314" w:rsidP="00306314">
      <w:pPr>
        <w:pStyle w:val="Heading1"/>
        <w:rPr>
          <w:lang w:val="es-AR"/>
        </w:rPr>
      </w:pPr>
      <w:r w:rsidRPr="009E3957">
        <w:rPr>
          <w:lang w:val="es-AR"/>
        </w:rPr>
        <w:t>En su 7</w:t>
      </w:r>
      <w:r w:rsidR="009E3957">
        <w:rPr>
          <w:lang w:val="es-AR"/>
        </w:rPr>
        <w:t xml:space="preserve">ª </w:t>
      </w:r>
      <w:r w:rsidRPr="00190842">
        <w:rPr>
          <w:lang w:val="es-AR"/>
        </w:rPr>
        <w:t xml:space="preserve">reunión (junio de 1992), </w:t>
      </w:r>
      <w:r w:rsidR="009E3957">
        <w:rPr>
          <w:lang w:val="es-AR"/>
        </w:rPr>
        <w:t xml:space="preserve">el </w:t>
      </w:r>
      <w:r w:rsidR="009E3957" w:rsidRPr="00190842">
        <w:rPr>
          <w:lang w:val="es-AR"/>
        </w:rPr>
        <w:t xml:space="preserve">Comité Ejecutivo </w:t>
      </w:r>
      <w:r w:rsidR="009E3957">
        <w:rPr>
          <w:lang w:val="es-AR"/>
        </w:rPr>
        <w:t xml:space="preserve">aprobó </w:t>
      </w:r>
      <w:r w:rsidRPr="00190842">
        <w:rPr>
          <w:lang w:val="es-AR"/>
        </w:rPr>
        <w:t xml:space="preserve">por primera vez </w:t>
      </w:r>
      <w:r w:rsidR="00095B59">
        <w:rPr>
          <w:lang w:val="es-AR"/>
        </w:rPr>
        <w:t>proyectos de fortalecimiento</w:t>
      </w:r>
      <w:r w:rsidR="00674039">
        <w:rPr>
          <w:lang w:val="es-AR"/>
        </w:rPr>
        <w:t xml:space="preserve"> institucional</w:t>
      </w:r>
      <w:r w:rsidRPr="00190842">
        <w:rPr>
          <w:vertAlign w:val="superscript"/>
          <w:lang w:val="es-AR"/>
        </w:rPr>
        <w:footnoteReference w:id="2"/>
      </w:r>
      <w:r w:rsidRPr="00190842">
        <w:rPr>
          <w:lang w:val="es-AR"/>
        </w:rPr>
        <w:t xml:space="preserve"> </w:t>
      </w:r>
      <w:r w:rsidR="00674039">
        <w:rPr>
          <w:lang w:val="es-AR"/>
        </w:rPr>
        <w:t xml:space="preserve">basándose </w:t>
      </w:r>
      <w:r w:rsidRPr="00190842">
        <w:rPr>
          <w:lang w:val="es-AR"/>
        </w:rPr>
        <w:t>en el documento UNEP/OzL.Pro</w:t>
      </w:r>
      <w:r w:rsidR="00190842">
        <w:rPr>
          <w:lang w:val="es-AR"/>
        </w:rPr>
        <w:t>/ExCom/</w:t>
      </w:r>
      <w:r w:rsidRPr="00190842">
        <w:rPr>
          <w:lang w:val="es-AR"/>
        </w:rPr>
        <w:t>7/20, "</w:t>
      </w:r>
      <w:r w:rsidR="00674039">
        <w:rPr>
          <w:lang w:val="es-AR"/>
        </w:rPr>
        <w:t>Fortalecimiento institucional</w:t>
      </w:r>
      <w:r w:rsidRPr="00190842">
        <w:rPr>
          <w:lang w:val="es-AR"/>
        </w:rPr>
        <w:t xml:space="preserve">", </w:t>
      </w:r>
      <w:r w:rsidR="00674039">
        <w:rPr>
          <w:lang w:val="es-AR"/>
        </w:rPr>
        <w:t xml:space="preserve">que contenía </w:t>
      </w:r>
      <w:r w:rsidR="00674039" w:rsidRPr="00190842">
        <w:rPr>
          <w:lang w:val="es-AR"/>
        </w:rPr>
        <w:t xml:space="preserve">categorías </w:t>
      </w:r>
      <w:r w:rsidR="00674039">
        <w:rPr>
          <w:lang w:val="es-AR"/>
        </w:rPr>
        <w:t xml:space="preserve">y </w:t>
      </w:r>
      <w:r w:rsidR="00364659">
        <w:rPr>
          <w:lang w:val="es-AR"/>
        </w:rPr>
        <w:t xml:space="preserve">los niveles máximos </w:t>
      </w:r>
      <w:r w:rsidRPr="00190842">
        <w:rPr>
          <w:lang w:val="es-AR"/>
        </w:rPr>
        <w:t>indicativ</w:t>
      </w:r>
      <w:r w:rsidR="00364659">
        <w:rPr>
          <w:lang w:val="es-AR"/>
        </w:rPr>
        <w:t>o</w:t>
      </w:r>
      <w:r w:rsidRPr="00190842">
        <w:rPr>
          <w:lang w:val="es-AR"/>
        </w:rPr>
        <w:t>s de financiamiento</w:t>
      </w:r>
      <w:r w:rsidR="00674039">
        <w:rPr>
          <w:lang w:val="es-AR"/>
        </w:rPr>
        <w:t xml:space="preserve"> para apoyar el fortalecimiento institucional</w:t>
      </w:r>
      <w:r w:rsidRPr="00190842">
        <w:rPr>
          <w:lang w:val="es-AR"/>
        </w:rPr>
        <w:t>.</w:t>
      </w:r>
      <w:r w:rsidRPr="00190842">
        <w:rPr>
          <w:rStyle w:val="FootnoteReference"/>
          <w:lang w:val="es-AR"/>
        </w:rPr>
        <w:footnoteReference w:id="3"/>
      </w:r>
      <w:r w:rsidRPr="00190842">
        <w:rPr>
          <w:lang w:val="es-AR"/>
        </w:rPr>
        <w:t xml:space="preserve"> </w:t>
      </w:r>
    </w:p>
    <w:p w14:paraId="655D5C2A" w14:textId="595C7FDB" w:rsidR="00306314" w:rsidRPr="00190842" w:rsidRDefault="00306314" w:rsidP="00306314">
      <w:pPr>
        <w:numPr>
          <w:ilvl w:val="0"/>
          <w:numId w:val="1"/>
        </w:numPr>
        <w:spacing w:after="240"/>
        <w:outlineLvl w:val="0"/>
        <w:rPr>
          <w:lang w:val="es-AR"/>
        </w:rPr>
      </w:pPr>
      <w:r w:rsidRPr="00190842">
        <w:rPr>
          <w:lang w:val="es-AR"/>
        </w:rPr>
        <w:t xml:space="preserve">Desde entonces, el Comité Ejecutivo </w:t>
      </w:r>
      <w:r w:rsidR="00674039">
        <w:rPr>
          <w:lang w:val="es-AR"/>
        </w:rPr>
        <w:t xml:space="preserve">trató oportunamente las cuestiones </w:t>
      </w:r>
      <w:r w:rsidRPr="00190842">
        <w:rPr>
          <w:lang w:val="es-AR"/>
        </w:rPr>
        <w:t>relacionadas con la financiación de</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principalmente cuando </w:t>
      </w:r>
      <w:r w:rsidR="00674039">
        <w:rPr>
          <w:lang w:val="es-AR"/>
        </w:rPr>
        <w:t xml:space="preserve">las Partes acordaron </w:t>
      </w:r>
      <w:r w:rsidRPr="00190842">
        <w:rPr>
          <w:lang w:val="es-AR"/>
        </w:rPr>
        <w:t>compromisos adicionales</w:t>
      </w:r>
      <w:r w:rsidR="00674039">
        <w:rPr>
          <w:lang w:val="es-AR"/>
        </w:rPr>
        <w:t xml:space="preserve"> de cumplimiento bajo el Protocolo de Montreal</w:t>
      </w:r>
      <w:r w:rsidRPr="00190842">
        <w:rPr>
          <w:lang w:val="es-AR"/>
        </w:rPr>
        <w:t>. Específicamente:</w:t>
      </w:r>
      <w:r w:rsidR="00674039">
        <w:rPr>
          <w:lang w:val="es-AR"/>
        </w:rPr>
        <w:t xml:space="preserve"> </w:t>
      </w:r>
    </w:p>
    <w:p w14:paraId="49A59811" w14:textId="2AC711B0" w:rsidR="00306314" w:rsidRPr="00190842" w:rsidRDefault="00306314" w:rsidP="00306314">
      <w:pPr>
        <w:pStyle w:val="Heading2"/>
        <w:rPr>
          <w:lang w:val="es-AR"/>
        </w:rPr>
      </w:pPr>
      <w:r w:rsidRPr="00190842">
        <w:rPr>
          <w:lang w:val="es-AR"/>
        </w:rPr>
        <w:t xml:space="preserve">En su </w:t>
      </w:r>
      <w:r w:rsidR="00674039">
        <w:rPr>
          <w:lang w:val="es-AR"/>
        </w:rPr>
        <w:t xml:space="preserve">19ª </w:t>
      </w:r>
      <w:r w:rsidRPr="00190842">
        <w:rPr>
          <w:lang w:val="es-AR"/>
        </w:rPr>
        <w:t xml:space="preserve">reunión (mayo de 1996), el Comité Ejecutivo </w:t>
      </w:r>
      <w:r w:rsidR="00674039">
        <w:rPr>
          <w:lang w:val="es-AR"/>
        </w:rPr>
        <w:t>trató</w:t>
      </w:r>
      <w:r w:rsidRPr="00190842">
        <w:rPr>
          <w:lang w:val="es-AR"/>
        </w:rPr>
        <w:t xml:space="preserve"> los niveles de </w:t>
      </w:r>
      <w:bookmarkStart w:id="0" w:name="_GoBack"/>
      <w:r w:rsidRPr="00190842">
        <w:rPr>
          <w:lang w:val="es-AR"/>
        </w:rPr>
        <w:t xml:space="preserve">financiación </w:t>
      </w:r>
      <w:bookmarkEnd w:id="0"/>
      <w:r w:rsidRPr="00190842">
        <w:rPr>
          <w:lang w:val="es-AR"/>
        </w:rPr>
        <w:t>para la renovación de</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674039">
        <w:rPr>
          <w:lang w:val="es-AR"/>
        </w:rPr>
        <w:t xml:space="preserve">cuando se habían terminado los proyectos de </w:t>
      </w:r>
      <w:r w:rsidR="00AA1ED5">
        <w:rPr>
          <w:lang w:val="es-AR"/>
        </w:rPr>
        <w:t>fortalecimiento institucional</w:t>
      </w:r>
      <w:r w:rsidRPr="00190842">
        <w:rPr>
          <w:lang w:val="es-AR"/>
        </w:rPr>
        <w:t xml:space="preserve"> aprobados para varios países del </w:t>
      </w:r>
      <w:r w:rsidR="00190842">
        <w:rPr>
          <w:lang w:val="es-AR"/>
        </w:rPr>
        <w:t>Artículo</w:t>
      </w:r>
      <w:r w:rsidRPr="00190842">
        <w:rPr>
          <w:lang w:val="es-AR"/>
        </w:rPr>
        <w:t xml:space="preserve"> 5, y decidi</w:t>
      </w:r>
      <w:r w:rsidR="00674039">
        <w:rPr>
          <w:lang w:val="es-AR"/>
        </w:rPr>
        <w:t>ó,</w:t>
      </w:r>
      <w:r w:rsidRPr="00190842">
        <w:rPr>
          <w:lang w:val="es-AR"/>
        </w:rPr>
        <w:t xml:space="preserve"> </w:t>
      </w:r>
      <w:r w:rsidRPr="00674039">
        <w:rPr>
          <w:lang w:val="es-AR"/>
        </w:rPr>
        <w:t>entre otras cosas</w:t>
      </w:r>
      <w:r w:rsidR="00674039">
        <w:rPr>
          <w:lang w:val="es-AR"/>
        </w:rPr>
        <w:t>,</w:t>
      </w:r>
      <w:r w:rsidRPr="00190842">
        <w:rPr>
          <w:i/>
          <w:lang w:val="es-AR"/>
        </w:rPr>
        <w:t xml:space="preserve"> </w:t>
      </w:r>
      <w:r w:rsidRPr="00190842">
        <w:rPr>
          <w:lang w:val="es-AR"/>
        </w:rPr>
        <w:t xml:space="preserve">que las renovaciones iniciales </w:t>
      </w:r>
      <w:r w:rsidR="00674039">
        <w:rPr>
          <w:lang w:val="es-AR"/>
        </w:rPr>
        <w:t xml:space="preserve">estarían </w:t>
      </w:r>
      <w:r w:rsidRPr="00190842">
        <w:rPr>
          <w:lang w:val="es-AR"/>
        </w:rPr>
        <w:t xml:space="preserve">en el mismo </w:t>
      </w:r>
      <w:r w:rsidRPr="00190842">
        <w:rPr>
          <w:lang w:val="es-AR"/>
        </w:rPr>
        <w:lastRenderedPageBreak/>
        <w:t>nivel de financiación</w:t>
      </w:r>
      <w:r w:rsidR="00364659">
        <w:rPr>
          <w:lang w:val="es-AR"/>
        </w:rPr>
        <w:t>,</w:t>
      </w:r>
      <w:r w:rsidRPr="00190842">
        <w:rPr>
          <w:lang w:val="es-AR"/>
        </w:rPr>
        <w:t xml:space="preserve"> por año</w:t>
      </w:r>
      <w:r w:rsidR="00364659">
        <w:rPr>
          <w:lang w:val="es-AR"/>
        </w:rPr>
        <w:t>,</w:t>
      </w:r>
      <w:r w:rsidRPr="00190842">
        <w:rPr>
          <w:lang w:val="es-AR"/>
        </w:rPr>
        <w:t xml:space="preserve"> </w:t>
      </w:r>
      <w:r w:rsidR="00614879">
        <w:rPr>
          <w:lang w:val="es-AR"/>
        </w:rPr>
        <w:t xml:space="preserve">de </w:t>
      </w:r>
      <w:r w:rsidRPr="00190842">
        <w:rPr>
          <w:lang w:val="es-AR"/>
        </w:rPr>
        <w:t xml:space="preserve">la primera aprobación por dos años y serían condicionales </w:t>
      </w:r>
      <w:r w:rsidR="00674039">
        <w:rPr>
          <w:lang w:val="es-AR"/>
        </w:rPr>
        <w:t>a</w:t>
      </w:r>
      <w:r w:rsidRPr="00190842">
        <w:rPr>
          <w:lang w:val="es-AR"/>
        </w:rPr>
        <w:t xml:space="preserve"> un </w:t>
      </w:r>
      <w:r w:rsidR="00674039">
        <w:rPr>
          <w:lang w:val="es-AR"/>
        </w:rPr>
        <w:t>informe sobre la marcha de las actividades</w:t>
      </w:r>
      <w:r w:rsidRPr="00190842">
        <w:rPr>
          <w:lang w:val="es-AR"/>
        </w:rPr>
        <w:t xml:space="preserve"> y un plan </w:t>
      </w:r>
      <w:r w:rsidR="00985AC8">
        <w:rPr>
          <w:lang w:val="es-AR"/>
        </w:rPr>
        <w:t xml:space="preserve">enunciado </w:t>
      </w:r>
      <w:r w:rsidRPr="00190842">
        <w:rPr>
          <w:lang w:val="es-AR"/>
        </w:rPr>
        <w:t xml:space="preserve">de acción futura; cualquier renovación </w:t>
      </w:r>
      <w:r w:rsidR="00985AC8">
        <w:rPr>
          <w:lang w:val="es-AR"/>
        </w:rPr>
        <w:t>posterior</w:t>
      </w:r>
      <w:r w:rsidRPr="00190842">
        <w:rPr>
          <w:lang w:val="es-AR"/>
        </w:rPr>
        <w:t xml:space="preserve"> también sería por dos años (decisión 19/29);</w:t>
      </w:r>
    </w:p>
    <w:p w14:paraId="70C791B9" w14:textId="0435E1C3" w:rsidR="00306314" w:rsidRPr="003158A9" w:rsidRDefault="00306314" w:rsidP="00B435EB">
      <w:pPr>
        <w:pStyle w:val="Heading2"/>
        <w:rPr>
          <w:lang w:val="es-AR"/>
        </w:rPr>
      </w:pPr>
      <w:r w:rsidRPr="003158A9">
        <w:rPr>
          <w:lang w:val="es-AR"/>
        </w:rPr>
        <w:t>En su 35</w:t>
      </w:r>
      <w:r w:rsidR="00985AC8" w:rsidRPr="003158A9">
        <w:rPr>
          <w:lang w:val="es-AR"/>
        </w:rPr>
        <w:t xml:space="preserve">ª </w:t>
      </w:r>
      <w:r w:rsidRPr="003158A9">
        <w:rPr>
          <w:lang w:val="es-AR"/>
        </w:rPr>
        <w:t xml:space="preserve">reunión (diciembre de 2001), </w:t>
      </w:r>
      <w:r w:rsidR="003158A9">
        <w:rPr>
          <w:lang w:val="es-AR"/>
        </w:rPr>
        <w:t xml:space="preserve">durante las </w:t>
      </w:r>
      <w:r w:rsidR="00985AC8" w:rsidRPr="003158A9">
        <w:rPr>
          <w:lang w:val="es-AR"/>
        </w:rPr>
        <w:t xml:space="preserve">deliberaciones </w:t>
      </w:r>
      <w:r w:rsidRPr="003158A9">
        <w:rPr>
          <w:lang w:val="es-AR"/>
        </w:rPr>
        <w:t xml:space="preserve">de un </w:t>
      </w:r>
      <w:r w:rsidR="00985AC8" w:rsidRPr="003158A9">
        <w:rPr>
          <w:lang w:val="es-AR"/>
        </w:rPr>
        <w:t xml:space="preserve">documento de sesión </w:t>
      </w:r>
      <w:r w:rsidRPr="003158A9">
        <w:rPr>
          <w:lang w:val="es-AR"/>
        </w:rPr>
        <w:t>"</w:t>
      </w:r>
      <w:r w:rsidR="003158A9" w:rsidRPr="003158A9">
        <w:rPr>
          <w:lang w:val="es-AR"/>
        </w:rPr>
        <w:t>Propuesta para aplicar la primera etapa del marco estratégico aprobado por el Comité Ejecutivo en su 32ª Reunión</w:t>
      </w:r>
      <w:r w:rsidRPr="003158A9">
        <w:rPr>
          <w:lang w:val="es-AR"/>
        </w:rPr>
        <w:t>",</w:t>
      </w:r>
      <w:r w:rsidRPr="00190842">
        <w:rPr>
          <w:rStyle w:val="FootnoteReference"/>
          <w:lang w:val="es-AR"/>
        </w:rPr>
        <w:footnoteReference w:id="4"/>
      </w:r>
      <w:r w:rsidRPr="003158A9">
        <w:rPr>
          <w:lang w:val="es-AR"/>
        </w:rPr>
        <w:t xml:space="preserve"> el </w:t>
      </w:r>
      <w:r w:rsidR="00190842" w:rsidRPr="003158A9">
        <w:rPr>
          <w:lang w:val="es-AR"/>
        </w:rPr>
        <w:t>Comité Ejecutivo decidió</w:t>
      </w:r>
      <w:r w:rsidR="00985AC8" w:rsidRPr="003158A9">
        <w:rPr>
          <w:lang w:val="es-AR"/>
        </w:rPr>
        <w:t>,</w:t>
      </w:r>
      <w:r w:rsidRPr="003158A9">
        <w:rPr>
          <w:lang w:val="es-AR"/>
        </w:rPr>
        <w:t xml:space="preserve"> entre otras cosas</w:t>
      </w:r>
      <w:r w:rsidR="00985AC8" w:rsidRPr="003158A9">
        <w:rPr>
          <w:lang w:val="es-AR"/>
        </w:rPr>
        <w:t>,</w:t>
      </w:r>
      <w:r w:rsidRPr="003158A9">
        <w:rPr>
          <w:i/>
          <w:lang w:val="es-AR"/>
        </w:rPr>
        <w:t xml:space="preserve"> </w:t>
      </w:r>
      <w:r w:rsidRPr="003158A9">
        <w:rPr>
          <w:lang w:val="es-AR"/>
        </w:rPr>
        <w:t>que todos</w:t>
      </w:r>
      <w:r w:rsidR="00674039" w:rsidRPr="003158A9">
        <w:rPr>
          <w:lang w:val="es-AR"/>
        </w:rPr>
        <w:t xml:space="preserve"> proyectos de </w:t>
      </w:r>
      <w:r w:rsidR="00AA1ED5" w:rsidRPr="003158A9">
        <w:rPr>
          <w:lang w:val="es-AR"/>
        </w:rPr>
        <w:t>fortalecimiento institucional</w:t>
      </w:r>
      <w:r w:rsidRPr="003158A9">
        <w:rPr>
          <w:lang w:val="es-AR"/>
        </w:rPr>
        <w:t xml:space="preserve"> y las renovaciones </w:t>
      </w:r>
      <w:r w:rsidR="00985AC8" w:rsidRPr="003158A9">
        <w:rPr>
          <w:lang w:val="es-AR"/>
        </w:rPr>
        <w:t xml:space="preserve">deberían </w:t>
      </w:r>
      <w:r w:rsidRPr="003158A9">
        <w:rPr>
          <w:lang w:val="es-AR"/>
        </w:rPr>
        <w:t>aprobar</w:t>
      </w:r>
      <w:r w:rsidR="00985AC8" w:rsidRPr="003158A9">
        <w:rPr>
          <w:lang w:val="es-AR"/>
        </w:rPr>
        <w:t>se</w:t>
      </w:r>
      <w:r w:rsidRPr="003158A9">
        <w:rPr>
          <w:lang w:val="es-AR"/>
        </w:rPr>
        <w:t xml:space="preserve"> en un nivel </w:t>
      </w:r>
      <w:r w:rsidR="003158A9">
        <w:rPr>
          <w:lang w:val="es-AR"/>
        </w:rPr>
        <w:t>d</w:t>
      </w:r>
      <w:r w:rsidRPr="003158A9">
        <w:rPr>
          <w:lang w:val="es-AR"/>
        </w:rPr>
        <w:t xml:space="preserve">el 30 por ciento más </w:t>
      </w:r>
      <w:r w:rsidR="00193AA4" w:rsidRPr="003158A9">
        <w:rPr>
          <w:lang w:val="es-AR"/>
        </w:rPr>
        <w:t>d</w:t>
      </w:r>
      <w:r w:rsidRPr="003158A9">
        <w:rPr>
          <w:lang w:val="es-AR"/>
        </w:rPr>
        <w:t xml:space="preserve">el nivel </w:t>
      </w:r>
      <w:r w:rsidR="00193AA4" w:rsidRPr="003158A9">
        <w:rPr>
          <w:lang w:val="es-AR"/>
        </w:rPr>
        <w:t>acordado</w:t>
      </w:r>
      <w:r w:rsidR="003158A9">
        <w:rPr>
          <w:lang w:val="es-AR"/>
        </w:rPr>
        <w:t xml:space="preserve"> </w:t>
      </w:r>
      <w:r w:rsidR="003158A9" w:rsidRPr="003158A9">
        <w:rPr>
          <w:lang w:val="es-AR"/>
        </w:rPr>
        <w:t>históricamente</w:t>
      </w:r>
      <w:r w:rsidRPr="003158A9">
        <w:rPr>
          <w:lang w:val="es-AR"/>
        </w:rPr>
        <w:t xml:space="preserve">, </w:t>
      </w:r>
      <w:r w:rsidR="00193AA4" w:rsidRPr="003158A9">
        <w:rPr>
          <w:lang w:val="es-AR"/>
        </w:rPr>
        <w:t xml:space="preserve">para </w:t>
      </w:r>
      <w:r w:rsidRPr="003158A9">
        <w:rPr>
          <w:lang w:val="es-AR"/>
        </w:rPr>
        <w:t>ayudar a</w:t>
      </w:r>
      <w:r w:rsidR="003158A9">
        <w:rPr>
          <w:lang w:val="es-AR"/>
        </w:rPr>
        <w:t xml:space="preserve"> los</w:t>
      </w:r>
      <w:r w:rsidRPr="003158A9">
        <w:rPr>
          <w:lang w:val="es-AR"/>
        </w:rPr>
        <w:t xml:space="preserve"> países </w:t>
      </w:r>
      <w:r w:rsidR="00193AA4" w:rsidRPr="003158A9">
        <w:rPr>
          <w:lang w:val="es-AR"/>
        </w:rPr>
        <w:t>a</w:t>
      </w:r>
      <w:r w:rsidRPr="003158A9">
        <w:rPr>
          <w:lang w:val="es-AR"/>
        </w:rPr>
        <w:t xml:space="preserve"> realizar el </w:t>
      </w:r>
      <w:r w:rsidR="00193AA4" w:rsidRPr="003158A9">
        <w:rPr>
          <w:lang w:val="es-AR"/>
        </w:rPr>
        <w:t xml:space="preserve">nuevo </w:t>
      </w:r>
      <w:r w:rsidRPr="003158A9">
        <w:rPr>
          <w:lang w:val="es-AR"/>
        </w:rPr>
        <w:t xml:space="preserve">marco estratégico del </w:t>
      </w:r>
      <w:r w:rsidR="00190842" w:rsidRPr="003158A9">
        <w:rPr>
          <w:lang w:val="es-AR"/>
        </w:rPr>
        <w:t>Fondo Multilateral</w:t>
      </w:r>
      <w:r w:rsidRPr="003158A9">
        <w:rPr>
          <w:lang w:val="es-AR"/>
        </w:rPr>
        <w:t xml:space="preserve">, y proporcionar </w:t>
      </w:r>
      <w:r w:rsidR="00193AA4" w:rsidRPr="003158A9">
        <w:rPr>
          <w:lang w:val="es-AR"/>
        </w:rPr>
        <w:t xml:space="preserve">mayor </w:t>
      </w:r>
      <w:r w:rsidRPr="003158A9">
        <w:rPr>
          <w:lang w:val="es-AR"/>
        </w:rPr>
        <w:t xml:space="preserve">ayuda </w:t>
      </w:r>
      <w:r w:rsidR="003158A9">
        <w:rPr>
          <w:lang w:val="es-AR"/>
        </w:rPr>
        <w:t xml:space="preserve">a </w:t>
      </w:r>
      <w:r w:rsidRPr="003158A9">
        <w:rPr>
          <w:lang w:val="es-AR"/>
        </w:rPr>
        <w:t>áreas cr</w:t>
      </w:r>
      <w:r w:rsidR="003158A9">
        <w:rPr>
          <w:lang w:val="es-AR"/>
        </w:rPr>
        <w:t xml:space="preserve">uciales </w:t>
      </w:r>
      <w:r w:rsidRPr="003158A9">
        <w:rPr>
          <w:lang w:val="es-AR"/>
        </w:rPr>
        <w:t xml:space="preserve">como </w:t>
      </w:r>
      <w:r w:rsidR="003158A9">
        <w:rPr>
          <w:lang w:val="es-AR"/>
        </w:rPr>
        <w:t xml:space="preserve">la </w:t>
      </w:r>
      <w:r w:rsidR="00193AA4" w:rsidRPr="003158A9">
        <w:rPr>
          <w:lang w:val="es-AR"/>
        </w:rPr>
        <w:t xml:space="preserve">sensibilización </w:t>
      </w:r>
      <w:r w:rsidRPr="003158A9">
        <w:rPr>
          <w:lang w:val="es-AR"/>
        </w:rPr>
        <w:t>(decisión 35/57);</w:t>
      </w:r>
    </w:p>
    <w:p w14:paraId="332E6656" w14:textId="472E4487" w:rsidR="00306314" w:rsidRPr="00190842" w:rsidRDefault="00306314" w:rsidP="00306314">
      <w:pPr>
        <w:pStyle w:val="Heading2"/>
        <w:rPr>
          <w:lang w:val="es-AR"/>
        </w:rPr>
      </w:pPr>
      <w:r w:rsidRPr="00190842">
        <w:rPr>
          <w:lang w:val="es-AR"/>
        </w:rPr>
        <w:t>En su 59</w:t>
      </w:r>
      <w:r w:rsidR="00193AA4">
        <w:rPr>
          <w:lang w:val="es-AR"/>
        </w:rPr>
        <w:t>ª reunión</w:t>
      </w:r>
      <w:r w:rsidRPr="00190842">
        <w:rPr>
          <w:lang w:val="es-AR"/>
        </w:rPr>
        <w:t xml:space="preserve">, el </w:t>
      </w:r>
      <w:r w:rsidR="00190842">
        <w:rPr>
          <w:lang w:val="es-AR"/>
        </w:rPr>
        <w:t>Comité Ejecutivo decidió</w:t>
      </w:r>
      <w:r w:rsidRPr="00190842">
        <w:rPr>
          <w:lang w:val="es-AR"/>
        </w:rPr>
        <w:t xml:space="preserve"> extender la ayuda financiera para</w:t>
      </w:r>
      <w:r w:rsidR="00193AA4">
        <w:rPr>
          <w:lang w:val="es-AR"/>
        </w:rPr>
        <w:t xml:space="preserve"> el financiamiento de fortalecimiento institucional </w:t>
      </w:r>
      <w:r w:rsidRPr="00190842">
        <w:rPr>
          <w:lang w:val="es-AR"/>
        </w:rPr>
        <w:t xml:space="preserve">para </w:t>
      </w:r>
      <w:r w:rsidR="00190842">
        <w:rPr>
          <w:lang w:val="es-AR"/>
        </w:rPr>
        <w:t>las Partes al amparo del Artículo</w:t>
      </w:r>
      <w:r w:rsidRPr="00190842">
        <w:rPr>
          <w:lang w:val="es-AR"/>
        </w:rPr>
        <w:t xml:space="preserve"> 5 </w:t>
      </w:r>
      <w:r w:rsidR="00193AA4">
        <w:rPr>
          <w:lang w:val="es-AR"/>
        </w:rPr>
        <w:t xml:space="preserve">después </w:t>
      </w:r>
      <w:r w:rsidRPr="00190842">
        <w:rPr>
          <w:lang w:val="es-AR"/>
        </w:rPr>
        <w:t xml:space="preserve">de 2010 hasta diciembre de 2011; y permitir que </w:t>
      </w:r>
      <w:r w:rsidR="00193AA4">
        <w:rPr>
          <w:lang w:val="es-AR"/>
        </w:rPr>
        <w:t>dichas</w:t>
      </w:r>
      <w:r w:rsidR="00190842">
        <w:rPr>
          <w:lang w:val="es-AR"/>
        </w:rPr>
        <w:t xml:space="preserve"> Partes </w:t>
      </w:r>
      <w:r w:rsidR="00193AA4">
        <w:rPr>
          <w:lang w:val="es-AR"/>
        </w:rPr>
        <w:t xml:space="preserve">presentaran </w:t>
      </w:r>
      <w:r w:rsidRPr="00190842">
        <w:rPr>
          <w:lang w:val="es-AR"/>
        </w:rPr>
        <w:t>su</w:t>
      </w:r>
      <w:r w:rsidR="00193AA4">
        <w:rPr>
          <w:lang w:val="es-AR"/>
        </w:rPr>
        <w:t>s</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como proyectos independientes o dentro de sus planes de gestión de eliminación de </w:t>
      </w:r>
      <w:r w:rsidR="00190842">
        <w:rPr>
          <w:lang w:val="es-AR"/>
        </w:rPr>
        <w:t>los HCFC</w:t>
      </w:r>
      <w:r w:rsidRPr="00190842">
        <w:rPr>
          <w:lang w:val="es-AR"/>
        </w:rPr>
        <w:t xml:space="preserve"> (decisión 59/47); </w:t>
      </w:r>
    </w:p>
    <w:p w14:paraId="1618BC19" w14:textId="4616F985" w:rsidR="00306314" w:rsidRPr="00190842" w:rsidRDefault="00306314" w:rsidP="00306314">
      <w:pPr>
        <w:pStyle w:val="Heading2"/>
        <w:rPr>
          <w:lang w:val="es-AR"/>
        </w:rPr>
      </w:pPr>
      <w:r w:rsidRPr="00190842">
        <w:rPr>
          <w:lang w:val="es-AR"/>
        </w:rPr>
        <w:t>En su 61</w:t>
      </w:r>
      <w:r w:rsidR="00193AA4">
        <w:rPr>
          <w:lang w:val="es-AR"/>
        </w:rPr>
        <w:t>ª reunión</w:t>
      </w:r>
      <w:r w:rsidRPr="00190842">
        <w:rPr>
          <w:lang w:val="es-AR"/>
        </w:rPr>
        <w:t xml:space="preserve"> (julio de 2010), el </w:t>
      </w:r>
      <w:r w:rsidR="00190842">
        <w:rPr>
          <w:lang w:val="es-AR"/>
        </w:rPr>
        <w:t>Comité Ejecutivo decidió</w:t>
      </w:r>
      <w:r w:rsidRPr="00190842">
        <w:rPr>
          <w:lang w:val="es-AR"/>
        </w:rPr>
        <w:t xml:space="preserve"> mantener la financiación para</w:t>
      </w:r>
      <w:r w:rsidR="00190842">
        <w:rPr>
          <w:lang w:val="es-AR"/>
        </w:rPr>
        <w:t xml:space="preserve"> </w:t>
      </w:r>
      <w:r w:rsidR="00193AA4">
        <w:rPr>
          <w:lang w:val="es-AR"/>
        </w:rPr>
        <w:t xml:space="preserve">apoyar el fortalecimiento institucional </w:t>
      </w:r>
      <w:r w:rsidRPr="00190842">
        <w:rPr>
          <w:lang w:val="es-AR"/>
        </w:rPr>
        <w:t>en los niveles existentes, renovar</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p</w:t>
      </w:r>
      <w:r w:rsidR="003158A9">
        <w:rPr>
          <w:lang w:val="es-AR"/>
        </w:rPr>
        <w:t>or</w:t>
      </w:r>
      <w:r w:rsidRPr="00190842">
        <w:rPr>
          <w:lang w:val="es-AR"/>
        </w:rPr>
        <w:t xml:space="preserve"> </w:t>
      </w:r>
      <w:r w:rsidR="00193AA4">
        <w:rPr>
          <w:lang w:val="es-AR"/>
        </w:rPr>
        <w:t>un</w:t>
      </w:r>
      <w:r w:rsidRPr="00190842">
        <w:rPr>
          <w:lang w:val="es-AR"/>
        </w:rPr>
        <w:t xml:space="preserve"> período de dos años </w:t>
      </w:r>
      <w:r w:rsidR="00193AA4">
        <w:rPr>
          <w:lang w:val="es-AR"/>
        </w:rPr>
        <w:t xml:space="preserve">a partir </w:t>
      </w:r>
      <w:r w:rsidRPr="00190842">
        <w:rPr>
          <w:lang w:val="es-AR"/>
        </w:rPr>
        <w:t>de la 61</w:t>
      </w:r>
      <w:r w:rsidR="00193AA4">
        <w:rPr>
          <w:lang w:val="es-AR"/>
        </w:rPr>
        <w:t xml:space="preserve">ª </w:t>
      </w:r>
      <w:r w:rsidRPr="00190842">
        <w:rPr>
          <w:lang w:val="es-AR"/>
        </w:rPr>
        <w:t>reunión,</w:t>
      </w:r>
      <w:r w:rsidRPr="00190842">
        <w:rPr>
          <w:rStyle w:val="FootnoteReference"/>
          <w:lang w:val="es-AR"/>
        </w:rPr>
        <w:footnoteReference w:id="5"/>
      </w:r>
      <w:r w:rsidRPr="00190842">
        <w:rPr>
          <w:lang w:val="es-AR"/>
        </w:rPr>
        <w:t xml:space="preserve"> y </w:t>
      </w:r>
      <w:r w:rsidR="00193AA4">
        <w:rPr>
          <w:lang w:val="es-AR"/>
        </w:rPr>
        <w:t xml:space="preserve">examinar </w:t>
      </w:r>
      <w:r w:rsidR="003158A9">
        <w:rPr>
          <w:lang w:val="es-AR"/>
        </w:rPr>
        <w:t xml:space="preserve">la financiación continuada </w:t>
      </w:r>
      <w:r w:rsidR="00193AA4">
        <w:rPr>
          <w:lang w:val="es-AR"/>
        </w:rPr>
        <w:t xml:space="preserve">de fortalecimiento institucional </w:t>
      </w:r>
      <w:r w:rsidRPr="00190842">
        <w:rPr>
          <w:lang w:val="es-AR"/>
        </w:rPr>
        <w:t xml:space="preserve">en esos niveles en la primera reunión en 2015 </w:t>
      </w:r>
      <w:r w:rsidR="00193AA4">
        <w:rPr>
          <w:lang w:val="es-AR"/>
        </w:rPr>
        <w:t>(decisión</w:t>
      </w:r>
      <w:r w:rsidRPr="00190842">
        <w:rPr>
          <w:lang w:val="es-AR"/>
        </w:rPr>
        <w:t> 61/43 b)); y</w:t>
      </w:r>
    </w:p>
    <w:p w14:paraId="4DF4D02A" w14:textId="4A29F7E9" w:rsidR="00306314" w:rsidRPr="00190842" w:rsidRDefault="00306314" w:rsidP="00306314">
      <w:pPr>
        <w:pStyle w:val="Heading2"/>
        <w:rPr>
          <w:lang w:val="es-AR"/>
        </w:rPr>
      </w:pPr>
      <w:r w:rsidRPr="00190842">
        <w:rPr>
          <w:lang w:val="es-AR"/>
        </w:rPr>
        <w:t>En su 74</w:t>
      </w:r>
      <w:r w:rsidR="00193AA4">
        <w:rPr>
          <w:lang w:val="es-AR"/>
        </w:rPr>
        <w:t>ª reunión</w:t>
      </w:r>
      <w:r w:rsidRPr="00190842">
        <w:rPr>
          <w:lang w:val="es-AR"/>
        </w:rPr>
        <w:t xml:space="preserve"> (mayo de 2015), el Comité Ejecutivo </w:t>
      </w:r>
      <w:r w:rsidR="00193AA4">
        <w:rPr>
          <w:lang w:val="es-AR"/>
        </w:rPr>
        <w:t xml:space="preserve">estudió </w:t>
      </w:r>
      <w:r w:rsidRPr="00190842">
        <w:rPr>
          <w:lang w:val="es-AR"/>
        </w:rPr>
        <w:t>el documento UNEP/OzL.Pro</w:t>
      </w:r>
      <w:r w:rsidR="00190842">
        <w:rPr>
          <w:lang w:val="es-AR"/>
        </w:rPr>
        <w:t>/ExCom/</w:t>
      </w:r>
      <w:r w:rsidRPr="00190842">
        <w:rPr>
          <w:lang w:val="es-AR"/>
        </w:rPr>
        <w:t>74/51, "</w:t>
      </w:r>
      <w:r w:rsidR="003158A9">
        <w:rPr>
          <w:lang w:val="es-AR"/>
        </w:rPr>
        <w:t xml:space="preserve">Examen del financiamiento de proyectos de </w:t>
      </w:r>
      <w:r w:rsidR="009E64B3">
        <w:rPr>
          <w:lang w:val="es-AR"/>
        </w:rPr>
        <w:t>fortalecimiento institucional</w:t>
      </w:r>
      <w:r w:rsidR="003158A9">
        <w:rPr>
          <w:lang w:val="es-AR"/>
        </w:rPr>
        <w:t xml:space="preserve"> </w:t>
      </w:r>
      <w:r w:rsidRPr="00190842">
        <w:rPr>
          <w:lang w:val="es-AR"/>
        </w:rPr>
        <w:t>(decisión 61/43 b))</w:t>
      </w:r>
      <w:r w:rsidRPr="00190842">
        <w:rPr>
          <w:rStyle w:val="FootnoteReference"/>
          <w:lang w:val="es-AR"/>
        </w:rPr>
        <w:footnoteReference w:id="6"/>
      </w:r>
      <w:r w:rsidRPr="00190842">
        <w:rPr>
          <w:lang w:val="es-AR"/>
        </w:rPr>
        <w:t xml:space="preserve">" y </w:t>
      </w:r>
      <w:r w:rsidRPr="00193AA4">
        <w:rPr>
          <w:lang w:val="es-AR"/>
        </w:rPr>
        <w:t>entre otras cosas</w:t>
      </w:r>
      <w:r w:rsidRPr="00190842">
        <w:rPr>
          <w:lang w:val="es-AR"/>
        </w:rPr>
        <w:t xml:space="preserve">, </w:t>
      </w:r>
      <w:r w:rsidR="003158A9">
        <w:rPr>
          <w:lang w:val="es-AR"/>
        </w:rPr>
        <w:t xml:space="preserve"> </w:t>
      </w:r>
    </w:p>
    <w:p w14:paraId="43E2C73B" w14:textId="314EE6E1" w:rsidR="00306314" w:rsidRPr="00190842" w:rsidRDefault="00193AA4" w:rsidP="00306314">
      <w:pPr>
        <w:pStyle w:val="Heading3"/>
        <w:rPr>
          <w:lang w:val="es-AR"/>
        </w:rPr>
      </w:pPr>
      <w:r>
        <w:rPr>
          <w:lang w:val="es-AR"/>
        </w:rPr>
        <w:t xml:space="preserve">Aprobó </w:t>
      </w:r>
      <w:r w:rsidR="00306314" w:rsidRPr="00190842">
        <w:rPr>
          <w:lang w:val="es-AR"/>
        </w:rPr>
        <w:t xml:space="preserve">todos los proyectos y las renovaciones </w:t>
      </w:r>
      <w:r w:rsidR="00DF14AE">
        <w:rPr>
          <w:lang w:val="es-AR"/>
        </w:rPr>
        <w:t>a</w:t>
      </w:r>
      <w:r w:rsidR="00306314" w:rsidRPr="00190842">
        <w:rPr>
          <w:lang w:val="es-AR"/>
        </w:rPr>
        <w:t xml:space="preserve">l 28 por ciento más </w:t>
      </w:r>
      <w:r w:rsidR="003158A9">
        <w:rPr>
          <w:lang w:val="es-AR"/>
        </w:rPr>
        <w:t>d</w:t>
      </w:r>
      <w:r w:rsidR="00306314" w:rsidRPr="00190842">
        <w:rPr>
          <w:lang w:val="es-AR"/>
        </w:rPr>
        <w:t xml:space="preserve">el nivel </w:t>
      </w:r>
      <w:r w:rsidR="00DF14AE">
        <w:rPr>
          <w:lang w:val="es-AR"/>
        </w:rPr>
        <w:t>acordado</w:t>
      </w:r>
      <w:r w:rsidR="003158A9">
        <w:rPr>
          <w:lang w:val="es-AR"/>
        </w:rPr>
        <w:t xml:space="preserve"> históricamente</w:t>
      </w:r>
      <w:r w:rsidR="00306314" w:rsidRPr="00190842">
        <w:rPr>
          <w:lang w:val="es-AR"/>
        </w:rPr>
        <w:t xml:space="preserve">, con un </w:t>
      </w:r>
      <w:r w:rsidR="00DF14AE">
        <w:rPr>
          <w:lang w:val="es-AR"/>
        </w:rPr>
        <w:t>nivel mínimo de financiamiento</w:t>
      </w:r>
      <w:r w:rsidR="00306314" w:rsidRPr="00190842">
        <w:rPr>
          <w:lang w:val="es-AR"/>
        </w:rPr>
        <w:t xml:space="preserve"> de</w:t>
      </w:r>
      <w:r w:rsidR="00DF14AE">
        <w:rPr>
          <w:lang w:val="es-AR"/>
        </w:rPr>
        <w:t xml:space="preserve"> $EUA </w:t>
      </w:r>
      <w:r w:rsidR="00306314" w:rsidRPr="00190842">
        <w:rPr>
          <w:lang w:val="es-AR"/>
        </w:rPr>
        <w:t>4</w:t>
      </w:r>
      <w:r w:rsidR="00190842" w:rsidRPr="00190842">
        <w:rPr>
          <w:lang w:val="es-AR"/>
        </w:rPr>
        <w:t>2</w:t>
      </w:r>
      <w:r w:rsidR="00190842">
        <w:rPr>
          <w:lang w:val="es-AR"/>
        </w:rPr>
        <w:t xml:space="preserve"> </w:t>
      </w:r>
      <w:r w:rsidR="00190842" w:rsidRPr="00190842">
        <w:rPr>
          <w:lang w:val="es-AR"/>
        </w:rPr>
        <w:t>500</w:t>
      </w:r>
      <w:r w:rsidR="00306314" w:rsidRPr="00190842">
        <w:rPr>
          <w:lang w:val="es-AR"/>
        </w:rPr>
        <w:t xml:space="preserve"> por año, para </w:t>
      </w:r>
      <w:r w:rsidR="003158A9">
        <w:rPr>
          <w:lang w:val="es-AR"/>
        </w:rPr>
        <w:t xml:space="preserve">continuar ayudando el </w:t>
      </w:r>
      <w:r w:rsidR="00DF14AE">
        <w:rPr>
          <w:lang w:val="es-AR"/>
        </w:rPr>
        <w:t>cumplimiento</w:t>
      </w:r>
      <w:r w:rsidR="00306314" w:rsidRPr="00190842">
        <w:rPr>
          <w:lang w:val="es-AR"/>
        </w:rPr>
        <w:t xml:space="preserve"> con el </w:t>
      </w:r>
      <w:r w:rsidR="00190842">
        <w:rPr>
          <w:lang w:val="es-AR"/>
        </w:rPr>
        <w:t>Protocolo</w:t>
      </w:r>
      <w:r w:rsidR="00306314" w:rsidRPr="00190842">
        <w:rPr>
          <w:lang w:val="es-AR"/>
        </w:rPr>
        <w:t xml:space="preserve"> de Montreal y </w:t>
      </w:r>
      <w:r w:rsidR="00DF14AE">
        <w:rPr>
          <w:lang w:val="es-AR"/>
        </w:rPr>
        <w:t xml:space="preserve">abordar </w:t>
      </w:r>
      <w:r w:rsidR="00306314" w:rsidRPr="00190842">
        <w:rPr>
          <w:lang w:val="es-AR"/>
        </w:rPr>
        <w:t>l</w:t>
      </w:r>
      <w:r w:rsidR="00DF14AE">
        <w:rPr>
          <w:lang w:val="es-AR"/>
        </w:rPr>
        <w:t xml:space="preserve">as dificultades </w:t>
      </w:r>
      <w:r w:rsidR="00306314" w:rsidRPr="00190842">
        <w:rPr>
          <w:lang w:val="es-AR"/>
        </w:rPr>
        <w:t>relacionad</w:t>
      </w:r>
      <w:r w:rsidR="00DF14AE">
        <w:rPr>
          <w:lang w:val="es-AR"/>
        </w:rPr>
        <w:t>a</w:t>
      </w:r>
      <w:r w:rsidR="00306314" w:rsidRPr="00190842">
        <w:rPr>
          <w:lang w:val="es-AR"/>
        </w:rPr>
        <w:t xml:space="preserve">s con </w:t>
      </w:r>
      <w:r w:rsidR="00DF14AE">
        <w:rPr>
          <w:lang w:val="es-AR"/>
        </w:rPr>
        <w:t>la eliminación de los HCFC</w:t>
      </w:r>
      <w:r w:rsidR="00306314" w:rsidRPr="00190842">
        <w:rPr>
          <w:lang w:val="es-AR"/>
        </w:rPr>
        <w:t xml:space="preserve"> conforme a los objetivos de la decisión XIX/6 y la transición a alternativas que minimizan </w:t>
      </w:r>
      <w:r w:rsidR="00464A71">
        <w:rPr>
          <w:lang w:val="es-AR"/>
        </w:rPr>
        <w:t>el impacto ambiental</w:t>
      </w:r>
      <w:r w:rsidR="00306314" w:rsidRPr="00190842">
        <w:rPr>
          <w:lang w:val="es-AR"/>
        </w:rPr>
        <w:t xml:space="preserve">; </w:t>
      </w:r>
    </w:p>
    <w:p w14:paraId="6E01F274" w14:textId="782D1A6E" w:rsidR="00306314" w:rsidRPr="00190842" w:rsidRDefault="00306314" w:rsidP="00306314">
      <w:pPr>
        <w:pStyle w:val="Heading3"/>
        <w:rPr>
          <w:lang w:val="es-AR"/>
        </w:rPr>
      </w:pPr>
      <w:r w:rsidRPr="00190842">
        <w:rPr>
          <w:lang w:val="es-AR"/>
        </w:rPr>
        <w:t>D</w:t>
      </w:r>
      <w:r w:rsidR="00393B3C">
        <w:rPr>
          <w:lang w:val="es-AR"/>
        </w:rPr>
        <w:t xml:space="preserve">ecidió </w:t>
      </w:r>
      <w:r w:rsidR="00AD3645">
        <w:rPr>
          <w:lang w:val="es-AR"/>
        </w:rPr>
        <w:t xml:space="preserve">examinar </w:t>
      </w:r>
      <w:r w:rsidR="00393B3C">
        <w:rPr>
          <w:lang w:val="es-AR"/>
        </w:rPr>
        <w:t xml:space="preserve">el fortalecimiento institucional, con los </w:t>
      </w:r>
      <w:r w:rsidRPr="00190842">
        <w:rPr>
          <w:lang w:val="es-AR"/>
        </w:rPr>
        <w:t xml:space="preserve">niveles de financiamiento, en la primera reunión de Comité Ejecutivo </w:t>
      </w:r>
      <w:r w:rsidR="00393B3C">
        <w:rPr>
          <w:lang w:val="es-AR"/>
        </w:rPr>
        <w:t>de</w:t>
      </w:r>
      <w:r w:rsidRPr="00190842">
        <w:rPr>
          <w:lang w:val="es-AR"/>
        </w:rPr>
        <w:t xml:space="preserve"> 2020;</w:t>
      </w:r>
      <w:r w:rsidRPr="00190842">
        <w:rPr>
          <w:rStyle w:val="FootnoteReference"/>
          <w:lang w:val="es-AR"/>
        </w:rPr>
        <w:footnoteReference w:id="7"/>
      </w:r>
      <w:r w:rsidRPr="00190842">
        <w:rPr>
          <w:lang w:val="es-AR"/>
        </w:rPr>
        <w:t xml:space="preserve"> y</w:t>
      </w:r>
    </w:p>
    <w:p w14:paraId="5BBF4C0B" w14:textId="53FFAFBB" w:rsidR="00306314" w:rsidRPr="00190842" w:rsidRDefault="00306314" w:rsidP="00306314">
      <w:pPr>
        <w:pStyle w:val="Heading3"/>
        <w:rPr>
          <w:lang w:val="es-AR"/>
        </w:rPr>
      </w:pPr>
      <w:r w:rsidRPr="00190842">
        <w:rPr>
          <w:lang w:val="es-AR"/>
        </w:rPr>
        <w:lastRenderedPageBreak/>
        <w:t>D</w:t>
      </w:r>
      <w:r w:rsidR="00393B3C">
        <w:rPr>
          <w:lang w:val="es-AR"/>
        </w:rPr>
        <w:t>ecidió seguir</w:t>
      </w:r>
      <w:r w:rsidRPr="00190842">
        <w:rPr>
          <w:lang w:val="es-AR"/>
        </w:rPr>
        <w:t xml:space="preserve"> utilizando el formato existente para</w:t>
      </w:r>
      <w:r w:rsidR="00190842">
        <w:rPr>
          <w:lang w:val="es-AR"/>
        </w:rPr>
        <w:t xml:space="preserve"> </w:t>
      </w:r>
      <w:r w:rsidR="00393B3C">
        <w:rPr>
          <w:lang w:val="es-AR"/>
        </w:rPr>
        <w:t xml:space="preserve">las renovaciones de proyectos de fortalecimiento institucional </w:t>
      </w:r>
      <w:r w:rsidRPr="00190842">
        <w:rPr>
          <w:lang w:val="es-AR"/>
        </w:rPr>
        <w:t>aprobadas en la 61</w:t>
      </w:r>
      <w:r w:rsidR="00393B3C">
        <w:rPr>
          <w:lang w:val="es-AR"/>
        </w:rPr>
        <w:t>ª reunión</w:t>
      </w:r>
      <w:r w:rsidRPr="00190842">
        <w:rPr>
          <w:lang w:val="es-AR"/>
        </w:rPr>
        <w:t xml:space="preserve"> (decisión 61/43 c)) con una modificación en la sección 10, </w:t>
      </w:r>
      <w:r w:rsidR="004A3566">
        <w:rPr>
          <w:lang w:val="es-AR"/>
        </w:rPr>
        <w:t xml:space="preserve">para señalar </w:t>
      </w:r>
      <w:r w:rsidRPr="00190842">
        <w:rPr>
          <w:lang w:val="es-AR"/>
        </w:rPr>
        <w:t xml:space="preserve">que </w:t>
      </w:r>
      <w:r w:rsidR="00AD3645">
        <w:rPr>
          <w:lang w:val="es-AR"/>
        </w:rPr>
        <w:t xml:space="preserve">se deberían incluir </w:t>
      </w:r>
      <w:r w:rsidRPr="00190842">
        <w:rPr>
          <w:lang w:val="es-AR"/>
        </w:rPr>
        <w:t xml:space="preserve">los </w:t>
      </w:r>
      <w:r w:rsidR="004A3566">
        <w:rPr>
          <w:lang w:val="es-AR"/>
        </w:rPr>
        <w:t xml:space="preserve">indicadores de desempeño </w:t>
      </w:r>
      <w:r w:rsidR="00193AA4">
        <w:rPr>
          <w:lang w:val="es-AR"/>
        </w:rPr>
        <w:t>(decisión</w:t>
      </w:r>
      <w:r w:rsidRPr="00190842">
        <w:rPr>
          <w:lang w:val="es-AR"/>
        </w:rPr>
        <w:t> 74/51 c), d) y e)).</w:t>
      </w:r>
    </w:p>
    <w:p w14:paraId="54D51E3B" w14:textId="189DD14B" w:rsidR="00306314" w:rsidRPr="00190842" w:rsidRDefault="00306314" w:rsidP="00306314">
      <w:pPr>
        <w:pStyle w:val="Heading1"/>
        <w:widowControl w:val="0"/>
        <w:rPr>
          <w:lang w:val="es-AR"/>
        </w:rPr>
      </w:pPr>
      <w:r w:rsidRPr="00190842">
        <w:rPr>
          <w:lang w:val="es-AR"/>
        </w:rPr>
        <w:t xml:space="preserve">La </w:t>
      </w:r>
      <w:r w:rsidR="00190842">
        <w:rPr>
          <w:lang w:val="es-AR"/>
        </w:rPr>
        <w:t>Secretaría</w:t>
      </w:r>
      <w:r w:rsidRPr="00190842">
        <w:rPr>
          <w:lang w:val="es-AR"/>
        </w:rPr>
        <w:t xml:space="preserve"> </w:t>
      </w:r>
      <w:r w:rsidR="004A3566">
        <w:rPr>
          <w:lang w:val="es-AR"/>
        </w:rPr>
        <w:t xml:space="preserve">redactó </w:t>
      </w:r>
      <w:r w:rsidRPr="00190842">
        <w:rPr>
          <w:lang w:val="es-AR"/>
        </w:rPr>
        <w:t xml:space="preserve">el </w:t>
      </w:r>
      <w:r w:rsidR="00190842">
        <w:rPr>
          <w:lang w:val="es-AR"/>
        </w:rPr>
        <w:t>presente documento</w:t>
      </w:r>
      <w:r w:rsidRPr="00190842">
        <w:rPr>
          <w:lang w:val="es-AR"/>
        </w:rPr>
        <w:t xml:space="preserve"> en respuesta a la decisión 74/51 d) ii)</w:t>
      </w:r>
      <w:r w:rsidR="00EC37CC">
        <w:rPr>
          <w:rStyle w:val="FootnoteReference"/>
          <w:lang w:val="es-AR"/>
        </w:rPr>
        <w:footnoteReference w:id="8"/>
      </w:r>
      <w:r w:rsidRPr="00190842">
        <w:rPr>
          <w:lang w:val="es-AR"/>
        </w:rPr>
        <w:t>.</w:t>
      </w:r>
    </w:p>
    <w:p w14:paraId="0EF5AE47" w14:textId="69D64E9F" w:rsidR="00306314" w:rsidRPr="00190842" w:rsidRDefault="004A3566" w:rsidP="00306314">
      <w:pPr>
        <w:keepNext/>
        <w:rPr>
          <w:u w:val="single"/>
          <w:lang w:val="es-AR"/>
        </w:rPr>
      </w:pPr>
      <w:r>
        <w:rPr>
          <w:u w:val="single"/>
          <w:lang w:val="es-AR"/>
        </w:rPr>
        <w:t xml:space="preserve">Cuestiones </w:t>
      </w:r>
      <w:r w:rsidR="00306314" w:rsidRPr="00190842">
        <w:rPr>
          <w:u w:val="single"/>
          <w:lang w:val="es-AR"/>
        </w:rPr>
        <w:t>relacionadas con</w:t>
      </w:r>
      <w:r>
        <w:rPr>
          <w:u w:val="single"/>
          <w:lang w:val="es-AR"/>
        </w:rPr>
        <w:t xml:space="preserve"> fortalecimiento institucional </w:t>
      </w:r>
      <w:r w:rsidR="00AD3645">
        <w:rPr>
          <w:u w:val="single"/>
          <w:lang w:val="es-AR"/>
        </w:rPr>
        <w:t xml:space="preserve">después de </w:t>
      </w:r>
      <w:r w:rsidR="00306314" w:rsidRPr="004A3566">
        <w:rPr>
          <w:u w:val="single"/>
          <w:lang w:val="es-AR"/>
        </w:rPr>
        <w:t>la 74</w:t>
      </w:r>
      <w:r>
        <w:rPr>
          <w:u w:val="single"/>
          <w:lang w:val="es-AR"/>
        </w:rPr>
        <w:t xml:space="preserve">ª </w:t>
      </w:r>
      <w:r w:rsidR="00193AA4">
        <w:rPr>
          <w:u w:val="single"/>
          <w:lang w:val="es-AR"/>
        </w:rPr>
        <w:t>reunión</w:t>
      </w:r>
    </w:p>
    <w:p w14:paraId="022BA267" w14:textId="77777777" w:rsidR="00306314" w:rsidRPr="00190842" w:rsidRDefault="00306314" w:rsidP="00306314">
      <w:pPr>
        <w:rPr>
          <w:lang w:val="es-AR"/>
        </w:rPr>
      </w:pPr>
    </w:p>
    <w:p w14:paraId="5F01FD44" w14:textId="47487316" w:rsidR="00306314" w:rsidRPr="00190842" w:rsidRDefault="00306314" w:rsidP="00306314">
      <w:pPr>
        <w:pStyle w:val="Heading1"/>
        <w:widowControl w:val="0"/>
        <w:rPr>
          <w:lang w:val="es-AR"/>
        </w:rPr>
      </w:pPr>
      <w:r w:rsidRPr="00190842">
        <w:rPr>
          <w:lang w:val="es-AR"/>
        </w:rPr>
        <w:t>Desde la 74</w:t>
      </w:r>
      <w:r w:rsidR="004A3566">
        <w:rPr>
          <w:lang w:val="es-AR"/>
        </w:rPr>
        <w:t xml:space="preserve">ª </w:t>
      </w:r>
      <w:r w:rsidR="00193AA4">
        <w:rPr>
          <w:lang w:val="es-AR"/>
        </w:rPr>
        <w:t>reunión</w:t>
      </w:r>
      <w:r w:rsidRPr="00190842">
        <w:rPr>
          <w:lang w:val="es-AR"/>
        </w:rPr>
        <w:t xml:space="preserve">, las Partes en el Protocolo de Montreal y el Comité Ejecutivo han </w:t>
      </w:r>
      <w:r w:rsidR="004A3566">
        <w:rPr>
          <w:lang w:val="es-AR"/>
        </w:rPr>
        <w:t xml:space="preserve">deliberado en varias oportunidades </w:t>
      </w:r>
      <w:r w:rsidRPr="00190842">
        <w:rPr>
          <w:lang w:val="es-AR"/>
        </w:rPr>
        <w:t>y han adoptado decisiones ligadas directamente a</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2C4BC4">
        <w:rPr>
          <w:lang w:val="es-AR"/>
        </w:rPr>
        <w:t xml:space="preserve">tal como se resume </w:t>
      </w:r>
      <w:r w:rsidR="004A3566">
        <w:rPr>
          <w:lang w:val="es-AR"/>
        </w:rPr>
        <w:t>a continuación</w:t>
      </w:r>
      <w:r w:rsidRPr="00190842">
        <w:rPr>
          <w:lang w:val="es-AR"/>
        </w:rPr>
        <w:t>.</w:t>
      </w:r>
    </w:p>
    <w:p w14:paraId="6A5E0E37" w14:textId="3F34A367" w:rsidR="00306314" w:rsidRPr="00190842" w:rsidRDefault="00306314" w:rsidP="00306314">
      <w:pPr>
        <w:pStyle w:val="Heading1"/>
        <w:widowControl w:val="0"/>
        <w:rPr>
          <w:lang w:val="es-AR"/>
        </w:rPr>
      </w:pPr>
      <w:r w:rsidRPr="00190842">
        <w:rPr>
          <w:lang w:val="es-AR"/>
        </w:rPr>
        <w:t xml:space="preserve">En su vigésima octava reunión (octubre de 2016), </w:t>
      </w:r>
      <w:r w:rsidR="00190842">
        <w:rPr>
          <w:lang w:val="es-AR"/>
        </w:rPr>
        <w:t>las Partes</w:t>
      </w:r>
      <w:r w:rsidRPr="00190842">
        <w:rPr>
          <w:lang w:val="es-AR"/>
        </w:rPr>
        <w:t xml:space="preserve"> adoptaron la </w:t>
      </w:r>
      <w:r w:rsidR="00190842">
        <w:rPr>
          <w:lang w:val="es-AR"/>
        </w:rPr>
        <w:t>Enmienda</w:t>
      </w:r>
      <w:r w:rsidRPr="00190842">
        <w:rPr>
          <w:lang w:val="es-AR"/>
        </w:rPr>
        <w:t xml:space="preserve"> de Kigali,</w:t>
      </w:r>
      <w:r w:rsidRPr="00190842">
        <w:rPr>
          <w:rStyle w:val="FootnoteReference"/>
          <w:lang w:val="es-AR"/>
        </w:rPr>
        <w:footnoteReference w:id="9"/>
      </w:r>
      <w:r w:rsidRPr="00190842">
        <w:rPr>
          <w:lang w:val="es-AR"/>
        </w:rPr>
        <w:t xml:space="preserve"> y la decisión XXVIII/2 relacionada con </w:t>
      </w:r>
      <w:r w:rsidR="002979BE">
        <w:rPr>
          <w:lang w:val="es-AR"/>
        </w:rPr>
        <w:t>esa</w:t>
      </w:r>
      <w:r w:rsidRPr="00190842">
        <w:rPr>
          <w:lang w:val="es-AR"/>
        </w:rPr>
        <w:t xml:space="preserve"> </w:t>
      </w:r>
      <w:r w:rsidR="00190842">
        <w:rPr>
          <w:lang w:val="es-AR"/>
        </w:rPr>
        <w:t>Enmienda</w:t>
      </w:r>
      <w:r w:rsidR="002C4BC4">
        <w:rPr>
          <w:lang w:val="es-AR"/>
        </w:rPr>
        <w:t xml:space="preserve"> para reducir los HFC</w:t>
      </w:r>
      <w:r w:rsidRPr="00190842">
        <w:rPr>
          <w:lang w:val="es-AR"/>
        </w:rPr>
        <w:t>. Con respecto a</w:t>
      </w:r>
      <w:r w:rsidR="002979BE">
        <w:rPr>
          <w:lang w:val="es-AR"/>
        </w:rPr>
        <w:t xml:space="preserve">l fortalecimiento institucional, </w:t>
      </w:r>
      <w:r w:rsidRPr="00190842">
        <w:rPr>
          <w:lang w:val="es-AR"/>
        </w:rPr>
        <w:t>la decisión XXVIII/2 pidió al Comité Ejecutivo:</w:t>
      </w:r>
    </w:p>
    <w:p w14:paraId="35545622" w14:textId="48EA98C4" w:rsidR="00306314" w:rsidRPr="002C4BC4" w:rsidRDefault="002C4BC4" w:rsidP="00306314">
      <w:pPr>
        <w:pStyle w:val="Heading2"/>
        <w:rPr>
          <w:lang w:val="es-AR"/>
        </w:rPr>
      </w:pPr>
      <w:r w:rsidRPr="002C4BC4">
        <w:rPr>
          <w:lang w:val="es-AR"/>
        </w:rPr>
        <w:t>I</w:t>
      </w:r>
      <w:r w:rsidR="00306314" w:rsidRPr="002C4BC4">
        <w:rPr>
          <w:lang w:val="es-AR"/>
        </w:rPr>
        <w:t xml:space="preserve">ncluir las </w:t>
      </w:r>
      <w:r w:rsidRPr="002C4BC4">
        <w:rPr>
          <w:lang w:val="es-AR"/>
        </w:rPr>
        <w:t xml:space="preserve">siguientes </w:t>
      </w:r>
      <w:r w:rsidR="00306314" w:rsidRPr="002C4BC4">
        <w:rPr>
          <w:lang w:val="es-AR"/>
        </w:rPr>
        <w:t xml:space="preserve">actividades de facilitación que se financiarán en relación con </w:t>
      </w:r>
      <w:r w:rsidRPr="002C4BC4">
        <w:rPr>
          <w:lang w:val="es-AR"/>
        </w:rPr>
        <w:t xml:space="preserve">la reducción </w:t>
      </w:r>
      <w:r w:rsidR="00306314" w:rsidRPr="002C4BC4">
        <w:rPr>
          <w:lang w:val="es-AR"/>
        </w:rPr>
        <w:t xml:space="preserve">de HFC: </w:t>
      </w:r>
      <w:r w:rsidR="00190842" w:rsidRPr="002C4BC4">
        <w:rPr>
          <w:lang w:val="es-AR"/>
        </w:rPr>
        <w:t>creación de capacidad</w:t>
      </w:r>
      <w:r w:rsidR="00306314" w:rsidRPr="002C4BC4">
        <w:rPr>
          <w:lang w:val="es-AR"/>
        </w:rPr>
        <w:t xml:space="preserve"> y </w:t>
      </w:r>
      <w:r w:rsidR="00190842" w:rsidRPr="002C4BC4">
        <w:rPr>
          <w:lang w:val="es-AR"/>
        </w:rPr>
        <w:t>capacitación</w:t>
      </w:r>
      <w:r w:rsidR="00306314" w:rsidRPr="002C4BC4">
        <w:rPr>
          <w:lang w:val="es-AR"/>
        </w:rPr>
        <w:t xml:space="preserve"> para </w:t>
      </w:r>
      <w:r w:rsidRPr="002C4BC4">
        <w:rPr>
          <w:lang w:val="es-AR"/>
        </w:rPr>
        <w:t xml:space="preserve">el manejo de </w:t>
      </w:r>
      <w:r w:rsidR="00306314" w:rsidRPr="002C4BC4">
        <w:rPr>
          <w:lang w:val="es-AR"/>
        </w:rPr>
        <w:t xml:space="preserve">alternativas de HFC en los sectores del mantenimiento, fabricación y producción; </w:t>
      </w:r>
      <w:r w:rsidRPr="002C4BC4">
        <w:rPr>
          <w:lang w:val="es-AR"/>
        </w:rPr>
        <w:t>fortalecimiento institucional</w:t>
      </w:r>
      <w:r w:rsidR="00306314" w:rsidRPr="002C4BC4">
        <w:rPr>
          <w:lang w:val="es-AR"/>
        </w:rPr>
        <w:t xml:space="preserve">; </w:t>
      </w:r>
      <w:r w:rsidRPr="002C4BC4">
        <w:rPr>
          <w:lang w:val="es-AR"/>
        </w:rPr>
        <w:t>a</w:t>
      </w:r>
      <w:r w:rsidR="00306314" w:rsidRPr="002C4BC4">
        <w:rPr>
          <w:lang w:val="es-AR"/>
        </w:rPr>
        <w:t xml:space="preserve">utorización </w:t>
      </w:r>
      <w:r w:rsidR="00190842" w:rsidRPr="002C4BC4">
        <w:rPr>
          <w:lang w:val="es-AR"/>
        </w:rPr>
        <w:t>Artículo</w:t>
      </w:r>
      <w:r w:rsidR="00306314" w:rsidRPr="002C4BC4">
        <w:rPr>
          <w:lang w:val="es-AR"/>
        </w:rPr>
        <w:t xml:space="preserve"> 4B; presentación de informes; proyectos de demostración; y desarrollo de estrategias nacionales (apartado 20); y </w:t>
      </w:r>
    </w:p>
    <w:p w14:paraId="7F791D61" w14:textId="3CCEA4AB" w:rsidR="00306314" w:rsidRPr="002C4BC4" w:rsidRDefault="002C4BC4" w:rsidP="00306314">
      <w:pPr>
        <w:pStyle w:val="Heading2"/>
        <w:rPr>
          <w:lang w:val="es-AR"/>
        </w:rPr>
      </w:pPr>
      <w:r w:rsidRPr="002C4BC4">
        <w:rPr>
          <w:lang w:val="es-AR"/>
        </w:rPr>
        <w:t>A</w:t>
      </w:r>
      <w:r w:rsidR="00306314" w:rsidRPr="002C4BC4">
        <w:rPr>
          <w:lang w:val="es-AR"/>
        </w:rPr>
        <w:t>umentar</w:t>
      </w:r>
      <w:r w:rsidR="00190842" w:rsidRPr="002C4BC4">
        <w:rPr>
          <w:lang w:val="es-AR"/>
        </w:rPr>
        <w:t xml:space="preserve"> </w:t>
      </w:r>
      <w:r w:rsidRPr="002C4BC4">
        <w:rPr>
          <w:lang w:val="es-AR"/>
        </w:rPr>
        <w:t xml:space="preserve">el apoyo al </w:t>
      </w:r>
      <w:r w:rsidR="00190842" w:rsidRPr="002C4BC4">
        <w:rPr>
          <w:lang w:val="es-AR"/>
        </w:rPr>
        <w:t xml:space="preserve">fortalecimiento institucional </w:t>
      </w:r>
      <w:r w:rsidR="00306314" w:rsidRPr="002C4BC4">
        <w:rPr>
          <w:lang w:val="es-AR"/>
        </w:rPr>
        <w:t xml:space="preserve">a la luz de los nuevos compromisos relacionados con </w:t>
      </w:r>
      <w:r w:rsidRPr="002C4BC4">
        <w:rPr>
          <w:lang w:val="es-AR"/>
        </w:rPr>
        <w:t>l</w:t>
      </w:r>
      <w:r w:rsidR="00190842" w:rsidRPr="002C4BC4">
        <w:rPr>
          <w:lang w:val="es-AR"/>
        </w:rPr>
        <w:t>os HFC</w:t>
      </w:r>
      <w:r w:rsidR="00306314" w:rsidRPr="002C4BC4">
        <w:rPr>
          <w:lang w:val="es-AR"/>
        </w:rPr>
        <w:t xml:space="preserve"> (apartado 21).</w:t>
      </w:r>
    </w:p>
    <w:p w14:paraId="646919EE" w14:textId="49E1EA28" w:rsidR="00306314" w:rsidRPr="00190842" w:rsidRDefault="00306314" w:rsidP="00306314">
      <w:pPr>
        <w:pStyle w:val="Heading1"/>
        <w:rPr>
          <w:lang w:val="es-AR"/>
        </w:rPr>
      </w:pPr>
      <w:r w:rsidRPr="00190842">
        <w:rPr>
          <w:lang w:val="es-AR"/>
        </w:rPr>
        <w:t xml:space="preserve">Como resultado de la adopción de la </w:t>
      </w:r>
      <w:r w:rsidR="00190842">
        <w:rPr>
          <w:lang w:val="es-AR"/>
        </w:rPr>
        <w:t>Enmienda</w:t>
      </w:r>
      <w:r w:rsidRPr="00190842">
        <w:rPr>
          <w:lang w:val="es-AR"/>
        </w:rPr>
        <w:t xml:space="preserve"> de Kigali, en la 77</w:t>
      </w:r>
      <w:r w:rsidR="002979BE">
        <w:rPr>
          <w:lang w:val="es-AR"/>
        </w:rPr>
        <w:t xml:space="preserve">ª </w:t>
      </w:r>
      <w:r w:rsidR="00193AA4">
        <w:rPr>
          <w:lang w:val="es-AR"/>
        </w:rPr>
        <w:t>reunión</w:t>
      </w:r>
      <w:r w:rsidRPr="00190842">
        <w:rPr>
          <w:lang w:val="es-AR"/>
        </w:rPr>
        <w:t xml:space="preserve"> (noviembre diciembre de 2016), </w:t>
      </w:r>
      <w:r w:rsidR="002C4BC4">
        <w:rPr>
          <w:lang w:val="es-AR"/>
        </w:rPr>
        <w:t xml:space="preserve"> </w:t>
      </w:r>
      <w:r w:rsidRPr="00190842">
        <w:rPr>
          <w:lang w:val="es-AR"/>
        </w:rPr>
        <w:t xml:space="preserve">la </w:t>
      </w:r>
      <w:r w:rsidR="00190842">
        <w:rPr>
          <w:lang w:val="es-AR"/>
        </w:rPr>
        <w:t>Secretaría</w:t>
      </w:r>
      <w:r w:rsidRPr="00190842">
        <w:rPr>
          <w:lang w:val="es-AR"/>
        </w:rPr>
        <w:t xml:space="preserve"> </w:t>
      </w:r>
      <w:r w:rsidR="002979BE">
        <w:rPr>
          <w:lang w:val="es-AR"/>
        </w:rPr>
        <w:t xml:space="preserve">pidió </w:t>
      </w:r>
      <w:r w:rsidRPr="00190842">
        <w:rPr>
          <w:lang w:val="es-AR"/>
        </w:rPr>
        <w:t xml:space="preserve">orientación </w:t>
      </w:r>
      <w:r w:rsidR="002C4BC4">
        <w:rPr>
          <w:lang w:val="es-AR"/>
        </w:rPr>
        <w:t>a</w:t>
      </w:r>
      <w:r w:rsidRPr="00190842">
        <w:rPr>
          <w:lang w:val="es-AR"/>
        </w:rPr>
        <w:t xml:space="preserve">l Comité Ejecutivo </w:t>
      </w:r>
      <w:r w:rsidR="002979BE">
        <w:rPr>
          <w:lang w:val="es-AR"/>
        </w:rPr>
        <w:t xml:space="preserve">sobre cómo proceder para abordar </w:t>
      </w:r>
      <w:r w:rsidRPr="00190842">
        <w:rPr>
          <w:lang w:val="es-AR"/>
        </w:rPr>
        <w:t>la decisión XXVIII/2</w:t>
      </w:r>
      <w:r w:rsidR="002979BE">
        <w:rPr>
          <w:lang w:val="es-AR"/>
        </w:rPr>
        <w:t>,</w:t>
      </w:r>
      <w:r w:rsidRPr="00190842">
        <w:rPr>
          <w:rStyle w:val="FootnoteReference"/>
          <w:lang w:val="es-AR"/>
        </w:rPr>
        <w:footnoteReference w:id="10"/>
      </w:r>
      <w:r w:rsidRPr="00190842">
        <w:rPr>
          <w:lang w:val="es-AR"/>
        </w:rPr>
        <w:t xml:space="preserve"> observando que en su 74</w:t>
      </w:r>
      <w:r w:rsidR="002979BE">
        <w:rPr>
          <w:lang w:val="es-AR"/>
        </w:rPr>
        <w:t xml:space="preserve">ª </w:t>
      </w:r>
      <w:r w:rsidR="00193AA4">
        <w:rPr>
          <w:lang w:val="es-AR"/>
        </w:rPr>
        <w:t>reunión</w:t>
      </w:r>
      <w:r w:rsidRPr="00190842">
        <w:rPr>
          <w:lang w:val="es-AR"/>
        </w:rPr>
        <w:t xml:space="preserve">, el Comité Ejecutivo </w:t>
      </w:r>
      <w:r w:rsidR="002979BE">
        <w:rPr>
          <w:lang w:val="es-AR"/>
        </w:rPr>
        <w:t xml:space="preserve">ya </w:t>
      </w:r>
      <w:r w:rsidRPr="00190842">
        <w:rPr>
          <w:lang w:val="es-AR"/>
        </w:rPr>
        <w:t xml:space="preserve">había decidido </w:t>
      </w:r>
      <w:r w:rsidR="002C4BC4">
        <w:rPr>
          <w:lang w:val="es-AR"/>
        </w:rPr>
        <w:t xml:space="preserve">examinar </w:t>
      </w:r>
      <w:r w:rsidR="00674039">
        <w:rPr>
          <w:lang w:val="es-AR"/>
        </w:rPr>
        <w:t xml:space="preserve">proyectos de </w:t>
      </w:r>
      <w:r w:rsidR="00AA1ED5">
        <w:rPr>
          <w:lang w:val="es-AR"/>
        </w:rPr>
        <w:t>fortalecimiento institucional</w:t>
      </w:r>
      <w:r w:rsidR="002979BE">
        <w:rPr>
          <w:lang w:val="es-AR"/>
        </w:rPr>
        <w:t xml:space="preserve">, con los </w:t>
      </w:r>
      <w:r w:rsidRPr="00190842">
        <w:rPr>
          <w:lang w:val="es-AR"/>
        </w:rPr>
        <w:t xml:space="preserve">niveles de financiación. </w:t>
      </w:r>
      <w:r w:rsidR="00BC29F6">
        <w:rPr>
          <w:lang w:val="es-AR"/>
        </w:rPr>
        <w:t xml:space="preserve">Luego de </w:t>
      </w:r>
      <w:r w:rsidRPr="00190842">
        <w:rPr>
          <w:lang w:val="es-AR"/>
        </w:rPr>
        <w:t xml:space="preserve">un </w:t>
      </w:r>
      <w:r w:rsidR="00BC29F6">
        <w:rPr>
          <w:lang w:val="es-AR"/>
        </w:rPr>
        <w:t>debate</w:t>
      </w:r>
      <w:r w:rsidRPr="00190842">
        <w:rPr>
          <w:lang w:val="es-AR"/>
        </w:rPr>
        <w:t>,</w:t>
      </w:r>
      <w:r w:rsidRPr="00190842">
        <w:rPr>
          <w:rStyle w:val="FootnoteReference"/>
          <w:lang w:val="es-AR"/>
        </w:rPr>
        <w:footnoteReference w:id="11"/>
      </w:r>
      <w:r w:rsidRPr="00190842">
        <w:rPr>
          <w:lang w:val="es-AR"/>
        </w:rPr>
        <w:t xml:space="preserve"> </w:t>
      </w:r>
      <w:r w:rsidR="00BC29F6">
        <w:rPr>
          <w:lang w:val="es-AR"/>
        </w:rPr>
        <w:t>el Comité</w:t>
      </w:r>
      <w:r w:rsidRPr="00190842">
        <w:rPr>
          <w:lang w:val="es-AR"/>
        </w:rPr>
        <w:t xml:space="preserve"> solicitó</w:t>
      </w:r>
      <w:r w:rsidR="002C4BC4">
        <w:rPr>
          <w:lang w:val="es-AR"/>
        </w:rPr>
        <w:t xml:space="preserve"> a</w:t>
      </w:r>
      <w:r w:rsidR="002C4BC4" w:rsidRPr="00190842">
        <w:rPr>
          <w:lang w:val="es-AR"/>
        </w:rPr>
        <w:t xml:space="preserve"> la </w:t>
      </w:r>
      <w:r w:rsidR="002C4BC4">
        <w:rPr>
          <w:lang w:val="es-AR"/>
        </w:rPr>
        <w:t>Secretaría</w:t>
      </w:r>
      <w:r w:rsidR="00BC29F6">
        <w:rPr>
          <w:lang w:val="es-AR"/>
        </w:rPr>
        <w:t>,</w:t>
      </w:r>
      <w:r w:rsidR="00BC29F6" w:rsidRPr="00BC29F6">
        <w:rPr>
          <w:i/>
          <w:lang w:val="es-AR"/>
        </w:rPr>
        <w:t xml:space="preserve"> </w:t>
      </w:r>
      <w:r w:rsidR="00BC29F6" w:rsidRPr="00BC29F6">
        <w:rPr>
          <w:lang w:val="es-AR"/>
        </w:rPr>
        <w:t>entre otras cosas</w:t>
      </w:r>
      <w:r w:rsidR="00BC29F6">
        <w:rPr>
          <w:lang w:val="es-AR"/>
        </w:rPr>
        <w:t xml:space="preserve">, que preparase </w:t>
      </w:r>
      <w:r w:rsidRPr="00190842">
        <w:rPr>
          <w:lang w:val="es-AR"/>
        </w:rPr>
        <w:t>un documento que c</w:t>
      </w:r>
      <w:r w:rsidR="00BC29F6">
        <w:rPr>
          <w:lang w:val="es-AR"/>
        </w:rPr>
        <w:t xml:space="preserve">ontuviese </w:t>
      </w:r>
      <w:r w:rsidRPr="00190842">
        <w:rPr>
          <w:lang w:val="es-AR"/>
        </w:rPr>
        <w:t xml:space="preserve">la información </w:t>
      </w:r>
      <w:r w:rsidR="002C4BC4">
        <w:rPr>
          <w:lang w:val="es-AR"/>
        </w:rPr>
        <w:t xml:space="preserve"> </w:t>
      </w:r>
      <w:r w:rsidRPr="00190842">
        <w:rPr>
          <w:lang w:val="es-AR"/>
        </w:rPr>
        <w:t xml:space="preserve">preliminar en respuesta a los elementos </w:t>
      </w:r>
      <w:r w:rsidR="00BC29F6">
        <w:rPr>
          <w:lang w:val="es-AR"/>
        </w:rPr>
        <w:t>de</w:t>
      </w:r>
      <w:r w:rsidRPr="00190842">
        <w:rPr>
          <w:lang w:val="es-AR"/>
        </w:rPr>
        <w:t xml:space="preserve"> la decisión XXVIII/2 que </w:t>
      </w:r>
      <w:r w:rsidR="00BC29F6">
        <w:rPr>
          <w:lang w:val="es-AR"/>
        </w:rPr>
        <w:t xml:space="preserve">pedía </w:t>
      </w:r>
      <w:r w:rsidRPr="00190842">
        <w:rPr>
          <w:lang w:val="es-AR"/>
        </w:rPr>
        <w:t xml:space="preserve">al Comité Ejecutivo tomar medidas, y </w:t>
      </w:r>
      <w:r w:rsidR="00BC29F6">
        <w:rPr>
          <w:lang w:val="es-AR"/>
        </w:rPr>
        <w:t xml:space="preserve">tratase </w:t>
      </w:r>
      <w:r w:rsidRPr="00190842">
        <w:rPr>
          <w:lang w:val="es-AR"/>
        </w:rPr>
        <w:t>entre otras cuestiones las actividades de facilitación requeridas para ayudar a</w:t>
      </w:r>
      <w:r w:rsidR="00BC29F6">
        <w:rPr>
          <w:lang w:val="es-AR"/>
        </w:rPr>
        <w:t xml:space="preserve"> los </w:t>
      </w:r>
      <w:r w:rsidRPr="00190842">
        <w:rPr>
          <w:lang w:val="es-AR"/>
        </w:rPr>
        <w:t xml:space="preserve">países del </w:t>
      </w:r>
      <w:r w:rsidR="00190842">
        <w:rPr>
          <w:lang w:val="es-AR"/>
        </w:rPr>
        <w:t>Artículo</w:t>
      </w:r>
      <w:r w:rsidRPr="00190842">
        <w:rPr>
          <w:lang w:val="es-AR"/>
        </w:rPr>
        <w:t xml:space="preserve"> 5 </w:t>
      </w:r>
      <w:r w:rsidR="00BC29F6">
        <w:rPr>
          <w:lang w:val="es-AR"/>
        </w:rPr>
        <w:t xml:space="preserve">a </w:t>
      </w:r>
      <w:r w:rsidRPr="00190842">
        <w:rPr>
          <w:lang w:val="es-AR"/>
        </w:rPr>
        <w:t xml:space="preserve">comenzar su </w:t>
      </w:r>
      <w:r w:rsidR="00BC29F6">
        <w:rPr>
          <w:lang w:val="es-AR"/>
        </w:rPr>
        <w:t xml:space="preserve">presentación de informes </w:t>
      </w:r>
      <w:r w:rsidRPr="00190842">
        <w:rPr>
          <w:lang w:val="es-AR"/>
        </w:rPr>
        <w:t xml:space="preserve">y actividades reguladoras en relación con las </w:t>
      </w:r>
      <w:r w:rsidR="00190842">
        <w:rPr>
          <w:lang w:val="es-AR"/>
        </w:rPr>
        <w:t>medidas de control</w:t>
      </w:r>
      <w:r w:rsidRPr="00190842">
        <w:rPr>
          <w:lang w:val="es-AR"/>
        </w:rPr>
        <w:t xml:space="preserve"> de </w:t>
      </w:r>
      <w:r w:rsidR="000903E8">
        <w:rPr>
          <w:lang w:val="es-AR"/>
        </w:rPr>
        <w:t xml:space="preserve">los </w:t>
      </w:r>
      <w:r w:rsidRPr="00190842">
        <w:rPr>
          <w:lang w:val="es-AR"/>
        </w:rPr>
        <w:t>HFC (decisión 77/59 b) ii)).</w:t>
      </w:r>
    </w:p>
    <w:p w14:paraId="2F14BDDE" w14:textId="61D0E42A" w:rsidR="00306314" w:rsidRPr="00190842" w:rsidRDefault="00306314" w:rsidP="00306314">
      <w:pPr>
        <w:pStyle w:val="Heading1"/>
        <w:rPr>
          <w:lang w:val="es-AR"/>
        </w:rPr>
      </w:pPr>
      <w:r w:rsidRPr="00190842">
        <w:rPr>
          <w:lang w:val="es-AR"/>
        </w:rPr>
        <w:t>En respuesta a la decisión 77/59 b) ii), en su 78</w:t>
      </w:r>
      <w:r w:rsidR="00BC29F6">
        <w:rPr>
          <w:lang w:val="es-AR"/>
        </w:rPr>
        <w:t xml:space="preserve">ª </w:t>
      </w:r>
      <w:r w:rsidR="00193AA4">
        <w:rPr>
          <w:lang w:val="es-AR"/>
        </w:rPr>
        <w:t>reunión</w:t>
      </w:r>
      <w:r w:rsidRPr="00190842">
        <w:rPr>
          <w:lang w:val="es-AR"/>
        </w:rPr>
        <w:t xml:space="preserve"> (abril de 2017), el Comité Ejecutivo </w:t>
      </w:r>
      <w:r w:rsidR="00BC29F6">
        <w:rPr>
          <w:lang w:val="es-AR"/>
        </w:rPr>
        <w:t>e</w:t>
      </w:r>
      <w:r w:rsidR="000903E8">
        <w:rPr>
          <w:lang w:val="es-AR"/>
        </w:rPr>
        <w:t>xamin</w:t>
      </w:r>
      <w:r w:rsidR="00BC29F6">
        <w:rPr>
          <w:lang w:val="es-AR"/>
        </w:rPr>
        <w:t xml:space="preserve">ó </w:t>
      </w:r>
      <w:r w:rsidRPr="00190842">
        <w:rPr>
          <w:lang w:val="es-AR"/>
        </w:rPr>
        <w:t>los dos documentos siguientes:</w:t>
      </w:r>
    </w:p>
    <w:p w14:paraId="49C4B188" w14:textId="171CD293" w:rsidR="00306314" w:rsidRPr="000903E8" w:rsidRDefault="00306314" w:rsidP="00426FF9">
      <w:pPr>
        <w:pStyle w:val="Heading2"/>
        <w:rPr>
          <w:lang w:val="es-AR"/>
        </w:rPr>
      </w:pPr>
      <w:r w:rsidRPr="000903E8">
        <w:rPr>
          <w:lang w:val="es-AR"/>
        </w:rPr>
        <w:t>UNEP/OzL.Pro</w:t>
      </w:r>
      <w:r w:rsidR="00190842" w:rsidRPr="000903E8">
        <w:rPr>
          <w:lang w:val="es-AR"/>
        </w:rPr>
        <w:t>/ExCom/</w:t>
      </w:r>
      <w:r w:rsidRPr="000903E8">
        <w:rPr>
          <w:lang w:val="es-AR"/>
        </w:rPr>
        <w:t>78/6, "</w:t>
      </w:r>
      <w:r w:rsidR="000903E8" w:rsidRPr="000903E8">
        <w:rPr>
          <w:lang w:val="es-AR"/>
        </w:rPr>
        <w:t xml:space="preserve">Información pertinente para la elaboración de las directrices sobre los costos para la reducción de los </w:t>
      </w:r>
      <w:r w:rsidR="000903E8">
        <w:rPr>
          <w:lang w:val="es-AR"/>
        </w:rPr>
        <w:t xml:space="preserve">HFC </w:t>
      </w:r>
      <w:r w:rsidR="000903E8" w:rsidRPr="000903E8">
        <w:rPr>
          <w:lang w:val="es-AR"/>
        </w:rPr>
        <w:t>en los países que operan al amparo del artículo 5: actividades de apoyo</w:t>
      </w:r>
      <w:r w:rsidRPr="000903E8">
        <w:rPr>
          <w:lang w:val="es-AR"/>
        </w:rPr>
        <w:t xml:space="preserve">", que </w:t>
      </w:r>
      <w:r w:rsidR="00BC29F6" w:rsidRPr="000903E8">
        <w:rPr>
          <w:lang w:val="es-AR"/>
        </w:rPr>
        <w:t xml:space="preserve">examinó </w:t>
      </w:r>
      <w:r w:rsidRPr="000903E8">
        <w:rPr>
          <w:lang w:val="es-AR"/>
        </w:rPr>
        <w:t xml:space="preserve">las decisiones y </w:t>
      </w:r>
      <w:r w:rsidR="00BC29F6" w:rsidRPr="000903E8">
        <w:rPr>
          <w:lang w:val="es-AR"/>
        </w:rPr>
        <w:t xml:space="preserve">directrices </w:t>
      </w:r>
      <w:r w:rsidRPr="000903E8">
        <w:rPr>
          <w:lang w:val="es-AR"/>
        </w:rPr>
        <w:t>adoptad</w:t>
      </w:r>
      <w:r w:rsidR="00BC29F6" w:rsidRPr="000903E8">
        <w:rPr>
          <w:lang w:val="es-AR"/>
        </w:rPr>
        <w:t>as</w:t>
      </w:r>
      <w:r w:rsidRPr="000903E8">
        <w:rPr>
          <w:lang w:val="es-AR"/>
        </w:rPr>
        <w:t xml:space="preserve"> por </w:t>
      </w:r>
      <w:r w:rsidR="00190842" w:rsidRPr="000903E8">
        <w:rPr>
          <w:lang w:val="es-AR"/>
        </w:rPr>
        <w:t>las Partes</w:t>
      </w:r>
      <w:r w:rsidRPr="000903E8">
        <w:rPr>
          <w:lang w:val="es-AR"/>
        </w:rPr>
        <w:t xml:space="preserve"> y </w:t>
      </w:r>
      <w:r w:rsidR="00BC29F6" w:rsidRPr="000903E8">
        <w:rPr>
          <w:lang w:val="es-AR"/>
        </w:rPr>
        <w:t>e</w:t>
      </w:r>
      <w:r w:rsidRPr="000903E8">
        <w:rPr>
          <w:lang w:val="es-AR"/>
        </w:rPr>
        <w:t>l Comité Ejecutivo pertinentes a las actividades de facilitación enumeradas en el apartado 20 de la decisión XXVIII/2, a excepción de</w:t>
      </w:r>
      <w:r w:rsidR="00BC29F6" w:rsidRPr="000903E8">
        <w:rPr>
          <w:lang w:val="es-AR"/>
        </w:rPr>
        <w:t>l</w:t>
      </w:r>
      <w:r w:rsidR="00674039" w:rsidRPr="000903E8">
        <w:rPr>
          <w:lang w:val="es-AR"/>
        </w:rPr>
        <w:t xml:space="preserve"> fortalecimiento institucional</w:t>
      </w:r>
      <w:r w:rsidR="000903E8">
        <w:rPr>
          <w:lang w:val="es-AR"/>
        </w:rPr>
        <w:t>;</w:t>
      </w:r>
      <w:r w:rsidR="00674039" w:rsidRPr="000903E8">
        <w:rPr>
          <w:lang w:val="es-AR"/>
        </w:rPr>
        <w:t xml:space="preserve"> </w:t>
      </w:r>
      <w:r w:rsidRPr="000903E8">
        <w:rPr>
          <w:lang w:val="es-AR"/>
        </w:rPr>
        <w:t xml:space="preserve">y </w:t>
      </w:r>
    </w:p>
    <w:p w14:paraId="19DB9DFA" w14:textId="292CE1B7" w:rsidR="00306314" w:rsidRPr="000903E8" w:rsidRDefault="00306314" w:rsidP="00303B0A">
      <w:pPr>
        <w:pStyle w:val="Heading2"/>
        <w:rPr>
          <w:lang w:val="es-AR"/>
        </w:rPr>
      </w:pPr>
      <w:r w:rsidRPr="000903E8">
        <w:rPr>
          <w:lang w:val="es-AR"/>
        </w:rPr>
        <w:lastRenderedPageBreak/>
        <w:t>UNEP/OzL.Pro</w:t>
      </w:r>
      <w:r w:rsidR="00190842" w:rsidRPr="000903E8">
        <w:rPr>
          <w:lang w:val="es-AR"/>
        </w:rPr>
        <w:t>/ExCom/</w:t>
      </w:r>
      <w:r w:rsidRPr="000903E8">
        <w:rPr>
          <w:lang w:val="es-AR"/>
        </w:rPr>
        <w:t>78/7, "</w:t>
      </w:r>
      <w:r w:rsidR="000903E8" w:rsidRPr="000903E8">
        <w:rPr>
          <w:lang w:val="es-AR"/>
        </w:rPr>
        <w:t xml:space="preserve">Información pertinente al desarrollo de las directrices de costos para la eliminación gradual de los </w:t>
      </w:r>
      <w:r w:rsidR="000903E8">
        <w:rPr>
          <w:lang w:val="es-AR"/>
        </w:rPr>
        <w:t xml:space="preserve">HFC </w:t>
      </w:r>
      <w:r w:rsidR="000903E8" w:rsidRPr="000903E8">
        <w:rPr>
          <w:lang w:val="es-AR"/>
        </w:rPr>
        <w:t xml:space="preserve">en países del </w:t>
      </w:r>
      <w:r w:rsidR="000903E8">
        <w:rPr>
          <w:lang w:val="es-AR"/>
        </w:rPr>
        <w:t>A</w:t>
      </w:r>
      <w:r w:rsidR="000903E8" w:rsidRPr="000903E8">
        <w:rPr>
          <w:lang w:val="es-AR"/>
        </w:rPr>
        <w:t>rtículo 5: fortalecimiento institucional</w:t>
      </w:r>
      <w:r w:rsidRPr="000903E8">
        <w:rPr>
          <w:lang w:val="es-AR"/>
        </w:rPr>
        <w:t xml:space="preserve">", </w:t>
      </w:r>
      <w:r w:rsidR="00BC29F6" w:rsidRPr="000903E8">
        <w:rPr>
          <w:lang w:val="es-AR"/>
        </w:rPr>
        <w:t xml:space="preserve">que examinó </w:t>
      </w:r>
      <w:r w:rsidRPr="000903E8">
        <w:rPr>
          <w:lang w:val="es-AR"/>
        </w:rPr>
        <w:t xml:space="preserve">las </w:t>
      </w:r>
      <w:r w:rsidR="00FC7B69" w:rsidRPr="000903E8">
        <w:rPr>
          <w:lang w:val="es-AR"/>
        </w:rPr>
        <w:t>cuestiones</w:t>
      </w:r>
      <w:r w:rsidRPr="000903E8">
        <w:rPr>
          <w:lang w:val="es-AR"/>
        </w:rPr>
        <w:t xml:space="preserve"> relacionadas</w:t>
      </w:r>
      <w:r w:rsidR="00BC29F6" w:rsidRPr="000903E8">
        <w:rPr>
          <w:lang w:val="es-AR"/>
        </w:rPr>
        <w:t xml:space="preserve"> con el</w:t>
      </w:r>
      <w:r w:rsidR="00190842" w:rsidRPr="000903E8">
        <w:rPr>
          <w:lang w:val="es-AR"/>
        </w:rPr>
        <w:t xml:space="preserve"> fortalecimiento institucional </w:t>
      </w:r>
      <w:r w:rsidRPr="000903E8">
        <w:rPr>
          <w:lang w:val="es-AR"/>
        </w:rPr>
        <w:t xml:space="preserve">por separado de </w:t>
      </w:r>
      <w:r w:rsidR="000903E8">
        <w:rPr>
          <w:lang w:val="es-AR"/>
        </w:rPr>
        <w:t xml:space="preserve">las </w:t>
      </w:r>
      <w:r w:rsidRPr="000903E8">
        <w:rPr>
          <w:lang w:val="es-AR"/>
        </w:rPr>
        <w:t>otras actividades de facilitación, considerando la importancia de</w:t>
      </w:r>
      <w:r w:rsidR="00190842" w:rsidRPr="000903E8">
        <w:rPr>
          <w:lang w:val="es-AR"/>
        </w:rPr>
        <w:t xml:space="preserve"> fortalecimiento institucional </w:t>
      </w:r>
      <w:r w:rsidRPr="000903E8">
        <w:rPr>
          <w:lang w:val="es-AR"/>
        </w:rPr>
        <w:t xml:space="preserve">para la aplicación del </w:t>
      </w:r>
      <w:r w:rsidR="00190842" w:rsidRPr="000903E8">
        <w:rPr>
          <w:lang w:val="es-AR"/>
        </w:rPr>
        <w:t>Protocolo</w:t>
      </w:r>
      <w:r w:rsidRPr="000903E8">
        <w:rPr>
          <w:lang w:val="es-AR"/>
        </w:rPr>
        <w:t xml:space="preserve"> de Montreal, y el número de decisiones adoptadas por el Comité Ejecutivo.</w:t>
      </w:r>
    </w:p>
    <w:p w14:paraId="1948450F" w14:textId="0FA43716" w:rsidR="00306314" w:rsidRPr="00190842" w:rsidRDefault="00306314" w:rsidP="006F1B78">
      <w:pPr>
        <w:pStyle w:val="Heading1"/>
        <w:rPr>
          <w:lang w:val="es-AR"/>
        </w:rPr>
      </w:pPr>
      <w:r w:rsidRPr="00FC7B69">
        <w:rPr>
          <w:lang w:val="es-AR"/>
        </w:rPr>
        <w:t>En su 84</w:t>
      </w:r>
      <w:r w:rsidR="00FC7B69">
        <w:rPr>
          <w:lang w:val="es-AR"/>
        </w:rPr>
        <w:t xml:space="preserve">ª </w:t>
      </w:r>
      <w:r w:rsidR="00193AA4" w:rsidRPr="00FC7B69">
        <w:rPr>
          <w:lang w:val="es-AR"/>
        </w:rPr>
        <w:t>reunión</w:t>
      </w:r>
      <w:r w:rsidRPr="00190842">
        <w:rPr>
          <w:lang w:val="es-AR"/>
        </w:rPr>
        <w:t xml:space="preserve"> (diciembre de 2019), el Comité Ejecutivo </w:t>
      </w:r>
      <w:r w:rsidR="00FC7B69">
        <w:rPr>
          <w:lang w:val="es-AR"/>
        </w:rPr>
        <w:t xml:space="preserve">estudió </w:t>
      </w:r>
      <w:r w:rsidRPr="00190842">
        <w:rPr>
          <w:lang w:val="es-AR"/>
        </w:rPr>
        <w:t>el documento UNEP/OzL.Pro</w:t>
      </w:r>
      <w:r w:rsidR="00190842">
        <w:rPr>
          <w:lang w:val="es-AR"/>
        </w:rPr>
        <w:t>/ExCom/</w:t>
      </w:r>
      <w:r w:rsidRPr="00190842">
        <w:rPr>
          <w:lang w:val="es-AR"/>
        </w:rPr>
        <w:t xml:space="preserve">84/65, </w:t>
      </w:r>
      <w:r w:rsidR="00FC7B69">
        <w:rPr>
          <w:lang w:val="es-AR"/>
        </w:rPr>
        <w:t xml:space="preserve">con </w:t>
      </w:r>
      <w:r w:rsidRPr="00190842">
        <w:rPr>
          <w:lang w:val="es-AR"/>
        </w:rPr>
        <w:t>un "</w:t>
      </w:r>
      <w:r w:rsidR="006F1B78" w:rsidRPr="006F1B78">
        <w:rPr>
          <w:lang w:val="es-AR"/>
        </w:rPr>
        <w:t xml:space="preserve">Análisis de las repercusiones de la ejecución paralela o integrada de las actividades de eliminación de los </w:t>
      </w:r>
      <w:r w:rsidR="006F1B78">
        <w:rPr>
          <w:lang w:val="es-AR"/>
        </w:rPr>
        <w:t xml:space="preserve">HCFC </w:t>
      </w:r>
      <w:r w:rsidR="006F1B78" w:rsidRPr="006F1B78">
        <w:rPr>
          <w:lang w:val="es-AR"/>
        </w:rPr>
        <w:t xml:space="preserve">y de reducción de </w:t>
      </w:r>
      <w:r w:rsidR="006F1B78">
        <w:rPr>
          <w:lang w:val="es-AR"/>
        </w:rPr>
        <w:t xml:space="preserve">HFC </w:t>
      </w:r>
      <w:r w:rsidR="006F1B78" w:rsidRPr="006F1B78">
        <w:rPr>
          <w:lang w:val="es-AR"/>
        </w:rPr>
        <w:t>(decisión 81/69)</w:t>
      </w:r>
      <w:r w:rsidR="006F1B78">
        <w:rPr>
          <w:lang w:val="es-AR"/>
        </w:rPr>
        <w:t>.”</w:t>
      </w:r>
      <w:r w:rsidRPr="00190842">
        <w:rPr>
          <w:lang w:val="es-AR"/>
        </w:rPr>
        <w:t xml:space="preserve"> E</w:t>
      </w:r>
      <w:r w:rsidRPr="00FC7B69">
        <w:rPr>
          <w:lang w:val="es-AR"/>
        </w:rPr>
        <w:t>ntre otras cosas</w:t>
      </w:r>
      <w:r w:rsidR="0045436C">
        <w:rPr>
          <w:lang w:val="es-AR"/>
        </w:rPr>
        <w:t>,</w:t>
      </w:r>
      <w:r w:rsidRPr="00190842">
        <w:rPr>
          <w:i/>
          <w:lang w:val="es-AR"/>
        </w:rPr>
        <w:t xml:space="preserve"> </w:t>
      </w:r>
      <w:r w:rsidR="00FC7B69">
        <w:rPr>
          <w:lang w:val="es-AR"/>
        </w:rPr>
        <w:t xml:space="preserve">el documento </w:t>
      </w:r>
      <w:r w:rsidRPr="00190842">
        <w:rPr>
          <w:lang w:val="es-AR"/>
        </w:rPr>
        <w:t xml:space="preserve">presentó un análisis del grado al cual </w:t>
      </w:r>
      <w:r w:rsidR="00FC7B69">
        <w:rPr>
          <w:lang w:val="es-AR"/>
        </w:rPr>
        <w:t xml:space="preserve">se esperaba que las actividades de eliminación de </w:t>
      </w:r>
      <w:r w:rsidR="00190842">
        <w:rPr>
          <w:lang w:val="es-AR"/>
        </w:rPr>
        <w:t>los HCFC</w:t>
      </w:r>
      <w:r w:rsidRPr="00190842">
        <w:rPr>
          <w:lang w:val="es-AR"/>
        </w:rPr>
        <w:t xml:space="preserve"> </w:t>
      </w:r>
      <w:r w:rsidR="00FC7B69">
        <w:rPr>
          <w:lang w:val="es-AR"/>
        </w:rPr>
        <w:t>y reducción</w:t>
      </w:r>
      <w:r w:rsidRPr="00190842">
        <w:rPr>
          <w:lang w:val="es-AR"/>
        </w:rPr>
        <w:t xml:space="preserve"> de</w:t>
      </w:r>
      <w:r w:rsidR="00FC7B69">
        <w:rPr>
          <w:lang w:val="es-AR"/>
        </w:rPr>
        <w:t xml:space="preserve"> los</w:t>
      </w:r>
      <w:r w:rsidRPr="00190842">
        <w:rPr>
          <w:lang w:val="es-AR"/>
        </w:rPr>
        <w:t xml:space="preserve"> HFC </w:t>
      </w:r>
      <w:r w:rsidR="00FC7B69">
        <w:rPr>
          <w:lang w:val="es-AR"/>
        </w:rPr>
        <w:t xml:space="preserve">se ejecutaran en forma integrada o </w:t>
      </w:r>
      <w:r w:rsidRPr="00190842">
        <w:rPr>
          <w:lang w:val="es-AR"/>
        </w:rPr>
        <w:t>paralela en</w:t>
      </w:r>
      <w:r w:rsidR="00FC7B69">
        <w:rPr>
          <w:lang w:val="es-AR"/>
        </w:rPr>
        <w:t xml:space="preserve"> los sectores de </w:t>
      </w:r>
      <w:r w:rsidRPr="00190842">
        <w:rPr>
          <w:lang w:val="es-AR"/>
        </w:rPr>
        <w:t xml:space="preserve">producción, </w:t>
      </w:r>
      <w:r w:rsidR="00FC7B69">
        <w:rPr>
          <w:lang w:val="es-AR"/>
        </w:rPr>
        <w:t xml:space="preserve">consumo, </w:t>
      </w:r>
      <w:r w:rsidRPr="00190842">
        <w:rPr>
          <w:lang w:val="es-AR"/>
        </w:rPr>
        <w:t xml:space="preserve">fabricación y </w:t>
      </w:r>
      <w:r w:rsidR="00190842">
        <w:rPr>
          <w:lang w:val="es-AR"/>
        </w:rPr>
        <w:t xml:space="preserve">servicios de </w:t>
      </w:r>
      <w:r w:rsidR="00FC7B69">
        <w:rPr>
          <w:lang w:val="es-AR"/>
        </w:rPr>
        <w:t xml:space="preserve">equipos de </w:t>
      </w:r>
      <w:r w:rsidR="00190842">
        <w:rPr>
          <w:lang w:val="es-AR"/>
        </w:rPr>
        <w:t>refrigeración</w:t>
      </w:r>
      <w:r w:rsidRPr="00190842">
        <w:rPr>
          <w:lang w:val="es-AR"/>
        </w:rPr>
        <w:t xml:space="preserve"> durante el período 2020-2030; para cada uno de estos sectores, el análisis cubre las </w:t>
      </w:r>
      <w:r w:rsidR="00FC7B69">
        <w:rPr>
          <w:lang w:val="es-AR"/>
        </w:rPr>
        <w:t>cuestiones</w:t>
      </w:r>
      <w:r w:rsidRPr="00190842">
        <w:rPr>
          <w:lang w:val="es-AR"/>
        </w:rPr>
        <w:t xml:space="preserve"> relacionadas con la disponibilidad</w:t>
      </w:r>
      <w:r w:rsidR="00FC7B69">
        <w:rPr>
          <w:lang w:val="es-AR"/>
        </w:rPr>
        <w:t xml:space="preserve"> de los recursos</w:t>
      </w:r>
      <w:r w:rsidRPr="00190842">
        <w:rPr>
          <w:lang w:val="es-AR"/>
        </w:rPr>
        <w:t xml:space="preserve"> y la relación</w:t>
      </w:r>
      <w:r w:rsidR="00FC7B69">
        <w:rPr>
          <w:lang w:val="es-AR"/>
        </w:rPr>
        <w:t xml:space="preserve"> de</w:t>
      </w:r>
      <w:r w:rsidRPr="00190842">
        <w:rPr>
          <w:lang w:val="es-AR"/>
        </w:rPr>
        <w:t xml:space="preserve"> costo-eficacia, la capacidad de las instituciones del </w:t>
      </w:r>
      <w:r w:rsidR="00FC7B69">
        <w:rPr>
          <w:lang w:val="es-AR"/>
        </w:rPr>
        <w:t>F</w:t>
      </w:r>
      <w:r w:rsidRPr="00190842">
        <w:rPr>
          <w:lang w:val="es-AR"/>
        </w:rPr>
        <w:t>ondo</w:t>
      </w:r>
      <w:r w:rsidR="00FC7B69">
        <w:rPr>
          <w:lang w:val="es-AR"/>
        </w:rPr>
        <w:t>,</w:t>
      </w:r>
      <w:r w:rsidRPr="00190842">
        <w:rPr>
          <w:lang w:val="es-AR"/>
        </w:rPr>
        <w:t xml:space="preserve"> </w:t>
      </w:r>
      <w:r w:rsidR="00190842">
        <w:rPr>
          <w:lang w:val="es-AR"/>
        </w:rPr>
        <w:t>inclusive</w:t>
      </w:r>
      <w:r w:rsidR="00FC7B69">
        <w:rPr>
          <w:lang w:val="es-AR"/>
        </w:rPr>
        <w:t xml:space="preserve"> las</w:t>
      </w:r>
      <w:r w:rsidRPr="00190842">
        <w:rPr>
          <w:lang w:val="es-AR"/>
        </w:rPr>
        <w:t xml:space="preserve"> </w:t>
      </w:r>
      <w:r w:rsidR="00E17069">
        <w:rPr>
          <w:lang w:val="es-AR"/>
        </w:rPr>
        <w:t>dependencias nacionales del ozono</w:t>
      </w:r>
      <w:r w:rsidRPr="00190842">
        <w:rPr>
          <w:lang w:val="es-AR"/>
        </w:rPr>
        <w:t xml:space="preserve">, y las áreas que requieren políticas </w:t>
      </w:r>
      <w:r w:rsidR="00FC7B69">
        <w:rPr>
          <w:lang w:val="es-AR"/>
        </w:rPr>
        <w:t xml:space="preserve">formuladas </w:t>
      </w:r>
      <w:r w:rsidRPr="00190842">
        <w:rPr>
          <w:lang w:val="es-AR"/>
        </w:rPr>
        <w:t xml:space="preserve">por </w:t>
      </w:r>
      <w:r w:rsidR="00BC29F6">
        <w:rPr>
          <w:lang w:val="es-AR"/>
        </w:rPr>
        <w:t>el Comité</w:t>
      </w:r>
      <w:r w:rsidRPr="00190842">
        <w:rPr>
          <w:lang w:val="es-AR"/>
        </w:rPr>
        <w:t xml:space="preserve">. De acuerdo con el análisis, el documento observó que </w:t>
      </w:r>
      <w:r w:rsidR="00FC7B69">
        <w:rPr>
          <w:lang w:val="es-AR"/>
        </w:rPr>
        <w:t xml:space="preserve">se esperaba que </w:t>
      </w:r>
      <w:r w:rsidRPr="00190842">
        <w:rPr>
          <w:lang w:val="es-AR"/>
        </w:rPr>
        <w:t xml:space="preserve">las actividades </w:t>
      </w:r>
      <w:r w:rsidR="00FC7B69">
        <w:rPr>
          <w:lang w:val="es-AR"/>
        </w:rPr>
        <w:t>de reducción de HFC</w:t>
      </w:r>
      <w:r w:rsidRPr="00190842">
        <w:rPr>
          <w:lang w:val="es-AR"/>
        </w:rPr>
        <w:t xml:space="preserve">, </w:t>
      </w:r>
      <w:r w:rsidR="00FC7B69">
        <w:rPr>
          <w:lang w:val="es-AR"/>
        </w:rPr>
        <w:t>junto con las actividades de eliminación de HCFC</w:t>
      </w:r>
      <w:r w:rsidR="0045436C">
        <w:rPr>
          <w:lang w:val="es-AR"/>
        </w:rPr>
        <w:t>,</w:t>
      </w:r>
      <w:r w:rsidRPr="00190842">
        <w:rPr>
          <w:lang w:val="es-AR"/>
        </w:rPr>
        <w:t xml:space="preserve"> ampliara</w:t>
      </w:r>
      <w:r w:rsidR="00FC7B69">
        <w:rPr>
          <w:lang w:val="es-AR"/>
        </w:rPr>
        <w:t>n</w:t>
      </w:r>
      <w:r w:rsidRPr="00190842">
        <w:rPr>
          <w:lang w:val="es-AR"/>
        </w:rPr>
        <w:t xml:space="preserve"> el alcance y la complejidad del trabajo bajo el </w:t>
      </w:r>
      <w:r w:rsidR="00190842">
        <w:rPr>
          <w:lang w:val="es-AR"/>
        </w:rPr>
        <w:t>Fondo Multilateral</w:t>
      </w:r>
      <w:r w:rsidRPr="00190842">
        <w:rPr>
          <w:lang w:val="es-AR"/>
        </w:rPr>
        <w:t>.</w:t>
      </w:r>
    </w:p>
    <w:p w14:paraId="048DFDA3" w14:textId="77777777" w:rsidR="00306314" w:rsidRPr="00190842" w:rsidRDefault="00306314" w:rsidP="00306314">
      <w:pPr>
        <w:keepNext/>
        <w:rPr>
          <w:u w:val="single"/>
          <w:lang w:val="es-AR"/>
        </w:rPr>
      </w:pPr>
      <w:r w:rsidRPr="00190842">
        <w:rPr>
          <w:u w:val="single"/>
          <w:lang w:val="es-AR"/>
        </w:rPr>
        <w:t>Alcance y estructura del documento</w:t>
      </w:r>
    </w:p>
    <w:p w14:paraId="5647F7A2" w14:textId="77777777" w:rsidR="00306314" w:rsidRPr="00190842" w:rsidRDefault="00306314" w:rsidP="00306314">
      <w:pPr>
        <w:rPr>
          <w:lang w:val="es-AR"/>
        </w:rPr>
      </w:pPr>
    </w:p>
    <w:p w14:paraId="21F3DC24" w14:textId="70A9364E" w:rsidR="00306314" w:rsidRPr="00FC7B69" w:rsidRDefault="00FC7B69" w:rsidP="00306314">
      <w:pPr>
        <w:pStyle w:val="Heading1"/>
        <w:rPr>
          <w:lang w:val="es-AR"/>
        </w:rPr>
      </w:pPr>
      <w:r>
        <w:rPr>
          <w:lang w:val="es-AR"/>
        </w:rPr>
        <w:t xml:space="preserve">El presente documento examina y actualiza la información que figura en </w:t>
      </w:r>
      <w:r w:rsidR="00306314" w:rsidRPr="00FC7B69">
        <w:rPr>
          <w:lang w:val="es-AR"/>
        </w:rPr>
        <w:t>los documentos UNEP/OzL.Pro</w:t>
      </w:r>
      <w:r w:rsidR="00190842" w:rsidRPr="00FC7B69">
        <w:rPr>
          <w:lang w:val="es-AR"/>
        </w:rPr>
        <w:t>/ExCom/</w:t>
      </w:r>
      <w:r w:rsidR="00306314" w:rsidRPr="00FC7B69">
        <w:rPr>
          <w:lang w:val="es-AR"/>
        </w:rPr>
        <w:t>74/51 y UNEP/OzL.Pro</w:t>
      </w:r>
      <w:r w:rsidR="00190842" w:rsidRPr="00FC7B69">
        <w:rPr>
          <w:lang w:val="es-AR"/>
        </w:rPr>
        <w:t>/ExCom/</w:t>
      </w:r>
      <w:r w:rsidR="00306314" w:rsidRPr="00FC7B69">
        <w:rPr>
          <w:lang w:val="es-AR"/>
        </w:rPr>
        <w:t>78/7,</w:t>
      </w:r>
      <w:r w:rsidRPr="00FC7B69">
        <w:rPr>
          <w:lang w:val="es-AR"/>
        </w:rPr>
        <w:t xml:space="preserve"> específicamente </w:t>
      </w:r>
      <w:r w:rsidR="00306314" w:rsidRPr="00FC7B69">
        <w:rPr>
          <w:lang w:val="es-AR"/>
        </w:rPr>
        <w:t>con respecto a</w:t>
      </w:r>
      <w:r>
        <w:rPr>
          <w:lang w:val="es-AR"/>
        </w:rPr>
        <w:t xml:space="preserve"> las</w:t>
      </w:r>
      <w:r w:rsidR="00674039" w:rsidRPr="00FC7B69">
        <w:rPr>
          <w:lang w:val="es-AR"/>
        </w:rPr>
        <w:t xml:space="preserve"> </w:t>
      </w:r>
      <w:r>
        <w:rPr>
          <w:lang w:val="es-AR"/>
        </w:rPr>
        <w:t>actividades de fortalecimiento institucional</w:t>
      </w:r>
      <w:r w:rsidR="00306314" w:rsidRPr="00FC7B69">
        <w:rPr>
          <w:lang w:val="es-AR"/>
        </w:rPr>
        <w:t xml:space="preserve">, y </w:t>
      </w:r>
      <w:r>
        <w:rPr>
          <w:lang w:val="es-AR"/>
        </w:rPr>
        <w:t xml:space="preserve">aborda </w:t>
      </w:r>
      <w:r w:rsidR="00306314" w:rsidRPr="00FC7B69">
        <w:rPr>
          <w:lang w:val="es-AR"/>
        </w:rPr>
        <w:t xml:space="preserve">los </w:t>
      </w:r>
      <w:r>
        <w:rPr>
          <w:lang w:val="es-AR"/>
        </w:rPr>
        <w:t xml:space="preserve">problemas </w:t>
      </w:r>
      <w:r w:rsidR="00306314" w:rsidRPr="00FC7B69">
        <w:rPr>
          <w:lang w:val="es-AR"/>
        </w:rPr>
        <w:t xml:space="preserve">ligados a la </w:t>
      </w:r>
      <w:r w:rsidR="00190842" w:rsidRPr="00FC7B69">
        <w:rPr>
          <w:lang w:val="es-AR"/>
        </w:rPr>
        <w:t>Enmienda</w:t>
      </w:r>
      <w:r w:rsidR="00306314" w:rsidRPr="00FC7B69">
        <w:rPr>
          <w:lang w:val="es-AR"/>
        </w:rPr>
        <w:t xml:space="preserve"> de Kigali, tomando en </w:t>
      </w:r>
      <w:r w:rsidR="008A2B91">
        <w:rPr>
          <w:lang w:val="es-AR"/>
        </w:rPr>
        <w:t xml:space="preserve">consideración </w:t>
      </w:r>
      <w:r w:rsidR="00306314" w:rsidRPr="00FC7B69">
        <w:rPr>
          <w:lang w:val="es-AR"/>
        </w:rPr>
        <w:t xml:space="preserve">los documentos pertinentes </w:t>
      </w:r>
      <w:r w:rsidR="008A2B91">
        <w:rPr>
          <w:lang w:val="es-AR"/>
        </w:rPr>
        <w:t xml:space="preserve">estudiados </w:t>
      </w:r>
      <w:r w:rsidR="00306314" w:rsidRPr="00FC7B69">
        <w:rPr>
          <w:lang w:val="es-AR"/>
        </w:rPr>
        <w:t>por el Comité Ejecutivo y las decisiones adoptad</w:t>
      </w:r>
      <w:r w:rsidR="008A2B91">
        <w:rPr>
          <w:lang w:val="es-AR"/>
        </w:rPr>
        <w:t>a</w:t>
      </w:r>
      <w:r w:rsidR="00306314" w:rsidRPr="00FC7B69">
        <w:rPr>
          <w:lang w:val="es-AR"/>
        </w:rPr>
        <w:t xml:space="preserve">s por </w:t>
      </w:r>
      <w:r w:rsidR="00190842" w:rsidRPr="00FC7B69">
        <w:rPr>
          <w:lang w:val="es-AR"/>
        </w:rPr>
        <w:t>las Partes</w:t>
      </w:r>
      <w:r w:rsidR="00306314" w:rsidRPr="00FC7B69">
        <w:rPr>
          <w:lang w:val="es-AR"/>
        </w:rPr>
        <w:t xml:space="preserve"> y el Comité Ejecutivo con posterioridad a la adopción de la </w:t>
      </w:r>
      <w:r w:rsidR="00190842" w:rsidRPr="00FC7B69">
        <w:rPr>
          <w:lang w:val="es-AR"/>
        </w:rPr>
        <w:t>Enmienda</w:t>
      </w:r>
      <w:r w:rsidR="00306314" w:rsidRPr="00FC7B69">
        <w:rPr>
          <w:lang w:val="es-AR"/>
        </w:rPr>
        <w:t xml:space="preserve"> de Kigali. Evalúa la importancia de</w:t>
      </w:r>
      <w:r w:rsidR="00190842" w:rsidRPr="00FC7B69">
        <w:rPr>
          <w:lang w:val="es-AR"/>
        </w:rPr>
        <w:t xml:space="preserve"> </w:t>
      </w:r>
      <w:r w:rsidR="00193AA4" w:rsidRPr="00FC7B69">
        <w:rPr>
          <w:lang w:val="es-AR"/>
        </w:rPr>
        <w:t xml:space="preserve">apoyar el fortalecimiento institucional </w:t>
      </w:r>
      <w:r w:rsidR="008A2B91">
        <w:rPr>
          <w:lang w:val="es-AR"/>
        </w:rPr>
        <w:t xml:space="preserve">para </w:t>
      </w:r>
      <w:r w:rsidR="00306314" w:rsidRPr="00FC7B69">
        <w:rPr>
          <w:lang w:val="es-AR"/>
        </w:rPr>
        <w:t>contribuir al logro</w:t>
      </w:r>
      <w:r w:rsidR="008A2B91">
        <w:rPr>
          <w:lang w:val="es-AR"/>
        </w:rPr>
        <w:t xml:space="preserve"> del </w:t>
      </w:r>
      <w:r w:rsidR="00DF14AE" w:rsidRPr="00FC7B69">
        <w:rPr>
          <w:lang w:val="es-AR"/>
        </w:rPr>
        <w:t>cumplimiento</w:t>
      </w:r>
      <w:r w:rsidR="00306314" w:rsidRPr="00FC7B69">
        <w:rPr>
          <w:lang w:val="es-AR"/>
        </w:rPr>
        <w:t> </w:t>
      </w:r>
      <w:r w:rsidR="008A2B91">
        <w:rPr>
          <w:lang w:val="es-AR"/>
        </w:rPr>
        <w:t xml:space="preserve">por parte </w:t>
      </w:r>
      <w:r w:rsidR="00306314" w:rsidRPr="00FC7B69">
        <w:rPr>
          <w:lang w:val="es-AR"/>
        </w:rPr>
        <w:t xml:space="preserve">de los países del </w:t>
      </w:r>
      <w:r w:rsidR="00190842" w:rsidRPr="00FC7B69">
        <w:rPr>
          <w:lang w:val="es-AR"/>
        </w:rPr>
        <w:t>Artículo</w:t>
      </w:r>
      <w:r w:rsidR="00306314" w:rsidRPr="00FC7B69">
        <w:rPr>
          <w:lang w:val="es-AR"/>
        </w:rPr>
        <w:t xml:space="preserve"> 5 con las </w:t>
      </w:r>
      <w:r w:rsidR="00190842" w:rsidRPr="00FC7B69">
        <w:rPr>
          <w:lang w:val="es-AR"/>
        </w:rPr>
        <w:t>medidas de control</w:t>
      </w:r>
      <w:r w:rsidR="00306314" w:rsidRPr="00FC7B69">
        <w:rPr>
          <w:lang w:val="es-AR"/>
        </w:rPr>
        <w:t xml:space="preserve"> del </w:t>
      </w:r>
      <w:r w:rsidR="00190842" w:rsidRPr="00FC7B69">
        <w:rPr>
          <w:lang w:val="es-AR"/>
        </w:rPr>
        <w:t>Protocolo</w:t>
      </w:r>
      <w:r w:rsidR="00306314" w:rsidRPr="00FC7B69">
        <w:rPr>
          <w:lang w:val="es-AR"/>
        </w:rPr>
        <w:t xml:space="preserve"> de Montreal, y establec</w:t>
      </w:r>
      <w:r w:rsidR="008A2B91">
        <w:rPr>
          <w:lang w:val="es-AR"/>
        </w:rPr>
        <w:t>e</w:t>
      </w:r>
      <w:r w:rsidR="00306314" w:rsidRPr="00FC7B69">
        <w:rPr>
          <w:lang w:val="es-AR"/>
        </w:rPr>
        <w:t xml:space="preserve"> la gama de actividades que las </w:t>
      </w:r>
      <w:r w:rsidR="00E17069">
        <w:rPr>
          <w:lang w:val="es-AR"/>
        </w:rPr>
        <w:t>dependencias nacionales del ozono</w:t>
      </w:r>
      <w:r w:rsidR="00306314" w:rsidRPr="00FC7B69">
        <w:rPr>
          <w:lang w:val="es-AR"/>
        </w:rPr>
        <w:t xml:space="preserve"> deb</w:t>
      </w:r>
      <w:r w:rsidR="008A2B91">
        <w:rPr>
          <w:lang w:val="es-AR"/>
        </w:rPr>
        <w:t>e</w:t>
      </w:r>
      <w:r w:rsidR="00306314" w:rsidRPr="00FC7B69">
        <w:rPr>
          <w:lang w:val="es-AR"/>
        </w:rPr>
        <w:t xml:space="preserve">n emprender para </w:t>
      </w:r>
      <w:r w:rsidR="008A2B91">
        <w:rPr>
          <w:lang w:val="es-AR"/>
        </w:rPr>
        <w:t xml:space="preserve">lograr </w:t>
      </w:r>
      <w:r w:rsidR="00306314" w:rsidRPr="00FC7B69">
        <w:rPr>
          <w:lang w:val="es-AR"/>
        </w:rPr>
        <w:t xml:space="preserve">las </w:t>
      </w:r>
      <w:r w:rsidR="00190842" w:rsidRPr="00FC7B69">
        <w:rPr>
          <w:lang w:val="es-AR"/>
        </w:rPr>
        <w:t>medidas de control</w:t>
      </w:r>
      <w:r w:rsidR="008A2B91">
        <w:rPr>
          <w:lang w:val="es-AR"/>
        </w:rPr>
        <w:t xml:space="preserve"> de</w:t>
      </w:r>
      <w:r w:rsidR="00306314" w:rsidRPr="00FC7B69">
        <w:rPr>
          <w:lang w:val="es-AR"/>
        </w:rPr>
        <w:t xml:space="preserve"> </w:t>
      </w:r>
      <w:r w:rsidR="00190842" w:rsidRPr="00FC7B69">
        <w:rPr>
          <w:lang w:val="es-AR"/>
        </w:rPr>
        <w:t>los HCFC</w:t>
      </w:r>
      <w:r w:rsidR="00306314" w:rsidRPr="00FC7B69">
        <w:rPr>
          <w:lang w:val="es-AR"/>
        </w:rPr>
        <w:t xml:space="preserve"> y HFC entre 2020 y 2030. </w:t>
      </w:r>
      <w:r w:rsidR="008A2B91">
        <w:rPr>
          <w:lang w:val="es-AR"/>
        </w:rPr>
        <w:t>Asimismo, e</w:t>
      </w:r>
      <w:r w:rsidR="00306314" w:rsidRPr="00FC7B69">
        <w:rPr>
          <w:lang w:val="es-AR"/>
        </w:rPr>
        <w:t xml:space="preserve">l documento </w:t>
      </w:r>
      <w:r w:rsidR="0045436C">
        <w:rPr>
          <w:lang w:val="es-AR"/>
        </w:rPr>
        <w:t xml:space="preserve">examina </w:t>
      </w:r>
      <w:r w:rsidR="00306314" w:rsidRPr="00FC7B69">
        <w:rPr>
          <w:lang w:val="es-AR"/>
        </w:rPr>
        <w:t>el formato para</w:t>
      </w:r>
      <w:r w:rsidR="00190842" w:rsidRPr="00FC7B69">
        <w:rPr>
          <w:lang w:val="es-AR"/>
        </w:rPr>
        <w:t xml:space="preserve"> </w:t>
      </w:r>
      <w:r w:rsidR="008A2B91">
        <w:rPr>
          <w:lang w:val="es-AR"/>
        </w:rPr>
        <w:t xml:space="preserve">presentación de informes de fortalecimiento institucional </w:t>
      </w:r>
      <w:r w:rsidR="00306314" w:rsidRPr="00FC7B69">
        <w:rPr>
          <w:lang w:val="es-AR"/>
        </w:rPr>
        <w:t>y las sol</w:t>
      </w:r>
      <w:r w:rsidR="008A2B91">
        <w:rPr>
          <w:lang w:val="es-AR"/>
        </w:rPr>
        <w:t>i</w:t>
      </w:r>
      <w:r w:rsidR="00306314" w:rsidRPr="00FC7B69">
        <w:rPr>
          <w:lang w:val="es-AR"/>
        </w:rPr>
        <w:t xml:space="preserve">citudes de </w:t>
      </w:r>
      <w:r w:rsidR="008A2B91">
        <w:rPr>
          <w:lang w:val="es-AR"/>
        </w:rPr>
        <w:t>renovación</w:t>
      </w:r>
      <w:r w:rsidR="00306314" w:rsidRPr="00FC7B69">
        <w:rPr>
          <w:lang w:val="es-AR"/>
        </w:rPr>
        <w:t xml:space="preserve"> y los </w:t>
      </w:r>
      <w:r w:rsidR="004A3566" w:rsidRPr="00FC7B69">
        <w:rPr>
          <w:lang w:val="es-AR"/>
        </w:rPr>
        <w:t xml:space="preserve">indicadores de desempeño </w:t>
      </w:r>
      <w:r w:rsidR="00306314" w:rsidRPr="00FC7B69">
        <w:rPr>
          <w:lang w:val="es-AR"/>
        </w:rPr>
        <w:t xml:space="preserve">que </w:t>
      </w:r>
      <w:r w:rsidR="008A2B91">
        <w:rPr>
          <w:lang w:val="es-AR"/>
        </w:rPr>
        <w:t xml:space="preserve">se sumaron </w:t>
      </w:r>
      <w:r w:rsidR="00306314" w:rsidRPr="00FC7B69">
        <w:rPr>
          <w:lang w:val="es-AR"/>
        </w:rPr>
        <w:t>en la 74</w:t>
      </w:r>
      <w:r w:rsidR="008A2B91">
        <w:rPr>
          <w:lang w:val="es-AR"/>
        </w:rPr>
        <w:t xml:space="preserve">ª </w:t>
      </w:r>
      <w:r w:rsidR="00193AA4" w:rsidRPr="00FC7B69">
        <w:rPr>
          <w:lang w:val="es-AR"/>
        </w:rPr>
        <w:t>reunión</w:t>
      </w:r>
      <w:r w:rsidR="00306314" w:rsidRPr="00FC7B69">
        <w:rPr>
          <w:lang w:val="es-AR"/>
        </w:rPr>
        <w:t>;</w:t>
      </w:r>
      <w:r w:rsidR="00306314" w:rsidRPr="008A2B91">
        <w:rPr>
          <w:rStyle w:val="FootnoteReference"/>
          <w:lang w:val="es-AR"/>
        </w:rPr>
        <w:footnoteReference w:id="12"/>
      </w:r>
      <w:r w:rsidR="00306314" w:rsidRPr="00FC7B69">
        <w:rPr>
          <w:lang w:val="es-AR"/>
        </w:rPr>
        <w:t xml:space="preserve"> y presenta una recomendación.</w:t>
      </w:r>
    </w:p>
    <w:p w14:paraId="23512633" w14:textId="77777777" w:rsidR="00306314" w:rsidRPr="00190842" w:rsidRDefault="00306314" w:rsidP="00306314">
      <w:pPr>
        <w:pStyle w:val="Heading1"/>
        <w:rPr>
          <w:lang w:val="es-AR"/>
        </w:rPr>
      </w:pPr>
      <w:r w:rsidRPr="00190842">
        <w:rPr>
          <w:lang w:val="es-AR"/>
        </w:rPr>
        <w:t>El documento incluye los anexos siguientes:</w:t>
      </w:r>
    </w:p>
    <w:p w14:paraId="7B333330" w14:textId="793C1BCC" w:rsidR="00306314" w:rsidRPr="00190842" w:rsidRDefault="008A2B91" w:rsidP="00306314">
      <w:pPr>
        <w:pStyle w:val="Heading1"/>
        <w:numPr>
          <w:ilvl w:val="0"/>
          <w:numId w:val="0"/>
        </w:numPr>
        <w:ind w:firstLine="720"/>
        <w:rPr>
          <w:lang w:val="es-AR"/>
        </w:rPr>
      </w:pPr>
      <w:r>
        <w:rPr>
          <w:lang w:val="es-AR"/>
        </w:rPr>
        <w:t>I</w:t>
      </w:r>
      <w:r w:rsidR="00542D17">
        <w:rPr>
          <w:lang w:val="es-AR"/>
        </w:rPr>
        <w:t>.</w:t>
      </w:r>
      <w:r w:rsidR="00306314" w:rsidRPr="00190842">
        <w:rPr>
          <w:lang w:val="es-AR"/>
        </w:rPr>
        <w:tab/>
      </w:r>
      <w:r>
        <w:rPr>
          <w:lang w:val="es-AR"/>
        </w:rPr>
        <w:t>R</w:t>
      </w:r>
      <w:r w:rsidR="00306314" w:rsidRPr="00190842">
        <w:rPr>
          <w:lang w:val="es-AR"/>
        </w:rPr>
        <w:t>esumen del desarrollo de reglas y políticas para la financiación de</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w:t>
      </w:r>
    </w:p>
    <w:p w14:paraId="763FAF45" w14:textId="120360CA" w:rsidR="00306314" w:rsidRPr="00190842" w:rsidRDefault="00306314" w:rsidP="00306314">
      <w:pPr>
        <w:pStyle w:val="Heading1"/>
        <w:numPr>
          <w:ilvl w:val="0"/>
          <w:numId w:val="0"/>
        </w:numPr>
        <w:ind w:firstLine="720"/>
        <w:rPr>
          <w:lang w:val="es-AR"/>
        </w:rPr>
      </w:pPr>
      <w:r w:rsidRPr="00190842">
        <w:rPr>
          <w:lang w:val="es-AR"/>
        </w:rPr>
        <w:t>II</w:t>
      </w:r>
      <w:r w:rsidR="00542D17">
        <w:rPr>
          <w:lang w:val="es-AR"/>
        </w:rPr>
        <w:t>.</w:t>
      </w:r>
      <w:r w:rsidRPr="00190842">
        <w:rPr>
          <w:lang w:val="es-AR"/>
        </w:rPr>
        <w:tab/>
        <w:t xml:space="preserve">Lista de los </w:t>
      </w:r>
      <w:r w:rsidR="008A2B91" w:rsidRPr="00190842">
        <w:rPr>
          <w:lang w:val="es-AR"/>
        </w:rPr>
        <w:t xml:space="preserve">principales </w:t>
      </w:r>
      <w:r w:rsidRPr="00190842">
        <w:rPr>
          <w:lang w:val="es-AR"/>
        </w:rPr>
        <w:t xml:space="preserve">documentos </w:t>
      </w:r>
      <w:r w:rsidR="008A2B91">
        <w:rPr>
          <w:lang w:val="es-AR"/>
        </w:rPr>
        <w:t xml:space="preserve">sobre políticas de </w:t>
      </w:r>
      <w:r w:rsidR="00190842">
        <w:rPr>
          <w:lang w:val="es-AR"/>
        </w:rPr>
        <w:t xml:space="preserve">fortalecimiento institucional </w:t>
      </w:r>
    </w:p>
    <w:p w14:paraId="0433ED92" w14:textId="423D1158" w:rsidR="00306314" w:rsidRPr="00190842" w:rsidRDefault="00306314" w:rsidP="00306314">
      <w:pPr>
        <w:rPr>
          <w:lang w:val="es-AR"/>
        </w:rPr>
      </w:pPr>
      <w:r w:rsidRPr="00190842">
        <w:rPr>
          <w:lang w:val="es-AR"/>
        </w:rPr>
        <w:tab/>
        <w:t>III.</w:t>
      </w:r>
      <w:r w:rsidRPr="00190842">
        <w:rPr>
          <w:lang w:val="es-AR"/>
        </w:rPr>
        <w:tab/>
      </w:r>
      <w:r w:rsidR="008A2B91">
        <w:rPr>
          <w:lang w:val="es-AR"/>
        </w:rPr>
        <w:t>R</w:t>
      </w:r>
      <w:r w:rsidRPr="00190842">
        <w:rPr>
          <w:lang w:val="es-AR"/>
        </w:rPr>
        <w:t xml:space="preserve">esumen de los </w:t>
      </w:r>
      <w:r w:rsidR="004A3566">
        <w:rPr>
          <w:lang w:val="es-AR"/>
        </w:rPr>
        <w:t xml:space="preserve">indicadores de desempeño </w:t>
      </w:r>
      <w:r w:rsidRPr="00190842">
        <w:rPr>
          <w:lang w:val="es-AR"/>
        </w:rPr>
        <w:t>usados</w:t>
      </w:r>
      <w:r w:rsidR="008A2B91">
        <w:rPr>
          <w:lang w:val="es-AR"/>
        </w:rPr>
        <w:t>,</w:t>
      </w:r>
      <w:r w:rsidRPr="00190842">
        <w:rPr>
          <w:lang w:val="es-AR"/>
        </w:rPr>
        <w:t xml:space="preserve"> por objetivo de </w:t>
      </w:r>
      <w:r w:rsidR="008A2B91">
        <w:rPr>
          <w:lang w:val="es-AR"/>
        </w:rPr>
        <w:t>fortalecimiento institucional</w:t>
      </w:r>
    </w:p>
    <w:p w14:paraId="572DA51F" w14:textId="77777777" w:rsidR="00306314" w:rsidRPr="00190842" w:rsidRDefault="00306314" w:rsidP="00306314">
      <w:pPr>
        <w:rPr>
          <w:lang w:val="es-AR"/>
        </w:rPr>
      </w:pPr>
    </w:p>
    <w:p w14:paraId="0D24811D" w14:textId="4FFD69DC" w:rsidR="00306314" w:rsidRPr="00190842" w:rsidRDefault="008A2B91" w:rsidP="00306314">
      <w:pPr>
        <w:pStyle w:val="Heading1"/>
        <w:rPr>
          <w:lang w:val="es-AR"/>
        </w:rPr>
      </w:pPr>
      <w:r>
        <w:rPr>
          <w:lang w:val="es-AR"/>
        </w:rPr>
        <w:t>Al</w:t>
      </w:r>
      <w:r w:rsidR="00306314" w:rsidRPr="00190842">
        <w:rPr>
          <w:lang w:val="es-AR"/>
        </w:rPr>
        <w:t xml:space="preserve"> </w:t>
      </w:r>
      <w:r w:rsidR="0045436C">
        <w:rPr>
          <w:lang w:val="es-AR"/>
        </w:rPr>
        <w:t xml:space="preserve">preparar </w:t>
      </w:r>
      <w:r w:rsidR="00306314" w:rsidRPr="00190842">
        <w:rPr>
          <w:lang w:val="es-AR"/>
        </w:rPr>
        <w:t xml:space="preserve">el </w:t>
      </w:r>
      <w:r w:rsidR="00190842">
        <w:rPr>
          <w:lang w:val="es-AR"/>
        </w:rPr>
        <w:t>presente documento</w:t>
      </w:r>
      <w:r w:rsidR="00306314" w:rsidRPr="00190842">
        <w:rPr>
          <w:lang w:val="es-AR"/>
        </w:rPr>
        <w:t xml:space="preserve">, la </w:t>
      </w:r>
      <w:r w:rsidR="00190842">
        <w:rPr>
          <w:lang w:val="es-AR"/>
        </w:rPr>
        <w:t>Secretaría</w:t>
      </w:r>
      <w:r w:rsidR="00306314" w:rsidRPr="00190842">
        <w:rPr>
          <w:lang w:val="es-AR"/>
        </w:rPr>
        <w:t xml:space="preserve"> tomó en consideración las reglas del Comité Ejecutivo y las políticas </w:t>
      </w:r>
      <w:r>
        <w:rPr>
          <w:lang w:val="es-AR"/>
        </w:rPr>
        <w:t>de</w:t>
      </w:r>
      <w:r w:rsidR="00306314" w:rsidRPr="00190842">
        <w:rPr>
          <w:lang w:val="es-AR"/>
        </w:rPr>
        <w:t xml:space="preserve"> financiación de</w:t>
      </w:r>
      <w:r w:rsidR="00674039">
        <w:rPr>
          <w:lang w:val="es-AR"/>
        </w:rPr>
        <w:t xml:space="preserve"> fortalecimiento institucional</w:t>
      </w:r>
      <w:r>
        <w:rPr>
          <w:lang w:val="es-AR"/>
        </w:rPr>
        <w:t>;</w:t>
      </w:r>
      <w:r w:rsidR="00674039">
        <w:rPr>
          <w:lang w:val="es-AR"/>
        </w:rPr>
        <w:t xml:space="preserve"> </w:t>
      </w:r>
      <w:r w:rsidR="00306314" w:rsidRPr="00190842">
        <w:rPr>
          <w:lang w:val="es-AR"/>
        </w:rPr>
        <w:t xml:space="preserve">los documentos anteriores </w:t>
      </w:r>
      <w:r>
        <w:rPr>
          <w:lang w:val="es-AR"/>
        </w:rPr>
        <w:t>sobre</w:t>
      </w:r>
      <w:r w:rsidR="004A3566">
        <w:rPr>
          <w:lang w:val="es-AR"/>
        </w:rPr>
        <w:t xml:space="preserve"> fortalecimiento institucional </w:t>
      </w:r>
      <w:r w:rsidR="00306314" w:rsidRPr="00190842">
        <w:rPr>
          <w:lang w:val="es-AR"/>
        </w:rPr>
        <w:t xml:space="preserve">y las </w:t>
      </w:r>
      <w:r w:rsidR="00190842">
        <w:rPr>
          <w:lang w:val="es-AR"/>
        </w:rPr>
        <w:t>deliberaciones</w:t>
      </w:r>
      <w:r w:rsidR="00306314" w:rsidRPr="00190842">
        <w:rPr>
          <w:lang w:val="es-AR"/>
        </w:rPr>
        <w:t xml:space="preserve"> con </w:t>
      </w:r>
      <w:r>
        <w:rPr>
          <w:lang w:val="es-AR"/>
        </w:rPr>
        <w:t xml:space="preserve">los organismos de ejecución y bilaterales, </w:t>
      </w:r>
      <w:r w:rsidR="00306314" w:rsidRPr="00190842">
        <w:rPr>
          <w:lang w:val="es-AR"/>
        </w:rPr>
        <w:t xml:space="preserve">con respecto </w:t>
      </w:r>
      <w:r w:rsidR="00306314" w:rsidRPr="00190842">
        <w:rPr>
          <w:lang w:val="es-AR"/>
        </w:rPr>
        <w:lastRenderedPageBreak/>
        <w:t xml:space="preserve">a las cuestiones </w:t>
      </w:r>
      <w:r>
        <w:rPr>
          <w:lang w:val="es-AR"/>
        </w:rPr>
        <w:t xml:space="preserve">que se identificaron </w:t>
      </w:r>
      <w:r w:rsidR="00306314" w:rsidRPr="00190842">
        <w:rPr>
          <w:lang w:val="es-AR"/>
        </w:rPr>
        <w:t xml:space="preserve">al revisar los </w:t>
      </w:r>
      <w:r>
        <w:rPr>
          <w:lang w:val="es-AR"/>
        </w:rPr>
        <w:t>pedidos de renovación de proyectos</w:t>
      </w:r>
      <w:r w:rsidR="00674039">
        <w:rPr>
          <w:lang w:val="es-AR"/>
        </w:rPr>
        <w:t xml:space="preserve"> de </w:t>
      </w:r>
      <w:r w:rsidR="00AA1ED5">
        <w:rPr>
          <w:lang w:val="es-AR"/>
        </w:rPr>
        <w:t>fortalecimiento institucional</w:t>
      </w:r>
      <w:r w:rsidR="00306314" w:rsidRPr="00190842">
        <w:rPr>
          <w:lang w:val="es-AR"/>
        </w:rPr>
        <w:t xml:space="preserve"> </w:t>
      </w:r>
      <w:r>
        <w:rPr>
          <w:lang w:val="es-AR"/>
        </w:rPr>
        <w:t xml:space="preserve">presentados </w:t>
      </w:r>
      <w:r w:rsidR="00306314" w:rsidRPr="00190842">
        <w:rPr>
          <w:lang w:val="es-AR"/>
        </w:rPr>
        <w:t xml:space="preserve">en nombre de países del </w:t>
      </w:r>
      <w:r w:rsidR="00190842">
        <w:rPr>
          <w:lang w:val="es-AR"/>
        </w:rPr>
        <w:t>Artículo</w:t>
      </w:r>
      <w:r w:rsidR="00306314" w:rsidRPr="00190842">
        <w:rPr>
          <w:lang w:val="es-AR"/>
        </w:rPr>
        <w:t xml:space="preserve"> 5. </w:t>
      </w:r>
    </w:p>
    <w:p w14:paraId="4C79E9C2" w14:textId="78070B24" w:rsidR="00306314" w:rsidRPr="00190842" w:rsidRDefault="00306314" w:rsidP="00306314">
      <w:pPr>
        <w:pStyle w:val="Heading1"/>
        <w:rPr>
          <w:lang w:val="es-AR"/>
        </w:rPr>
      </w:pPr>
      <w:r w:rsidRPr="00190842">
        <w:rPr>
          <w:lang w:val="es-AR"/>
        </w:rPr>
        <w:t xml:space="preserve">Dado las restricciones impuestas por </w:t>
      </w:r>
      <w:r w:rsidR="00AA1ED5">
        <w:rPr>
          <w:lang w:val="es-AR"/>
        </w:rPr>
        <w:t>la pandemia del COVID-19</w:t>
      </w:r>
      <w:r w:rsidRPr="00190842">
        <w:rPr>
          <w:lang w:val="es-AR"/>
        </w:rPr>
        <w:t xml:space="preserve">, la </w:t>
      </w:r>
      <w:r w:rsidR="00190842">
        <w:rPr>
          <w:lang w:val="es-AR"/>
        </w:rPr>
        <w:t>Secretaría</w:t>
      </w:r>
      <w:r w:rsidRPr="00190842">
        <w:rPr>
          <w:lang w:val="es-AR"/>
        </w:rPr>
        <w:t xml:space="preserve"> no p</w:t>
      </w:r>
      <w:r w:rsidR="00CC476D">
        <w:rPr>
          <w:lang w:val="es-AR"/>
        </w:rPr>
        <w:t xml:space="preserve">udo </w:t>
      </w:r>
      <w:r w:rsidR="00AA1ED5">
        <w:rPr>
          <w:lang w:val="es-AR"/>
        </w:rPr>
        <w:t xml:space="preserve">tratar </w:t>
      </w:r>
      <w:r w:rsidR="00CC476D" w:rsidRPr="00190842">
        <w:rPr>
          <w:lang w:val="es-AR"/>
        </w:rPr>
        <w:t>con todo</w:t>
      </w:r>
      <w:r w:rsidR="00CC476D">
        <w:rPr>
          <w:lang w:val="es-AR"/>
        </w:rPr>
        <w:t>s</w:t>
      </w:r>
      <w:r w:rsidR="00CC476D" w:rsidRPr="00190842">
        <w:rPr>
          <w:lang w:val="es-AR"/>
        </w:rPr>
        <w:t xml:space="preserve"> </w:t>
      </w:r>
      <w:r w:rsidR="00CC476D">
        <w:rPr>
          <w:lang w:val="es-AR"/>
        </w:rPr>
        <w:t>los organismos de ejecución y bilaterales</w:t>
      </w:r>
      <w:r w:rsidR="00CC476D" w:rsidRPr="00190842">
        <w:rPr>
          <w:lang w:val="es-AR"/>
        </w:rPr>
        <w:t xml:space="preserve"> </w:t>
      </w:r>
      <w:r w:rsidRPr="00190842">
        <w:rPr>
          <w:lang w:val="es-AR"/>
        </w:rPr>
        <w:t xml:space="preserve">las </w:t>
      </w:r>
      <w:r w:rsidR="00FC7B69">
        <w:rPr>
          <w:lang w:val="es-AR"/>
        </w:rPr>
        <w:t>cuestiones</w:t>
      </w:r>
      <w:r w:rsidRPr="00190842">
        <w:rPr>
          <w:lang w:val="es-AR"/>
        </w:rPr>
        <w:t xml:space="preserve"> relacionadas con</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AA1ED5">
        <w:rPr>
          <w:lang w:val="es-AR"/>
        </w:rPr>
        <w:t xml:space="preserve">en particular </w:t>
      </w:r>
      <w:r w:rsidRPr="00190842">
        <w:rPr>
          <w:lang w:val="es-AR"/>
        </w:rPr>
        <w:t xml:space="preserve">sobre la necesidad de </w:t>
      </w:r>
      <w:r w:rsidR="00CC476D">
        <w:rPr>
          <w:lang w:val="es-AR"/>
        </w:rPr>
        <w:t xml:space="preserve">actualizar </w:t>
      </w:r>
      <w:r w:rsidRPr="00190842">
        <w:rPr>
          <w:lang w:val="es-AR"/>
        </w:rPr>
        <w:t xml:space="preserve">el formato </w:t>
      </w:r>
      <w:r w:rsidR="00CC476D" w:rsidRPr="00190842">
        <w:rPr>
          <w:lang w:val="es-AR"/>
        </w:rPr>
        <w:t xml:space="preserve">actual </w:t>
      </w:r>
      <w:r w:rsidRPr="00190842">
        <w:rPr>
          <w:lang w:val="es-AR"/>
        </w:rPr>
        <w:t xml:space="preserve">de </w:t>
      </w:r>
      <w:r w:rsidR="00CC476D">
        <w:rPr>
          <w:lang w:val="es-AR"/>
        </w:rPr>
        <w:t xml:space="preserve">presentación de informes </w:t>
      </w:r>
      <w:r w:rsidRPr="00190842">
        <w:rPr>
          <w:lang w:val="es-AR"/>
        </w:rPr>
        <w:t xml:space="preserve">y los </w:t>
      </w:r>
      <w:r w:rsidR="004A3566">
        <w:rPr>
          <w:lang w:val="es-AR"/>
        </w:rPr>
        <w:t>indicadores de desempeño</w:t>
      </w:r>
      <w:r w:rsidRPr="00190842">
        <w:rPr>
          <w:lang w:val="es-AR"/>
        </w:rPr>
        <w:t xml:space="preserve">. </w:t>
      </w:r>
    </w:p>
    <w:p w14:paraId="7C09A877" w14:textId="0C5DE76F" w:rsidR="00306314" w:rsidRPr="00190842" w:rsidRDefault="00AA1ED5" w:rsidP="00306314">
      <w:pPr>
        <w:spacing w:after="240"/>
        <w:outlineLvl w:val="0"/>
        <w:rPr>
          <w:b/>
          <w:lang w:val="es-AR"/>
        </w:rPr>
      </w:pPr>
      <w:r>
        <w:rPr>
          <w:b/>
          <w:lang w:val="es-AR"/>
        </w:rPr>
        <w:t>I</w:t>
      </w:r>
      <w:r w:rsidR="00306314" w:rsidRPr="00190842">
        <w:rPr>
          <w:b/>
          <w:lang w:val="es-AR"/>
        </w:rPr>
        <w:t>mportancia de</w:t>
      </w:r>
      <w:r w:rsidR="00190842">
        <w:rPr>
          <w:b/>
          <w:lang w:val="es-AR"/>
        </w:rPr>
        <w:t xml:space="preserve"> </w:t>
      </w:r>
      <w:r w:rsidR="00193AA4">
        <w:rPr>
          <w:b/>
          <w:lang w:val="es-AR"/>
        </w:rPr>
        <w:t xml:space="preserve">apoyar el fortalecimiento institucional </w:t>
      </w:r>
      <w:r w:rsidR="00306314" w:rsidRPr="00190842">
        <w:rPr>
          <w:b/>
          <w:lang w:val="es-AR"/>
        </w:rPr>
        <w:t>durante el período 2020-2030</w:t>
      </w:r>
      <w:r w:rsidR="00E17069">
        <w:rPr>
          <w:b/>
          <w:lang w:val="es-AR"/>
        </w:rPr>
        <w:t xml:space="preserve">          </w:t>
      </w:r>
    </w:p>
    <w:p w14:paraId="1990DA23" w14:textId="1BBD9106" w:rsidR="00306314" w:rsidRPr="00190842" w:rsidRDefault="00306314" w:rsidP="00306314">
      <w:pPr>
        <w:pStyle w:val="Heading1"/>
        <w:rPr>
          <w:lang w:val="es-AR"/>
        </w:rPr>
      </w:pPr>
      <w:r w:rsidRPr="00190842">
        <w:rPr>
          <w:lang w:val="es-AR"/>
        </w:rPr>
        <w:t xml:space="preserve">La ayuda financiera </w:t>
      </w:r>
      <w:r w:rsidR="00AA1ED5">
        <w:rPr>
          <w:lang w:val="es-AR"/>
        </w:rPr>
        <w:t xml:space="preserve">suministrada a través de </w:t>
      </w:r>
      <w:r w:rsidRPr="00190842">
        <w:rPr>
          <w:lang w:val="es-AR"/>
        </w:rPr>
        <w:t xml:space="preserve">los proyectos </w:t>
      </w:r>
      <w:r w:rsidR="00AA1ED5">
        <w:rPr>
          <w:lang w:val="es-AR"/>
        </w:rPr>
        <w:t xml:space="preserve">de fortalecimiento institucional </w:t>
      </w:r>
      <w:r w:rsidRPr="00190842">
        <w:rPr>
          <w:lang w:val="es-AR"/>
        </w:rPr>
        <w:t xml:space="preserve">ha </w:t>
      </w:r>
      <w:r w:rsidR="00FD722C">
        <w:rPr>
          <w:lang w:val="es-AR"/>
        </w:rPr>
        <w:t xml:space="preserve">contribuido significativamente </w:t>
      </w:r>
      <w:r w:rsidR="00AA1ED5">
        <w:rPr>
          <w:lang w:val="es-AR"/>
        </w:rPr>
        <w:t>en e</w:t>
      </w:r>
      <w:r w:rsidRPr="00190842">
        <w:rPr>
          <w:lang w:val="es-AR"/>
        </w:rPr>
        <w:t>l logro</w:t>
      </w:r>
      <w:r w:rsidR="008A2B91">
        <w:rPr>
          <w:lang w:val="es-AR"/>
        </w:rPr>
        <w:t xml:space="preserve"> del </w:t>
      </w:r>
      <w:r w:rsidR="00DF14AE">
        <w:rPr>
          <w:lang w:val="es-AR"/>
        </w:rPr>
        <w:t>cumplimiento</w:t>
      </w:r>
      <w:r w:rsidRPr="00190842">
        <w:rPr>
          <w:lang w:val="es-AR"/>
        </w:rPr>
        <w:t xml:space="preserve"> de los países del </w:t>
      </w:r>
      <w:r w:rsidR="00190842">
        <w:rPr>
          <w:lang w:val="es-AR"/>
        </w:rPr>
        <w:t>Artículo</w:t>
      </w:r>
      <w:r w:rsidRPr="00190842">
        <w:rPr>
          <w:lang w:val="es-AR"/>
        </w:rPr>
        <w:t xml:space="preserve"> 5 con las </w:t>
      </w:r>
      <w:r w:rsidR="00190842">
        <w:rPr>
          <w:lang w:val="es-AR"/>
        </w:rPr>
        <w:t>medidas de control</w:t>
      </w:r>
      <w:r w:rsidRPr="00190842">
        <w:rPr>
          <w:lang w:val="es-AR"/>
        </w:rPr>
        <w:t xml:space="preserve"> del </w:t>
      </w:r>
      <w:r w:rsidR="00190842">
        <w:rPr>
          <w:lang w:val="es-AR"/>
        </w:rPr>
        <w:t>Protocolo</w:t>
      </w:r>
      <w:r w:rsidRPr="00190842">
        <w:rPr>
          <w:lang w:val="es-AR"/>
        </w:rPr>
        <w:t xml:space="preserve"> de Montreal; todos los países del </w:t>
      </w:r>
      <w:r w:rsidR="00190842">
        <w:rPr>
          <w:lang w:val="es-AR"/>
        </w:rPr>
        <w:t>Artículo</w:t>
      </w:r>
      <w:r w:rsidRPr="00190842">
        <w:rPr>
          <w:lang w:val="es-AR"/>
        </w:rPr>
        <w:t xml:space="preserve"> 5 </w:t>
      </w:r>
      <w:r w:rsidR="00FD722C">
        <w:rPr>
          <w:lang w:val="es-AR"/>
        </w:rPr>
        <w:t xml:space="preserve">proporcionaron sistemáticamente </w:t>
      </w:r>
      <w:r w:rsidRPr="00190842">
        <w:rPr>
          <w:lang w:val="es-AR"/>
        </w:rPr>
        <w:t xml:space="preserve">los detalles </w:t>
      </w:r>
      <w:r w:rsidR="00E17069">
        <w:rPr>
          <w:lang w:val="es-AR"/>
        </w:rPr>
        <w:t xml:space="preserve">sobre </w:t>
      </w:r>
      <w:r w:rsidR="00190842">
        <w:rPr>
          <w:lang w:val="es-AR"/>
        </w:rPr>
        <w:t>la función</w:t>
      </w:r>
      <w:r w:rsidRPr="00190842">
        <w:rPr>
          <w:lang w:val="es-AR"/>
        </w:rPr>
        <w:t xml:space="preserve"> y la posición de la </w:t>
      </w:r>
      <w:r w:rsidR="00E17069">
        <w:rPr>
          <w:lang w:val="es-AR"/>
        </w:rPr>
        <w:t>dependencia nacional del ozono</w:t>
      </w:r>
      <w:r w:rsidRPr="00190842">
        <w:rPr>
          <w:lang w:val="es-AR"/>
        </w:rPr>
        <w:t xml:space="preserve"> dentro de la administración nacional y de sus líneas de información, y </w:t>
      </w:r>
      <w:r w:rsidR="00E17069">
        <w:rPr>
          <w:lang w:val="es-AR"/>
        </w:rPr>
        <w:t xml:space="preserve">el modo en que </w:t>
      </w:r>
      <w:r w:rsidRPr="00190842">
        <w:rPr>
          <w:lang w:val="es-AR"/>
        </w:rPr>
        <w:t xml:space="preserve">los programas de protección de la </w:t>
      </w:r>
      <w:r w:rsidR="00E17069">
        <w:rPr>
          <w:lang w:val="es-AR"/>
        </w:rPr>
        <w:t>capa de ozono</w:t>
      </w:r>
      <w:r w:rsidRPr="00190842">
        <w:rPr>
          <w:lang w:val="es-AR"/>
        </w:rPr>
        <w:t xml:space="preserve"> se </w:t>
      </w:r>
      <w:r w:rsidR="00FD722C">
        <w:rPr>
          <w:lang w:val="es-AR"/>
        </w:rPr>
        <w:t xml:space="preserve">afianzan </w:t>
      </w:r>
      <w:r w:rsidR="00E17069">
        <w:rPr>
          <w:lang w:val="es-AR"/>
        </w:rPr>
        <w:t xml:space="preserve">a </w:t>
      </w:r>
      <w:r w:rsidRPr="00190842">
        <w:rPr>
          <w:lang w:val="es-AR"/>
        </w:rPr>
        <w:t>la estructura del gobierno del país. Además,</w:t>
      </w:r>
      <w:r w:rsidR="00190842">
        <w:rPr>
          <w:lang w:val="es-AR"/>
        </w:rPr>
        <w:t xml:space="preserve"> </w:t>
      </w:r>
      <w:r w:rsidR="00E17069">
        <w:rPr>
          <w:lang w:val="es-AR"/>
        </w:rPr>
        <w:t>la ayuda para fortalecimiento institucional</w:t>
      </w:r>
      <w:r w:rsidRPr="00190842">
        <w:rPr>
          <w:lang w:val="es-AR"/>
        </w:rPr>
        <w:t xml:space="preserve"> ha permitido que </w:t>
      </w:r>
      <w:r w:rsidR="00E17069">
        <w:rPr>
          <w:lang w:val="es-AR"/>
        </w:rPr>
        <w:t xml:space="preserve">países del Artículo 5 creen </w:t>
      </w:r>
      <w:r w:rsidRPr="00190842">
        <w:rPr>
          <w:lang w:val="es-AR"/>
        </w:rPr>
        <w:t xml:space="preserve">capacidad y consoliden su papel como socios </w:t>
      </w:r>
      <w:r w:rsidR="00E17069">
        <w:rPr>
          <w:lang w:val="es-AR"/>
        </w:rPr>
        <w:t xml:space="preserve">plenos </w:t>
      </w:r>
      <w:r w:rsidRPr="00190842">
        <w:rPr>
          <w:lang w:val="es-AR"/>
        </w:rPr>
        <w:t xml:space="preserve">en el </w:t>
      </w:r>
      <w:r w:rsidR="00190842">
        <w:rPr>
          <w:lang w:val="es-AR"/>
        </w:rPr>
        <w:t>Protocolo</w:t>
      </w:r>
      <w:r w:rsidRPr="00190842">
        <w:rPr>
          <w:lang w:val="es-AR"/>
        </w:rPr>
        <w:t xml:space="preserve"> de Montreal.</w:t>
      </w:r>
    </w:p>
    <w:p w14:paraId="650D42C2" w14:textId="4193D051" w:rsidR="00306314" w:rsidRPr="00190842" w:rsidRDefault="00306314" w:rsidP="00306314">
      <w:pPr>
        <w:pStyle w:val="Heading1"/>
        <w:rPr>
          <w:lang w:val="es-AR"/>
        </w:rPr>
      </w:pPr>
      <w:r w:rsidRPr="00190842">
        <w:rPr>
          <w:lang w:val="es-AR"/>
        </w:rPr>
        <w:t xml:space="preserve">Durante el período 2020-2030, todos los países del </w:t>
      </w:r>
      <w:r w:rsidR="00190842">
        <w:rPr>
          <w:lang w:val="es-AR"/>
        </w:rPr>
        <w:t>Artículo</w:t>
      </w:r>
      <w:r w:rsidRPr="00190842">
        <w:rPr>
          <w:lang w:val="es-AR"/>
        </w:rPr>
        <w:t xml:space="preserve"> 5 ejecutarán actividades </w:t>
      </w:r>
      <w:r w:rsidR="00E17069">
        <w:rPr>
          <w:lang w:val="es-AR"/>
        </w:rPr>
        <w:t>des</w:t>
      </w:r>
      <w:r w:rsidR="00FD722C">
        <w:rPr>
          <w:lang w:val="es-AR"/>
        </w:rPr>
        <w:t>t</w:t>
      </w:r>
      <w:r w:rsidR="00E17069">
        <w:rPr>
          <w:lang w:val="es-AR"/>
        </w:rPr>
        <w:t xml:space="preserve">inadas a </w:t>
      </w:r>
      <w:r w:rsidRPr="00190842">
        <w:rPr>
          <w:lang w:val="es-AR"/>
        </w:rPr>
        <w:t xml:space="preserve">eliminar </w:t>
      </w:r>
      <w:r w:rsidR="00190842">
        <w:rPr>
          <w:lang w:val="es-AR"/>
        </w:rPr>
        <w:t>los HCFC</w:t>
      </w:r>
      <w:r w:rsidRPr="00190842">
        <w:rPr>
          <w:lang w:val="es-AR"/>
        </w:rPr>
        <w:t xml:space="preserve"> (y alcanzar </w:t>
      </w:r>
      <w:r w:rsidR="00E17069">
        <w:rPr>
          <w:lang w:val="es-AR"/>
        </w:rPr>
        <w:t xml:space="preserve">la eliminación total </w:t>
      </w:r>
      <w:r w:rsidRPr="00190842">
        <w:rPr>
          <w:lang w:val="es-AR"/>
        </w:rPr>
        <w:t>en 2030, a excepción de la última porción para</w:t>
      </w:r>
      <w:r w:rsidR="00E17069">
        <w:rPr>
          <w:lang w:val="es-AR"/>
        </w:rPr>
        <w:t xml:space="preserve"> reserva de </w:t>
      </w:r>
      <w:r w:rsidRPr="00190842">
        <w:rPr>
          <w:lang w:val="es-AR"/>
        </w:rPr>
        <w:t xml:space="preserve">servicio y mantenimiento) y </w:t>
      </w:r>
      <w:r w:rsidR="00E17069">
        <w:rPr>
          <w:lang w:val="es-AR"/>
        </w:rPr>
        <w:t xml:space="preserve">a </w:t>
      </w:r>
      <w:r w:rsidRPr="00190842">
        <w:rPr>
          <w:lang w:val="es-AR"/>
        </w:rPr>
        <w:t xml:space="preserve">iniciar </w:t>
      </w:r>
      <w:r w:rsidR="00FC7B69">
        <w:rPr>
          <w:lang w:val="es-AR"/>
        </w:rPr>
        <w:t>la reducción</w:t>
      </w:r>
      <w:r w:rsidRPr="00190842">
        <w:rPr>
          <w:lang w:val="es-AR"/>
        </w:rPr>
        <w:t xml:space="preserve"> de </w:t>
      </w:r>
      <w:r w:rsidR="00190842">
        <w:rPr>
          <w:lang w:val="es-AR"/>
        </w:rPr>
        <w:t>HFC</w:t>
      </w:r>
      <w:r w:rsidRPr="00190842">
        <w:rPr>
          <w:lang w:val="es-AR"/>
        </w:rPr>
        <w:t xml:space="preserve"> (y alcanzar </w:t>
      </w:r>
      <w:r w:rsidR="00FD722C">
        <w:rPr>
          <w:lang w:val="es-AR"/>
        </w:rPr>
        <w:t xml:space="preserve">el congelamiento </w:t>
      </w:r>
      <w:r w:rsidRPr="00190842">
        <w:rPr>
          <w:lang w:val="es-AR"/>
        </w:rPr>
        <w:t xml:space="preserve">por todos los </w:t>
      </w:r>
      <w:r w:rsidR="00E17069" w:rsidRPr="00190842">
        <w:rPr>
          <w:lang w:val="es-AR"/>
        </w:rPr>
        <w:t xml:space="preserve">países del </w:t>
      </w:r>
      <w:r w:rsidR="00E17069">
        <w:rPr>
          <w:lang w:val="es-AR"/>
        </w:rPr>
        <w:t>Artículo</w:t>
      </w:r>
      <w:r w:rsidR="00E17069" w:rsidRPr="00190842">
        <w:rPr>
          <w:lang w:val="es-AR"/>
        </w:rPr>
        <w:t xml:space="preserve"> </w:t>
      </w:r>
      <w:r w:rsidRPr="00190842">
        <w:rPr>
          <w:lang w:val="es-AR"/>
        </w:rPr>
        <w:t>5</w:t>
      </w:r>
      <w:r w:rsidR="00E17069">
        <w:rPr>
          <w:lang w:val="es-AR"/>
        </w:rPr>
        <w:t xml:space="preserve">, </w:t>
      </w:r>
      <w:r w:rsidRPr="00190842">
        <w:rPr>
          <w:lang w:val="es-AR"/>
        </w:rPr>
        <w:t xml:space="preserve">grupo 1 y grupo 2, y la reducción del 10 por ciento </w:t>
      </w:r>
      <w:r w:rsidR="00E17069">
        <w:rPr>
          <w:lang w:val="es-AR"/>
        </w:rPr>
        <w:t>d</w:t>
      </w:r>
      <w:r w:rsidRPr="00190842">
        <w:rPr>
          <w:lang w:val="es-AR"/>
        </w:rPr>
        <w:t xml:space="preserve">el consumo de HFC por el </w:t>
      </w:r>
      <w:r w:rsidR="00E17069">
        <w:rPr>
          <w:lang w:val="es-AR"/>
        </w:rPr>
        <w:t xml:space="preserve">grupo 1 de países del </w:t>
      </w:r>
      <w:r w:rsidR="00190842">
        <w:rPr>
          <w:lang w:val="es-AR"/>
        </w:rPr>
        <w:t>Artículo</w:t>
      </w:r>
      <w:r w:rsidRPr="00190842">
        <w:rPr>
          <w:lang w:val="es-AR"/>
        </w:rPr>
        <w:t xml:space="preserve"> 5). </w:t>
      </w:r>
    </w:p>
    <w:p w14:paraId="48C708B5" w14:textId="1A009913" w:rsidR="00306314" w:rsidRPr="00190842" w:rsidRDefault="00306314" w:rsidP="00306314">
      <w:pPr>
        <w:pStyle w:val="Heading1"/>
        <w:rPr>
          <w:lang w:val="es-AR"/>
        </w:rPr>
      </w:pPr>
      <w:r w:rsidRPr="00190842">
        <w:rPr>
          <w:lang w:val="es-AR"/>
        </w:rPr>
        <w:t xml:space="preserve">El </w:t>
      </w:r>
      <w:r w:rsidR="00190842">
        <w:rPr>
          <w:lang w:val="es-AR"/>
        </w:rPr>
        <w:t>Cuadro</w:t>
      </w:r>
      <w:r w:rsidRPr="00190842">
        <w:rPr>
          <w:lang w:val="es-AR"/>
        </w:rPr>
        <w:t xml:space="preserve"> 1 </w:t>
      </w:r>
      <w:r w:rsidR="00E17069">
        <w:rPr>
          <w:lang w:val="es-AR"/>
        </w:rPr>
        <w:t xml:space="preserve">contiene </w:t>
      </w:r>
      <w:r w:rsidRPr="00190842">
        <w:rPr>
          <w:lang w:val="es-AR"/>
        </w:rPr>
        <w:t xml:space="preserve">una lista indicativa de las principales </w:t>
      </w:r>
      <w:r w:rsidR="00E17069" w:rsidRPr="00190842">
        <w:rPr>
          <w:lang w:val="es-AR"/>
        </w:rPr>
        <w:t xml:space="preserve">actividades </w:t>
      </w:r>
      <w:r w:rsidRPr="00190842">
        <w:rPr>
          <w:lang w:val="es-AR"/>
        </w:rPr>
        <w:t xml:space="preserve">que los países del </w:t>
      </w:r>
      <w:r w:rsidR="00190842">
        <w:rPr>
          <w:lang w:val="es-AR"/>
        </w:rPr>
        <w:t>Artículo</w:t>
      </w:r>
      <w:r w:rsidRPr="00190842">
        <w:rPr>
          <w:lang w:val="es-AR"/>
        </w:rPr>
        <w:t xml:space="preserve"> 5 </w:t>
      </w:r>
      <w:r w:rsidR="00E17069">
        <w:rPr>
          <w:lang w:val="es-AR"/>
        </w:rPr>
        <w:t xml:space="preserve">deberán </w:t>
      </w:r>
      <w:r w:rsidRPr="00190842">
        <w:rPr>
          <w:lang w:val="es-AR"/>
        </w:rPr>
        <w:t xml:space="preserve">ejecutar para cumplir </w:t>
      </w:r>
      <w:r w:rsidR="00E17069">
        <w:rPr>
          <w:lang w:val="es-AR"/>
        </w:rPr>
        <w:t xml:space="preserve">con </w:t>
      </w:r>
      <w:r w:rsidRPr="00190842">
        <w:rPr>
          <w:lang w:val="es-AR"/>
        </w:rPr>
        <w:t xml:space="preserve">sus </w:t>
      </w:r>
      <w:r w:rsidR="00E17069">
        <w:rPr>
          <w:lang w:val="es-AR"/>
        </w:rPr>
        <w:t>requisitos de cumplimiento</w:t>
      </w:r>
      <w:r w:rsidR="00674039">
        <w:rPr>
          <w:lang w:val="es-AR"/>
        </w:rPr>
        <w:t xml:space="preserve"> bajo el Protocolo de Montreal</w:t>
      </w:r>
      <w:r w:rsidRPr="00190842">
        <w:rPr>
          <w:lang w:val="es-AR"/>
        </w:rPr>
        <w:t xml:space="preserve">. Las </w:t>
      </w:r>
      <w:r w:rsidR="00E17069">
        <w:rPr>
          <w:lang w:val="es-AR"/>
        </w:rPr>
        <w:t>dependencias nacionales del ozono</w:t>
      </w:r>
      <w:r w:rsidRPr="00190842">
        <w:rPr>
          <w:lang w:val="es-AR"/>
        </w:rPr>
        <w:t xml:space="preserve"> desempeñarán un papel </w:t>
      </w:r>
      <w:r w:rsidR="00190842">
        <w:rPr>
          <w:lang w:val="es-AR"/>
        </w:rPr>
        <w:t>clave</w:t>
      </w:r>
      <w:r w:rsidRPr="00190842">
        <w:rPr>
          <w:lang w:val="es-AR"/>
        </w:rPr>
        <w:t xml:space="preserve"> en </w:t>
      </w:r>
      <w:r w:rsidR="00190842">
        <w:rPr>
          <w:lang w:val="es-AR"/>
        </w:rPr>
        <w:t>la ejecución</w:t>
      </w:r>
      <w:r w:rsidRPr="00190842">
        <w:rPr>
          <w:lang w:val="es-AR"/>
        </w:rPr>
        <w:t xml:space="preserve"> de estas actividades. </w:t>
      </w:r>
    </w:p>
    <w:p w14:paraId="16A5E7BD" w14:textId="349F29E3" w:rsidR="00306314" w:rsidRPr="00190842" w:rsidRDefault="00E17069" w:rsidP="00306314">
      <w:pPr>
        <w:keepNext/>
        <w:rPr>
          <w:b/>
          <w:sz w:val="21"/>
          <w:szCs w:val="21"/>
          <w:lang w:val="es-AR"/>
        </w:rPr>
      </w:pPr>
      <w:r>
        <w:rPr>
          <w:b/>
          <w:sz w:val="21"/>
          <w:szCs w:val="21"/>
          <w:lang w:val="es-AR"/>
        </w:rPr>
        <w:t>Cuadro</w:t>
      </w:r>
      <w:r w:rsidRPr="00190842">
        <w:rPr>
          <w:b/>
          <w:sz w:val="21"/>
          <w:szCs w:val="21"/>
          <w:lang w:val="es-AR"/>
        </w:rPr>
        <w:t xml:space="preserve"> 1. </w:t>
      </w:r>
      <w:r>
        <w:rPr>
          <w:b/>
          <w:sz w:val="21"/>
          <w:szCs w:val="21"/>
          <w:lang w:val="es-AR"/>
        </w:rPr>
        <w:t>O</w:t>
      </w:r>
      <w:r w:rsidR="00306314" w:rsidRPr="00190842">
        <w:rPr>
          <w:b/>
          <w:sz w:val="21"/>
          <w:szCs w:val="21"/>
          <w:lang w:val="es-AR"/>
        </w:rPr>
        <w:t>bjetivos</w:t>
      </w:r>
      <w:r w:rsidR="008A2B91">
        <w:rPr>
          <w:b/>
          <w:sz w:val="21"/>
          <w:szCs w:val="21"/>
          <w:lang w:val="es-AR"/>
        </w:rPr>
        <w:t xml:space="preserve"> de </w:t>
      </w:r>
      <w:r w:rsidR="00DF14AE">
        <w:rPr>
          <w:b/>
          <w:sz w:val="21"/>
          <w:szCs w:val="21"/>
          <w:lang w:val="es-AR"/>
        </w:rPr>
        <w:t>cumplimiento</w:t>
      </w:r>
      <w:r w:rsidR="00306314" w:rsidRPr="00190842">
        <w:rPr>
          <w:b/>
          <w:sz w:val="21"/>
          <w:szCs w:val="21"/>
          <w:lang w:val="es-AR"/>
        </w:rPr>
        <w:t xml:space="preserve"> y </w:t>
      </w:r>
      <w:r>
        <w:rPr>
          <w:b/>
          <w:sz w:val="21"/>
          <w:szCs w:val="21"/>
          <w:lang w:val="es-AR"/>
        </w:rPr>
        <w:t xml:space="preserve">posibles actividades de </w:t>
      </w:r>
      <w:r w:rsidR="00FC7B69">
        <w:rPr>
          <w:b/>
          <w:sz w:val="21"/>
          <w:szCs w:val="21"/>
          <w:lang w:val="es-AR"/>
        </w:rPr>
        <w:t>reducción</w:t>
      </w:r>
      <w:r w:rsidR="00306314" w:rsidRPr="00190842">
        <w:rPr>
          <w:b/>
          <w:sz w:val="21"/>
          <w:szCs w:val="21"/>
          <w:lang w:val="es-AR"/>
        </w:rPr>
        <w:t>/elimina</w:t>
      </w:r>
      <w:r w:rsidR="004A3A5A">
        <w:rPr>
          <w:b/>
          <w:sz w:val="21"/>
          <w:szCs w:val="21"/>
          <w:lang w:val="es-AR"/>
        </w:rPr>
        <w:t xml:space="preserve">ción </w:t>
      </w:r>
      <w:r w:rsidR="00306314" w:rsidRPr="00190842">
        <w:rPr>
          <w:b/>
          <w:sz w:val="21"/>
          <w:szCs w:val="21"/>
          <w:lang w:val="es-AR"/>
        </w:rPr>
        <w:t>entre 2020 y 2030</w:t>
      </w:r>
    </w:p>
    <w:tbl>
      <w:tblPr>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4A0" w:firstRow="1" w:lastRow="0" w:firstColumn="1" w:lastColumn="0" w:noHBand="0" w:noVBand="1"/>
      </w:tblPr>
      <w:tblGrid>
        <w:gridCol w:w="711"/>
        <w:gridCol w:w="3521"/>
        <w:gridCol w:w="5409"/>
      </w:tblGrid>
      <w:tr w:rsidR="00306314" w:rsidRPr="00190842" w14:paraId="3A0D7FEC" w14:textId="77777777" w:rsidTr="00DE3762">
        <w:trPr>
          <w:tblHeader/>
        </w:trPr>
        <w:tc>
          <w:tcPr>
            <w:tcW w:w="711" w:type="dxa"/>
            <w:shd w:val="clear" w:color="auto" w:fill="auto"/>
            <w:noWrap/>
            <w:tcMar>
              <w:top w:w="43" w:type="dxa"/>
              <w:left w:w="58" w:type="dxa"/>
              <w:bottom w:w="43" w:type="dxa"/>
              <w:right w:w="29" w:type="dxa"/>
            </w:tcMar>
            <w:vAlign w:val="center"/>
            <w:hideMark/>
          </w:tcPr>
          <w:p w14:paraId="75B80B48" w14:textId="77777777" w:rsidR="00306314" w:rsidRPr="00190842" w:rsidRDefault="00306314" w:rsidP="009E3957">
            <w:pPr>
              <w:jc w:val="center"/>
              <w:rPr>
                <w:b/>
                <w:bCs/>
                <w:color w:val="000000"/>
                <w:sz w:val="19"/>
                <w:szCs w:val="19"/>
                <w:lang w:val="es-AR" w:eastAsia="en-CA"/>
              </w:rPr>
            </w:pPr>
            <w:r w:rsidRPr="00190842">
              <w:rPr>
                <w:b/>
                <w:bCs/>
                <w:color w:val="000000"/>
                <w:sz w:val="19"/>
                <w:szCs w:val="19"/>
                <w:lang w:val="es-AR"/>
              </w:rPr>
              <w:t>Año</w:t>
            </w:r>
          </w:p>
        </w:tc>
        <w:tc>
          <w:tcPr>
            <w:tcW w:w="3521" w:type="dxa"/>
            <w:shd w:val="clear" w:color="auto" w:fill="auto"/>
            <w:noWrap/>
            <w:tcMar>
              <w:top w:w="43" w:type="dxa"/>
              <w:left w:w="58" w:type="dxa"/>
              <w:bottom w:w="43" w:type="dxa"/>
              <w:right w:w="0" w:type="dxa"/>
            </w:tcMar>
            <w:vAlign w:val="center"/>
            <w:hideMark/>
          </w:tcPr>
          <w:p w14:paraId="3095D041" w14:textId="0160A141" w:rsidR="00306314" w:rsidRPr="00190842" w:rsidRDefault="00306314" w:rsidP="009E3957">
            <w:pPr>
              <w:jc w:val="center"/>
              <w:rPr>
                <w:b/>
                <w:bCs/>
                <w:color w:val="000000"/>
                <w:sz w:val="19"/>
                <w:szCs w:val="19"/>
                <w:lang w:val="es-AR" w:eastAsia="en-CA"/>
              </w:rPr>
            </w:pPr>
            <w:r w:rsidRPr="00190842">
              <w:rPr>
                <w:b/>
                <w:bCs/>
                <w:color w:val="000000"/>
                <w:sz w:val="19"/>
                <w:szCs w:val="19"/>
                <w:lang w:val="es-AR"/>
              </w:rPr>
              <w:t>Ob</w:t>
            </w:r>
            <w:r w:rsidR="004A3A5A">
              <w:rPr>
                <w:b/>
                <w:bCs/>
                <w:color w:val="000000"/>
                <w:sz w:val="19"/>
                <w:szCs w:val="19"/>
                <w:lang w:val="es-AR"/>
              </w:rPr>
              <w:t>jetivo de cumplimiento</w:t>
            </w:r>
            <w:r w:rsidRPr="00190842">
              <w:rPr>
                <w:rStyle w:val="FootnoteReference"/>
                <w:b/>
                <w:bCs/>
                <w:color w:val="000000"/>
                <w:sz w:val="19"/>
                <w:szCs w:val="19"/>
                <w:lang w:val="es-AR" w:eastAsia="en-CA"/>
              </w:rPr>
              <w:footnoteReference w:id="13"/>
            </w:r>
          </w:p>
        </w:tc>
        <w:tc>
          <w:tcPr>
            <w:tcW w:w="5409" w:type="dxa"/>
            <w:shd w:val="clear" w:color="auto" w:fill="auto"/>
            <w:noWrap/>
            <w:tcMar>
              <w:top w:w="43" w:type="dxa"/>
              <w:left w:w="58" w:type="dxa"/>
              <w:bottom w:w="43" w:type="dxa"/>
              <w:right w:w="29" w:type="dxa"/>
            </w:tcMar>
            <w:vAlign w:val="center"/>
            <w:hideMark/>
          </w:tcPr>
          <w:p w14:paraId="7E631444" w14:textId="1732762C" w:rsidR="00306314" w:rsidRPr="00190842" w:rsidRDefault="00306314" w:rsidP="009E3957">
            <w:pPr>
              <w:jc w:val="center"/>
              <w:rPr>
                <w:b/>
                <w:bCs/>
                <w:color w:val="000000"/>
                <w:sz w:val="19"/>
                <w:szCs w:val="19"/>
                <w:lang w:val="es-AR" w:eastAsia="en-CA"/>
              </w:rPr>
            </w:pPr>
            <w:r w:rsidRPr="00190842">
              <w:rPr>
                <w:b/>
                <w:bCs/>
                <w:color w:val="000000"/>
                <w:sz w:val="19"/>
                <w:szCs w:val="19"/>
                <w:lang w:val="es-AR"/>
              </w:rPr>
              <w:t xml:space="preserve">Actividades </w:t>
            </w:r>
            <w:r w:rsidR="004A3A5A">
              <w:rPr>
                <w:b/>
                <w:bCs/>
                <w:color w:val="000000"/>
                <w:sz w:val="19"/>
                <w:szCs w:val="19"/>
                <w:lang w:val="es-AR"/>
              </w:rPr>
              <w:t>posibles</w:t>
            </w:r>
            <w:r w:rsidRPr="00190842">
              <w:rPr>
                <w:rStyle w:val="FootnoteReference"/>
                <w:b/>
                <w:bCs/>
                <w:color w:val="000000"/>
                <w:sz w:val="19"/>
                <w:szCs w:val="19"/>
                <w:lang w:val="es-AR" w:eastAsia="en-CA"/>
              </w:rPr>
              <w:footnoteReference w:id="14"/>
            </w:r>
          </w:p>
        </w:tc>
      </w:tr>
      <w:tr w:rsidR="00306314" w:rsidRPr="00B35AA6" w14:paraId="0EA8192F" w14:textId="77777777" w:rsidTr="00DE3762">
        <w:tc>
          <w:tcPr>
            <w:tcW w:w="711" w:type="dxa"/>
            <w:shd w:val="clear" w:color="auto" w:fill="auto"/>
            <w:noWrap/>
            <w:tcMar>
              <w:top w:w="43" w:type="dxa"/>
              <w:left w:w="58" w:type="dxa"/>
              <w:bottom w:w="43" w:type="dxa"/>
              <w:right w:w="29" w:type="dxa"/>
            </w:tcMar>
            <w:vAlign w:val="center"/>
            <w:hideMark/>
          </w:tcPr>
          <w:p w14:paraId="32F14718" w14:textId="77777777" w:rsidR="00306314" w:rsidRPr="00190842" w:rsidRDefault="00306314" w:rsidP="009E3957">
            <w:pPr>
              <w:rPr>
                <w:b/>
                <w:color w:val="000000"/>
                <w:sz w:val="19"/>
                <w:szCs w:val="19"/>
                <w:lang w:val="es-AR" w:eastAsia="en-CA"/>
              </w:rPr>
            </w:pPr>
            <w:r w:rsidRPr="00190842">
              <w:rPr>
                <w:b/>
                <w:color w:val="000000"/>
                <w:sz w:val="19"/>
                <w:szCs w:val="19"/>
                <w:lang w:val="es-AR"/>
              </w:rPr>
              <w:t>2020</w:t>
            </w:r>
          </w:p>
        </w:tc>
        <w:tc>
          <w:tcPr>
            <w:tcW w:w="3521" w:type="dxa"/>
            <w:shd w:val="clear" w:color="auto" w:fill="auto"/>
            <w:noWrap/>
            <w:tcMar>
              <w:top w:w="43" w:type="dxa"/>
              <w:left w:w="58" w:type="dxa"/>
              <w:bottom w:w="43" w:type="dxa"/>
              <w:right w:w="0" w:type="dxa"/>
            </w:tcMar>
            <w:vAlign w:val="center"/>
            <w:hideMark/>
          </w:tcPr>
          <w:p w14:paraId="6D412CB2" w14:textId="7BABFB45" w:rsidR="00306314" w:rsidRPr="00190842" w:rsidRDefault="004A3A5A" w:rsidP="00DE3762">
            <w:pPr>
              <w:spacing w:before="20" w:after="20"/>
              <w:ind w:right="119"/>
              <w:rPr>
                <w:color w:val="000000"/>
                <w:sz w:val="19"/>
                <w:szCs w:val="19"/>
                <w:lang w:val="es-AR" w:eastAsia="en-CA"/>
              </w:rPr>
            </w:pPr>
            <w:r>
              <w:rPr>
                <w:color w:val="000000"/>
                <w:sz w:val="19"/>
                <w:szCs w:val="19"/>
                <w:lang w:val="es-AR"/>
              </w:rPr>
              <w:t>R</w:t>
            </w:r>
            <w:r w:rsidR="00306314" w:rsidRPr="00190842">
              <w:rPr>
                <w:color w:val="000000"/>
                <w:sz w:val="19"/>
                <w:szCs w:val="19"/>
                <w:lang w:val="es-AR"/>
              </w:rPr>
              <w:t>educción</w:t>
            </w:r>
            <w:r>
              <w:rPr>
                <w:color w:val="000000"/>
                <w:sz w:val="19"/>
                <w:szCs w:val="19"/>
                <w:lang w:val="es-AR"/>
              </w:rPr>
              <w:t xml:space="preserve"> del</w:t>
            </w:r>
            <w:r w:rsidR="00306314" w:rsidRPr="00190842">
              <w:rPr>
                <w:color w:val="000000"/>
                <w:sz w:val="19"/>
                <w:szCs w:val="19"/>
                <w:lang w:val="es-AR"/>
              </w:rPr>
              <w:t xml:space="preserve"> 3</w:t>
            </w:r>
            <w:r w:rsidR="00190842" w:rsidRPr="00190842">
              <w:rPr>
                <w:color w:val="000000"/>
                <w:sz w:val="19"/>
                <w:szCs w:val="19"/>
                <w:lang w:val="es-AR"/>
              </w:rPr>
              <w:t>5</w:t>
            </w:r>
            <w:r w:rsidR="00190842">
              <w:rPr>
                <w:color w:val="000000"/>
                <w:sz w:val="19"/>
                <w:szCs w:val="19"/>
                <w:lang w:val="es-AR"/>
              </w:rPr>
              <w:t>,</w:t>
            </w:r>
            <w:r w:rsidR="00190842" w:rsidRPr="00190842">
              <w:rPr>
                <w:color w:val="000000"/>
                <w:sz w:val="19"/>
                <w:szCs w:val="19"/>
                <w:lang w:val="es-AR"/>
              </w:rPr>
              <w:t>0</w:t>
            </w:r>
            <w:r w:rsidR="00306314" w:rsidRPr="00190842">
              <w:rPr>
                <w:color w:val="000000"/>
                <w:sz w:val="19"/>
                <w:szCs w:val="19"/>
                <w:lang w:val="es-AR"/>
              </w:rPr>
              <w:t xml:space="preserve">% </w:t>
            </w:r>
            <w:r>
              <w:rPr>
                <w:color w:val="000000"/>
                <w:sz w:val="19"/>
                <w:szCs w:val="19"/>
                <w:lang w:val="es-AR"/>
              </w:rPr>
              <w:t>de</w:t>
            </w:r>
            <w:r w:rsidR="00190842">
              <w:rPr>
                <w:color w:val="000000"/>
                <w:sz w:val="19"/>
                <w:szCs w:val="19"/>
                <w:lang w:val="es-AR"/>
              </w:rPr>
              <w:t xml:space="preserve"> </w:t>
            </w:r>
            <w:r>
              <w:rPr>
                <w:color w:val="000000"/>
                <w:sz w:val="19"/>
                <w:szCs w:val="19"/>
                <w:lang w:val="es-AR"/>
              </w:rPr>
              <w:t xml:space="preserve">la base de </w:t>
            </w:r>
            <w:r w:rsidR="00190842">
              <w:rPr>
                <w:color w:val="000000"/>
                <w:sz w:val="19"/>
                <w:szCs w:val="19"/>
                <w:lang w:val="es-AR"/>
              </w:rPr>
              <w:t>HCFC</w:t>
            </w:r>
            <w:r w:rsidR="00306314" w:rsidRPr="00190842">
              <w:rPr>
                <w:color w:val="000000"/>
                <w:sz w:val="19"/>
                <w:szCs w:val="19"/>
                <w:lang w:val="es-AR"/>
              </w:rPr>
              <w:t xml:space="preserve"> </w:t>
            </w:r>
          </w:p>
          <w:p w14:paraId="785CA5B7" w14:textId="77777777" w:rsidR="00306314" w:rsidRPr="00190842" w:rsidRDefault="00306314" w:rsidP="00DE3762">
            <w:pPr>
              <w:spacing w:before="20" w:after="20"/>
              <w:ind w:right="119"/>
              <w:rPr>
                <w:color w:val="000000"/>
                <w:sz w:val="19"/>
                <w:szCs w:val="19"/>
                <w:lang w:val="es-AR" w:eastAsia="en-CA"/>
              </w:rPr>
            </w:pPr>
            <w:r w:rsidRPr="00190842">
              <w:rPr>
                <w:color w:val="000000"/>
                <w:sz w:val="19"/>
                <w:szCs w:val="19"/>
                <w:lang w:val="es-AR"/>
              </w:rPr>
              <w:t>Año de base de HFC para los países del grupo 1</w:t>
            </w:r>
          </w:p>
        </w:tc>
        <w:tc>
          <w:tcPr>
            <w:tcW w:w="5409" w:type="dxa"/>
            <w:shd w:val="clear" w:color="auto" w:fill="auto"/>
            <w:noWrap/>
            <w:tcMar>
              <w:top w:w="43" w:type="dxa"/>
              <w:left w:w="58" w:type="dxa"/>
              <w:bottom w:w="43" w:type="dxa"/>
              <w:right w:w="0" w:type="dxa"/>
            </w:tcMar>
            <w:vAlign w:val="center"/>
            <w:hideMark/>
          </w:tcPr>
          <w:p w14:paraId="154E63D4" w14:textId="446CFB70"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 xml:space="preserve">Mantenimiento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7B5889B7" w14:textId="76B84D42"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 xml:space="preserve">Fabricación con HCFC </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15 a 20 países</w:t>
            </w:r>
          </w:p>
        </w:tc>
      </w:tr>
      <w:tr w:rsidR="00306314" w:rsidRPr="00B35AA6" w14:paraId="67EB2397" w14:textId="77777777" w:rsidTr="00DE3762">
        <w:tc>
          <w:tcPr>
            <w:tcW w:w="711" w:type="dxa"/>
            <w:shd w:val="clear" w:color="auto" w:fill="auto"/>
            <w:noWrap/>
            <w:tcMar>
              <w:top w:w="43" w:type="dxa"/>
              <w:left w:w="58" w:type="dxa"/>
              <w:bottom w:w="43" w:type="dxa"/>
              <w:right w:w="29" w:type="dxa"/>
            </w:tcMar>
            <w:vAlign w:val="center"/>
            <w:hideMark/>
          </w:tcPr>
          <w:p w14:paraId="61DAE289" w14:textId="77777777" w:rsidR="00306314" w:rsidRPr="00190842" w:rsidRDefault="00306314" w:rsidP="009E3957">
            <w:pPr>
              <w:rPr>
                <w:b/>
                <w:color w:val="000000"/>
                <w:sz w:val="19"/>
                <w:szCs w:val="19"/>
                <w:lang w:val="es-AR" w:eastAsia="en-CA"/>
              </w:rPr>
            </w:pPr>
            <w:r w:rsidRPr="00190842">
              <w:rPr>
                <w:b/>
                <w:color w:val="000000"/>
                <w:sz w:val="19"/>
                <w:szCs w:val="19"/>
                <w:lang w:val="es-AR"/>
              </w:rPr>
              <w:t>2021-2022</w:t>
            </w:r>
          </w:p>
        </w:tc>
        <w:tc>
          <w:tcPr>
            <w:tcW w:w="3521" w:type="dxa"/>
            <w:shd w:val="clear" w:color="auto" w:fill="auto"/>
            <w:noWrap/>
            <w:tcMar>
              <w:top w:w="43" w:type="dxa"/>
              <w:left w:w="58" w:type="dxa"/>
              <w:bottom w:w="43" w:type="dxa"/>
              <w:right w:w="0" w:type="dxa"/>
            </w:tcMar>
            <w:vAlign w:val="center"/>
            <w:hideMark/>
          </w:tcPr>
          <w:p w14:paraId="25318008" w14:textId="1D27E2A3" w:rsidR="00306314" w:rsidRPr="00190842" w:rsidRDefault="004A3A5A" w:rsidP="00DE3762">
            <w:pPr>
              <w:spacing w:before="20" w:after="20"/>
              <w:ind w:right="119"/>
              <w:rPr>
                <w:color w:val="000000"/>
                <w:sz w:val="19"/>
                <w:szCs w:val="19"/>
                <w:lang w:val="es-AR" w:eastAsia="en-CA"/>
              </w:rPr>
            </w:pPr>
            <w:r>
              <w:rPr>
                <w:color w:val="000000"/>
                <w:sz w:val="19"/>
                <w:szCs w:val="19"/>
                <w:lang w:val="es-AR"/>
              </w:rPr>
              <w:t>R</w:t>
            </w:r>
            <w:r w:rsidR="00306314" w:rsidRPr="00190842">
              <w:rPr>
                <w:color w:val="000000"/>
                <w:sz w:val="19"/>
                <w:szCs w:val="19"/>
                <w:lang w:val="es-AR"/>
              </w:rPr>
              <w:t xml:space="preserve">educción </w:t>
            </w:r>
            <w:r>
              <w:rPr>
                <w:color w:val="000000"/>
                <w:sz w:val="19"/>
                <w:szCs w:val="19"/>
                <w:lang w:val="es-AR"/>
              </w:rPr>
              <w:t xml:space="preserve">del </w:t>
            </w:r>
            <w:r w:rsidR="00306314" w:rsidRPr="00190842">
              <w:rPr>
                <w:color w:val="000000"/>
                <w:sz w:val="19"/>
                <w:szCs w:val="19"/>
                <w:lang w:val="es-AR"/>
              </w:rPr>
              <w:t>3</w:t>
            </w:r>
            <w:r w:rsidR="00190842" w:rsidRPr="00190842">
              <w:rPr>
                <w:color w:val="000000"/>
                <w:sz w:val="19"/>
                <w:szCs w:val="19"/>
                <w:lang w:val="es-AR"/>
              </w:rPr>
              <w:t>5</w:t>
            </w:r>
            <w:r w:rsidR="00190842">
              <w:rPr>
                <w:color w:val="000000"/>
                <w:sz w:val="19"/>
                <w:szCs w:val="19"/>
                <w:lang w:val="es-AR"/>
              </w:rPr>
              <w:t>,</w:t>
            </w:r>
            <w:r w:rsidR="00190842" w:rsidRPr="00190842">
              <w:rPr>
                <w:color w:val="000000"/>
                <w:sz w:val="19"/>
                <w:szCs w:val="19"/>
                <w:lang w:val="es-AR"/>
              </w:rPr>
              <w:t>0</w:t>
            </w:r>
            <w:r w:rsidR="00306314" w:rsidRPr="00190842">
              <w:rPr>
                <w:color w:val="000000"/>
                <w:sz w:val="19"/>
                <w:szCs w:val="19"/>
                <w:lang w:val="es-AR"/>
              </w:rPr>
              <w:t xml:space="preserve">% </w:t>
            </w:r>
            <w:r>
              <w:rPr>
                <w:color w:val="000000"/>
                <w:sz w:val="19"/>
                <w:szCs w:val="19"/>
                <w:lang w:val="es-AR"/>
              </w:rPr>
              <w:t>de</w:t>
            </w:r>
            <w:r w:rsidR="00190842">
              <w:rPr>
                <w:color w:val="000000"/>
                <w:sz w:val="19"/>
                <w:szCs w:val="19"/>
                <w:lang w:val="es-AR"/>
              </w:rPr>
              <w:t xml:space="preserve"> </w:t>
            </w:r>
            <w:r>
              <w:rPr>
                <w:color w:val="000000"/>
                <w:sz w:val="19"/>
                <w:szCs w:val="19"/>
                <w:lang w:val="es-AR"/>
              </w:rPr>
              <w:t xml:space="preserve">la base de </w:t>
            </w:r>
            <w:r w:rsidR="00190842">
              <w:rPr>
                <w:color w:val="000000"/>
                <w:sz w:val="19"/>
                <w:szCs w:val="19"/>
                <w:lang w:val="es-AR"/>
              </w:rPr>
              <w:t>HCFC</w:t>
            </w:r>
            <w:r w:rsidR="00306314" w:rsidRPr="00190842">
              <w:rPr>
                <w:color w:val="000000"/>
                <w:sz w:val="19"/>
                <w:szCs w:val="19"/>
                <w:lang w:val="es-AR"/>
              </w:rPr>
              <w:t xml:space="preserve"> </w:t>
            </w:r>
          </w:p>
          <w:p w14:paraId="770979B6" w14:textId="77777777" w:rsidR="00306314" w:rsidRPr="00190842" w:rsidRDefault="00306314" w:rsidP="00DE3762">
            <w:pPr>
              <w:spacing w:before="20" w:after="20"/>
              <w:ind w:right="119"/>
              <w:rPr>
                <w:color w:val="000000"/>
                <w:sz w:val="19"/>
                <w:szCs w:val="19"/>
                <w:lang w:val="es-AR" w:eastAsia="en-CA"/>
              </w:rPr>
            </w:pPr>
            <w:r w:rsidRPr="00190842">
              <w:rPr>
                <w:color w:val="000000"/>
                <w:sz w:val="19"/>
                <w:szCs w:val="19"/>
                <w:lang w:val="es-AR"/>
              </w:rPr>
              <w:t>Año de base de HFC para los países del grupo 1</w:t>
            </w:r>
          </w:p>
        </w:tc>
        <w:tc>
          <w:tcPr>
            <w:tcW w:w="5409" w:type="dxa"/>
            <w:shd w:val="clear" w:color="auto" w:fill="auto"/>
            <w:noWrap/>
            <w:tcMar>
              <w:top w:w="43" w:type="dxa"/>
              <w:left w:w="58" w:type="dxa"/>
              <w:bottom w:w="43" w:type="dxa"/>
              <w:right w:w="0" w:type="dxa"/>
            </w:tcMar>
            <w:vAlign w:val="center"/>
            <w:hideMark/>
          </w:tcPr>
          <w:p w14:paraId="418F2DE8" w14:textId="56821EDB"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Mantenimiento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2CE1019D" w14:textId="037D2B2E"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Fabricación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15 a 20 países</w:t>
            </w:r>
          </w:p>
          <w:p w14:paraId="4F079FD4" w14:textId="1D74B59B" w:rsidR="00306314" w:rsidRPr="00190842" w:rsidRDefault="00306314" w:rsidP="00DE3762">
            <w:pPr>
              <w:spacing w:before="20" w:after="20"/>
              <w:ind w:right="147"/>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728B5FE7" w14:textId="19959604"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el sistema de licencias/cuotas para HFC</w:t>
            </w:r>
            <w:r w:rsidR="00306314" w:rsidRPr="00190842">
              <w:rPr>
                <w:color w:val="000000"/>
                <w:sz w:val="19"/>
                <w:szCs w:val="19"/>
                <w:lang w:val="es-AR"/>
              </w:rPr>
              <w:t xml:space="preserve"> y </w:t>
            </w:r>
            <w:r w:rsidR="00171208">
              <w:rPr>
                <w:color w:val="000000"/>
                <w:sz w:val="19"/>
                <w:szCs w:val="19"/>
                <w:lang w:val="es-AR"/>
              </w:rPr>
              <w:t>presentación de datos</w:t>
            </w:r>
          </w:p>
        </w:tc>
      </w:tr>
      <w:tr w:rsidR="00306314" w:rsidRPr="00B35AA6" w14:paraId="2E0F1849" w14:textId="77777777" w:rsidTr="00DE3762">
        <w:tc>
          <w:tcPr>
            <w:tcW w:w="711" w:type="dxa"/>
            <w:shd w:val="clear" w:color="auto" w:fill="auto"/>
            <w:noWrap/>
            <w:tcMar>
              <w:top w:w="43" w:type="dxa"/>
              <w:left w:w="58" w:type="dxa"/>
              <w:bottom w:w="43" w:type="dxa"/>
              <w:right w:w="29" w:type="dxa"/>
            </w:tcMar>
            <w:vAlign w:val="center"/>
            <w:hideMark/>
          </w:tcPr>
          <w:p w14:paraId="42C14FAA" w14:textId="77777777" w:rsidR="00306314" w:rsidRPr="00190842" w:rsidRDefault="00306314" w:rsidP="009E3957">
            <w:pPr>
              <w:rPr>
                <w:b/>
                <w:color w:val="000000"/>
                <w:sz w:val="19"/>
                <w:szCs w:val="19"/>
                <w:lang w:val="es-AR" w:eastAsia="en-CA"/>
              </w:rPr>
            </w:pPr>
            <w:r w:rsidRPr="00190842">
              <w:rPr>
                <w:b/>
                <w:color w:val="000000"/>
                <w:sz w:val="19"/>
                <w:szCs w:val="19"/>
                <w:lang w:val="es-AR"/>
              </w:rPr>
              <w:t>2023</w:t>
            </w:r>
          </w:p>
        </w:tc>
        <w:tc>
          <w:tcPr>
            <w:tcW w:w="3521" w:type="dxa"/>
            <w:shd w:val="clear" w:color="auto" w:fill="auto"/>
            <w:noWrap/>
            <w:tcMar>
              <w:top w:w="43" w:type="dxa"/>
              <w:left w:w="58" w:type="dxa"/>
              <w:bottom w:w="43" w:type="dxa"/>
              <w:right w:w="0" w:type="dxa"/>
            </w:tcMar>
            <w:vAlign w:val="center"/>
            <w:hideMark/>
          </w:tcPr>
          <w:p w14:paraId="0D1A179C" w14:textId="31E95876" w:rsidR="00306314" w:rsidRPr="00190842" w:rsidRDefault="004A3A5A" w:rsidP="00DE3762">
            <w:pPr>
              <w:spacing w:before="20" w:after="20"/>
              <w:ind w:right="119"/>
              <w:rPr>
                <w:color w:val="000000"/>
                <w:sz w:val="19"/>
                <w:szCs w:val="19"/>
                <w:lang w:val="es-AR" w:eastAsia="en-CA"/>
              </w:rPr>
            </w:pPr>
            <w:r>
              <w:rPr>
                <w:color w:val="000000"/>
                <w:sz w:val="19"/>
                <w:szCs w:val="19"/>
                <w:lang w:val="es-AR"/>
              </w:rPr>
              <w:t>R</w:t>
            </w:r>
            <w:r w:rsidR="00306314" w:rsidRPr="00190842">
              <w:rPr>
                <w:color w:val="000000"/>
                <w:sz w:val="19"/>
                <w:szCs w:val="19"/>
                <w:lang w:val="es-AR"/>
              </w:rPr>
              <w:t xml:space="preserve">educción </w:t>
            </w:r>
            <w:r>
              <w:rPr>
                <w:color w:val="000000"/>
                <w:sz w:val="19"/>
                <w:szCs w:val="19"/>
                <w:lang w:val="es-AR"/>
              </w:rPr>
              <w:t xml:space="preserve">del </w:t>
            </w:r>
            <w:r w:rsidR="00306314" w:rsidRPr="00190842">
              <w:rPr>
                <w:color w:val="000000"/>
                <w:sz w:val="19"/>
                <w:szCs w:val="19"/>
                <w:lang w:val="es-AR"/>
              </w:rPr>
              <w:t>3</w:t>
            </w:r>
            <w:r w:rsidR="00190842" w:rsidRPr="00190842">
              <w:rPr>
                <w:color w:val="000000"/>
                <w:sz w:val="19"/>
                <w:szCs w:val="19"/>
                <w:lang w:val="es-AR"/>
              </w:rPr>
              <w:t>5</w:t>
            </w:r>
            <w:r w:rsidR="00190842">
              <w:rPr>
                <w:color w:val="000000"/>
                <w:sz w:val="19"/>
                <w:szCs w:val="19"/>
                <w:lang w:val="es-AR"/>
              </w:rPr>
              <w:t>,</w:t>
            </w:r>
            <w:r w:rsidR="00190842" w:rsidRPr="00190842">
              <w:rPr>
                <w:color w:val="000000"/>
                <w:sz w:val="19"/>
                <w:szCs w:val="19"/>
                <w:lang w:val="es-AR"/>
              </w:rPr>
              <w:t>0</w:t>
            </w:r>
            <w:r w:rsidR="00306314" w:rsidRPr="00190842">
              <w:rPr>
                <w:color w:val="000000"/>
                <w:sz w:val="19"/>
                <w:szCs w:val="19"/>
                <w:lang w:val="es-AR"/>
              </w:rPr>
              <w:t xml:space="preserve">% </w:t>
            </w:r>
            <w:r>
              <w:rPr>
                <w:color w:val="000000"/>
                <w:sz w:val="19"/>
                <w:szCs w:val="19"/>
                <w:lang w:val="es-AR"/>
              </w:rPr>
              <w:t xml:space="preserve">de la base de </w:t>
            </w:r>
            <w:r w:rsidR="00190842">
              <w:rPr>
                <w:color w:val="000000"/>
                <w:sz w:val="19"/>
                <w:szCs w:val="19"/>
                <w:lang w:val="es-AR"/>
              </w:rPr>
              <w:t>HCFC</w:t>
            </w:r>
            <w:r w:rsidR="00306314" w:rsidRPr="00190842">
              <w:rPr>
                <w:color w:val="000000"/>
                <w:sz w:val="19"/>
                <w:szCs w:val="19"/>
                <w:lang w:val="es-AR"/>
              </w:rPr>
              <w:t xml:space="preserve"> </w:t>
            </w:r>
          </w:p>
        </w:tc>
        <w:tc>
          <w:tcPr>
            <w:tcW w:w="5409" w:type="dxa"/>
            <w:shd w:val="clear" w:color="auto" w:fill="auto"/>
            <w:noWrap/>
            <w:tcMar>
              <w:top w:w="43" w:type="dxa"/>
              <w:left w:w="58" w:type="dxa"/>
              <w:bottom w:w="43" w:type="dxa"/>
              <w:right w:w="0" w:type="dxa"/>
            </w:tcMar>
            <w:vAlign w:val="center"/>
            <w:hideMark/>
          </w:tcPr>
          <w:p w14:paraId="3D086FE6" w14:textId="639178BD"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Mantenimiento con HCFC</w:t>
            </w:r>
            <w:r w:rsidR="00171208">
              <w:rPr>
                <w:color w:val="000000"/>
                <w:sz w:val="19"/>
                <w:szCs w:val="19"/>
                <w:lang w:val="es-AR"/>
              </w:rPr>
              <w:t xml:space="preserve">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07B99530" w14:textId="71770935"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t xml:space="preserve">Fabricación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15 a 20 países</w:t>
            </w:r>
          </w:p>
          <w:p w14:paraId="759D029D" w14:textId="2407AB68" w:rsidR="00306314" w:rsidRPr="00190842" w:rsidRDefault="00306314" w:rsidP="00DE3762">
            <w:pPr>
              <w:spacing w:before="20" w:after="20"/>
              <w:ind w:right="147"/>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237A395F" w14:textId="56AE4967" w:rsidR="00306314" w:rsidRPr="00190842" w:rsidRDefault="004A3A5A" w:rsidP="00DE3762">
            <w:pPr>
              <w:spacing w:before="20" w:after="20"/>
              <w:ind w:right="147"/>
              <w:jc w:val="left"/>
              <w:rPr>
                <w:color w:val="000000"/>
                <w:sz w:val="19"/>
                <w:szCs w:val="19"/>
                <w:lang w:val="es-AR" w:eastAsia="en-CA"/>
              </w:rPr>
            </w:pPr>
            <w:r>
              <w:rPr>
                <w:color w:val="000000"/>
                <w:sz w:val="19"/>
                <w:szCs w:val="19"/>
                <w:lang w:val="es-AR"/>
              </w:rPr>
              <w:lastRenderedPageBreak/>
              <w:t xml:space="preserve">Actualización </w:t>
            </w:r>
            <w:r w:rsidR="00C066E8">
              <w:rPr>
                <w:color w:val="000000"/>
                <w:sz w:val="19"/>
                <w:szCs w:val="19"/>
                <w:lang w:val="es-AR"/>
              </w:rPr>
              <w:t>d</w:t>
            </w:r>
            <w:r>
              <w:rPr>
                <w:color w:val="000000"/>
                <w:sz w:val="19"/>
                <w:szCs w:val="19"/>
                <w:lang w:val="es-AR"/>
              </w:rPr>
              <w:t>el sistema de licencias/cuotas para HFC</w:t>
            </w:r>
            <w:r w:rsidR="00306314" w:rsidRPr="00190842">
              <w:rPr>
                <w:color w:val="000000"/>
                <w:sz w:val="19"/>
                <w:szCs w:val="19"/>
                <w:lang w:val="es-AR"/>
              </w:rPr>
              <w:t xml:space="preserve"> y </w:t>
            </w:r>
            <w:r w:rsidR="00171208">
              <w:rPr>
                <w:color w:val="000000"/>
                <w:sz w:val="19"/>
                <w:szCs w:val="19"/>
                <w:lang w:val="es-AR"/>
              </w:rPr>
              <w:t>presentación de datos</w:t>
            </w:r>
          </w:p>
          <w:p w14:paraId="22F7C090" w14:textId="74D60E35" w:rsidR="00306314" w:rsidRPr="00190842" w:rsidRDefault="00171208" w:rsidP="00DE3762">
            <w:pPr>
              <w:spacing w:before="20" w:after="20"/>
              <w:ind w:right="147"/>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15A31FFE" w14:textId="77777777" w:rsidR="00306314" w:rsidRPr="00190842" w:rsidRDefault="00306314" w:rsidP="00DE3762">
            <w:pPr>
              <w:spacing w:before="20" w:after="20"/>
              <w:ind w:right="147"/>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6A7C8D7F" w14:textId="77777777" w:rsidTr="00DE3762">
        <w:tc>
          <w:tcPr>
            <w:tcW w:w="711" w:type="dxa"/>
            <w:shd w:val="clear" w:color="auto" w:fill="auto"/>
            <w:noWrap/>
            <w:tcMar>
              <w:top w:w="43" w:type="dxa"/>
              <w:left w:w="58" w:type="dxa"/>
              <w:bottom w:w="43" w:type="dxa"/>
              <w:right w:w="29" w:type="dxa"/>
            </w:tcMar>
            <w:vAlign w:val="center"/>
            <w:hideMark/>
          </w:tcPr>
          <w:p w14:paraId="1423672A" w14:textId="77777777" w:rsidR="00306314" w:rsidRPr="00190842" w:rsidRDefault="00306314" w:rsidP="009E3957">
            <w:pPr>
              <w:rPr>
                <w:b/>
                <w:color w:val="000000"/>
                <w:sz w:val="19"/>
                <w:szCs w:val="19"/>
                <w:lang w:val="es-AR" w:eastAsia="en-CA"/>
              </w:rPr>
            </w:pPr>
            <w:r w:rsidRPr="00190842">
              <w:rPr>
                <w:b/>
                <w:color w:val="000000"/>
                <w:sz w:val="19"/>
                <w:szCs w:val="19"/>
                <w:lang w:val="es-AR"/>
              </w:rPr>
              <w:lastRenderedPageBreak/>
              <w:t>2024</w:t>
            </w:r>
          </w:p>
        </w:tc>
        <w:tc>
          <w:tcPr>
            <w:tcW w:w="3521" w:type="dxa"/>
            <w:shd w:val="clear" w:color="auto" w:fill="auto"/>
            <w:noWrap/>
            <w:tcMar>
              <w:top w:w="43" w:type="dxa"/>
              <w:left w:w="58" w:type="dxa"/>
              <w:bottom w:w="43" w:type="dxa"/>
              <w:right w:w="0" w:type="dxa"/>
            </w:tcMar>
            <w:vAlign w:val="center"/>
            <w:hideMark/>
          </w:tcPr>
          <w:p w14:paraId="2D39640A" w14:textId="0AAF8681" w:rsidR="00306314" w:rsidRPr="00190842" w:rsidRDefault="004A3A5A" w:rsidP="00DE3762">
            <w:pPr>
              <w:spacing w:before="20" w:after="20"/>
              <w:ind w:right="119"/>
              <w:rPr>
                <w:color w:val="000000"/>
                <w:sz w:val="19"/>
                <w:szCs w:val="19"/>
                <w:lang w:val="es-AR" w:eastAsia="en-CA"/>
              </w:rPr>
            </w:pPr>
            <w:r>
              <w:rPr>
                <w:color w:val="000000"/>
                <w:sz w:val="19"/>
                <w:szCs w:val="19"/>
                <w:lang w:val="es-AR"/>
              </w:rPr>
              <w:t xml:space="preserve">Reducción del 35,0% de la base de HCFC </w:t>
            </w:r>
          </w:p>
          <w:p w14:paraId="0DBFACCD" w14:textId="64F469A4" w:rsidR="00306314" w:rsidRPr="00190842" w:rsidRDefault="00FD722C" w:rsidP="00DE3762">
            <w:pPr>
              <w:spacing w:before="20" w:after="20"/>
              <w:ind w:right="119"/>
              <w:rPr>
                <w:color w:val="000000"/>
                <w:sz w:val="19"/>
                <w:szCs w:val="19"/>
                <w:lang w:val="es-AR" w:eastAsia="en-CA"/>
              </w:rPr>
            </w:pPr>
            <w:r w:rsidRPr="00FD722C">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1</w:t>
            </w:r>
          </w:p>
          <w:p w14:paraId="0D54EDCC" w14:textId="77777777" w:rsidR="00306314" w:rsidRPr="00190842" w:rsidRDefault="00306314" w:rsidP="00DE3762">
            <w:pPr>
              <w:spacing w:before="20" w:after="20"/>
              <w:ind w:right="119"/>
              <w:rPr>
                <w:color w:val="000000"/>
                <w:sz w:val="19"/>
                <w:szCs w:val="19"/>
                <w:lang w:val="es-AR" w:eastAsia="en-CA"/>
              </w:rPr>
            </w:pPr>
            <w:r w:rsidRPr="00190842">
              <w:rPr>
                <w:color w:val="000000"/>
                <w:sz w:val="19"/>
                <w:szCs w:val="19"/>
                <w:lang w:val="es-AR"/>
              </w:rPr>
              <w:t>Año de base de HFC para los países del grupo 2</w:t>
            </w:r>
          </w:p>
        </w:tc>
        <w:tc>
          <w:tcPr>
            <w:tcW w:w="5409" w:type="dxa"/>
            <w:shd w:val="clear" w:color="auto" w:fill="auto"/>
            <w:noWrap/>
            <w:tcMar>
              <w:top w:w="43" w:type="dxa"/>
              <w:left w:w="58" w:type="dxa"/>
              <w:bottom w:w="43" w:type="dxa"/>
              <w:right w:w="0" w:type="dxa"/>
            </w:tcMar>
            <w:vAlign w:val="center"/>
            <w:hideMark/>
          </w:tcPr>
          <w:p w14:paraId="0E335CDD" w14:textId="4A58860D"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Mantenimiento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637E5523" w14:textId="04B84183"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Fabricación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15 a 20 países</w:t>
            </w:r>
          </w:p>
          <w:p w14:paraId="00950B2B" w14:textId="3151C850"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70DA0FDD" w14:textId="627A705A"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de</w:t>
            </w:r>
            <w:r>
              <w:rPr>
                <w:color w:val="000000"/>
                <w:sz w:val="19"/>
                <w:szCs w:val="19"/>
                <w:lang w:val="es-AR"/>
              </w:rPr>
              <w:t>l sistema de licencias/cuotas para HFC</w:t>
            </w:r>
            <w:r w:rsidR="00171208">
              <w:rPr>
                <w:color w:val="000000"/>
                <w:sz w:val="19"/>
                <w:szCs w:val="19"/>
                <w:lang w:val="es-AR"/>
              </w:rPr>
              <w:t xml:space="preserve"> </w:t>
            </w:r>
            <w:r w:rsidR="00306314" w:rsidRPr="00190842">
              <w:rPr>
                <w:color w:val="000000"/>
                <w:sz w:val="19"/>
                <w:szCs w:val="19"/>
                <w:lang w:val="es-AR"/>
              </w:rPr>
              <w:t xml:space="preserve">y </w:t>
            </w:r>
            <w:r w:rsidR="00171208">
              <w:rPr>
                <w:color w:val="000000"/>
                <w:sz w:val="19"/>
                <w:szCs w:val="19"/>
                <w:lang w:val="es-AR"/>
              </w:rPr>
              <w:t>presentación de datos</w:t>
            </w:r>
          </w:p>
          <w:p w14:paraId="789F87AB" w14:textId="4068ED65"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1B24B691"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73F11B8B" w14:textId="77777777" w:rsidTr="00DE3762">
        <w:tc>
          <w:tcPr>
            <w:tcW w:w="711" w:type="dxa"/>
            <w:shd w:val="clear" w:color="auto" w:fill="auto"/>
            <w:noWrap/>
            <w:tcMar>
              <w:top w:w="43" w:type="dxa"/>
              <w:left w:w="58" w:type="dxa"/>
              <w:bottom w:w="43" w:type="dxa"/>
              <w:right w:w="29" w:type="dxa"/>
            </w:tcMar>
            <w:vAlign w:val="center"/>
            <w:hideMark/>
          </w:tcPr>
          <w:p w14:paraId="474D4383" w14:textId="77777777" w:rsidR="00306314" w:rsidRPr="00190842" w:rsidRDefault="00306314" w:rsidP="009E3957">
            <w:pPr>
              <w:rPr>
                <w:b/>
                <w:color w:val="000000"/>
                <w:sz w:val="19"/>
                <w:szCs w:val="19"/>
                <w:lang w:val="es-AR" w:eastAsia="en-CA"/>
              </w:rPr>
            </w:pPr>
            <w:r w:rsidRPr="00190842">
              <w:rPr>
                <w:b/>
                <w:color w:val="000000"/>
                <w:sz w:val="19"/>
                <w:szCs w:val="19"/>
                <w:lang w:val="es-AR"/>
              </w:rPr>
              <w:t>2025-2026</w:t>
            </w:r>
          </w:p>
        </w:tc>
        <w:tc>
          <w:tcPr>
            <w:tcW w:w="3521" w:type="dxa"/>
            <w:shd w:val="clear" w:color="auto" w:fill="auto"/>
            <w:noWrap/>
            <w:tcMar>
              <w:top w:w="43" w:type="dxa"/>
              <w:left w:w="58" w:type="dxa"/>
              <w:bottom w:w="43" w:type="dxa"/>
              <w:right w:w="0" w:type="dxa"/>
            </w:tcMar>
            <w:vAlign w:val="center"/>
            <w:hideMark/>
          </w:tcPr>
          <w:p w14:paraId="7A23D486" w14:textId="385AE398" w:rsidR="00306314" w:rsidRPr="00190842" w:rsidRDefault="004A3A5A" w:rsidP="00DE3762">
            <w:pPr>
              <w:spacing w:before="20" w:after="20"/>
              <w:ind w:right="119"/>
              <w:rPr>
                <w:color w:val="000000"/>
                <w:sz w:val="19"/>
                <w:szCs w:val="19"/>
                <w:lang w:val="es-AR" w:eastAsia="en-CA"/>
              </w:rPr>
            </w:pPr>
            <w:r>
              <w:rPr>
                <w:color w:val="000000"/>
                <w:sz w:val="19"/>
                <w:szCs w:val="19"/>
                <w:lang w:val="es-AR"/>
              </w:rPr>
              <w:t>R</w:t>
            </w:r>
            <w:r w:rsidR="00306314" w:rsidRPr="00190842">
              <w:rPr>
                <w:color w:val="000000"/>
                <w:sz w:val="19"/>
                <w:szCs w:val="19"/>
                <w:lang w:val="es-AR"/>
              </w:rPr>
              <w:t>educción</w:t>
            </w:r>
            <w:r>
              <w:rPr>
                <w:color w:val="000000"/>
                <w:sz w:val="19"/>
                <w:szCs w:val="19"/>
                <w:lang w:val="es-AR"/>
              </w:rPr>
              <w:t xml:space="preserve"> del</w:t>
            </w:r>
            <w:r w:rsidR="00306314" w:rsidRPr="00190842">
              <w:rPr>
                <w:color w:val="000000"/>
                <w:sz w:val="19"/>
                <w:szCs w:val="19"/>
                <w:lang w:val="es-AR"/>
              </w:rPr>
              <w:t xml:space="preserve"> 6</w:t>
            </w:r>
            <w:r w:rsidR="00190842" w:rsidRPr="00190842">
              <w:rPr>
                <w:color w:val="000000"/>
                <w:sz w:val="19"/>
                <w:szCs w:val="19"/>
                <w:lang w:val="es-AR"/>
              </w:rPr>
              <w:t>7</w:t>
            </w:r>
            <w:r w:rsidR="00190842">
              <w:rPr>
                <w:color w:val="000000"/>
                <w:sz w:val="19"/>
                <w:szCs w:val="19"/>
                <w:lang w:val="es-AR"/>
              </w:rPr>
              <w:t>,</w:t>
            </w:r>
            <w:r w:rsidR="00190842" w:rsidRPr="00190842">
              <w:rPr>
                <w:color w:val="000000"/>
                <w:sz w:val="19"/>
                <w:szCs w:val="19"/>
                <w:lang w:val="es-AR"/>
              </w:rPr>
              <w:t>5</w:t>
            </w:r>
            <w:r w:rsidR="00306314" w:rsidRPr="00190842">
              <w:rPr>
                <w:color w:val="000000"/>
                <w:sz w:val="19"/>
                <w:szCs w:val="19"/>
                <w:lang w:val="es-AR"/>
              </w:rPr>
              <w:t xml:space="preserve">% </w:t>
            </w:r>
            <w:r>
              <w:rPr>
                <w:color w:val="000000"/>
                <w:sz w:val="19"/>
                <w:szCs w:val="19"/>
                <w:lang w:val="es-AR"/>
              </w:rPr>
              <w:t xml:space="preserve">de la base de HCFC </w:t>
            </w:r>
          </w:p>
          <w:p w14:paraId="4B9D1403" w14:textId="16C9D0F2"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1</w:t>
            </w:r>
          </w:p>
          <w:p w14:paraId="64159054" w14:textId="77777777" w:rsidR="00306314" w:rsidRPr="00190842" w:rsidRDefault="00306314" w:rsidP="00DE3762">
            <w:pPr>
              <w:spacing w:before="20" w:after="20"/>
              <w:ind w:right="119"/>
              <w:rPr>
                <w:color w:val="000000"/>
                <w:sz w:val="19"/>
                <w:szCs w:val="19"/>
                <w:lang w:val="es-AR" w:eastAsia="en-CA"/>
              </w:rPr>
            </w:pPr>
            <w:r w:rsidRPr="00190842">
              <w:rPr>
                <w:color w:val="000000"/>
                <w:sz w:val="19"/>
                <w:szCs w:val="19"/>
                <w:lang w:val="es-AR"/>
              </w:rPr>
              <w:t>Año de base de HFC para los países del grupo 2</w:t>
            </w:r>
          </w:p>
        </w:tc>
        <w:tc>
          <w:tcPr>
            <w:tcW w:w="5409" w:type="dxa"/>
            <w:shd w:val="clear" w:color="auto" w:fill="auto"/>
            <w:noWrap/>
            <w:tcMar>
              <w:top w:w="43" w:type="dxa"/>
              <w:left w:w="58" w:type="dxa"/>
              <w:bottom w:w="43" w:type="dxa"/>
              <w:right w:w="0" w:type="dxa"/>
            </w:tcMar>
            <w:vAlign w:val="center"/>
            <w:hideMark/>
          </w:tcPr>
          <w:p w14:paraId="2A4ECD2B" w14:textId="00A0FFAB" w:rsidR="00306314" w:rsidRPr="00190842" w:rsidRDefault="004A3A5A" w:rsidP="00DE3762">
            <w:pPr>
              <w:spacing w:before="20" w:after="20"/>
              <w:jc w:val="left"/>
              <w:rPr>
                <w:color w:val="000000"/>
                <w:sz w:val="19"/>
                <w:szCs w:val="19"/>
                <w:lang w:val="es-AR" w:eastAsia="en-CA"/>
              </w:rPr>
            </w:pPr>
            <w:r>
              <w:rPr>
                <w:color w:val="000000"/>
                <w:sz w:val="19"/>
                <w:szCs w:val="19"/>
                <w:lang w:val="es-AR"/>
              </w:rPr>
              <w:t>Mantenimiento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2C21BE9E" w14:textId="474A54F5" w:rsidR="00306314" w:rsidRPr="00190842" w:rsidRDefault="004A3A5A" w:rsidP="00DE3762">
            <w:pPr>
              <w:spacing w:before="20" w:after="20"/>
              <w:jc w:val="left"/>
              <w:rPr>
                <w:color w:val="000000"/>
                <w:sz w:val="19"/>
                <w:szCs w:val="19"/>
                <w:lang w:val="es-AR" w:eastAsia="en-CA"/>
              </w:rPr>
            </w:pPr>
            <w:r>
              <w:rPr>
                <w:color w:val="000000"/>
                <w:sz w:val="19"/>
                <w:szCs w:val="19"/>
                <w:lang w:val="es-AR"/>
              </w:rPr>
              <w:t>Fabricación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10 países</w:t>
            </w:r>
          </w:p>
          <w:p w14:paraId="259A7EA1" w14:textId="709B8658"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32F8A80D" w14:textId="2C6CFA33"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el sistema de licencias/cuotas para HFC</w:t>
            </w:r>
            <w:r w:rsidR="00306314" w:rsidRPr="00190842">
              <w:rPr>
                <w:color w:val="000000"/>
                <w:sz w:val="19"/>
                <w:szCs w:val="19"/>
                <w:lang w:val="es-AR"/>
              </w:rPr>
              <w:t xml:space="preserve"> y </w:t>
            </w:r>
            <w:r w:rsidR="00171208">
              <w:rPr>
                <w:color w:val="000000"/>
                <w:sz w:val="19"/>
                <w:szCs w:val="19"/>
                <w:lang w:val="es-AR"/>
              </w:rPr>
              <w:t>presentación de datos</w:t>
            </w:r>
          </w:p>
          <w:p w14:paraId="0853D218" w14:textId="7A5659D2"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12AF8E41"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4100D8BF" w14:textId="77777777" w:rsidTr="00DE3762">
        <w:tc>
          <w:tcPr>
            <w:tcW w:w="711" w:type="dxa"/>
            <w:shd w:val="clear" w:color="auto" w:fill="auto"/>
            <w:noWrap/>
            <w:tcMar>
              <w:top w:w="43" w:type="dxa"/>
              <w:left w:w="58" w:type="dxa"/>
              <w:bottom w:w="43" w:type="dxa"/>
              <w:right w:w="29" w:type="dxa"/>
            </w:tcMar>
            <w:vAlign w:val="center"/>
            <w:hideMark/>
          </w:tcPr>
          <w:p w14:paraId="03BA8BBA" w14:textId="77777777" w:rsidR="00306314" w:rsidRPr="00190842" w:rsidRDefault="00306314" w:rsidP="009E3957">
            <w:pPr>
              <w:rPr>
                <w:b/>
                <w:color w:val="000000"/>
                <w:sz w:val="19"/>
                <w:szCs w:val="19"/>
                <w:lang w:val="es-AR" w:eastAsia="en-CA"/>
              </w:rPr>
            </w:pPr>
            <w:r w:rsidRPr="00190842">
              <w:rPr>
                <w:b/>
                <w:color w:val="000000"/>
                <w:sz w:val="19"/>
                <w:szCs w:val="19"/>
                <w:lang w:val="es-AR"/>
              </w:rPr>
              <w:t>2027</w:t>
            </w:r>
          </w:p>
        </w:tc>
        <w:tc>
          <w:tcPr>
            <w:tcW w:w="3521" w:type="dxa"/>
            <w:shd w:val="clear" w:color="auto" w:fill="auto"/>
            <w:noWrap/>
            <w:tcMar>
              <w:top w:w="43" w:type="dxa"/>
              <w:left w:w="58" w:type="dxa"/>
              <w:bottom w:w="43" w:type="dxa"/>
              <w:right w:w="0" w:type="dxa"/>
            </w:tcMar>
            <w:vAlign w:val="center"/>
            <w:hideMark/>
          </w:tcPr>
          <w:p w14:paraId="268F0529" w14:textId="497087F5" w:rsidR="00306314" w:rsidRPr="00190842" w:rsidRDefault="004A3A5A" w:rsidP="00DE3762">
            <w:pPr>
              <w:spacing w:before="20" w:after="20"/>
              <w:ind w:right="119"/>
              <w:rPr>
                <w:color w:val="000000"/>
                <w:sz w:val="19"/>
                <w:szCs w:val="19"/>
                <w:lang w:val="es-AR" w:eastAsia="en-CA"/>
              </w:rPr>
            </w:pPr>
            <w:r>
              <w:rPr>
                <w:color w:val="000000"/>
                <w:sz w:val="19"/>
                <w:szCs w:val="19"/>
                <w:lang w:val="es-AR"/>
              </w:rPr>
              <w:t xml:space="preserve">Reducción del 67,5% de la base de HCFC </w:t>
            </w:r>
          </w:p>
          <w:p w14:paraId="57C5BE46" w14:textId="544EB098"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1</w:t>
            </w:r>
          </w:p>
        </w:tc>
        <w:tc>
          <w:tcPr>
            <w:tcW w:w="5409" w:type="dxa"/>
            <w:shd w:val="clear" w:color="auto" w:fill="auto"/>
            <w:noWrap/>
            <w:tcMar>
              <w:top w:w="43" w:type="dxa"/>
              <w:left w:w="58" w:type="dxa"/>
              <w:bottom w:w="43" w:type="dxa"/>
              <w:right w:w="0" w:type="dxa"/>
            </w:tcMar>
            <w:vAlign w:val="center"/>
            <w:hideMark/>
          </w:tcPr>
          <w:p w14:paraId="58216F1A" w14:textId="2FFF0DCE"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Mantenimiento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15B012F6" w14:textId="184E3C24"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Fabricación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10 países</w:t>
            </w:r>
          </w:p>
          <w:p w14:paraId="1ED42B08" w14:textId="09CD11AC"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4C838635" w14:textId="1201AE53"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el sistema de licencias/cuotas para HFC</w:t>
            </w:r>
            <w:r w:rsidR="00171208">
              <w:rPr>
                <w:color w:val="000000"/>
                <w:sz w:val="19"/>
                <w:szCs w:val="19"/>
                <w:lang w:val="es-AR"/>
              </w:rPr>
              <w:t xml:space="preserve"> </w:t>
            </w:r>
            <w:r w:rsidR="00306314" w:rsidRPr="00190842">
              <w:rPr>
                <w:color w:val="000000"/>
                <w:sz w:val="19"/>
                <w:szCs w:val="19"/>
                <w:lang w:val="es-AR"/>
              </w:rPr>
              <w:t xml:space="preserve">y </w:t>
            </w:r>
            <w:r w:rsidR="00171208">
              <w:rPr>
                <w:color w:val="000000"/>
                <w:sz w:val="19"/>
                <w:szCs w:val="19"/>
                <w:lang w:val="es-AR"/>
              </w:rPr>
              <w:t>presentación de datos</w:t>
            </w:r>
          </w:p>
          <w:p w14:paraId="6CC070D9" w14:textId="49A3806B"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2DB62D9E"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59192F70" w14:textId="77777777" w:rsidTr="00DE3762">
        <w:tc>
          <w:tcPr>
            <w:tcW w:w="711" w:type="dxa"/>
            <w:shd w:val="clear" w:color="auto" w:fill="auto"/>
            <w:noWrap/>
            <w:tcMar>
              <w:top w:w="43" w:type="dxa"/>
              <w:left w:w="58" w:type="dxa"/>
              <w:bottom w:w="43" w:type="dxa"/>
              <w:right w:w="29" w:type="dxa"/>
            </w:tcMar>
            <w:vAlign w:val="center"/>
            <w:hideMark/>
          </w:tcPr>
          <w:p w14:paraId="5887E2C3" w14:textId="77777777" w:rsidR="00306314" w:rsidRPr="00190842" w:rsidRDefault="00306314" w:rsidP="009E3957">
            <w:pPr>
              <w:rPr>
                <w:b/>
                <w:color w:val="000000"/>
                <w:sz w:val="19"/>
                <w:szCs w:val="19"/>
                <w:lang w:val="es-AR" w:eastAsia="en-CA"/>
              </w:rPr>
            </w:pPr>
            <w:r w:rsidRPr="00190842">
              <w:rPr>
                <w:b/>
                <w:color w:val="000000"/>
                <w:sz w:val="19"/>
                <w:szCs w:val="19"/>
                <w:lang w:val="es-AR"/>
              </w:rPr>
              <w:t>2028</w:t>
            </w:r>
          </w:p>
        </w:tc>
        <w:tc>
          <w:tcPr>
            <w:tcW w:w="3521" w:type="dxa"/>
            <w:shd w:val="clear" w:color="auto" w:fill="auto"/>
            <w:noWrap/>
            <w:tcMar>
              <w:top w:w="43" w:type="dxa"/>
              <w:left w:w="58" w:type="dxa"/>
              <w:bottom w:w="43" w:type="dxa"/>
              <w:right w:w="0" w:type="dxa"/>
            </w:tcMar>
            <w:vAlign w:val="center"/>
            <w:hideMark/>
          </w:tcPr>
          <w:p w14:paraId="701348B3" w14:textId="4C882B2B" w:rsidR="00306314" w:rsidRPr="00190842" w:rsidRDefault="004A3A5A" w:rsidP="00DE3762">
            <w:pPr>
              <w:spacing w:before="20" w:after="20"/>
              <w:ind w:right="119"/>
              <w:rPr>
                <w:color w:val="000000"/>
                <w:sz w:val="19"/>
                <w:szCs w:val="19"/>
                <w:lang w:val="es-AR" w:eastAsia="en-CA"/>
              </w:rPr>
            </w:pPr>
            <w:r>
              <w:rPr>
                <w:color w:val="000000"/>
                <w:sz w:val="19"/>
                <w:szCs w:val="19"/>
                <w:lang w:val="es-AR"/>
              </w:rPr>
              <w:t xml:space="preserve">Reducción del 67,5% de la base de HCFC </w:t>
            </w:r>
          </w:p>
          <w:p w14:paraId="2ED8F084" w14:textId="5AA75DBB"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1</w:t>
            </w:r>
          </w:p>
          <w:p w14:paraId="538FCA99" w14:textId="2E02B981"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2</w:t>
            </w:r>
          </w:p>
        </w:tc>
        <w:tc>
          <w:tcPr>
            <w:tcW w:w="5409" w:type="dxa"/>
            <w:shd w:val="clear" w:color="auto" w:fill="auto"/>
            <w:noWrap/>
            <w:tcMar>
              <w:top w:w="43" w:type="dxa"/>
              <w:left w:w="58" w:type="dxa"/>
              <w:bottom w:w="43" w:type="dxa"/>
              <w:right w:w="0" w:type="dxa"/>
            </w:tcMar>
            <w:vAlign w:val="center"/>
            <w:hideMark/>
          </w:tcPr>
          <w:p w14:paraId="4E5C36D5" w14:textId="216D75DD" w:rsidR="00306314" w:rsidRPr="00190842" w:rsidRDefault="004A3A5A" w:rsidP="00DE3762">
            <w:pPr>
              <w:spacing w:before="20" w:after="20"/>
              <w:jc w:val="left"/>
              <w:rPr>
                <w:color w:val="000000"/>
                <w:sz w:val="19"/>
                <w:szCs w:val="19"/>
                <w:lang w:val="es-AR" w:eastAsia="en-CA"/>
              </w:rPr>
            </w:pPr>
            <w:r>
              <w:rPr>
                <w:color w:val="000000"/>
                <w:sz w:val="19"/>
                <w:szCs w:val="19"/>
                <w:lang w:val="es-AR"/>
              </w:rPr>
              <w:t>Mantenimiento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42B06EC2" w14:textId="0EC5C455"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Fabricación con HCFC </w:t>
            </w:r>
            <w:r w:rsidR="00306314" w:rsidRPr="00190842">
              <w:rPr>
                <w:color w:val="000000"/>
                <w:sz w:val="19"/>
                <w:szCs w:val="19"/>
                <w:lang w:val="es-AR"/>
              </w:rPr>
              <w:t xml:space="preserve">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10 países</w:t>
            </w:r>
          </w:p>
          <w:p w14:paraId="0595D91A" w14:textId="76128D21"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60B67F01" w14:textId="7EF2658F"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el sistema de licencias/cuotas para HFC</w:t>
            </w:r>
            <w:r w:rsidR="00306314" w:rsidRPr="00190842">
              <w:rPr>
                <w:color w:val="000000"/>
                <w:sz w:val="19"/>
                <w:szCs w:val="19"/>
                <w:lang w:val="es-AR"/>
              </w:rPr>
              <w:t xml:space="preserve"> y </w:t>
            </w:r>
            <w:r w:rsidR="00171208">
              <w:rPr>
                <w:color w:val="000000"/>
                <w:sz w:val="19"/>
                <w:szCs w:val="19"/>
                <w:lang w:val="es-AR"/>
              </w:rPr>
              <w:t>presentación de datos</w:t>
            </w:r>
          </w:p>
          <w:p w14:paraId="54332AEB" w14:textId="450ED1EB"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4A02663E"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37416AE6" w14:textId="77777777" w:rsidTr="00DE3762">
        <w:tc>
          <w:tcPr>
            <w:tcW w:w="711" w:type="dxa"/>
            <w:shd w:val="clear" w:color="auto" w:fill="auto"/>
            <w:noWrap/>
            <w:tcMar>
              <w:top w:w="43" w:type="dxa"/>
              <w:left w:w="58" w:type="dxa"/>
              <w:bottom w:w="43" w:type="dxa"/>
              <w:right w:w="29" w:type="dxa"/>
            </w:tcMar>
            <w:vAlign w:val="center"/>
            <w:hideMark/>
          </w:tcPr>
          <w:p w14:paraId="363DD080" w14:textId="77777777" w:rsidR="00306314" w:rsidRPr="00190842" w:rsidRDefault="00306314" w:rsidP="009E3957">
            <w:pPr>
              <w:rPr>
                <w:b/>
                <w:color w:val="000000"/>
                <w:sz w:val="19"/>
                <w:szCs w:val="19"/>
                <w:lang w:val="es-AR" w:eastAsia="en-CA"/>
              </w:rPr>
            </w:pPr>
            <w:r w:rsidRPr="00190842">
              <w:rPr>
                <w:b/>
                <w:color w:val="000000"/>
                <w:sz w:val="19"/>
                <w:szCs w:val="19"/>
                <w:lang w:val="es-AR"/>
              </w:rPr>
              <w:t>2029</w:t>
            </w:r>
          </w:p>
        </w:tc>
        <w:tc>
          <w:tcPr>
            <w:tcW w:w="3521" w:type="dxa"/>
            <w:shd w:val="clear" w:color="auto" w:fill="auto"/>
            <w:noWrap/>
            <w:tcMar>
              <w:top w:w="43" w:type="dxa"/>
              <w:left w:w="58" w:type="dxa"/>
              <w:bottom w:w="43" w:type="dxa"/>
              <w:right w:w="0" w:type="dxa"/>
            </w:tcMar>
            <w:vAlign w:val="center"/>
            <w:hideMark/>
          </w:tcPr>
          <w:p w14:paraId="7C749F27" w14:textId="01CEC3D6" w:rsidR="00306314" w:rsidRPr="00190842" w:rsidRDefault="004A3A5A" w:rsidP="00DE3762">
            <w:pPr>
              <w:spacing w:before="20" w:after="20"/>
              <w:ind w:right="119"/>
              <w:rPr>
                <w:color w:val="000000"/>
                <w:sz w:val="19"/>
                <w:szCs w:val="19"/>
                <w:lang w:val="es-AR" w:eastAsia="en-CA"/>
              </w:rPr>
            </w:pPr>
            <w:r>
              <w:rPr>
                <w:color w:val="000000"/>
                <w:sz w:val="19"/>
                <w:szCs w:val="19"/>
                <w:lang w:val="es-AR"/>
              </w:rPr>
              <w:t xml:space="preserve">Reducción del 67,5% de la base de HCFC </w:t>
            </w:r>
          </w:p>
          <w:p w14:paraId="210AA783" w14:textId="67734B32" w:rsidR="00306314" w:rsidRPr="00190842" w:rsidRDefault="004A3A5A" w:rsidP="00DE3762">
            <w:pPr>
              <w:spacing w:before="20" w:after="20"/>
              <w:ind w:right="119"/>
              <w:rPr>
                <w:color w:val="000000"/>
                <w:sz w:val="19"/>
                <w:szCs w:val="19"/>
                <w:lang w:val="es-AR" w:eastAsia="en-CA"/>
              </w:rPr>
            </w:pPr>
            <w:r>
              <w:rPr>
                <w:color w:val="000000"/>
                <w:sz w:val="19"/>
                <w:szCs w:val="19"/>
                <w:lang w:val="es-AR"/>
              </w:rPr>
              <w:t>Reducción del 10% de la base de HFC</w:t>
            </w:r>
            <w:r w:rsidR="00306314" w:rsidRPr="00190842">
              <w:rPr>
                <w:color w:val="000000"/>
                <w:sz w:val="19"/>
                <w:szCs w:val="19"/>
                <w:lang w:val="es-AR"/>
              </w:rPr>
              <w:t xml:space="preserve"> para los países del grupo 1</w:t>
            </w:r>
          </w:p>
          <w:p w14:paraId="30C9084F" w14:textId="62B30C9C"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2</w:t>
            </w:r>
          </w:p>
        </w:tc>
        <w:tc>
          <w:tcPr>
            <w:tcW w:w="5409" w:type="dxa"/>
            <w:shd w:val="clear" w:color="auto" w:fill="auto"/>
            <w:noWrap/>
            <w:tcMar>
              <w:top w:w="43" w:type="dxa"/>
              <w:left w:w="58" w:type="dxa"/>
              <w:bottom w:w="43" w:type="dxa"/>
              <w:right w:w="0" w:type="dxa"/>
            </w:tcMar>
            <w:vAlign w:val="center"/>
            <w:hideMark/>
          </w:tcPr>
          <w:p w14:paraId="2B508FA0" w14:textId="7B467C1A" w:rsidR="00306314" w:rsidRPr="00190842" w:rsidRDefault="004A3A5A" w:rsidP="00DE3762">
            <w:pPr>
              <w:spacing w:before="20" w:after="20"/>
              <w:jc w:val="left"/>
              <w:rPr>
                <w:color w:val="000000"/>
                <w:sz w:val="19"/>
                <w:szCs w:val="19"/>
                <w:lang w:val="es-AR" w:eastAsia="en-CA"/>
              </w:rPr>
            </w:pPr>
            <w:r>
              <w:rPr>
                <w:color w:val="000000"/>
                <w:sz w:val="19"/>
                <w:szCs w:val="19"/>
                <w:lang w:val="es-AR"/>
              </w:rPr>
              <w:t>Mantenimiento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4CA2A732" w14:textId="32E43759"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16F4FA3D" w14:textId="4C1FDC2F"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 xml:space="preserve">el sistema de licencias/cuotas para HFC </w:t>
            </w:r>
            <w:r w:rsidR="00306314" w:rsidRPr="00190842">
              <w:rPr>
                <w:color w:val="000000"/>
                <w:sz w:val="19"/>
                <w:szCs w:val="19"/>
                <w:lang w:val="es-AR"/>
              </w:rPr>
              <w:t xml:space="preserve">y </w:t>
            </w:r>
            <w:r w:rsidR="00171208">
              <w:rPr>
                <w:color w:val="000000"/>
                <w:sz w:val="19"/>
                <w:szCs w:val="19"/>
                <w:lang w:val="es-AR"/>
              </w:rPr>
              <w:t>presentación de datos</w:t>
            </w:r>
          </w:p>
          <w:p w14:paraId="4F30BE2A" w14:textId="368D08F4"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1BFC4074"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r w:rsidR="00306314" w:rsidRPr="00B35AA6" w14:paraId="4F7E0041" w14:textId="77777777" w:rsidTr="00DE3762">
        <w:tc>
          <w:tcPr>
            <w:tcW w:w="711" w:type="dxa"/>
            <w:shd w:val="clear" w:color="auto" w:fill="auto"/>
            <w:noWrap/>
            <w:tcMar>
              <w:top w:w="43" w:type="dxa"/>
              <w:left w:w="58" w:type="dxa"/>
              <w:bottom w:w="43" w:type="dxa"/>
              <w:right w:w="29" w:type="dxa"/>
            </w:tcMar>
            <w:vAlign w:val="center"/>
            <w:hideMark/>
          </w:tcPr>
          <w:p w14:paraId="63AEBB57" w14:textId="77777777" w:rsidR="00306314" w:rsidRPr="00190842" w:rsidRDefault="00306314" w:rsidP="009E3957">
            <w:pPr>
              <w:rPr>
                <w:b/>
                <w:color w:val="000000"/>
                <w:sz w:val="19"/>
                <w:szCs w:val="19"/>
                <w:lang w:val="es-AR" w:eastAsia="en-CA"/>
              </w:rPr>
            </w:pPr>
            <w:r w:rsidRPr="00190842">
              <w:rPr>
                <w:b/>
                <w:color w:val="000000"/>
                <w:sz w:val="19"/>
                <w:szCs w:val="19"/>
                <w:lang w:val="es-AR"/>
              </w:rPr>
              <w:lastRenderedPageBreak/>
              <w:t>2030</w:t>
            </w:r>
          </w:p>
        </w:tc>
        <w:tc>
          <w:tcPr>
            <w:tcW w:w="3521" w:type="dxa"/>
            <w:shd w:val="clear" w:color="auto" w:fill="auto"/>
            <w:noWrap/>
            <w:tcMar>
              <w:top w:w="43" w:type="dxa"/>
              <w:left w:w="58" w:type="dxa"/>
              <w:bottom w:w="43" w:type="dxa"/>
              <w:right w:w="0" w:type="dxa"/>
            </w:tcMar>
            <w:vAlign w:val="center"/>
            <w:hideMark/>
          </w:tcPr>
          <w:p w14:paraId="4155E4E1" w14:textId="5A133803" w:rsidR="00306314" w:rsidRPr="00190842" w:rsidRDefault="004A3A5A" w:rsidP="00DE3762">
            <w:pPr>
              <w:spacing w:before="20" w:after="20"/>
              <w:ind w:right="119"/>
              <w:rPr>
                <w:color w:val="000000"/>
                <w:sz w:val="19"/>
                <w:szCs w:val="19"/>
                <w:lang w:val="es-AR" w:eastAsia="en-CA"/>
              </w:rPr>
            </w:pPr>
            <w:r>
              <w:rPr>
                <w:color w:val="000000"/>
                <w:sz w:val="19"/>
                <w:szCs w:val="19"/>
                <w:lang w:val="es-AR"/>
              </w:rPr>
              <w:t>Reducción del 100,0% de la base de HCFC</w:t>
            </w:r>
            <w:r w:rsidR="00306314" w:rsidRPr="00190842">
              <w:rPr>
                <w:color w:val="000000"/>
                <w:sz w:val="19"/>
                <w:szCs w:val="19"/>
                <w:lang w:val="es-AR"/>
              </w:rPr>
              <w:t xml:space="preserve"> a excepción de la última porción para</w:t>
            </w:r>
            <w:r>
              <w:rPr>
                <w:color w:val="000000"/>
                <w:sz w:val="19"/>
                <w:szCs w:val="19"/>
                <w:lang w:val="es-AR"/>
              </w:rPr>
              <w:t xml:space="preserve"> reserva de</w:t>
            </w:r>
            <w:r w:rsidR="00306314" w:rsidRPr="00190842">
              <w:rPr>
                <w:color w:val="000000"/>
                <w:sz w:val="19"/>
                <w:szCs w:val="19"/>
                <w:lang w:val="es-AR"/>
              </w:rPr>
              <w:t xml:space="preserve"> servicio y mantenimiento</w:t>
            </w:r>
          </w:p>
          <w:p w14:paraId="173A5146" w14:textId="449F24F0" w:rsidR="00306314" w:rsidRPr="00190842" w:rsidRDefault="004A3A5A" w:rsidP="00DE3762">
            <w:pPr>
              <w:spacing w:before="20" w:after="20"/>
              <w:ind w:right="119"/>
              <w:rPr>
                <w:color w:val="000000"/>
                <w:sz w:val="19"/>
                <w:szCs w:val="19"/>
                <w:lang w:val="es-AR" w:eastAsia="en-CA"/>
              </w:rPr>
            </w:pPr>
            <w:r>
              <w:rPr>
                <w:color w:val="000000"/>
                <w:sz w:val="19"/>
                <w:szCs w:val="19"/>
                <w:lang w:val="es-AR"/>
              </w:rPr>
              <w:t>Reducción del 10% de la base de HFC</w:t>
            </w:r>
            <w:r w:rsidR="00306314" w:rsidRPr="00190842">
              <w:rPr>
                <w:color w:val="000000"/>
                <w:sz w:val="19"/>
                <w:szCs w:val="19"/>
                <w:lang w:val="es-AR"/>
              </w:rPr>
              <w:t xml:space="preserve"> para los países del grupo 1</w:t>
            </w:r>
          </w:p>
          <w:p w14:paraId="334CB37C" w14:textId="7C3BBB67" w:rsidR="00306314" w:rsidRPr="00190842" w:rsidRDefault="00FD722C" w:rsidP="00DE3762">
            <w:pPr>
              <w:spacing w:before="20" w:after="20"/>
              <w:ind w:right="119"/>
              <w:rPr>
                <w:color w:val="000000"/>
                <w:sz w:val="19"/>
                <w:szCs w:val="19"/>
                <w:lang w:val="es-AR" w:eastAsia="en-CA"/>
              </w:rPr>
            </w:pPr>
            <w:r>
              <w:rPr>
                <w:color w:val="000000"/>
                <w:sz w:val="19"/>
                <w:szCs w:val="19"/>
                <w:lang w:val="es-AR"/>
              </w:rPr>
              <w:t xml:space="preserve">Congelamiento </w:t>
            </w:r>
            <w:r w:rsidR="00306314" w:rsidRPr="00190842">
              <w:rPr>
                <w:color w:val="000000"/>
                <w:sz w:val="19"/>
                <w:szCs w:val="19"/>
                <w:lang w:val="es-AR"/>
              </w:rPr>
              <w:t xml:space="preserve">en la </w:t>
            </w:r>
            <w:r w:rsidR="00190842">
              <w:rPr>
                <w:color w:val="000000"/>
                <w:sz w:val="19"/>
                <w:szCs w:val="19"/>
                <w:lang w:val="es-AR"/>
              </w:rPr>
              <w:t>base</w:t>
            </w:r>
            <w:r w:rsidR="00306314" w:rsidRPr="00190842">
              <w:rPr>
                <w:color w:val="000000"/>
                <w:sz w:val="19"/>
                <w:szCs w:val="19"/>
                <w:lang w:val="es-AR"/>
              </w:rPr>
              <w:t xml:space="preserve"> de HFC para los países del grupo 2</w:t>
            </w:r>
          </w:p>
        </w:tc>
        <w:tc>
          <w:tcPr>
            <w:tcW w:w="5409" w:type="dxa"/>
            <w:shd w:val="clear" w:color="auto" w:fill="auto"/>
            <w:noWrap/>
            <w:tcMar>
              <w:top w:w="43" w:type="dxa"/>
              <w:left w:w="58" w:type="dxa"/>
              <w:bottom w:w="43" w:type="dxa"/>
              <w:right w:w="0" w:type="dxa"/>
            </w:tcMar>
            <w:vAlign w:val="center"/>
            <w:hideMark/>
          </w:tcPr>
          <w:p w14:paraId="208E79B6" w14:textId="1CF23F0C" w:rsidR="00306314" w:rsidRPr="00190842" w:rsidRDefault="004A3A5A" w:rsidP="00DE3762">
            <w:pPr>
              <w:spacing w:before="20" w:after="20"/>
              <w:jc w:val="left"/>
              <w:rPr>
                <w:color w:val="000000"/>
                <w:sz w:val="19"/>
                <w:szCs w:val="19"/>
                <w:lang w:val="es-AR" w:eastAsia="en-CA"/>
              </w:rPr>
            </w:pPr>
            <w:r>
              <w:rPr>
                <w:color w:val="000000"/>
                <w:sz w:val="19"/>
                <w:szCs w:val="19"/>
                <w:lang w:val="es-AR"/>
              </w:rPr>
              <w:t>Mantenimiento con HCFC</w:t>
            </w:r>
            <w:r w:rsidR="00306314" w:rsidRPr="00190842">
              <w:rPr>
                <w:color w:val="000000"/>
                <w:sz w:val="19"/>
                <w:szCs w:val="19"/>
                <w:lang w:val="es-AR"/>
              </w:rPr>
              <w:t xml:space="preserve"> bajo los planes de gestión de eliminación de </w:t>
            </w:r>
            <w:r w:rsidR="00190842">
              <w:rPr>
                <w:color w:val="000000"/>
                <w:sz w:val="19"/>
                <w:szCs w:val="19"/>
                <w:lang w:val="es-AR"/>
              </w:rPr>
              <w:t>los HCFC</w:t>
            </w:r>
            <w:r w:rsidR="00306314" w:rsidRPr="00190842">
              <w:rPr>
                <w:color w:val="000000"/>
                <w:sz w:val="19"/>
                <w:szCs w:val="19"/>
                <w:lang w:val="es-AR"/>
              </w:rPr>
              <w:t xml:space="preserve"> para todos los países</w:t>
            </w:r>
          </w:p>
          <w:p w14:paraId="14DFF08B" w14:textId="4DB8543D"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w:t>
            </w:r>
            <w:r w:rsidR="004A3A5A">
              <w:rPr>
                <w:color w:val="000000"/>
                <w:sz w:val="19"/>
                <w:szCs w:val="19"/>
                <w:lang w:val="es-AR"/>
              </w:rPr>
              <w:t>reparación de planes de reducción de HFC</w:t>
            </w:r>
          </w:p>
          <w:p w14:paraId="6E1BCB87" w14:textId="2CB77FBD" w:rsidR="00306314" w:rsidRPr="00190842" w:rsidRDefault="004A3A5A" w:rsidP="00DE3762">
            <w:pPr>
              <w:spacing w:before="20" w:after="20"/>
              <w:jc w:val="left"/>
              <w:rPr>
                <w:color w:val="000000"/>
                <w:sz w:val="19"/>
                <w:szCs w:val="19"/>
                <w:lang w:val="es-AR" w:eastAsia="en-CA"/>
              </w:rPr>
            </w:pPr>
            <w:r>
              <w:rPr>
                <w:color w:val="000000"/>
                <w:sz w:val="19"/>
                <w:szCs w:val="19"/>
                <w:lang w:val="es-AR"/>
              </w:rPr>
              <w:t xml:space="preserve">Actualización </w:t>
            </w:r>
            <w:r w:rsidR="00C066E8">
              <w:rPr>
                <w:color w:val="000000"/>
                <w:sz w:val="19"/>
                <w:szCs w:val="19"/>
                <w:lang w:val="es-AR"/>
              </w:rPr>
              <w:t>d</w:t>
            </w:r>
            <w:r>
              <w:rPr>
                <w:color w:val="000000"/>
                <w:sz w:val="19"/>
                <w:szCs w:val="19"/>
                <w:lang w:val="es-AR"/>
              </w:rPr>
              <w:t xml:space="preserve">el sistema de licencias/cuotas para HFC </w:t>
            </w:r>
            <w:r w:rsidR="00306314" w:rsidRPr="00190842">
              <w:rPr>
                <w:color w:val="000000"/>
                <w:sz w:val="19"/>
                <w:szCs w:val="19"/>
                <w:lang w:val="es-AR"/>
              </w:rPr>
              <w:t xml:space="preserve">y </w:t>
            </w:r>
            <w:r w:rsidR="00171208">
              <w:rPr>
                <w:color w:val="000000"/>
                <w:sz w:val="19"/>
                <w:szCs w:val="19"/>
                <w:lang w:val="es-AR"/>
              </w:rPr>
              <w:t>presentación de datos</w:t>
            </w:r>
          </w:p>
          <w:p w14:paraId="3B5BDB60" w14:textId="3BDCBC97" w:rsidR="00306314" w:rsidRPr="00190842" w:rsidRDefault="00171208" w:rsidP="00DE3762">
            <w:pPr>
              <w:spacing w:before="20" w:after="20"/>
              <w:jc w:val="left"/>
              <w:rPr>
                <w:color w:val="000000"/>
                <w:sz w:val="19"/>
                <w:szCs w:val="19"/>
                <w:lang w:val="es-AR" w:eastAsia="en-CA"/>
              </w:rPr>
            </w:pPr>
            <w:r>
              <w:rPr>
                <w:color w:val="000000"/>
                <w:sz w:val="19"/>
                <w:szCs w:val="19"/>
                <w:lang w:val="es-AR"/>
              </w:rPr>
              <w:t xml:space="preserve">Mantenimiento con HFC bajo los planes </w:t>
            </w:r>
            <w:r w:rsidR="00FC7B69">
              <w:rPr>
                <w:color w:val="000000"/>
                <w:sz w:val="19"/>
                <w:szCs w:val="19"/>
                <w:lang w:val="es-AR"/>
              </w:rPr>
              <w:t>de reducción de HFC</w:t>
            </w:r>
            <w:r w:rsidR="00306314" w:rsidRPr="00190842">
              <w:rPr>
                <w:color w:val="000000"/>
                <w:sz w:val="19"/>
                <w:szCs w:val="19"/>
                <w:lang w:val="es-AR"/>
              </w:rPr>
              <w:t xml:space="preserve"> para varios países</w:t>
            </w:r>
          </w:p>
          <w:p w14:paraId="4DFBC9EA" w14:textId="77777777" w:rsidR="00306314" w:rsidRPr="00190842" w:rsidRDefault="00306314" w:rsidP="00DE3762">
            <w:pPr>
              <w:spacing w:before="20" w:after="20"/>
              <w:jc w:val="left"/>
              <w:rPr>
                <w:color w:val="000000"/>
                <w:sz w:val="19"/>
                <w:szCs w:val="19"/>
                <w:lang w:val="es-AR" w:eastAsia="en-CA"/>
              </w:rPr>
            </w:pPr>
            <w:r w:rsidRPr="00190842">
              <w:rPr>
                <w:color w:val="000000"/>
                <w:sz w:val="19"/>
                <w:szCs w:val="19"/>
                <w:lang w:val="es-AR"/>
              </w:rPr>
              <w:t>Proyectos de inversión independientes de HFC</w:t>
            </w:r>
          </w:p>
        </w:tc>
      </w:tr>
    </w:tbl>
    <w:p w14:paraId="2FDCAD2F" w14:textId="77777777" w:rsidR="00306314" w:rsidRPr="00190842" w:rsidRDefault="00306314" w:rsidP="00306314">
      <w:pPr>
        <w:rPr>
          <w:lang w:val="es-AR"/>
        </w:rPr>
      </w:pPr>
    </w:p>
    <w:p w14:paraId="3FECA94F" w14:textId="35D8C3AC" w:rsidR="00306314" w:rsidRPr="00190842" w:rsidRDefault="00FB7E6F" w:rsidP="00306314">
      <w:pPr>
        <w:keepNext/>
        <w:rPr>
          <w:i/>
          <w:u w:val="single"/>
          <w:lang w:val="es-AR"/>
        </w:rPr>
      </w:pPr>
      <w:r>
        <w:rPr>
          <w:u w:val="single"/>
          <w:lang w:val="es-AR"/>
        </w:rPr>
        <w:t>R</w:t>
      </w:r>
      <w:r w:rsidR="00306314" w:rsidRPr="00190842">
        <w:rPr>
          <w:u w:val="single"/>
          <w:lang w:val="es-AR"/>
        </w:rPr>
        <w:t xml:space="preserve">esponsabilidades de la </w:t>
      </w:r>
      <w:r w:rsidR="00E17069">
        <w:rPr>
          <w:u w:val="single"/>
          <w:lang w:val="es-AR"/>
        </w:rPr>
        <w:t>dependencia nacional del ozono</w:t>
      </w:r>
      <w:r w:rsidR="00306314" w:rsidRPr="00190842">
        <w:rPr>
          <w:u w:val="single"/>
          <w:lang w:val="es-AR"/>
        </w:rPr>
        <w:t xml:space="preserve"> a la luz</w:t>
      </w:r>
      <w:r>
        <w:rPr>
          <w:u w:val="single"/>
          <w:lang w:val="es-AR"/>
        </w:rPr>
        <w:t xml:space="preserve"> de la eliminación de HCFC </w:t>
      </w:r>
    </w:p>
    <w:p w14:paraId="75280F3E" w14:textId="77777777" w:rsidR="00306314" w:rsidRPr="00190842" w:rsidRDefault="00306314" w:rsidP="00306314">
      <w:pPr>
        <w:rPr>
          <w:lang w:val="es-AR"/>
        </w:rPr>
      </w:pPr>
    </w:p>
    <w:p w14:paraId="1CDDABAC" w14:textId="440E4C49" w:rsidR="00306314" w:rsidRPr="00190842" w:rsidRDefault="00306314" w:rsidP="00306314">
      <w:pPr>
        <w:widowControl w:val="0"/>
        <w:numPr>
          <w:ilvl w:val="0"/>
          <w:numId w:val="1"/>
        </w:numPr>
        <w:spacing w:after="240"/>
        <w:outlineLvl w:val="0"/>
        <w:rPr>
          <w:lang w:val="es-AR"/>
        </w:rPr>
      </w:pPr>
      <w:r w:rsidRPr="00190842">
        <w:rPr>
          <w:lang w:val="es-AR"/>
        </w:rPr>
        <w:t xml:space="preserve">La contribución </w:t>
      </w:r>
      <w:r w:rsidR="008D04FD">
        <w:rPr>
          <w:lang w:val="es-AR"/>
        </w:rPr>
        <w:t xml:space="preserve">continua </w:t>
      </w:r>
      <w:r w:rsidRPr="00190842">
        <w:rPr>
          <w:lang w:val="es-AR"/>
        </w:rPr>
        <w:t>de</w:t>
      </w:r>
      <w:r w:rsidR="00190842">
        <w:rPr>
          <w:lang w:val="es-AR"/>
        </w:rPr>
        <w:t xml:space="preserve"> fortalecimiento institucional</w:t>
      </w:r>
      <w:r w:rsidR="00C066E8">
        <w:rPr>
          <w:lang w:val="es-AR"/>
        </w:rPr>
        <w:t xml:space="preserve"> a</w:t>
      </w:r>
      <w:r w:rsidR="00190842">
        <w:rPr>
          <w:lang w:val="es-AR"/>
        </w:rPr>
        <w:t xml:space="preserve"> </w:t>
      </w:r>
      <w:r w:rsidR="008D04FD">
        <w:rPr>
          <w:lang w:val="es-AR"/>
        </w:rPr>
        <w:t>las obligaciones de cumplimiento de HCFC</w:t>
      </w:r>
      <w:r w:rsidRPr="00190842">
        <w:rPr>
          <w:lang w:val="es-AR"/>
        </w:rPr>
        <w:t xml:space="preserve"> de países del </w:t>
      </w:r>
      <w:r w:rsidR="00190842">
        <w:rPr>
          <w:lang w:val="es-AR"/>
        </w:rPr>
        <w:t>Artículo</w:t>
      </w:r>
      <w:r w:rsidRPr="00190842">
        <w:rPr>
          <w:lang w:val="es-AR"/>
        </w:rPr>
        <w:t xml:space="preserve"> 5, con proyectos independientes o integrad</w:t>
      </w:r>
      <w:r w:rsidR="008D04FD">
        <w:rPr>
          <w:lang w:val="es-AR"/>
        </w:rPr>
        <w:t>os</w:t>
      </w:r>
      <w:r w:rsidRPr="00190842">
        <w:rPr>
          <w:lang w:val="es-AR"/>
        </w:rPr>
        <w:t xml:space="preserve"> en planes nacionales, puede </w:t>
      </w:r>
      <w:r w:rsidR="008D04FD">
        <w:rPr>
          <w:lang w:val="es-AR"/>
        </w:rPr>
        <w:t xml:space="preserve">resumirse </w:t>
      </w:r>
      <w:r w:rsidR="00190842">
        <w:rPr>
          <w:lang w:val="es-AR"/>
        </w:rPr>
        <w:t>de la manera siguiente</w:t>
      </w:r>
      <w:r w:rsidR="00DE3762">
        <w:rPr>
          <w:lang w:val="es-AR"/>
        </w:rPr>
        <w:t>:</w:t>
      </w:r>
    </w:p>
    <w:p w14:paraId="7F0F998E" w14:textId="0298691B" w:rsidR="00306314" w:rsidRPr="00190842" w:rsidRDefault="00306314" w:rsidP="00306314">
      <w:pPr>
        <w:pStyle w:val="Heading2"/>
        <w:rPr>
          <w:lang w:val="es-AR"/>
        </w:rPr>
      </w:pPr>
      <w:r w:rsidRPr="00190842">
        <w:rPr>
          <w:lang w:val="es-AR"/>
        </w:rPr>
        <w:t>Ayuda</w:t>
      </w:r>
      <w:r w:rsidR="008D04FD">
        <w:rPr>
          <w:lang w:val="es-AR"/>
        </w:rPr>
        <w:t>r</w:t>
      </w:r>
      <w:r w:rsidRPr="00190842">
        <w:rPr>
          <w:lang w:val="es-AR"/>
        </w:rPr>
        <w:t xml:space="preserve"> a </w:t>
      </w:r>
      <w:r w:rsidR="008D04FD">
        <w:rPr>
          <w:lang w:val="es-AR"/>
        </w:rPr>
        <w:t xml:space="preserve">las </w:t>
      </w:r>
      <w:r w:rsidRPr="00190842">
        <w:rPr>
          <w:lang w:val="es-AR"/>
        </w:rPr>
        <w:t xml:space="preserve">autoridades pertinentes a disponer y hacer cumplir la legislación y </w:t>
      </w:r>
      <w:r w:rsidR="00190842">
        <w:rPr>
          <w:lang w:val="es-AR"/>
        </w:rPr>
        <w:t>reglamentaciones</w:t>
      </w:r>
      <w:r w:rsidRPr="00190842">
        <w:rPr>
          <w:lang w:val="es-AR"/>
        </w:rPr>
        <w:t xml:space="preserve"> para el control y la supervisión del consumo y producción (</w:t>
      </w:r>
      <w:r w:rsidR="00C066E8">
        <w:rPr>
          <w:lang w:val="es-AR"/>
        </w:rPr>
        <w:t xml:space="preserve">donde </w:t>
      </w:r>
      <w:r w:rsidR="008D04FD">
        <w:rPr>
          <w:lang w:val="es-AR"/>
        </w:rPr>
        <w:t>proceda</w:t>
      </w:r>
      <w:r w:rsidRPr="00190842">
        <w:rPr>
          <w:lang w:val="es-AR"/>
        </w:rPr>
        <w:t xml:space="preserve">) de </w:t>
      </w:r>
      <w:r w:rsidR="00190842">
        <w:rPr>
          <w:lang w:val="es-AR"/>
        </w:rPr>
        <w:t>los HCFC</w:t>
      </w:r>
      <w:r w:rsidRPr="00190842">
        <w:rPr>
          <w:lang w:val="es-AR"/>
        </w:rPr>
        <w:t>; trabaj</w:t>
      </w:r>
      <w:r w:rsidR="008D04FD">
        <w:rPr>
          <w:lang w:val="es-AR"/>
        </w:rPr>
        <w:t>ar</w:t>
      </w:r>
      <w:r w:rsidRPr="00190842">
        <w:rPr>
          <w:lang w:val="es-AR"/>
        </w:rPr>
        <w:t xml:space="preserve"> </w:t>
      </w:r>
      <w:r w:rsidR="008D04FD">
        <w:rPr>
          <w:lang w:val="es-AR"/>
        </w:rPr>
        <w:t xml:space="preserve">conjuntamente </w:t>
      </w:r>
      <w:r w:rsidRPr="00190842">
        <w:rPr>
          <w:lang w:val="es-AR"/>
        </w:rPr>
        <w:t xml:space="preserve">con </w:t>
      </w:r>
      <w:r w:rsidR="008D04FD">
        <w:rPr>
          <w:lang w:val="es-AR"/>
        </w:rPr>
        <w:t>departamentos de aduanas</w:t>
      </w:r>
      <w:r w:rsidRPr="00190842">
        <w:rPr>
          <w:lang w:val="es-AR"/>
        </w:rPr>
        <w:t xml:space="preserve"> en cuestiones</w:t>
      </w:r>
      <w:r w:rsidR="00C27396">
        <w:rPr>
          <w:lang w:val="es-AR"/>
        </w:rPr>
        <w:t xml:space="preserve"> como la aplicación </w:t>
      </w:r>
      <w:r w:rsidRPr="00190842">
        <w:rPr>
          <w:lang w:val="es-AR"/>
        </w:rPr>
        <w:t xml:space="preserve">de cualquier revisión de la nomenclatura del sistema </w:t>
      </w:r>
      <w:r w:rsidR="008D04FD">
        <w:rPr>
          <w:lang w:val="es-AR"/>
        </w:rPr>
        <w:t xml:space="preserve">armonizado </w:t>
      </w:r>
      <w:r w:rsidRPr="00190842">
        <w:rPr>
          <w:lang w:val="es-AR"/>
        </w:rPr>
        <w:t xml:space="preserve">para </w:t>
      </w:r>
      <w:r w:rsidR="00190842">
        <w:rPr>
          <w:lang w:val="es-AR"/>
        </w:rPr>
        <w:t>los HCFC</w:t>
      </w:r>
      <w:r w:rsidRPr="00190842">
        <w:rPr>
          <w:lang w:val="es-AR"/>
        </w:rPr>
        <w:t xml:space="preserve"> y otras sustancias </w:t>
      </w:r>
      <w:r w:rsidR="008D04FD">
        <w:rPr>
          <w:lang w:val="es-AR"/>
        </w:rPr>
        <w:t>sin SAO</w:t>
      </w:r>
      <w:r w:rsidRPr="00190842">
        <w:rPr>
          <w:lang w:val="es-AR"/>
        </w:rPr>
        <w:t xml:space="preserve"> que se ha</w:t>
      </w:r>
      <w:r w:rsidR="008D04FD">
        <w:rPr>
          <w:lang w:val="es-AR"/>
        </w:rPr>
        <w:t>yan agregado</w:t>
      </w:r>
      <w:r w:rsidRPr="00190842">
        <w:rPr>
          <w:lang w:val="es-AR"/>
        </w:rPr>
        <w:t xml:space="preserve">; </w:t>
      </w:r>
    </w:p>
    <w:p w14:paraId="1482E602" w14:textId="40AEFE31" w:rsidR="00306314" w:rsidRPr="00190842" w:rsidRDefault="00306314" w:rsidP="00306314">
      <w:pPr>
        <w:pStyle w:val="Heading2"/>
        <w:rPr>
          <w:lang w:val="es-AR"/>
        </w:rPr>
      </w:pPr>
      <w:r w:rsidRPr="00190842">
        <w:rPr>
          <w:color w:val="000000" w:themeColor="text1"/>
          <w:lang w:val="es-AR"/>
        </w:rPr>
        <w:t>Coordina</w:t>
      </w:r>
      <w:r w:rsidR="00BB2867">
        <w:rPr>
          <w:color w:val="000000" w:themeColor="text1"/>
          <w:lang w:val="es-AR"/>
        </w:rPr>
        <w:t xml:space="preserve">r </w:t>
      </w:r>
      <w:r w:rsidRPr="00190842">
        <w:rPr>
          <w:lang w:val="es-AR"/>
        </w:rPr>
        <w:t xml:space="preserve">la </w:t>
      </w:r>
      <w:r w:rsidR="00BB2867">
        <w:rPr>
          <w:color w:val="000000" w:themeColor="text1"/>
          <w:lang w:val="es-AR"/>
        </w:rPr>
        <w:t>recopilación</w:t>
      </w:r>
      <w:r w:rsidRPr="00190842">
        <w:rPr>
          <w:color w:val="000000" w:themeColor="text1"/>
          <w:lang w:val="es-AR"/>
        </w:rPr>
        <w:t xml:space="preserve">, el análisis y </w:t>
      </w:r>
      <w:r w:rsidRPr="00190842">
        <w:rPr>
          <w:lang w:val="es-AR"/>
        </w:rPr>
        <w:t xml:space="preserve">la </w:t>
      </w:r>
      <w:r w:rsidRPr="00190842">
        <w:rPr>
          <w:color w:val="000000" w:themeColor="text1"/>
          <w:lang w:val="es-AR"/>
        </w:rPr>
        <w:t xml:space="preserve">presentación </w:t>
      </w:r>
      <w:r w:rsidR="00C27396">
        <w:rPr>
          <w:color w:val="000000" w:themeColor="text1"/>
          <w:lang w:val="es-AR"/>
        </w:rPr>
        <w:t xml:space="preserve">de </w:t>
      </w:r>
      <w:r w:rsidR="00BB2867">
        <w:rPr>
          <w:color w:val="000000" w:themeColor="text1"/>
          <w:lang w:val="es-AR"/>
        </w:rPr>
        <w:t xml:space="preserve">datos </w:t>
      </w:r>
      <w:r w:rsidRPr="00190842">
        <w:rPr>
          <w:color w:val="000000" w:themeColor="text1"/>
          <w:lang w:val="es-AR"/>
        </w:rPr>
        <w:t xml:space="preserve">de consumo y </w:t>
      </w:r>
      <w:r w:rsidR="00190842">
        <w:rPr>
          <w:color w:val="000000" w:themeColor="text1"/>
          <w:lang w:val="es-AR"/>
        </w:rPr>
        <w:t>producción</w:t>
      </w:r>
      <w:r w:rsidRPr="00190842">
        <w:rPr>
          <w:color w:val="000000" w:themeColor="text1"/>
          <w:lang w:val="es-AR"/>
        </w:rPr>
        <w:t xml:space="preserve"> </w:t>
      </w:r>
      <w:r w:rsidR="00BB2867">
        <w:rPr>
          <w:color w:val="000000" w:themeColor="text1"/>
          <w:lang w:val="es-AR"/>
        </w:rPr>
        <w:t>de los HCFC</w:t>
      </w:r>
      <w:r w:rsidR="00BB2867" w:rsidRPr="00190842">
        <w:rPr>
          <w:color w:val="000000" w:themeColor="text1"/>
          <w:lang w:val="es-AR"/>
        </w:rPr>
        <w:t xml:space="preserve"> </w:t>
      </w:r>
      <w:r w:rsidR="00190842">
        <w:rPr>
          <w:color w:val="000000" w:themeColor="text1"/>
          <w:lang w:val="es-AR"/>
        </w:rPr>
        <w:t>en virtud del Artículo</w:t>
      </w:r>
      <w:r w:rsidRPr="00190842">
        <w:rPr>
          <w:color w:val="000000" w:themeColor="text1"/>
          <w:lang w:val="es-AR"/>
        </w:rPr>
        <w:t xml:space="preserve"> 7 del </w:t>
      </w:r>
      <w:r w:rsidR="00190842">
        <w:rPr>
          <w:color w:val="000000" w:themeColor="text1"/>
          <w:lang w:val="es-AR"/>
        </w:rPr>
        <w:t>Protocolo</w:t>
      </w:r>
      <w:r w:rsidR="00BB2867" w:rsidRPr="00BB2867">
        <w:rPr>
          <w:color w:val="000000" w:themeColor="text1"/>
          <w:lang w:val="es-AR"/>
        </w:rPr>
        <w:t xml:space="preserve"> </w:t>
      </w:r>
      <w:r w:rsidR="00BB2867" w:rsidRPr="00190842">
        <w:rPr>
          <w:color w:val="000000" w:themeColor="text1"/>
          <w:lang w:val="es-AR"/>
        </w:rPr>
        <w:t>de Montreal</w:t>
      </w:r>
      <w:r w:rsidRPr="00190842">
        <w:rPr>
          <w:color w:val="000000" w:themeColor="text1"/>
          <w:lang w:val="es-AR"/>
        </w:rPr>
        <w:t xml:space="preserve"> </w:t>
      </w:r>
      <w:r w:rsidR="00C27396">
        <w:rPr>
          <w:color w:val="000000" w:themeColor="text1"/>
          <w:lang w:val="es-AR"/>
        </w:rPr>
        <w:t>e</w:t>
      </w:r>
      <w:r w:rsidRPr="00190842">
        <w:rPr>
          <w:lang w:val="es-AR"/>
        </w:rPr>
        <w:t xml:space="preserve"> </w:t>
      </w:r>
      <w:r w:rsidR="00BB2867">
        <w:rPr>
          <w:color w:val="000000" w:themeColor="text1"/>
          <w:lang w:val="es-AR"/>
        </w:rPr>
        <w:t>informes sobre la marcha de las actividades</w:t>
      </w:r>
      <w:r w:rsidRPr="00190842">
        <w:rPr>
          <w:color w:val="000000" w:themeColor="text1"/>
          <w:lang w:val="es-AR"/>
        </w:rPr>
        <w:t xml:space="preserve"> </w:t>
      </w:r>
      <w:r w:rsidR="00BB2867">
        <w:rPr>
          <w:color w:val="000000" w:themeColor="text1"/>
          <w:lang w:val="es-AR"/>
        </w:rPr>
        <w:t xml:space="preserve">relativos a </w:t>
      </w:r>
      <w:r w:rsidR="00190842">
        <w:rPr>
          <w:color w:val="000000" w:themeColor="text1"/>
          <w:lang w:val="es-AR"/>
        </w:rPr>
        <w:t>la ejecución</w:t>
      </w:r>
      <w:r w:rsidRPr="00190842">
        <w:rPr>
          <w:color w:val="000000" w:themeColor="text1"/>
          <w:lang w:val="es-AR"/>
        </w:rPr>
        <w:t xml:space="preserve"> de </w:t>
      </w:r>
      <w:r w:rsidRPr="00190842">
        <w:rPr>
          <w:lang w:val="es-AR"/>
        </w:rPr>
        <w:t xml:space="preserve">los </w:t>
      </w:r>
      <w:r w:rsidRPr="00190842">
        <w:rPr>
          <w:color w:val="000000" w:themeColor="text1"/>
          <w:lang w:val="es-AR"/>
        </w:rPr>
        <w:t>programa</w:t>
      </w:r>
      <w:r w:rsidR="00BB2867">
        <w:rPr>
          <w:color w:val="000000" w:themeColor="text1"/>
          <w:lang w:val="es-AR"/>
        </w:rPr>
        <w:t>s</w:t>
      </w:r>
      <w:r w:rsidRPr="00190842">
        <w:rPr>
          <w:color w:val="000000" w:themeColor="text1"/>
          <w:lang w:val="es-AR"/>
        </w:rPr>
        <w:t xml:space="preserve"> de país;</w:t>
      </w:r>
      <w:r w:rsidRPr="00190842">
        <w:rPr>
          <w:rStyle w:val="FootnoteReference"/>
          <w:color w:val="000000" w:themeColor="text1"/>
          <w:lang w:val="es-AR"/>
        </w:rPr>
        <w:footnoteReference w:id="15"/>
      </w:r>
    </w:p>
    <w:p w14:paraId="7CBE934B" w14:textId="23116FBB" w:rsidR="00306314" w:rsidRPr="00190842" w:rsidRDefault="00306314" w:rsidP="00306314">
      <w:pPr>
        <w:pStyle w:val="Heading2"/>
        <w:rPr>
          <w:lang w:val="es-AR"/>
        </w:rPr>
      </w:pPr>
      <w:r w:rsidRPr="00BB2867">
        <w:rPr>
          <w:rStyle w:val="FootnoteReference"/>
          <w:vertAlign w:val="baseline"/>
          <w:lang w:val="es-AR"/>
        </w:rPr>
        <w:t>Coordina</w:t>
      </w:r>
      <w:r w:rsidR="00BB2867">
        <w:rPr>
          <w:rStyle w:val="FootnoteReference"/>
          <w:vertAlign w:val="baseline"/>
          <w:lang w:val="es-AR"/>
        </w:rPr>
        <w:t>r</w:t>
      </w:r>
      <w:r w:rsidRPr="00BB2867">
        <w:rPr>
          <w:rStyle w:val="FootnoteReference"/>
          <w:vertAlign w:val="baseline"/>
          <w:lang w:val="es-AR"/>
        </w:rPr>
        <w:t xml:space="preserve"> en el nivel nacional la preparación y presentación de etapas de planes de gestión de eliminación de </w:t>
      </w:r>
      <w:r w:rsidR="00190842" w:rsidRPr="00BB2867">
        <w:rPr>
          <w:rStyle w:val="FootnoteReference"/>
          <w:vertAlign w:val="baseline"/>
          <w:lang w:val="es-AR"/>
        </w:rPr>
        <w:t>los HCFC</w:t>
      </w:r>
      <w:r w:rsidRPr="00190842">
        <w:rPr>
          <w:rStyle w:val="FootnoteReference"/>
          <w:lang w:val="es-AR"/>
        </w:rPr>
        <w:footnoteReference w:id="16"/>
      </w:r>
      <w:r w:rsidRPr="00190842">
        <w:rPr>
          <w:lang w:val="es-AR"/>
        </w:rPr>
        <w:t xml:space="preserve"> y planea</w:t>
      </w:r>
      <w:r w:rsidR="00BB2867">
        <w:rPr>
          <w:lang w:val="es-AR"/>
        </w:rPr>
        <w:t>r</w:t>
      </w:r>
      <w:r w:rsidRPr="00190842">
        <w:rPr>
          <w:lang w:val="es-AR"/>
        </w:rPr>
        <w:t>, organiza</w:t>
      </w:r>
      <w:r w:rsidR="00BB2867">
        <w:rPr>
          <w:lang w:val="es-AR"/>
        </w:rPr>
        <w:t>r</w:t>
      </w:r>
      <w:r w:rsidRPr="00190842">
        <w:rPr>
          <w:lang w:val="es-AR"/>
        </w:rPr>
        <w:t>, dirigi</w:t>
      </w:r>
      <w:r w:rsidR="00BB2867">
        <w:rPr>
          <w:lang w:val="es-AR"/>
        </w:rPr>
        <w:t>r</w:t>
      </w:r>
      <w:r w:rsidRPr="00190842">
        <w:rPr>
          <w:lang w:val="es-AR"/>
        </w:rPr>
        <w:t xml:space="preserve"> y </w:t>
      </w:r>
      <w:r w:rsidR="00C27396">
        <w:rPr>
          <w:lang w:val="es-AR"/>
        </w:rPr>
        <w:t xml:space="preserve">guiar </w:t>
      </w:r>
      <w:r w:rsidR="00190842">
        <w:rPr>
          <w:lang w:val="es-AR"/>
        </w:rPr>
        <w:t>la ejecución</w:t>
      </w:r>
      <w:r w:rsidRPr="00190842">
        <w:rPr>
          <w:lang w:val="es-AR"/>
        </w:rPr>
        <w:t xml:space="preserve"> de todas las actividades requeridas para </w:t>
      </w:r>
      <w:r w:rsidR="00C27396">
        <w:rPr>
          <w:lang w:val="es-AR"/>
        </w:rPr>
        <w:t xml:space="preserve">la ejecución eficaz de </w:t>
      </w:r>
      <w:r w:rsidRPr="00190842">
        <w:rPr>
          <w:lang w:val="es-AR"/>
        </w:rPr>
        <w:t xml:space="preserve">los planes de gestión de eliminación de </w:t>
      </w:r>
      <w:r w:rsidR="00190842">
        <w:rPr>
          <w:lang w:val="es-AR"/>
        </w:rPr>
        <w:t>los HCFC</w:t>
      </w:r>
      <w:r w:rsidRPr="00190842">
        <w:rPr>
          <w:lang w:val="es-AR"/>
        </w:rPr>
        <w:t xml:space="preserve">; y </w:t>
      </w:r>
    </w:p>
    <w:p w14:paraId="3625A9C5" w14:textId="72B2BC13" w:rsidR="00306314" w:rsidRPr="00190842" w:rsidRDefault="00306314" w:rsidP="00306314">
      <w:pPr>
        <w:pStyle w:val="Heading2"/>
        <w:rPr>
          <w:lang w:val="es-AR"/>
        </w:rPr>
      </w:pPr>
      <w:r w:rsidRPr="00190842">
        <w:rPr>
          <w:lang w:val="es-AR"/>
        </w:rPr>
        <w:t>Asegura</w:t>
      </w:r>
      <w:r w:rsidR="00A70C96">
        <w:rPr>
          <w:lang w:val="es-AR"/>
        </w:rPr>
        <w:t>r</w:t>
      </w:r>
      <w:r w:rsidRPr="00190842">
        <w:rPr>
          <w:lang w:val="es-AR"/>
        </w:rPr>
        <w:t xml:space="preserve"> la sustentabilidad</w:t>
      </w:r>
      <w:r w:rsidR="00A70C96">
        <w:rPr>
          <w:lang w:val="es-AR"/>
        </w:rPr>
        <w:t xml:space="preserve"> de la eliminación de SAO</w:t>
      </w:r>
      <w:r w:rsidRPr="00190842">
        <w:rPr>
          <w:lang w:val="es-AR"/>
        </w:rPr>
        <w:t xml:space="preserve"> </w:t>
      </w:r>
      <w:r w:rsidR="00A70C96" w:rsidRPr="00C27396">
        <w:rPr>
          <w:lang w:val="es-AR"/>
        </w:rPr>
        <w:t>lograda</w:t>
      </w:r>
      <w:r w:rsidRPr="00190842">
        <w:rPr>
          <w:lang w:val="es-AR"/>
        </w:rPr>
        <w:t xml:space="preserve"> </w:t>
      </w:r>
      <w:r w:rsidR="00A70C96">
        <w:rPr>
          <w:lang w:val="es-AR"/>
        </w:rPr>
        <w:t xml:space="preserve">mediante </w:t>
      </w:r>
      <w:r w:rsidRPr="00190842">
        <w:rPr>
          <w:lang w:val="es-AR"/>
        </w:rPr>
        <w:t>la supervisión, presentación de informes y verificación.</w:t>
      </w:r>
      <w:r w:rsidRPr="00190842">
        <w:rPr>
          <w:rStyle w:val="FootnoteReference"/>
          <w:lang w:val="es-AR"/>
        </w:rPr>
        <w:footnoteReference w:id="17"/>
      </w:r>
    </w:p>
    <w:p w14:paraId="5DEEB86A" w14:textId="40C859FB" w:rsidR="00306314" w:rsidRPr="00190842" w:rsidRDefault="00306314" w:rsidP="00306314">
      <w:pPr>
        <w:rPr>
          <w:i/>
          <w:u w:val="single"/>
          <w:lang w:val="es-AR"/>
        </w:rPr>
      </w:pPr>
      <w:r w:rsidRPr="00190842">
        <w:rPr>
          <w:u w:val="single"/>
          <w:lang w:val="es-AR"/>
        </w:rPr>
        <w:t xml:space="preserve">Nuevas responsabilidades de las </w:t>
      </w:r>
      <w:r w:rsidR="00E17069">
        <w:rPr>
          <w:u w:val="single"/>
          <w:lang w:val="es-AR"/>
        </w:rPr>
        <w:t>dependencias nacionales del ozono</w:t>
      </w:r>
      <w:r w:rsidRPr="00190842">
        <w:rPr>
          <w:u w:val="single"/>
          <w:lang w:val="es-AR"/>
        </w:rPr>
        <w:t xml:space="preserve"> a la luz de la </w:t>
      </w:r>
      <w:r w:rsidR="00190842">
        <w:rPr>
          <w:u w:val="single"/>
          <w:lang w:val="es-AR"/>
        </w:rPr>
        <w:t>Enmienda</w:t>
      </w:r>
      <w:r w:rsidRPr="00190842">
        <w:rPr>
          <w:u w:val="single"/>
          <w:lang w:val="es-AR"/>
        </w:rPr>
        <w:t xml:space="preserve"> de Kigali</w:t>
      </w:r>
    </w:p>
    <w:p w14:paraId="2A25B026" w14:textId="77777777" w:rsidR="00306314" w:rsidRPr="00190842" w:rsidRDefault="00306314" w:rsidP="00306314">
      <w:pPr>
        <w:rPr>
          <w:lang w:val="es-AR"/>
        </w:rPr>
      </w:pPr>
    </w:p>
    <w:p w14:paraId="02E35C07" w14:textId="4E7D7431" w:rsidR="00306314" w:rsidRPr="00190842" w:rsidRDefault="00306314" w:rsidP="00306314">
      <w:pPr>
        <w:pStyle w:val="Heading1"/>
        <w:rPr>
          <w:lang w:val="es-AR"/>
        </w:rPr>
      </w:pPr>
      <w:r w:rsidRPr="00190842">
        <w:rPr>
          <w:lang w:val="es-AR"/>
        </w:rPr>
        <w:t xml:space="preserve">Además de sus responsabilidades actuales de facilitar </w:t>
      </w:r>
      <w:r w:rsidR="00A70C96">
        <w:rPr>
          <w:lang w:val="es-AR"/>
        </w:rPr>
        <w:t xml:space="preserve">la eliminación de HCFC </w:t>
      </w:r>
      <w:r w:rsidRPr="00190842">
        <w:rPr>
          <w:lang w:val="es-AR"/>
        </w:rPr>
        <w:t xml:space="preserve">y la transición a las alternativas que minimizan </w:t>
      </w:r>
      <w:r w:rsidR="00A70C96">
        <w:rPr>
          <w:lang w:val="es-AR"/>
        </w:rPr>
        <w:t>el impacto ambiental</w:t>
      </w:r>
      <w:r w:rsidRPr="00190842">
        <w:rPr>
          <w:lang w:val="es-AR"/>
        </w:rPr>
        <w:t xml:space="preserve"> (decisión 74/51 c)),</w:t>
      </w:r>
      <w:r w:rsidRPr="00190842">
        <w:rPr>
          <w:rStyle w:val="FootnoteReference"/>
          <w:lang w:val="es-AR"/>
        </w:rPr>
        <w:footnoteReference w:id="18"/>
      </w:r>
      <w:r w:rsidRPr="00190842">
        <w:rPr>
          <w:lang w:val="es-AR"/>
        </w:rPr>
        <w:t xml:space="preserve"> las </w:t>
      </w:r>
      <w:r w:rsidR="00E17069">
        <w:rPr>
          <w:lang w:val="es-AR"/>
        </w:rPr>
        <w:t>dependencias nacionales del ozono</w:t>
      </w:r>
      <w:r w:rsidRPr="00190842">
        <w:rPr>
          <w:lang w:val="es-AR"/>
        </w:rPr>
        <w:t xml:space="preserve"> adquirirán nuevas responsabilidades </w:t>
      </w:r>
      <w:r w:rsidR="00A70C96">
        <w:rPr>
          <w:lang w:val="es-AR"/>
        </w:rPr>
        <w:t>bajo la Enmienda</w:t>
      </w:r>
      <w:r w:rsidRPr="00190842">
        <w:rPr>
          <w:lang w:val="es-AR"/>
        </w:rPr>
        <w:t xml:space="preserve"> de Kigali, </w:t>
      </w:r>
      <w:r w:rsidR="00C27396">
        <w:rPr>
          <w:lang w:val="es-AR"/>
        </w:rPr>
        <w:t>tal como se resume a continuación</w:t>
      </w:r>
      <w:r w:rsidRPr="00190842">
        <w:rPr>
          <w:lang w:val="es-AR"/>
        </w:rPr>
        <w:t>.</w:t>
      </w:r>
    </w:p>
    <w:p w14:paraId="674E3130" w14:textId="46083FB8" w:rsidR="00306314" w:rsidRPr="00190842" w:rsidRDefault="00306314" w:rsidP="00306314">
      <w:pPr>
        <w:pStyle w:val="Heading1"/>
        <w:widowControl w:val="0"/>
        <w:numPr>
          <w:ilvl w:val="0"/>
          <w:numId w:val="0"/>
        </w:numPr>
        <w:rPr>
          <w:lang w:val="es-AR"/>
        </w:rPr>
      </w:pPr>
      <w:r w:rsidRPr="00190842">
        <w:rPr>
          <w:i/>
          <w:lang w:val="es-AR"/>
        </w:rPr>
        <w:t xml:space="preserve">Ratificación de la </w:t>
      </w:r>
      <w:r w:rsidR="00190842">
        <w:rPr>
          <w:i/>
          <w:lang w:val="es-AR"/>
        </w:rPr>
        <w:t>Enmienda</w:t>
      </w:r>
      <w:r w:rsidRPr="00190842">
        <w:rPr>
          <w:i/>
          <w:lang w:val="es-AR"/>
        </w:rPr>
        <w:t xml:space="preserve"> de Kigali</w:t>
      </w:r>
      <w:r w:rsidRPr="00190842">
        <w:rPr>
          <w:rStyle w:val="FootnoteReference"/>
          <w:lang w:val="es-AR"/>
        </w:rPr>
        <w:footnoteReference w:id="19"/>
      </w:r>
    </w:p>
    <w:p w14:paraId="3DC1E491" w14:textId="7F03D84D" w:rsidR="00306314" w:rsidRPr="00190842" w:rsidRDefault="00306314" w:rsidP="00306314">
      <w:pPr>
        <w:pStyle w:val="Heading1"/>
        <w:rPr>
          <w:lang w:val="es-AR"/>
        </w:rPr>
      </w:pPr>
      <w:r w:rsidRPr="00190842">
        <w:rPr>
          <w:lang w:val="es-AR"/>
        </w:rPr>
        <w:lastRenderedPageBreak/>
        <w:t xml:space="preserve">Las </w:t>
      </w:r>
      <w:r w:rsidR="00E17069">
        <w:rPr>
          <w:lang w:val="es-AR"/>
        </w:rPr>
        <w:t>dependencias nacionales del ozono</w:t>
      </w:r>
      <w:r w:rsidRPr="00190842">
        <w:rPr>
          <w:lang w:val="es-AR"/>
        </w:rPr>
        <w:t xml:space="preserve"> están tomando un papel </w:t>
      </w:r>
      <w:r w:rsidR="00A70C96">
        <w:rPr>
          <w:lang w:val="es-AR"/>
        </w:rPr>
        <w:t xml:space="preserve">destacado </w:t>
      </w:r>
      <w:r w:rsidRPr="00190842">
        <w:rPr>
          <w:lang w:val="es-AR"/>
        </w:rPr>
        <w:t xml:space="preserve">en los procedimientos administrativos </w:t>
      </w:r>
      <w:r w:rsidR="00A70C96">
        <w:rPr>
          <w:lang w:val="es-AR"/>
        </w:rPr>
        <w:t xml:space="preserve">necesarios </w:t>
      </w:r>
      <w:r w:rsidRPr="00190842">
        <w:rPr>
          <w:lang w:val="es-AR"/>
        </w:rPr>
        <w:t xml:space="preserve">para ratificar la </w:t>
      </w:r>
      <w:r w:rsidR="00190842">
        <w:rPr>
          <w:lang w:val="es-AR"/>
        </w:rPr>
        <w:t>Enmienda</w:t>
      </w:r>
      <w:r w:rsidRPr="00190842">
        <w:rPr>
          <w:lang w:val="es-AR"/>
        </w:rPr>
        <w:t xml:space="preserve"> de Kigali, que exige una comprensión de </w:t>
      </w:r>
      <w:r w:rsidR="00A70C96">
        <w:rPr>
          <w:lang w:val="es-AR"/>
        </w:rPr>
        <w:t xml:space="preserve">dicha </w:t>
      </w:r>
      <w:r w:rsidR="00190842">
        <w:rPr>
          <w:lang w:val="es-AR"/>
        </w:rPr>
        <w:t>Enmienda</w:t>
      </w:r>
      <w:r w:rsidRPr="00190842">
        <w:rPr>
          <w:lang w:val="es-AR"/>
        </w:rPr>
        <w:t xml:space="preserve"> </w:t>
      </w:r>
      <w:r w:rsidR="00A70C96">
        <w:rPr>
          <w:lang w:val="es-AR"/>
        </w:rPr>
        <w:t xml:space="preserve">en </w:t>
      </w:r>
      <w:r w:rsidRPr="00190842">
        <w:rPr>
          <w:lang w:val="es-AR"/>
        </w:rPr>
        <w:t>sí, un análisis del consumo de HFC de sus países (y la producción</w:t>
      </w:r>
      <w:r w:rsidR="00A70C96">
        <w:rPr>
          <w:lang w:val="es-AR"/>
        </w:rPr>
        <w:t>,</w:t>
      </w:r>
      <w:r w:rsidRPr="00190842">
        <w:rPr>
          <w:lang w:val="es-AR"/>
        </w:rPr>
        <w:t xml:space="preserve"> </w:t>
      </w:r>
      <w:r w:rsidR="00A70C96">
        <w:rPr>
          <w:lang w:val="es-AR"/>
        </w:rPr>
        <w:t>donde proceda</w:t>
      </w:r>
      <w:r w:rsidRPr="00190842">
        <w:rPr>
          <w:lang w:val="es-AR"/>
        </w:rPr>
        <w:t xml:space="preserve">), y una evaluación del </w:t>
      </w:r>
      <w:r w:rsidR="00A70C96">
        <w:rPr>
          <w:lang w:val="es-AR"/>
        </w:rPr>
        <w:t>m</w:t>
      </w:r>
      <w:r w:rsidRPr="00190842">
        <w:rPr>
          <w:lang w:val="es-AR"/>
        </w:rPr>
        <w:t xml:space="preserve">arco </w:t>
      </w:r>
      <w:r w:rsidR="00A70C96">
        <w:rPr>
          <w:lang w:val="es-AR"/>
        </w:rPr>
        <w:t xml:space="preserve">regulador y </w:t>
      </w:r>
      <w:r w:rsidR="00C27396">
        <w:rPr>
          <w:lang w:val="es-AR"/>
        </w:rPr>
        <w:t xml:space="preserve">de </w:t>
      </w:r>
      <w:r w:rsidR="00A70C96">
        <w:rPr>
          <w:lang w:val="es-AR"/>
        </w:rPr>
        <w:t>políticas vigente</w:t>
      </w:r>
      <w:r w:rsidRPr="00190842">
        <w:rPr>
          <w:lang w:val="es-AR"/>
        </w:rPr>
        <w:t xml:space="preserve">. Las </w:t>
      </w:r>
      <w:r w:rsidR="00E17069">
        <w:rPr>
          <w:lang w:val="es-AR"/>
        </w:rPr>
        <w:t>dependencias nacionales del ozono</w:t>
      </w:r>
      <w:r w:rsidRPr="00190842">
        <w:rPr>
          <w:lang w:val="es-AR"/>
        </w:rPr>
        <w:t xml:space="preserve"> también </w:t>
      </w:r>
      <w:r w:rsidR="00A70C96">
        <w:rPr>
          <w:lang w:val="es-AR"/>
        </w:rPr>
        <w:t xml:space="preserve">coordinan </w:t>
      </w:r>
      <w:r w:rsidRPr="00190842">
        <w:rPr>
          <w:lang w:val="es-AR"/>
        </w:rPr>
        <w:t>consultas con los departamentos gubernamentales responsables de</w:t>
      </w:r>
      <w:r w:rsidR="00A70C96">
        <w:rPr>
          <w:lang w:val="es-AR"/>
        </w:rPr>
        <w:t>l</w:t>
      </w:r>
      <w:r w:rsidRPr="00190842">
        <w:rPr>
          <w:lang w:val="es-AR"/>
        </w:rPr>
        <w:t xml:space="preserve"> clima, </w:t>
      </w:r>
      <w:r w:rsidR="00C27396">
        <w:rPr>
          <w:lang w:val="es-AR"/>
        </w:rPr>
        <w:t xml:space="preserve">la </w:t>
      </w:r>
      <w:r w:rsidR="00A70C96">
        <w:rPr>
          <w:lang w:val="es-AR"/>
        </w:rPr>
        <w:t>eficiencia energética</w:t>
      </w:r>
      <w:r w:rsidRPr="00190842">
        <w:rPr>
          <w:lang w:val="es-AR"/>
        </w:rPr>
        <w:t xml:space="preserve"> y otras </w:t>
      </w:r>
      <w:r w:rsidR="00FC7B69">
        <w:rPr>
          <w:lang w:val="es-AR"/>
        </w:rPr>
        <w:t>cuestiones</w:t>
      </w:r>
      <w:r w:rsidRPr="00190842">
        <w:rPr>
          <w:lang w:val="es-AR"/>
        </w:rPr>
        <w:t xml:space="preserve"> relacionadas, así como otros </w:t>
      </w:r>
      <w:r w:rsidR="00A70C96">
        <w:rPr>
          <w:lang w:val="es-AR"/>
        </w:rPr>
        <w:t>interesados directos</w:t>
      </w:r>
      <w:r w:rsidRPr="00190842">
        <w:rPr>
          <w:lang w:val="es-AR"/>
        </w:rPr>
        <w:t xml:space="preserve"> (</w:t>
      </w:r>
      <w:r w:rsidR="00A70C96">
        <w:rPr>
          <w:lang w:val="es-AR"/>
        </w:rPr>
        <w:t>por ej.</w:t>
      </w:r>
      <w:r w:rsidRPr="00190842">
        <w:rPr>
          <w:lang w:val="es-AR"/>
        </w:rPr>
        <w:t xml:space="preserve">, industria, </w:t>
      </w:r>
      <w:r w:rsidR="00626625">
        <w:rPr>
          <w:lang w:val="es-AR"/>
        </w:rPr>
        <w:t>asociaciones comerciales</w:t>
      </w:r>
      <w:r w:rsidRPr="00190842">
        <w:rPr>
          <w:lang w:val="es-AR"/>
        </w:rPr>
        <w:t xml:space="preserve">) para armonizar esfuerzos y evitar </w:t>
      </w:r>
      <w:r w:rsidR="00626625">
        <w:rPr>
          <w:lang w:val="es-AR"/>
        </w:rPr>
        <w:t>posibles</w:t>
      </w:r>
      <w:r w:rsidR="00626625" w:rsidRPr="00190842">
        <w:rPr>
          <w:lang w:val="es-AR"/>
        </w:rPr>
        <w:t xml:space="preserve"> </w:t>
      </w:r>
      <w:r w:rsidRPr="00190842">
        <w:rPr>
          <w:lang w:val="es-AR"/>
        </w:rPr>
        <w:t xml:space="preserve">posiciones contradictorias entre el </w:t>
      </w:r>
      <w:r w:rsidR="00190842">
        <w:rPr>
          <w:lang w:val="es-AR"/>
        </w:rPr>
        <w:t>Protocolo</w:t>
      </w:r>
      <w:r w:rsidRPr="00190842">
        <w:rPr>
          <w:lang w:val="es-AR"/>
        </w:rPr>
        <w:t xml:space="preserve"> de Montreal y otros convenios ambientales (</w:t>
      </w:r>
      <w:r w:rsidR="00A70C96">
        <w:rPr>
          <w:lang w:val="es-AR"/>
        </w:rPr>
        <w:t>por ej.</w:t>
      </w:r>
      <w:r w:rsidRPr="00190842">
        <w:rPr>
          <w:lang w:val="es-AR"/>
        </w:rPr>
        <w:t>, l</w:t>
      </w:r>
      <w:r w:rsidR="00626625">
        <w:rPr>
          <w:lang w:val="es-AR"/>
        </w:rPr>
        <w:t>a</w:t>
      </w:r>
      <w:r w:rsidRPr="00190842">
        <w:rPr>
          <w:lang w:val="es-AR"/>
        </w:rPr>
        <w:t xml:space="preserve"> Convención Marco de las Naciones Unidas sobre el Cambio Climático). </w:t>
      </w:r>
    </w:p>
    <w:p w14:paraId="526A6F42" w14:textId="37C20510" w:rsidR="00306314" w:rsidRPr="00190842" w:rsidRDefault="00306314" w:rsidP="00306314">
      <w:pPr>
        <w:widowControl w:val="0"/>
        <w:rPr>
          <w:i/>
          <w:lang w:val="es-AR"/>
        </w:rPr>
      </w:pPr>
      <w:r w:rsidRPr="00190842">
        <w:rPr>
          <w:i/>
          <w:lang w:val="es-AR"/>
        </w:rPr>
        <w:t xml:space="preserve">Legislación, </w:t>
      </w:r>
      <w:r w:rsidR="00190842">
        <w:rPr>
          <w:i/>
          <w:lang w:val="es-AR"/>
        </w:rPr>
        <w:t>reglamentaciones</w:t>
      </w:r>
      <w:r w:rsidRPr="00190842">
        <w:rPr>
          <w:i/>
          <w:lang w:val="es-AR"/>
        </w:rPr>
        <w:t xml:space="preserve"> y </w:t>
      </w:r>
      <w:r w:rsidR="0077043C">
        <w:rPr>
          <w:i/>
          <w:lang w:val="es-AR"/>
        </w:rPr>
        <w:t xml:space="preserve">normas </w:t>
      </w:r>
    </w:p>
    <w:p w14:paraId="583B15FC" w14:textId="77777777" w:rsidR="00306314" w:rsidRPr="00190842" w:rsidRDefault="00306314" w:rsidP="00306314">
      <w:pPr>
        <w:widowControl w:val="0"/>
        <w:rPr>
          <w:lang w:val="es-AR"/>
        </w:rPr>
      </w:pPr>
    </w:p>
    <w:p w14:paraId="6DC74AAC" w14:textId="2179EBC6" w:rsidR="00306314" w:rsidRPr="0077043C" w:rsidRDefault="00306314" w:rsidP="00306314">
      <w:pPr>
        <w:pStyle w:val="Heading1"/>
        <w:widowControl w:val="0"/>
        <w:rPr>
          <w:lang w:val="es-AR"/>
        </w:rPr>
      </w:pPr>
      <w:r w:rsidRPr="0077043C">
        <w:rPr>
          <w:rStyle w:val="FootnoteReference"/>
          <w:vertAlign w:val="baseline"/>
          <w:lang w:val="es-AR"/>
        </w:rPr>
        <w:t xml:space="preserve">Los países del </w:t>
      </w:r>
      <w:r w:rsidR="00190842" w:rsidRPr="0077043C">
        <w:rPr>
          <w:rStyle w:val="FootnoteReference"/>
          <w:vertAlign w:val="baseline"/>
          <w:lang w:val="es-AR"/>
        </w:rPr>
        <w:t>Artículo</w:t>
      </w:r>
      <w:r w:rsidRPr="0077043C">
        <w:rPr>
          <w:rStyle w:val="FootnoteReference"/>
          <w:vertAlign w:val="baseline"/>
          <w:lang w:val="es-AR"/>
        </w:rPr>
        <w:t xml:space="preserve"> 5 </w:t>
      </w:r>
      <w:r w:rsidR="0077043C">
        <w:rPr>
          <w:lang w:val="es-AR"/>
        </w:rPr>
        <w:t xml:space="preserve">deberán </w:t>
      </w:r>
      <w:r w:rsidRPr="0077043C">
        <w:rPr>
          <w:rStyle w:val="FootnoteReference"/>
          <w:vertAlign w:val="baseline"/>
          <w:lang w:val="es-AR"/>
        </w:rPr>
        <w:t xml:space="preserve">adoptar y aplicar la legislación y </w:t>
      </w:r>
      <w:r w:rsidR="00190842" w:rsidRPr="0077043C">
        <w:rPr>
          <w:rStyle w:val="FootnoteReference"/>
          <w:vertAlign w:val="baseline"/>
          <w:lang w:val="es-AR"/>
        </w:rPr>
        <w:t>reglamentaciones</w:t>
      </w:r>
      <w:r w:rsidRPr="0077043C">
        <w:rPr>
          <w:rStyle w:val="FootnoteReference"/>
          <w:vertAlign w:val="baseline"/>
          <w:lang w:val="es-AR"/>
        </w:rPr>
        <w:t xml:space="preserve"> </w:t>
      </w:r>
      <w:r w:rsidR="0077043C">
        <w:rPr>
          <w:rStyle w:val="FootnoteReference"/>
          <w:vertAlign w:val="baseline"/>
          <w:lang w:val="es-AR"/>
        </w:rPr>
        <w:t>d</w:t>
      </w:r>
      <w:r w:rsidR="0077043C">
        <w:rPr>
          <w:lang w:val="es-AR"/>
        </w:rPr>
        <w:t xml:space="preserve">estinadas a </w:t>
      </w:r>
      <w:r w:rsidRPr="0077043C">
        <w:rPr>
          <w:rStyle w:val="FootnoteReference"/>
          <w:vertAlign w:val="baseline"/>
          <w:lang w:val="es-AR"/>
        </w:rPr>
        <w:t>controlar y supervisar el consumo de HFC (y la producción</w:t>
      </w:r>
      <w:r w:rsidR="0077043C">
        <w:rPr>
          <w:rStyle w:val="FootnoteReference"/>
          <w:vertAlign w:val="baseline"/>
          <w:lang w:val="es-AR"/>
        </w:rPr>
        <w:t>,</w:t>
      </w:r>
      <w:r w:rsidRPr="0077043C">
        <w:rPr>
          <w:rStyle w:val="FootnoteReference"/>
          <w:vertAlign w:val="baseline"/>
          <w:lang w:val="es-AR"/>
        </w:rPr>
        <w:t xml:space="preserve"> </w:t>
      </w:r>
      <w:r w:rsidR="00A70C96" w:rsidRPr="0077043C">
        <w:rPr>
          <w:rStyle w:val="FootnoteReference"/>
          <w:vertAlign w:val="baseline"/>
          <w:lang w:val="es-AR"/>
        </w:rPr>
        <w:t>donde proceda</w:t>
      </w:r>
      <w:r w:rsidRPr="0077043C">
        <w:rPr>
          <w:rStyle w:val="FootnoteReference"/>
          <w:vertAlign w:val="baseline"/>
          <w:lang w:val="es-AR"/>
        </w:rPr>
        <w:t xml:space="preserve">), </w:t>
      </w:r>
      <w:r w:rsidR="00190842" w:rsidRPr="0077043C">
        <w:rPr>
          <w:rStyle w:val="FootnoteReference"/>
          <w:vertAlign w:val="baseline"/>
          <w:lang w:val="es-AR"/>
        </w:rPr>
        <w:t>inclusive</w:t>
      </w:r>
      <w:r w:rsidRPr="0077043C">
        <w:rPr>
          <w:rStyle w:val="FootnoteReference"/>
          <w:vertAlign w:val="baseline"/>
          <w:lang w:val="es-AR"/>
        </w:rPr>
        <w:t xml:space="preserve"> la inclusión de </w:t>
      </w:r>
      <w:r w:rsidR="00190842" w:rsidRPr="0077043C">
        <w:rPr>
          <w:rStyle w:val="FootnoteReference"/>
          <w:vertAlign w:val="baseline"/>
          <w:lang w:val="es-AR"/>
        </w:rPr>
        <w:t>HFC</w:t>
      </w:r>
      <w:r w:rsidRPr="0077043C">
        <w:rPr>
          <w:rStyle w:val="FootnoteReference"/>
          <w:vertAlign w:val="baseline"/>
          <w:lang w:val="es-AR"/>
        </w:rPr>
        <w:t xml:space="preserve"> en</w:t>
      </w:r>
      <w:r w:rsidR="0077043C">
        <w:rPr>
          <w:rStyle w:val="FootnoteReference"/>
          <w:vertAlign w:val="baseline"/>
          <w:lang w:val="es-AR"/>
        </w:rPr>
        <w:t xml:space="preserve"> l</w:t>
      </w:r>
      <w:r w:rsidR="0077043C">
        <w:rPr>
          <w:lang w:val="es-AR"/>
        </w:rPr>
        <w:t xml:space="preserve">os sistemas </w:t>
      </w:r>
      <w:r w:rsidR="00A4671A">
        <w:rPr>
          <w:lang w:val="es-AR"/>
        </w:rPr>
        <w:t xml:space="preserve">existentes de licencias y cuotas de </w:t>
      </w:r>
      <w:r w:rsidRPr="0077043C">
        <w:rPr>
          <w:rStyle w:val="FootnoteReference"/>
          <w:vertAlign w:val="baseline"/>
          <w:lang w:val="es-AR"/>
        </w:rPr>
        <w:t>importación/exportación.</w:t>
      </w:r>
      <w:r w:rsidRPr="00A4671A">
        <w:rPr>
          <w:rStyle w:val="FootnoteReference"/>
          <w:lang w:val="es-AR"/>
        </w:rPr>
        <w:footnoteReference w:id="20"/>
      </w:r>
      <w:r w:rsidRPr="0077043C">
        <w:rPr>
          <w:lang w:val="es-AR"/>
        </w:rPr>
        <w:t xml:space="preserve"> </w:t>
      </w:r>
      <w:r w:rsidR="00A4671A">
        <w:rPr>
          <w:lang w:val="es-AR"/>
        </w:rPr>
        <w:t xml:space="preserve">Se necesitarán </w:t>
      </w:r>
      <w:r w:rsidRPr="0077043C">
        <w:rPr>
          <w:lang w:val="es-AR"/>
        </w:rPr>
        <w:t xml:space="preserve">nuevas políticas y </w:t>
      </w:r>
      <w:r w:rsidR="00190842" w:rsidRPr="0077043C">
        <w:rPr>
          <w:lang w:val="es-AR"/>
        </w:rPr>
        <w:t>reglamentaciones</w:t>
      </w:r>
      <w:r w:rsidRPr="0077043C">
        <w:rPr>
          <w:lang w:val="es-AR"/>
        </w:rPr>
        <w:t xml:space="preserve"> </w:t>
      </w:r>
      <w:r w:rsidR="00A4671A">
        <w:rPr>
          <w:lang w:val="es-AR"/>
        </w:rPr>
        <w:t xml:space="preserve">para </w:t>
      </w:r>
      <w:r w:rsidRPr="0077043C">
        <w:rPr>
          <w:lang w:val="es-AR"/>
        </w:rPr>
        <w:t xml:space="preserve">facilitar </w:t>
      </w:r>
      <w:r w:rsidR="00FC7B69" w:rsidRPr="0077043C">
        <w:rPr>
          <w:lang w:val="es-AR"/>
        </w:rPr>
        <w:t>la reducción</w:t>
      </w:r>
      <w:r w:rsidRPr="0077043C">
        <w:rPr>
          <w:lang w:val="es-AR"/>
        </w:rPr>
        <w:t xml:space="preserve"> de </w:t>
      </w:r>
      <w:r w:rsidR="00190842" w:rsidRPr="0077043C">
        <w:rPr>
          <w:lang w:val="es-AR"/>
        </w:rPr>
        <w:t>HFC</w:t>
      </w:r>
      <w:r w:rsidRPr="0077043C">
        <w:rPr>
          <w:lang w:val="es-AR"/>
        </w:rPr>
        <w:t xml:space="preserve"> y la introducción de tecnologías alternativas </w:t>
      </w:r>
      <w:r w:rsidR="00A4671A">
        <w:rPr>
          <w:lang w:val="es-AR"/>
        </w:rPr>
        <w:t>con bajo potencial de calentamiento</w:t>
      </w:r>
      <w:r w:rsidR="00190842" w:rsidRPr="0077043C">
        <w:rPr>
          <w:lang w:val="es-AR"/>
        </w:rPr>
        <w:t xml:space="preserve"> atmosférico</w:t>
      </w:r>
      <w:r w:rsidRPr="0077043C">
        <w:rPr>
          <w:lang w:val="es-AR"/>
        </w:rPr>
        <w:t xml:space="preserve">, </w:t>
      </w:r>
      <w:r w:rsidRPr="009E64B3">
        <w:rPr>
          <w:lang w:val="es-AR"/>
        </w:rPr>
        <w:t>entre otras cosas</w:t>
      </w:r>
      <w:r w:rsidRPr="0077043C">
        <w:rPr>
          <w:lang w:val="es-AR"/>
        </w:rPr>
        <w:t xml:space="preserve">, </w:t>
      </w:r>
      <w:r w:rsidR="00A4671A">
        <w:rPr>
          <w:lang w:val="es-AR"/>
        </w:rPr>
        <w:t xml:space="preserve">prohibiendo </w:t>
      </w:r>
      <w:r w:rsidRPr="0077043C">
        <w:rPr>
          <w:lang w:val="es-AR"/>
        </w:rPr>
        <w:t xml:space="preserve">la importación de </w:t>
      </w:r>
      <w:r w:rsidR="00190842" w:rsidRPr="0077043C">
        <w:rPr>
          <w:lang w:val="es-AR"/>
        </w:rPr>
        <w:t>equipos</w:t>
      </w:r>
      <w:r w:rsidRPr="0077043C">
        <w:rPr>
          <w:lang w:val="es-AR"/>
        </w:rPr>
        <w:t xml:space="preserve"> </w:t>
      </w:r>
      <w:r w:rsidR="00AE449C">
        <w:rPr>
          <w:lang w:val="es-AR"/>
        </w:rPr>
        <w:t xml:space="preserve">de </w:t>
      </w:r>
      <w:r w:rsidR="00A4671A">
        <w:rPr>
          <w:lang w:val="es-AR"/>
        </w:rPr>
        <w:t>refrigeración y climatización con HFC</w:t>
      </w:r>
      <w:r w:rsidRPr="0077043C">
        <w:rPr>
          <w:lang w:val="es-AR"/>
        </w:rPr>
        <w:t>.</w:t>
      </w:r>
    </w:p>
    <w:p w14:paraId="1188986E" w14:textId="5B2B0E91" w:rsidR="00306314" w:rsidRPr="00190842" w:rsidRDefault="00306314" w:rsidP="00306314">
      <w:pPr>
        <w:pStyle w:val="Heading1"/>
        <w:widowControl w:val="0"/>
        <w:rPr>
          <w:lang w:val="es-AR"/>
        </w:rPr>
      </w:pPr>
      <w:r w:rsidRPr="00190842">
        <w:rPr>
          <w:lang w:val="es-AR"/>
        </w:rPr>
        <w:t xml:space="preserve">La capacidad de las </w:t>
      </w:r>
      <w:r w:rsidR="00E17069">
        <w:rPr>
          <w:lang w:val="es-AR"/>
        </w:rPr>
        <w:t>dependencias nacionales del ozono</w:t>
      </w:r>
      <w:r w:rsidRPr="00190842">
        <w:rPr>
          <w:lang w:val="es-AR"/>
        </w:rPr>
        <w:t xml:space="preserve"> </w:t>
      </w:r>
      <w:r w:rsidR="00AE449C">
        <w:rPr>
          <w:lang w:val="es-AR"/>
        </w:rPr>
        <w:t>deber</w:t>
      </w:r>
      <w:r w:rsidRPr="00190842">
        <w:rPr>
          <w:lang w:val="es-AR"/>
        </w:rPr>
        <w:t xml:space="preserve">á </w:t>
      </w:r>
      <w:r w:rsidR="008D3147">
        <w:rPr>
          <w:lang w:val="es-AR"/>
        </w:rPr>
        <w:t xml:space="preserve">fortalecerse </w:t>
      </w:r>
      <w:r w:rsidRPr="00190842">
        <w:rPr>
          <w:lang w:val="es-AR"/>
        </w:rPr>
        <w:t xml:space="preserve">para </w:t>
      </w:r>
      <w:r w:rsidR="008D3147">
        <w:rPr>
          <w:lang w:val="es-AR"/>
        </w:rPr>
        <w:t xml:space="preserve">cooperar </w:t>
      </w:r>
      <w:r w:rsidRPr="00190842">
        <w:rPr>
          <w:lang w:val="es-AR"/>
        </w:rPr>
        <w:t xml:space="preserve">con los </w:t>
      </w:r>
      <w:r w:rsidR="008D3147">
        <w:rPr>
          <w:lang w:val="es-AR"/>
        </w:rPr>
        <w:t xml:space="preserve">comités nacionales de normas </w:t>
      </w:r>
      <w:r w:rsidR="00AE449C">
        <w:rPr>
          <w:lang w:val="es-AR"/>
        </w:rPr>
        <w:t>a</w:t>
      </w:r>
      <w:r w:rsidR="008D3147">
        <w:rPr>
          <w:lang w:val="es-AR"/>
        </w:rPr>
        <w:t xml:space="preserve"> fin de p</w:t>
      </w:r>
      <w:r w:rsidRPr="00190842">
        <w:rPr>
          <w:lang w:val="es-AR"/>
        </w:rPr>
        <w:t xml:space="preserve">romover la adopción y el uso seguro de las tecnologías alternativas </w:t>
      </w:r>
      <w:r w:rsidR="00A4671A">
        <w:rPr>
          <w:lang w:val="es-AR"/>
        </w:rPr>
        <w:t>con bajo potencial de calentamiento</w:t>
      </w:r>
      <w:r w:rsidR="00190842">
        <w:rPr>
          <w:lang w:val="es-AR"/>
        </w:rPr>
        <w:t xml:space="preserve"> atmosférico</w:t>
      </w:r>
      <w:r w:rsidRPr="00190842">
        <w:rPr>
          <w:lang w:val="es-AR"/>
        </w:rPr>
        <w:t xml:space="preserve">, </w:t>
      </w:r>
      <w:r w:rsidR="008D3147">
        <w:rPr>
          <w:lang w:val="es-AR"/>
        </w:rPr>
        <w:t xml:space="preserve">en especial las relativas </w:t>
      </w:r>
      <w:r w:rsidRPr="00190842">
        <w:rPr>
          <w:lang w:val="es-AR"/>
        </w:rPr>
        <w:t xml:space="preserve">al </w:t>
      </w:r>
      <w:r w:rsidR="008D3147">
        <w:rPr>
          <w:lang w:val="es-AR"/>
        </w:rPr>
        <w:t>sector de equipos de refrigeración y climatización</w:t>
      </w:r>
      <w:r w:rsidRPr="00190842">
        <w:rPr>
          <w:lang w:val="es-AR"/>
        </w:rPr>
        <w:t xml:space="preserve">, </w:t>
      </w:r>
      <w:r w:rsidR="00AE449C" w:rsidRPr="008D3147">
        <w:rPr>
          <w:lang w:val="es-AR"/>
        </w:rPr>
        <w:t>entre otras cosas</w:t>
      </w:r>
      <w:r w:rsidR="00AE449C">
        <w:rPr>
          <w:lang w:val="es-AR"/>
        </w:rPr>
        <w:t xml:space="preserve">, </w:t>
      </w:r>
      <w:r w:rsidR="008D3147">
        <w:rPr>
          <w:lang w:val="es-AR"/>
        </w:rPr>
        <w:t xml:space="preserve">mediante el desarrollo, </w:t>
      </w:r>
      <w:r w:rsidRPr="00190842">
        <w:rPr>
          <w:lang w:val="es-AR"/>
        </w:rPr>
        <w:t xml:space="preserve">la </w:t>
      </w:r>
      <w:r w:rsidR="008D3147">
        <w:rPr>
          <w:lang w:val="es-AR"/>
        </w:rPr>
        <w:t>actualización</w:t>
      </w:r>
      <w:r w:rsidRPr="00190842">
        <w:rPr>
          <w:lang w:val="es-AR"/>
        </w:rPr>
        <w:t xml:space="preserve"> y/o la adaptación de códigos y </w:t>
      </w:r>
      <w:r w:rsidR="008D3147">
        <w:rPr>
          <w:lang w:val="es-AR"/>
        </w:rPr>
        <w:t>normas de seguridad</w:t>
      </w:r>
      <w:r w:rsidRPr="00190842">
        <w:rPr>
          <w:lang w:val="es-AR"/>
        </w:rPr>
        <w:t xml:space="preserve">, y </w:t>
      </w:r>
      <w:r w:rsidR="00AE449C">
        <w:rPr>
          <w:lang w:val="es-AR"/>
        </w:rPr>
        <w:t xml:space="preserve">mediante </w:t>
      </w:r>
      <w:r w:rsidRPr="00190842">
        <w:rPr>
          <w:lang w:val="es-AR"/>
        </w:rPr>
        <w:t xml:space="preserve">la </w:t>
      </w:r>
      <w:r w:rsidR="00190842">
        <w:rPr>
          <w:lang w:val="es-AR"/>
        </w:rPr>
        <w:t>creación de capacidad</w:t>
      </w:r>
      <w:r w:rsidRPr="00190842">
        <w:rPr>
          <w:lang w:val="es-AR"/>
        </w:rPr>
        <w:t xml:space="preserve"> y </w:t>
      </w:r>
      <w:r w:rsidR="00190842">
        <w:rPr>
          <w:lang w:val="es-AR"/>
        </w:rPr>
        <w:t>la capacitación</w:t>
      </w:r>
      <w:r w:rsidRPr="00190842">
        <w:rPr>
          <w:lang w:val="es-AR"/>
        </w:rPr>
        <w:t xml:space="preserve"> de</w:t>
      </w:r>
      <w:r w:rsidR="008D3147">
        <w:rPr>
          <w:lang w:val="es-AR"/>
        </w:rPr>
        <w:t xml:space="preserve"> los interesados directos</w:t>
      </w:r>
      <w:r w:rsidRPr="00190842">
        <w:rPr>
          <w:lang w:val="es-AR"/>
        </w:rPr>
        <w:t xml:space="preserve">. </w:t>
      </w:r>
    </w:p>
    <w:p w14:paraId="404C75D3" w14:textId="278CF161" w:rsidR="00306314" w:rsidRPr="00190842" w:rsidRDefault="00306314" w:rsidP="00306314">
      <w:pPr>
        <w:pStyle w:val="Heading1"/>
        <w:rPr>
          <w:lang w:val="es-AR"/>
        </w:rPr>
      </w:pPr>
      <w:r w:rsidRPr="00190842">
        <w:rPr>
          <w:lang w:val="es-AR"/>
        </w:rPr>
        <w:t xml:space="preserve">Los países del </w:t>
      </w:r>
      <w:r w:rsidR="00190842">
        <w:rPr>
          <w:lang w:val="es-AR"/>
        </w:rPr>
        <w:t>Artículo</w:t>
      </w:r>
      <w:r w:rsidRPr="00190842">
        <w:rPr>
          <w:lang w:val="es-AR"/>
        </w:rPr>
        <w:t xml:space="preserve"> 5 con instalaciones de producción </w:t>
      </w:r>
      <w:r w:rsidR="008D3147">
        <w:rPr>
          <w:lang w:val="es-AR"/>
        </w:rPr>
        <w:t xml:space="preserve">de </w:t>
      </w:r>
      <w:r w:rsidR="00190842">
        <w:rPr>
          <w:lang w:val="es-AR"/>
        </w:rPr>
        <w:t>HCFC</w:t>
      </w:r>
      <w:r w:rsidRPr="00190842">
        <w:rPr>
          <w:lang w:val="es-AR"/>
        </w:rPr>
        <w:t xml:space="preserve">-22 </w:t>
      </w:r>
      <w:r w:rsidR="008D3147">
        <w:rPr>
          <w:lang w:val="es-AR"/>
        </w:rPr>
        <w:t xml:space="preserve">deberán </w:t>
      </w:r>
      <w:r w:rsidRPr="00190842">
        <w:rPr>
          <w:lang w:val="es-AR"/>
        </w:rPr>
        <w:t>desarrollar y aplicar política</w:t>
      </w:r>
      <w:r w:rsidR="008D3147">
        <w:rPr>
          <w:lang w:val="es-AR"/>
        </w:rPr>
        <w:t>s</w:t>
      </w:r>
      <w:r w:rsidRPr="00190842">
        <w:rPr>
          <w:lang w:val="es-AR"/>
        </w:rPr>
        <w:t xml:space="preserve"> y </w:t>
      </w:r>
      <w:r w:rsidR="00190842">
        <w:rPr>
          <w:lang w:val="es-AR"/>
        </w:rPr>
        <w:t>reglamentaciones</w:t>
      </w:r>
      <w:r w:rsidRPr="00190842">
        <w:rPr>
          <w:lang w:val="es-AR"/>
        </w:rPr>
        <w:t xml:space="preserve"> </w:t>
      </w:r>
      <w:r w:rsidR="00AE449C">
        <w:rPr>
          <w:lang w:val="es-AR"/>
        </w:rPr>
        <w:t xml:space="preserve">destinadas a </w:t>
      </w:r>
      <w:r w:rsidRPr="00190842">
        <w:rPr>
          <w:lang w:val="es-AR"/>
        </w:rPr>
        <w:t>controlar las emisiones del subproducto HFC-23, y asegura</w:t>
      </w:r>
      <w:r w:rsidR="008D3147">
        <w:rPr>
          <w:lang w:val="es-AR"/>
        </w:rPr>
        <w:t>r</w:t>
      </w:r>
      <w:r w:rsidRPr="00190842">
        <w:rPr>
          <w:lang w:val="es-AR"/>
        </w:rPr>
        <w:t xml:space="preserve"> la presentación de informes al respecto, </w:t>
      </w:r>
      <w:r w:rsidR="00190842">
        <w:rPr>
          <w:lang w:val="es-AR"/>
        </w:rPr>
        <w:t>inclusive</w:t>
      </w:r>
      <w:r w:rsidRPr="00190842">
        <w:rPr>
          <w:lang w:val="es-AR"/>
        </w:rPr>
        <w:t xml:space="preserve"> las cantidades de</w:t>
      </w:r>
      <w:r w:rsidR="008D3147">
        <w:rPr>
          <w:lang w:val="es-AR"/>
        </w:rPr>
        <w:t xml:space="preserve"> dicho s</w:t>
      </w:r>
      <w:r w:rsidRPr="00190842">
        <w:rPr>
          <w:lang w:val="es-AR"/>
        </w:rPr>
        <w:t>ubproducto</w:t>
      </w:r>
      <w:r w:rsidR="008D3147">
        <w:rPr>
          <w:lang w:val="es-AR"/>
        </w:rPr>
        <w:t>,</w:t>
      </w:r>
      <w:r w:rsidRPr="00190842">
        <w:rPr>
          <w:lang w:val="es-AR"/>
        </w:rPr>
        <w:t xml:space="preserve"> generadas y emitidas. Además, los países del </w:t>
      </w:r>
      <w:r w:rsidR="00190842">
        <w:rPr>
          <w:lang w:val="es-AR"/>
        </w:rPr>
        <w:t>Artículo</w:t>
      </w:r>
      <w:r w:rsidRPr="00190842">
        <w:rPr>
          <w:lang w:val="es-AR"/>
        </w:rPr>
        <w:t xml:space="preserve"> 5 </w:t>
      </w:r>
      <w:r w:rsidR="008D3147">
        <w:rPr>
          <w:lang w:val="es-AR"/>
        </w:rPr>
        <w:t xml:space="preserve">que producen </w:t>
      </w:r>
      <w:r w:rsidRPr="00190842">
        <w:rPr>
          <w:lang w:val="es-AR"/>
        </w:rPr>
        <w:t xml:space="preserve">HFC </w:t>
      </w:r>
      <w:r w:rsidR="008D3147">
        <w:rPr>
          <w:lang w:val="es-AR"/>
        </w:rPr>
        <w:t xml:space="preserve">deberán reducir </w:t>
      </w:r>
      <w:r w:rsidRPr="00190842">
        <w:rPr>
          <w:lang w:val="es-AR"/>
        </w:rPr>
        <w:t>esa producción conforme a los ob</w:t>
      </w:r>
      <w:r w:rsidR="008D3147">
        <w:rPr>
          <w:lang w:val="es-AR"/>
        </w:rPr>
        <w:t>jetivos de cumplimiento</w:t>
      </w:r>
      <w:r w:rsidRPr="00190842">
        <w:rPr>
          <w:lang w:val="es-AR"/>
        </w:rPr>
        <w:t xml:space="preserve"> especificados en el </w:t>
      </w:r>
      <w:r w:rsidR="00190842">
        <w:rPr>
          <w:lang w:val="es-AR"/>
        </w:rPr>
        <w:t>Protocolo</w:t>
      </w:r>
      <w:r w:rsidRPr="00190842">
        <w:rPr>
          <w:lang w:val="es-AR"/>
        </w:rPr>
        <w:t xml:space="preserve"> de Montreal, </w:t>
      </w:r>
      <w:r w:rsidR="008D3147">
        <w:rPr>
          <w:lang w:val="es-AR"/>
        </w:rPr>
        <w:t>e</w:t>
      </w:r>
      <w:r w:rsidRPr="00190842">
        <w:rPr>
          <w:lang w:val="es-AR"/>
        </w:rPr>
        <w:t xml:space="preserve"> </w:t>
      </w:r>
      <w:r w:rsidR="00190842">
        <w:rPr>
          <w:lang w:val="es-AR"/>
        </w:rPr>
        <w:t>inform</w:t>
      </w:r>
      <w:r w:rsidRPr="00190842">
        <w:rPr>
          <w:lang w:val="es-AR"/>
        </w:rPr>
        <w:t>a</w:t>
      </w:r>
      <w:r w:rsidR="008D3147">
        <w:rPr>
          <w:lang w:val="es-AR"/>
        </w:rPr>
        <w:t>r</w:t>
      </w:r>
      <w:r w:rsidRPr="00190842">
        <w:rPr>
          <w:lang w:val="es-AR"/>
        </w:rPr>
        <w:t xml:space="preserve"> su producción de HFC.</w:t>
      </w:r>
    </w:p>
    <w:p w14:paraId="5050EC87" w14:textId="1CC41078" w:rsidR="00306314" w:rsidRPr="00190842" w:rsidRDefault="008D3147" w:rsidP="00306314">
      <w:pPr>
        <w:pStyle w:val="Heading1"/>
        <w:numPr>
          <w:ilvl w:val="0"/>
          <w:numId w:val="0"/>
        </w:numPr>
        <w:rPr>
          <w:lang w:val="es-AR"/>
        </w:rPr>
      </w:pPr>
      <w:r>
        <w:rPr>
          <w:i/>
          <w:lang w:val="es-AR"/>
        </w:rPr>
        <w:t>P</w:t>
      </w:r>
      <w:r w:rsidR="00171208">
        <w:rPr>
          <w:i/>
          <w:lang w:val="es-AR"/>
        </w:rPr>
        <w:t>resentación de datos</w:t>
      </w:r>
      <w:r w:rsidR="00306314" w:rsidRPr="00190842">
        <w:rPr>
          <w:i/>
          <w:lang w:val="es-AR"/>
        </w:rPr>
        <w:t xml:space="preserve"> bajo el programa de país y </w:t>
      </w:r>
      <w:r w:rsidR="00190842">
        <w:rPr>
          <w:i/>
          <w:lang w:val="es-AR"/>
        </w:rPr>
        <w:t>en virtud del Artículo</w:t>
      </w:r>
      <w:r w:rsidR="00306314" w:rsidRPr="00190842">
        <w:rPr>
          <w:i/>
          <w:lang w:val="es-AR"/>
        </w:rPr>
        <w:t xml:space="preserve"> 7 del </w:t>
      </w:r>
      <w:r w:rsidR="00190842">
        <w:rPr>
          <w:i/>
          <w:lang w:val="es-AR"/>
        </w:rPr>
        <w:t>Protocolo</w:t>
      </w:r>
    </w:p>
    <w:p w14:paraId="4B8EDED1" w14:textId="05C76EFE" w:rsidR="00306314" w:rsidRPr="008D3147" w:rsidRDefault="00306314" w:rsidP="00306314">
      <w:pPr>
        <w:pStyle w:val="Heading1"/>
        <w:rPr>
          <w:lang w:val="es-AR"/>
        </w:rPr>
      </w:pPr>
      <w:r w:rsidRPr="008D3147">
        <w:rPr>
          <w:rStyle w:val="FootnoteReference"/>
          <w:vertAlign w:val="baseline"/>
          <w:lang w:val="es-AR"/>
        </w:rPr>
        <w:t xml:space="preserve">Los países del </w:t>
      </w:r>
      <w:r w:rsidR="00190842" w:rsidRPr="008D3147">
        <w:rPr>
          <w:rStyle w:val="FootnoteReference"/>
          <w:vertAlign w:val="baseline"/>
          <w:lang w:val="es-AR"/>
        </w:rPr>
        <w:t>Artículo</w:t>
      </w:r>
      <w:r w:rsidRPr="008D3147">
        <w:rPr>
          <w:rStyle w:val="FootnoteReference"/>
          <w:vertAlign w:val="baseline"/>
          <w:lang w:val="es-AR"/>
        </w:rPr>
        <w:t xml:space="preserve"> 5 </w:t>
      </w:r>
      <w:r w:rsidR="008D3147">
        <w:rPr>
          <w:lang w:val="es-AR"/>
        </w:rPr>
        <w:t xml:space="preserve">deberán </w:t>
      </w:r>
      <w:r w:rsidRPr="008D3147">
        <w:rPr>
          <w:rStyle w:val="FootnoteReference"/>
          <w:vertAlign w:val="baseline"/>
          <w:lang w:val="es-AR"/>
        </w:rPr>
        <w:t xml:space="preserve">desarrollar y </w:t>
      </w:r>
      <w:r w:rsidR="008D3147">
        <w:rPr>
          <w:rStyle w:val="FootnoteReference"/>
          <w:vertAlign w:val="baseline"/>
          <w:lang w:val="es-AR"/>
        </w:rPr>
        <w:t xml:space="preserve">aplicar </w:t>
      </w:r>
      <w:r w:rsidR="00190842" w:rsidRPr="008D3147">
        <w:rPr>
          <w:rStyle w:val="FootnoteReference"/>
          <w:vertAlign w:val="baseline"/>
          <w:lang w:val="es-AR"/>
        </w:rPr>
        <w:t>más</w:t>
      </w:r>
      <w:r w:rsidRPr="008D3147">
        <w:rPr>
          <w:rStyle w:val="FootnoteReference"/>
          <w:vertAlign w:val="baseline"/>
          <w:lang w:val="es-AR"/>
        </w:rPr>
        <w:t xml:space="preserve"> las metodologías para la recopilación</w:t>
      </w:r>
      <w:r w:rsidR="008D3147">
        <w:rPr>
          <w:lang w:val="es-AR"/>
        </w:rPr>
        <w:t xml:space="preserve"> y verificación</w:t>
      </w:r>
      <w:r w:rsidRPr="008D3147">
        <w:rPr>
          <w:rStyle w:val="FootnoteReference"/>
          <w:vertAlign w:val="baseline"/>
          <w:lang w:val="es-AR"/>
        </w:rPr>
        <w:t xml:space="preserve"> de datos, y la presentación de informes,</w:t>
      </w:r>
      <w:r w:rsidRPr="008D3147">
        <w:rPr>
          <w:rStyle w:val="FootnoteReference"/>
          <w:lang w:val="es-AR"/>
        </w:rPr>
        <w:footnoteReference w:id="21"/>
      </w:r>
      <w:r w:rsidRPr="008D3147">
        <w:rPr>
          <w:lang w:val="es-AR"/>
        </w:rPr>
        <w:t xml:space="preserve"> observando</w:t>
      </w:r>
      <w:r w:rsidR="008D3147">
        <w:rPr>
          <w:lang w:val="es-AR"/>
        </w:rPr>
        <w:t>,</w:t>
      </w:r>
      <w:r w:rsidRPr="008D3147">
        <w:rPr>
          <w:lang w:val="es-AR"/>
        </w:rPr>
        <w:t xml:space="preserve"> entre otras cosa</w:t>
      </w:r>
      <w:r w:rsidR="008D3147">
        <w:rPr>
          <w:lang w:val="es-AR"/>
        </w:rPr>
        <w:t>s</w:t>
      </w:r>
      <w:r w:rsidR="008D3147" w:rsidRPr="008D3147">
        <w:rPr>
          <w:lang w:val="es-AR"/>
        </w:rPr>
        <w:t>,</w:t>
      </w:r>
      <w:r w:rsidRPr="008D3147">
        <w:rPr>
          <w:i/>
          <w:lang w:val="es-AR"/>
        </w:rPr>
        <w:t xml:space="preserve"> </w:t>
      </w:r>
      <w:r w:rsidRPr="008D3147">
        <w:rPr>
          <w:lang w:val="es-AR"/>
        </w:rPr>
        <w:t xml:space="preserve">que la falta actual de códigos de aduanas específicos en el sistema armonizado presenta </w:t>
      </w:r>
      <w:r w:rsidR="008D3147">
        <w:rPr>
          <w:lang w:val="es-AR"/>
        </w:rPr>
        <w:t xml:space="preserve">dificultades </w:t>
      </w:r>
      <w:r w:rsidRPr="008D3147">
        <w:rPr>
          <w:lang w:val="es-AR"/>
        </w:rPr>
        <w:t>con respecto al establecimiento de</w:t>
      </w:r>
      <w:r w:rsidR="008D3147">
        <w:rPr>
          <w:lang w:val="es-AR"/>
        </w:rPr>
        <w:t>l sistema de licencias y cuotas de</w:t>
      </w:r>
      <w:r w:rsidR="00AE449C">
        <w:rPr>
          <w:lang w:val="es-AR"/>
        </w:rPr>
        <w:t xml:space="preserve"> los</w:t>
      </w:r>
      <w:r w:rsidR="008D3147">
        <w:rPr>
          <w:lang w:val="es-AR"/>
        </w:rPr>
        <w:t xml:space="preserve"> </w:t>
      </w:r>
      <w:r w:rsidRPr="008D3147">
        <w:rPr>
          <w:lang w:val="es-AR"/>
        </w:rPr>
        <w:t>HFC y</w:t>
      </w:r>
      <w:r w:rsidR="00AE449C">
        <w:rPr>
          <w:lang w:val="es-AR"/>
        </w:rPr>
        <w:t xml:space="preserve"> a</w:t>
      </w:r>
      <w:r w:rsidRPr="008D3147">
        <w:rPr>
          <w:lang w:val="es-AR"/>
        </w:rPr>
        <w:t xml:space="preserve"> la capacidad de los oficiales de aduanas de identificar correctamente </w:t>
      </w:r>
      <w:r w:rsidR="008D3147">
        <w:rPr>
          <w:lang w:val="es-AR"/>
        </w:rPr>
        <w:t>los embarques</w:t>
      </w:r>
      <w:r w:rsidRPr="008D3147">
        <w:rPr>
          <w:lang w:val="es-AR"/>
        </w:rPr>
        <w:t>;</w:t>
      </w:r>
      <w:r w:rsidRPr="008D3147">
        <w:rPr>
          <w:rStyle w:val="FootnoteReference"/>
          <w:lang w:val="es-AR"/>
        </w:rPr>
        <w:footnoteReference w:id="22"/>
      </w:r>
      <w:r w:rsidRPr="008D3147">
        <w:rPr>
          <w:lang w:val="es-AR"/>
        </w:rPr>
        <w:t xml:space="preserve"> que varios</w:t>
      </w:r>
      <w:r w:rsidR="00190842" w:rsidRPr="008D3147">
        <w:rPr>
          <w:lang w:val="es-AR"/>
        </w:rPr>
        <w:t xml:space="preserve"> de los HFC</w:t>
      </w:r>
      <w:r w:rsidRPr="008D3147">
        <w:rPr>
          <w:lang w:val="es-AR"/>
        </w:rPr>
        <w:t xml:space="preserve"> </w:t>
      </w:r>
      <w:r w:rsidR="00A602DC">
        <w:rPr>
          <w:lang w:val="es-AR"/>
        </w:rPr>
        <w:t xml:space="preserve">se utilizan </w:t>
      </w:r>
      <w:r w:rsidRPr="008D3147">
        <w:rPr>
          <w:lang w:val="es-AR"/>
        </w:rPr>
        <w:t xml:space="preserve">en mezclas </w:t>
      </w:r>
      <w:r w:rsidR="00A602DC">
        <w:rPr>
          <w:lang w:val="es-AR"/>
        </w:rPr>
        <w:t xml:space="preserve">más que formas puras </w:t>
      </w:r>
      <w:r w:rsidRPr="008D3147">
        <w:rPr>
          <w:lang w:val="es-AR"/>
        </w:rPr>
        <w:t xml:space="preserve">y que las mezclas constituirán la </w:t>
      </w:r>
      <w:r w:rsidR="00A602DC">
        <w:rPr>
          <w:lang w:val="es-AR"/>
        </w:rPr>
        <w:t xml:space="preserve">mayor </w:t>
      </w:r>
      <w:r w:rsidRPr="008D3147">
        <w:rPr>
          <w:lang w:val="es-AR"/>
        </w:rPr>
        <w:t>parte de</w:t>
      </w:r>
      <w:r w:rsidR="00A602DC">
        <w:rPr>
          <w:lang w:val="es-AR"/>
        </w:rPr>
        <w:t>l</w:t>
      </w:r>
      <w:r w:rsidRPr="008D3147">
        <w:rPr>
          <w:lang w:val="es-AR"/>
        </w:rPr>
        <w:t xml:space="preserve"> consumo de HFC; y que </w:t>
      </w:r>
      <w:r w:rsidR="00A602DC" w:rsidRPr="008D3147">
        <w:rPr>
          <w:lang w:val="es-AR"/>
        </w:rPr>
        <w:t xml:space="preserve">los países con empresas de producción </w:t>
      </w:r>
      <w:r w:rsidR="00A602DC">
        <w:rPr>
          <w:lang w:val="es-AR"/>
        </w:rPr>
        <w:t xml:space="preserve">del </w:t>
      </w:r>
      <w:r w:rsidR="00A602DC" w:rsidRPr="008D3147">
        <w:rPr>
          <w:lang w:val="es-AR"/>
        </w:rPr>
        <w:t>HCFC-22</w:t>
      </w:r>
      <w:r w:rsidR="00A602DC">
        <w:rPr>
          <w:lang w:val="es-AR"/>
        </w:rPr>
        <w:t xml:space="preserve"> deberán </w:t>
      </w:r>
      <w:r w:rsidR="00D86349">
        <w:rPr>
          <w:lang w:val="es-AR"/>
        </w:rPr>
        <w:t xml:space="preserve">solucionar </w:t>
      </w:r>
      <w:r w:rsidRPr="008D3147">
        <w:rPr>
          <w:lang w:val="es-AR"/>
        </w:rPr>
        <w:t xml:space="preserve">las emisiones del subproducto HFC-23. </w:t>
      </w:r>
    </w:p>
    <w:p w14:paraId="4306E7B8" w14:textId="73915280" w:rsidR="00306314" w:rsidRPr="00190842" w:rsidRDefault="00306314" w:rsidP="00306314">
      <w:pPr>
        <w:pStyle w:val="Heading1"/>
        <w:rPr>
          <w:lang w:val="es-AR"/>
        </w:rPr>
      </w:pPr>
      <w:r w:rsidRPr="00190842">
        <w:rPr>
          <w:lang w:val="es-AR"/>
        </w:rPr>
        <w:t xml:space="preserve">La </w:t>
      </w:r>
      <w:r w:rsidR="00E17069">
        <w:rPr>
          <w:lang w:val="es-AR"/>
        </w:rPr>
        <w:t>dependencia nacional del ozono</w:t>
      </w:r>
      <w:r w:rsidRPr="00190842">
        <w:rPr>
          <w:lang w:val="es-AR"/>
        </w:rPr>
        <w:t xml:space="preserve"> </w:t>
      </w:r>
      <w:r w:rsidR="00393B3C">
        <w:rPr>
          <w:lang w:val="es-AR"/>
        </w:rPr>
        <w:t>seguir</w:t>
      </w:r>
      <w:r w:rsidRPr="00190842">
        <w:rPr>
          <w:lang w:val="es-AR"/>
        </w:rPr>
        <w:t xml:space="preserve">á trabajando </w:t>
      </w:r>
      <w:r w:rsidR="00A602DC">
        <w:rPr>
          <w:lang w:val="es-AR"/>
        </w:rPr>
        <w:t xml:space="preserve">junto con los oficiales de </w:t>
      </w:r>
      <w:r w:rsidRPr="00190842">
        <w:rPr>
          <w:lang w:val="es-AR"/>
        </w:rPr>
        <w:t xml:space="preserve">aduanas y </w:t>
      </w:r>
      <w:r w:rsidR="00190842">
        <w:rPr>
          <w:lang w:val="es-AR"/>
        </w:rPr>
        <w:t>responsables de aplicar las reglamentaciones</w:t>
      </w:r>
      <w:r w:rsidRPr="00190842">
        <w:rPr>
          <w:lang w:val="es-AR"/>
        </w:rPr>
        <w:t xml:space="preserve"> para </w:t>
      </w:r>
      <w:r w:rsidR="00A602DC">
        <w:rPr>
          <w:lang w:val="es-AR"/>
        </w:rPr>
        <w:t>lograr el cumplimiento</w:t>
      </w:r>
      <w:r w:rsidRPr="00190842">
        <w:rPr>
          <w:lang w:val="es-AR"/>
        </w:rPr>
        <w:t xml:space="preserve"> con los objetivos del </w:t>
      </w:r>
      <w:r w:rsidR="00190842">
        <w:rPr>
          <w:lang w:val="es-AR"/>
        </w:rPr>
        <w:t>Protocolo</w:t>
      </w:r>
      <w:r w:rsidRPr="00190842">
        <w:rPr>
          <w:lang w:val="es-AR"/>
        </w:rPr>
        <w:t xml:space="preserve"> </w:t>
      </w:r>
      <w:r w:rsidRPr="00190842">
        <w:rPr>
          <w:lang w:val="es-AR"/>
        </w:rPr>
        <w:lastRenderedPageBreak/>
        <w:t xml:space="preserve">de Montreal. </w:t>
      </w:r>
      <w:r w:rsidR="00A602DC">
        <w:rPr>
          <w:lang w:val="es-AR"/>
        </w:rPr>
        <w:t xml:space="preserve">Será necesario contar con </w:t>
      </w:r>
      <w:r w:rsidRPr="00190842">
        <w:rPr>
          <w:lang w:val="es-AR"/>
        </w:rPr>
        <w:t xml:space="preserve">programas de </w:t>
      </w:r>
      <w:r w:rsidR="00190842">
        <w:rPr>
          <w:lang w:val="es-AR"/>
        </w:rPr>
        <w:t>capacitación</w:t>
      </w:r>
      <w:r w:rsidR="00A602DC">
        <w:rPr>
          <w:lang w:val="es-AR"/>
        </w:rPr>
        <w:t>,</w:t>
      </w:r>
      <w:r w:rsidRPr="00190842">
        <w:rPr>
          <w:lang w:val="es-AR"/>
        </w:rPr>
        <w:t xml:space="preserve"> </w:t>
      </w:r>
      <w:r w:rsidRPr="00A602DC">
        <w:rPr>
          <w:lang w:val="es-AR"/>
        </w:rPr>
        <w:t>entre otras cosas</w:t>
      </w:r>
      <w:r w:rsidR="00A602DC" w:rsidRPr="00A602DC">
        <w:rPr>
          <w:lang w:val="es-AR"/>
        </w:rPr>
        <w:t>,</w:t>
      </w:r>
      <w:r w:rsidRPr="00190842">
        <w:rPr>
          <w:i/>
          <w:lang w:val="es-AR"/>
        </w:rPr>
        <w:t xml:space="preserve"> </w:t>
      </w:r>
      <w:r w:rsidRPr="00190842">
        <w:rPr>
          <w:lang w:val="es-AR"/>
        </w:rPr>
        <w:t>para proporcionar una comprensión de la formulación de diversas mezclas de HFC, su potencial de calentamiento atmosférico y la complejidad de la metodología para calcular el consumo, expres</w:t>
      </w:r>
      <w:r w:rsidR="00D86349">
        <w:rPr>
          <w:lang w:val="es-AR"/>
        </w:rPr>
        <w:t>o</w:t>
      </w:r>
      <w:r w:rsidRPr="00190842">
        <w:rPr>
          <w:lang w:val="es-AR"/>
        </w:rPr>
        <w:t xml:space="preserve"> en CO</w:t>
      </w:r>
      <w:r w:rsidRPr="00190842">
        <w:rPr>
          <w:vertAlign w:val="subscript"/>
          <w:lang w:val="es-AR"/>
        </w:rPr>
        <w:t>2</w:t>
      </w:r>
      <w:r w:rsidRPr="00190842">
        <w:rPr>
          <w:lang w:val="es-AR"/>
        </w:rPr>
        <w:t xml:space="preserve">-equivalente. </w:t>
      </w:r>
    </w:p>
    <w:p w14:paraId="7AF457FB" w14:textId="25D97EA6" w:rsidR="00306314" w:rsidRPr="00190842" w:rsidRDefault="00306314" w:rsidP="00306314">
      <w:pPr>
        <w:keepNext/>
        <w:rPr>
          <w:i/>
          <w:lang w:val="es-AR"/>
        </w:rPr>
      </w:pPr>
      <w:r w:rsidRPr="00190842">
        <w:rPr>
          <w:i/>
          <w:lang w:val="es-AR"/>
        </w:rPr>
        <w:t xml:space="preserve">Coordinación con las autoridades gubernamentales y </w:t>
      </w:r>
      <w:r w:rsidR="006A29C6">
        <w:rPr>
          <w:i/>
          <w:lang w:val="es-AR"/>
        </w:rPr>
        <w:t>los interesados directos</w:t>
      </w:r>
    </w:p>
    <w:p w14:paraId="0AE025BB" w14:textId="77777777" w:rsidR="00306314" w:rsidRPr="00190842" w:rsidRDefault="00306314" w:rsidP="00306314">
      <w:pPr>
        <w:rPr>
          <w:lang w:val="es-AR"/>
        </w:rPr>
      </w:pPr>
    </w:p>
    <w:p w14:paraId="54143FFD" w14:textId="34FC8995" w:rsidR="00306314" w:rsidRPr="00190842" w:rsidRDefault="00306314" w:rsidP="00306314">
      <w:pPr>
        <w:pStyle w:val="Heading1"/>
        <w:widowControl w:val="0"/>
        <w:rPr>
          <w:lang w:val="es-AR"/>
        </w:rPr>
      </w:pPr>
      <w:r w:rsidRPr="00190842">
        <w:rPr>
          <w:lang w:val="es-AR"/>
        </w:rPr>
        <w:t xml:space="preserve">La </w:t>
      </w:r>
      <w:r w:rsidR="00E17069">
        <w:rPr>
          <w:lang w:val="es-AR"/>
        </w:rPr>
        <w:t>dependencia nacional del ozono</w:t>
      </w:r>
      <w:r w:rsidRPr="00190842">
        <w:rPr>
          <w:lang w:val="es-AR"/>
        </w:rPr>
        <w:t xml:space="preserve"> desempeñará un papel de coordinación </w:t>
      </w:r>
      <w:r w:rsidR="00190842">
        <w:rPr>
          <w:lang w:val="es-AR"/>
        </w:rPr>
        <w:t>clave</w:t>
      </w:r>
      <w:r w:rsidRPr="00190842">
        <w:rPr>
          <w:lang w:val="es-AR"/>
        </w:rPr>
        <w:t xml:space="preserve"> durante la preparación de la estrategia </w:t>
      </w:r>
      <w:r w:rsidR="00FC7B69">
        <w:rPr>
          <w:lang w:val="es-AR"/>
        </w:rPr>
        <w:t>de reducción de HFC</w:t>
      </w:r>
      <w:r w:rsidRPr="00190842">
        <w:rPr>
          <w:lang w:val="es-AR"/>
        </w:rPr>
        <w:t xml:space="preserve"> y el </w:t>
      </w:r>
      <w:r w:rsidR="006A29C6">
        <w:rPr>
          <w:lang w:val="es-AR"/>
        </w:rPr>
        <w:t>plan de acción</w:t>
      </w:r>
      <w:r w:rsidRPr="00190842">
        <w:rPr>
          <w:lang w:val="es-AR"/>
        </w:rPr>
        <w:t xml:space="preserve"> </w:t>
      </w:r>
      <w:r w:rsidR="006A29C6">
        <w:rPr>
          <w:lang w:val="es-AR"/>
        </w:rPr>
        <w:t xml:space="preserve">para </w:t>
      </w:r>
      <w:r w:rsidRPr="00190842">
        <w:rPr>
          <w:lang w:val="es-AR"/>
        </w:rPr>
        <w:t xml:space="preserve">cumplir </w:t>
      </w:r>
      <w:r w:rsidR="006A29C6">
        <w:rPr>
          <w:lang w:val="es-AR"/>
        </w:rPr>
        <w:t xml:space="preserve">con las obligaciones </w:t>
      </w:r>
      <w:r w:rsidRPr="00190842">
        <w:rPr>
          <w:lang w:val="es-AR"/>
        </w:rPr>
        <w:t xml:space="preserve">del país </w:t>
      </w:r>
      <w:r w:rsidR="00A70C96">
        <w:rPr>
          <w:lang w:val="es-AR"/>
        </w:rPr>
        <w:t>bajo la Enmienda</w:t>
      </w:r>
      <w:r w:rsidRPr="00190842">
        <w:rPr>
          <w:lang w:val="es-AR"/>
        </w:rPr>
        <w:t xml:space="preserve"> de Kigali, y en </w:t>
      </w:r>
      <w:r w:rsidR="006A29C6">
        <w:rPr>
          <w:lang w:val="es-AR"/>
        </w:rPr>
        <w:t xml:space="preserve">la gestión </w:t>
      </w:r>
      <w:r w:rsidRPr="00190842">
        <w:rPr>
          <w:lang w:val="es-AR"/>
        </w:rPr>
        <w:t xml:space="preserve">de la ayuda financiera del </w:t>
      </w:r>
      <w:r w:rsidR="00190842">
        <w:rPr>
          <w:lang w:val="es-AR"/>
        </w:rPr>
        <w:t>Fondo Multilateral</w:t>
      </w:r>
      <w:r w:rsidRPr="00190842">
        <w:rPr>
          <w:lang w:val="es-AR"/>
        </w:rPr>
        <w:t xml:space="preserve">. </w:t>
      </w:r>
    </w:p>
    <w:p w14:paraId="27E7AA93" w14:textId="4FBBB0B8" w:rsidR="00306314" w:rsidRPr="00190842" w:rsidRDefault="00306314" w:rsidP="00306314">
      <w:pPr>
        <w:pStyle w:val="Heading1"/>
        <w:widowControl w:val="0"/>
        <w:rPr>
          <w:lang w:val="es-AR"/>
        </w:rPr>
      </w:pPr>
      <w:r w:rsidRPr="00190842">
        <w:rPr>
          <w:lang w:val="es-AR"/>
        </w:rPr>
        <w:t xml:space="preserve">Similar a </w:t>
      </w:r>
      <w:r w:rsidR="006A29C6">
        <w:rPr>
          <w:lang w:val="es-AR"/>
        </w:rPr>
        <w:t>las estrategias de eliminación de SAO</w:t>
      </w:r>
      <w:r w:rsidRPr="00190842">
        <w:rPr>
          <w:lang w:val="es-AR"/>
        </w:rPr>
        <w:t xml:space="preserve">, la estrategia </w:t>
      </w:r>
      <w:r w:rsidR="00FC7B69">
        <w:rPr>
          <w:lang w:val="es-AR"/>
        </w:rPr>
        <w:t>de reducción de HFC</w:t>
      </w:r>
      <w:r w:rsidRPr="00190842">
        <w:rPr>
          <w:lang w:val="es-AR"/>
        </w:rPr>
        <w:t xml:space="preserve"> debe </w:t>
      </w:r>
      <w:r w:rsidR="006A29C6">
        <w:rPr>
          <w:lang w:val="es-AR"/>
        </w:rPr>
        <w:t xml:space="preserve">integrarse en los </w:t>
      </w:r>
      <w:r w:rsidRPr="00190842">
        <w:rPr>
          <w:lang w:val="es-AR"/>
        </w:rPr>
        <w:t xml:space="preserve">planes nacionales, </w:t>
      </w:r>
      <w:r w:rsidR="006A29C6">
        <w:rPr>
          <w:lang w:val="es-AR"/>
        </w:rPr>
        <w:t xml:space="preserve">en estrecha consulta </w:t>
      </w:r>
      <w:r w:rsidRPr="00190842">
        <w:rPr>
          <w:lang w:val="es-AR"/>
        </w:rPr>
        <w:t>con los responsables</w:t>
      </w:r>
      <w:r w:rsidR="006A29C6">
        <w:rPr>
          <w:lang w:val="es-AR"/>
        </w:rPr>
        <w:t xml:space="preserve"> de la toma de decisiones</w:t>
      </w:r>
      <w:r w:rsidRPr="00190842">
        <w:rPr>
          <w:lang w:val="es-AR"/>
        </w:rPr>
        <w:t xml:space="preserve"> y </w:t>
      </w:r>
      <w:r w:rsidR="006A29C6">
        <w:rPr>
          <w:lang w:val="es-AR"/>
        </w:rPr>
        <w:t>los interesados directos</w:t>
      </w:r>
      <w:r w:rsidRPr="00190842">
        <w:rPr>
          <w:lang w:val="es-AR"/>
        </w:rPr>
        <w:t xml:space="preserve"> pertinentes (</w:t>
      </w:r>
      <w:r w:rsidR="00A70C96">
        <w:rPr>
          <w:lang w:val="es-AR"/>
        </w:rPr>
        <w:t>por ej.</w:t>
      </w:r>
      <w:r w:rsidRPr="00190842">
        <w:rPr>
          <w:lang w:val="es-AR"/>
        </w:rPr>
        <w:t>, las aduanas y autoridades encargadas de la aplicación</w:t>
      </w:r>
      <w:r w:rsidR="006A29C6">
        <w:rPr>
          <w:lang w:val="es-AR"/>
        </w:rPr>
        <w:t xml:space="preserve"> de las reglamentaciones</w:t>
      </w:r>
      <w:r w:rsidRPr="00190842">
        <w:rPr>
          <w:lang w:val="es-AR"/>
        </w:rPr>
        <w:t xml:space="preserve">; instituciones de </w:t>
      </w:r>
      <w:r w:rsidR="00190842">
        <w:rPr>
          <w:lang w:val="es-AR"/>
        </w:rPr>
        <w:t>capacitación</w:t>
      </w:r>
      <w:r w:rsidRPr="00190842">
        <w:rPr>
          <w:lang w:val="es-AR"/>
        </w:rPr>
        <w:t xml:space="preserve">/escuelas de formación profesional para los </w:t>
      </w:r>
      <w:r w:rsidR="00190842">
        <w:rPr>
          <w:lang w:val="es-AR"/>
        </w:rPr>
        <w:t>técnicos en refrigeración</w:t>
      </w:r>
      <w:r w:rsidRPr="00190842">
        <w:rPr>
          <w:lang w:val="es-AR"/>
        </w:rPr>
        <w:t xml:space="preserve">; </w:t>
      </w:r>
      <w:r w:rsidR="006A29C6">
        <w:rPr>
          <w:lang w:val="es-AR"/>
        </w:rPr>
        <w:t xml:space="preserve">las </w:t>
      </w:r>
      <w:r w:rsidRPr="00190842">
        <w:rPr>
          <w:lang w:val="es-AR"/>
        </w:rPr>
        <w:t xml:space="preserve">asociaciones de refrigeración y organizaciones </w:t>
      </w:r>
      <w:r w:rsidR="006A29C6">
        <w:rPr>
          <w:lang w:val="es-AR"/>
        </w:rPr>
        <w:t>comerciales</w:t>
      </w:r>
      <w:r w:rsidRPr="00190842">
        <w:rPr>
          <w:lang w:val="es-AR"/>
        </w:rPr>
        <w:t xml:space="preserve">; y sectores industriales </w:t>
      </w:r>
      <w:r w:rsidR="006A29C6">
        <w:rPr>
          <w:lang w:val="es-AR"/>
        </w:rPr>
        <w:t xml:space="preserve">que utilizan </w:t>
      </w:r>
      <w:r w:rsidRPr="00190842">
        <w:rPr>
          <w:lang w:val="es-AR"/>
        </w:rPr>
        <w:t xml:space="preserve">las </w:t>
      </w:r>
      <w:r w:rsidR="006A29C6">
        <w:rPr>
          <w:lang w:val="es-AR"/>
        </w:rPr>
        <w:t>sustancias</w:t>
      </w:r>
      <w:r w:rsidRPr="00190842">
        <w:rPr>
          <w:lang w:val="es-AR"/>
        </w:rPr>
        <w:t xml:space="preserve"> controladas). </w:t>
      </w:r>
      <w:r w:rsidR="0086379D">
        <w:rPr>
          <w:lang w:val="es-AR"/>
        </w:rPr>
        <w:t xml:space="preserve">Se deberían </w:t>
      </w:r>
      <w:r w:rsidR="00C34F00">
        <w:rPr>
          <w:lang w:val="es-AR"/>
        </w:rPr>
        <w:t xml:space="preserve">desarrollar </w:t>
      </w:r>
      <w:r w:rsidRPr="00190842">
        <w:rPr>
          <w:lang w:val="es-AR"/>
        </w:rPr>
        <w:t xml:space="preserve">políticas para apoyar la selección y la adopción de tecnologías alternativas </w:t>
      </w:r>
      <w:r w:rsidR="00C34F00">
        <w:rPr>
          <w:lang w:val="es-AR"/>
        </w:rPr>
        <w:t xml:space="preserve">en condiciones de seguridad </w:t>
      </w:r>
      <w:r w:rsidRPr="00190842">
        <w:rPr>
          <w:lang w:val="es-AR"/>
        </w:rPr>
        <w:t xml:space="preserve">y </w:t>
      </w:r>
      <w:r w:rsidR="00C34F00">
        <w:rPr>
          <w:lang w:val="es-AR"/>
        </w:rPr>
        <w:t xml:space="preserve">aplicarse tomando en consideración las necesidades </w:t>
      </w:r>
      <w:r w:rsidRPr="00190842">
        <w:rPr>
          <w:lang w:val="es-AR"/>
        </w:rPr>
        <w:t xml:space="preserve">nacionales </w:t>
      </w:r>
      <w:r w:rsidR="00190842">
        <w:rPr>
          <w:lang w:val="es-AR"/>
        </w:rPr>
        <w:t>inclusive</w:t>
      </w:r>
      <w:r w:rsidRPr="00190842">
        <w:rPr>
          <w:lang w:val="es-AR"/>
        </w:rPr>
        <w:t xml:space="preserve"> </w:t>
      </w:r>
      <w:r w:rsidR="0086379D">
        <w:rPr>
          <w:lang w:val="es-AR"/>
        </w:rPr>
        <w:t xml:space="preserve">la </w:t>
      </w:r>
      <w:r w:rsidR="00C34F00">
        <w:rPr>
          <w:lang w:val="es-AR"/>
        </w:rPr>
        <w:t>eficiencia energética</w:t>
      </w:r>
      <w:r w:rsidRPr="00190842">
        <w:rPr>
          <w:lang w:val="es-AR"/>
        </w:rPr>
        <w:t xml:space="preserve"> </w:t>
      </w:r>
      <w:r w:rsidR="0086379D">
        <w:rPr>
          <w:lang w:val="es-AR"/>
        </w:rPr>
        <w:t>y</w:t>
      </w:r>
      <w:r w:rsidRPr="00190842">
        <w:rPr>
          <w:lang w:val="es-AR"/>
        </w:rPr>
        <w:t xml:space="preserve"> </w:t>
      </w:r>
      <w:r w:rsidR="00C34F00">
        <w:rPr>
          <w:lang w:val="es-AR"/>
        </w:rPr>
        <w:t xml:space="preserve">posibles </w:t>
      </w:r>
      <w:r w:rsidRPr="00190842">
        <w:rPr>
          <w:lang w:val="es-AR"/>
        </w:rPr>
        <w:t>impactos ambient</w:t>
      </w:r>
      <w:r w:rsidR="00C34F00">
        <w:rPr>
          <w:lang w:val="es-AR"/>
        </w:rPr>
        <w:t>ales</w:t>
      </w:r>
      <w:r w:rsidRPr="00190842">
        <w:rPr>
          <w:lang w:val="es-AR"/>
        </w:rPr>
        <w:t>, particularmente en el clima, observando que todavía hay un número limitado de tecnologías alternativas disponibles para algunos usos.</w:t>
      </w:r>
    </w:p>
    <w:p w14:paraId="7D877ED3" w14:textId="12256631" w:rsidR="00306314" w:rsidRPr="00190842" w:rsidRDefault="00C34F00" w:rsidP="00306314">
      <w:pPr>
        <w:pStyle w:val="Heading1"/>
        <w:rPr>
          <w:lang w:val="es-AR"/>
        </w:rPr>
      </w:pPr>
      <w:r>
        <w:rPr>
          <w:lang w:val="es-AR"/>
        </w:rPr>
        <w:t>Asimismo</w:t>
      </w:r>
      <w:r w:rsidR="0086379D">
        <w:rPr>
          <w:lang w:val="es-AR"/>
        </w:rPr>
        <w:t>,</w:t>
      </w:r>
      <w:r>
        <w:rPr>
          <w:lang w:val="es-AR"/>
        </w:rPr>
        <w:t xml:space="preserve"> se</w:t>
      </w:r>
      <w:r w:rsidR="0086379D">
        <w:rPr>
          <w:lang w:val="es-AR"/>
        </w:rPr>
        <w:t xml:space="preserve"> deber</w:t>
      </w:r>
      <w:r>
        <w:rPr>
          <w:lang w:val="es-AR"/>
        </w:rPr>
        <w:t xml:space="preserve">án </w:t>
      </w:r>
      <w:r w:rsidR="0086379D">
        <w:rPr>
          <w:lang w:val="es-AR"/>
        </w:rPr>
        <w:t xml:space="preserve">hacer </w:t>
      </w:r>
      <w:r w:rsidR="00306314" w:rsidRPr="00190842">
        <w:rPr>
          <w:lang w:val="es-AR"/>
        </w:rPr>
        <w:t xml:space="preserve">consultas </w:t>
      </w:r>
      <w:r w:rsidR="0086379D">
        <w:rPr>
          <w:lang w:val="es-AR"/>
        </w:rPr>
        <w:t>con</w:t>
      </w:r>
      <w:r w:rsidR="00306314" w:rsidRPr="00190842">
        <w:rPr>
          <w:lang w:val="es-AR"/>
        </w:rPr>
        <w:t xml:space="preserve"> las autoridades gubernamentales y otros </w:t>
      </w:r>
      <w:r w:rsidR="00A70C96">
        <w:rPr>
          <w:lang w:val="es-AR"/>
        </w:rPr>
        <w:t>interesados directos</w:t>
      </w:r>
      <w:r w:rsidR="00306314" w:rsidRPr="00190842">
        <w:rPr>
          <w:lang w:val="es-AR"/>
        </w:rPr>
        <w:t xml:space="preserve"> responsables de </w:t>
      </w:r>
      <w:r w:rsidR="0086379D">
        <w:rPr>
          <w:lang w:val="es-AR"/>
        </w:rPr>
        <w:t xml:space="preserve">los </w:t>
      </w:r>
      <w:r>
        <w:rPr>
          <w:lang w:val="es-AR"/>
        </w:rPr>
        <w:t>c</w:t>
      </w:r>
      <w:r w:rsidR="00306314" w:rsidRPr="00190842">
        <w:rPr>
          <w:lang w:val="es-AR"/>
        </w:rPr>
        <w:t>ambios climáticos y l</w:t>
      </w:r>
      <w:r>
        <w:rPr>
          <w:lang w:val="es-AR"/>
        </w:rPr>
        <w:t>a</w:t>
      </w:r>
      <w:r w:rsidR="00306314" w:rsidRPr="00190842">
        <w:rPr>
          <w:lang w:val="es-AR"/>
        </w:rPr>
        <w:t xml:space="preserve"> </w:t>
      </w:r>
      <w:r w:rsidR="00A70C96">
        <w:rPr>
          <w:lang w:val="es-AR"/>
        </w:rPr>
        <w:t>eficiencia energética</w:t>
      </w:r>
      <w:r w:rsidR="00306314" w:rsidRPr="00190842">
        <w:rPr>
          <w:lang w:val="es-AR"/>
        </w:rPr>
        <w:t xml:space="preserve">, para asegurar un </w:t>
      </w:r>
      <w:r w:rsidR="00190842">
        <w:rPr>
          <w:lang w:val="es-AR"/>
        </w:rPr>
        <w:t>enfoque</w:t>
      </w:r>
      <w:r w:rsidR="00306314" w:rsidRPr="00190842">
        <w:rPr>
          <w:lang w:val="es-AR"/>
        </w:rPr>
        <w:t xml:space="preserve"> </w:t>
      </w:r>
      <w:r>
        <w:rPr>
          <w:lang w:val="es-AR"/>
        </w:rPr>
        <w:t>racionalizado</w:t>
      </w:r>
      <w:r w:rsidR="00306314" w:rsidRPr="00190842">
        <w:rPr>
          <w:lang w:val="es-AR"/>
        </w:rPr>
        <w:t xml:space="preserve"> </w:t>
      </w:r>
      <w:r>
        <w:rPr>
          <w:lang w:val="es-AR"/>
        </w:rPr>
        <w:t>de</w:t>
      </w:r>
      <w:r w:rsidR="00306314" w:rsidRPr="00190842">
        <w:rPr>
          <w:lang w:val="es-AR"/>
        </w:rPr>
        <w:t xml:space="preserve"> </w:t>
      </w:r>
      <w:r w:rsidR="00FC7B69">
        <w:rPr>
          <w:lang w:val="es-AR"/>
        </w:rPr>
        <w:t>la reducción</w:t>
      </w:r>
      <w:r w:rsidR="00306314" w:rsidRPr="00190842">
        <w:rPr>
          <w:lang w:val="es-AR"/>
        </w:rPr>
        <w:t xml:space="preserve"> de HFC. La </w:t>
      </w:r>
      <w:r w:rsidR="00E17069">
        <w:rPr>
          <w:lang w:val="es-AR"/>
        </w:rPr>
        <w:t>dependencia nacional del ozono</w:t>
      </w:r>
      <w:r w:rsidR="00306314" w:rsidRPr="00190842">
        <w:rPr>
          <w:lang w:val="es-AR"/>
        </w:rPr>
        <w:t xml:space="preserve"> </w:t>
      </w:r>
      <w:r>
        <w:rPr>
          <w:lang w:val="es-AR"/>
        </w:rPr>
        <w:t xml:space="preserve">deberá </w:t>
      </w:r>
      <w:r w:rsidR="00306314" w:rsidRPr="00190842">
        <w:rPr>
          <w:lang w:val="es-AR"/>
        </w:rPr>
        <w:t xml:space="preserve">estar bien informada sobre las políticas y las </w:t>
      </w:r>
      <w:r w:rsidR="00190842">
        <w:rPr>
          <w:lang w:val="es-AR"/>
        </w:rPr>
        <w:t>reglamentaciones</w:t>
      </w:r>
      <w:r w:rsidR="00306314" w:rsidRPr="00190842">
        <w:rPr>
          <w:lang w:val="es-AR"/>
        </w:rPr>
        <w:t xml:space="preserve"> </w:t>
      </w:r>
      <w:r>
        <w:rPr>
          <w:lang w:val="es-AR"/>
        </w:rPr>
        <w:t xml:space="preserve">vigentes </w:t>
      </w:r>
      <w:r w:rsidR="00306314" w:rsidRPr="00190842">
        <w:rPr>
          <w:lang w:val="es-AR"/>
        </w:rPr>
        <w:t>relacionadas con</w:t>
      </w:r>
      <w:r>
        <w:rPr>
          <w:lang w:val="es-AR"/>
        </w:rPr>
        <w:t xml:space="preserve"> la eficiencia </w:t>
      </w:r>
      <w:r w:rsidR="00A70C96">
        <w:rPr>
          <w:lang w:val="es-AR"/>
        </w:rPr>
        <w:t>energética</w:t>
      </w:r>
      <w:r w:rsidR="00306314" w:rsidRPr="00190842">
        <w:rPr>
          <w:lang w:val="es-AR"/>
        </w:rPr>
        <w:t xml:space="preserve">, el etiquetado y </w:t>
      </w:r>
      <w:r>
        <w:rPr>
          <w:lang w:val="es-AR"/>
        </w:rPr>
        <w:t>las normas</w:t>
      </w:r>
      <w:r w:rsidR="00306314" w:rsidRPr="00190842">
        <w:rPr>
          <w:lang w:val="es-AR"/>
        </w:rPr>
        <w:t xml:space="preserve">; y la estrategia del país para reducir </w:t>
      </w:r>
      <w:r>
        <w:rPr>
          <w:lang w:val="es-AR"/>
        </w:rPr>
        <w:t xml:space="preserve">las </w:t>
      </w:r>
      <w:r w:rsidR="00306314" w:rsidRPr="00190842">
        <w:rPr>
          <w:lang w:val="es-AR"/>
        </w:rPr>
        <w:t xml:space="preserve">emisiones de los gases con efecto de invernadero para alinear </w:t>
      </w:r>
      <w:r>
        <w:rPr>
          <w:lang w:val="es-AR"/>
        </w:rPr>
        <w:t xml:space="preserve">las medidas </w:t>
      </w:r>
      <w:r w:rsidR="00A70C96">
        <w:rPr>
          <w:lang w:val="es-AR"/>
        </w:rPr>
        <w:t>bajo la Enmienda</w:t>
      </w:r>
      <w:r w:rsidR="00306314" w:rsidRPr="00190842">
        <w:rPr>
          <w:lang w:val="es-AR"/>
        </w:rPr>
        <w:t xml:space="preserve"> de Kigali con los objetivos no sólo del </w:t>
      </w:r>
      <w:r w:rsidR="00190842">
        <w:rPr>
          <w:lang w:val="es-AR"/>
        </w:rPr>
        <w:t>Protocolo</w:t>
      </w:r>
      <w:r w:rsidR="00306314" w:rsidRPr="00190842">
        <w:rPr>
          <w:lang w:val="es-AR"/>
        </w:rPr>
        <w:t xml:space="preserve"> de Montreal, </w:t>
      </w:r>
      <w:r w:rsidR="00190842">
        <w:rPr>
          <w:lang w:val="es-AR"/>
        </w:rPr>
        <w:t>sino también</w:t>
      </w:r>
      <w:r w:rsidR="00306314" w:rsidRPr="00190842">
        <w:rPr>
          <w:lang w:val="es-AR"/>
        </w:rPr>
        <w:t xml:space="preserve"> las </w:t>
      </w:r>
      <w:r w:rsidR="00306314" w:rsidRPr="0086379D">
        <w:rPr>
          <w:lang w:val="es-AR"/>
        </w:rPr>
        <w:t xml:space="preserve">contribuciones nacionalmente </w:t>
      </w:r>
      <w:r w:rsidR="0086379D" w:rsidRPr="0086379D">
        <w:rPr>
          <w:lang w:val="es-AR"/>
        </w:rPr>
        <w:t xml:space="preserve">determinadas </w:t>
      </w:r>
      <w:r>
        <w:rPr>
          <w:lang w:val="es-AR"/>
        </w:rPr>
        <w:t xml:space="preserve">con respecto </w:t>
      </w:r>
      <w:r w:rsidR="00306314" w:rsidRPr="00190842">
        <w:rPr>
          <w:lang w:val="es-AR"/>
        </w:rPr>
        <w:t>a</w:t>
      </w:r>
      <w:r w:rsidR="00190842">
        <w:rPr>
          <w:lang w:val="es-AR"/>
        </w:rPr>
        <w:t>l Acuerdo</w:t>
      </w:r>
      <w:r w:rsidR="00306314" w:rsidRPr="00190842">
        <w:rPr>
          <w:lang w:val="es-AR"/>
        </w:rPr>
        <w:t xml:space="preserve"> de París bajo l</w:t>
      </w:r>
      <w:r w:rsidR="0086379D">
        <w:rPr>
          <w:lang w:val="es-AR"/>
        </w:rPr>
        <w:t>a</w:t>
      </w:r>
      <w:r w:rsidR="00306314" w:rsidRPr="00190842">
        <w:rPr>
          <w:lang w:val="es-AR"/>
        </w:rPr>
        <w:t xml:space="preserve"> Convención Marco de las Naciones Unidas sobre el Cambio Climático. </w:t>
      </w:r>
    </w:p>
    <w:p w14:paraId="5219520C" w14:textId="72115E18" w:rsidR="00306314" w:rsidRPr="00190842" w:rsidRDefault="00306314" w:rsidP="00306314">
      <w:pPr>
        <w:widowControl w:val="0"/>
        <w:rPr>
          <w:i/>
          <w:lang w:val="es-AR"/>
        </w:rPr>
      </w:pPr>
      <w:r w:rsidRPr="00190842">
        <w:rPr>
          <w:i/>
          <w:lang w:val="es-AR"/>
        </w:rPr>
        <w:t xml:space="preserve">Información y </w:t>
      </w:r>
      <w:r w:rsidR="00193AA4">
        <w:rPr>
          <w:i/>
          <w:lang w:val="es-AR"/>
        </w:rPr>
        <w:t xml:space="preserve">sensibilización </w:t>
      </w:r>
    </w:p>
    <w:p w14:paraId="306D77B1" w14:textId="77777777" w:rsidR="00306314" w:rsidRPr="00190842" w:rsidRDefault="00306314" w:rsidP="00306314">
      <w:pPr>
        <w:widowControl w:val="0"/>
        <w:rPr>
          <w:lang w:val="es-AR"/>
        </w:rPr>
      </w:pPr>
    </w:p>
    <w:p w14:paraId="72959944" w14:textId="579D792B" w:rsidR="00306314" w:rsidRPr="00C34F00" w:rsidRDefault="00306314" w:rsidP="00306314">
      <w:pPr>
        <w:widowControl w:val="0"/>
        <w:numPr>
          <w:ilvl w:val="0"/>
          <w:numId w:val="1"/>
        </w:numPr>
        <w:spacing w:after="160"/>
        <w:rPr>
          <w:lang w:val="es-AR"/>
        </w:rPr>
      </w:pPr>
      <w:r w:rsidRPr="00C34F00">
        <w:rPr>
          <w:lang w:val="es-AR"/>
        </w:rPr>
        <w:t xml:space="preserve">La </w:t>
      </w:r>
      <w:r w:rsidR="00E17069" w:rsidRPr="00C34F00">
        <w:rPr>
          <w:lang w:val="es-AR"/>
        </w:rPr>
        <w:t>dependencia nacional del ozono</w:t>
      </w:r>
      <w:r w:rsidRPr="00C34F00">
        <w:rPr>
          <w:lang w:val="es-AR"/>
        </w:rPr>
        <w:t xml:space="preserve"> </w:t>
      </w:r>
      <w:r w:rsidR="00393B3C" w:rsidRPr="00C34F00">
        <w:rPr>
          <w:lang w:val="es-AR"/>
        </w:rPr>
        <w:t>seguir</w:t>
      </w:r>
      <w:r w:rsidRPr="00C34F00">
        <w:rPr>
          <w:lang w:val="es-AR"/>
        </w:rPr>
        <w:t xml:space="preserve">á desempeñando un papel principal en </w:t>
      </w:r>
      <w:r w:rsidR="00C34F00">
        <w:rPr>
          <w:lang w:val="es-AR"/>
        </w:rPr>
        <w:t xml:space="preserve">la sensibilización del público y los interesados directos </w:t>
      </w:r>
      <w:r w:rsidRPr="00C34F00">
        <w:rPr>
          <w:lang w:val="es-AR"/>
        </w:rPr>
        <w:t xml:space="preserve">de la </w:t>
      </w:r>
      <w:r w:rsidR="00190842" w:rsidRPr="00C34F00">
        <w:rPr>
          <w:lang w:val="es-AR"/>
        </w:rPr>
        <w:t>Enmienda</w:t>
      </w:r>
      <w:r w:rsidRPr="00C34F00">
        <w:rPr>
          <w:lang w:val="es-AR"/>
        </w:rPr>
        <w:t xml:space="preserve"> de Kigali, </w:t>
      </w:r>
      <w:r w:rsidR="00190842" w:rsidRPr="00C34F00">
        <w:rPr>
          <w:lang w:val="es-AR"/>
        </w:rPr>
        <w:t>inclusive</w:t>
      </w:r>
      <w:r w:rsidRPr="00C34F00">
        <w:rPr>
          <w:lang w:val="es-AR"/>
        </w:rPr>
        <w:t xml:space="preserve"> el diseño, producción y difusión de material informativo y publicaciones relacionados</w:t>
      </w:r>
      <w:r w:rsidR="00C34F00">
        <w:rPr>
          <w:lang w:val="es-AR"/>
        </w:rPr>
        <w:t>,</w:t>
      </w:r>
      <w:r w:rsidRPr="00C34F00">
        <w:rPr>
          <w:lang w:val="es-AR"/>
        </w:rPr>
        <w:t xml:space="preserve"> entre otras cosas</w:t>
      </w:r>
      <w:r w:rsidR="00C34F00">
        <w:rPr>
          <w:lang w:val="es-AR"/>
        </w:rPr>
        <w:t>,</w:t>
      </w:r>
      <w:r w:rsidRPr="00C34F00">
        <w:rPr>
          <w:lang w:val="es-AR"/>
        </w:rPr>
        <w:t xml:space="preserve"> </w:t>
      </w:r>
      <w:r w:rsidR="00C34F00">
        <w:rPr>
          <w:lang w:val="es-AR"/>
        </w:rPr>
        <w:t xml:space="preserve">con los </w:t>
      </w:r>
      <w:r w:rsidR="00190842" w:rsidRPr="00C34F00">
        <w:rPr>
          <w:lang w:val="es-AR"/>
        </w:rPr>
        <w:t>HFC</w:t>
      </w:r>
      <w:r w:rsidRPr="00C34F00">
        <w:rPr>
          <w:lang w:val="es-AR"/>
        </w:rPr>
        <w:t xml:space="preserve">, las alternativas </w:t>
      </w:r>
      <w:r w:rsidR="00A4671A" w:rsidRPr="00C34F00">
        <w:rPr>
          <w:lang w:val="es-AR"/>
        </w:rPr>
        <w:t>con bajo potencial de calentamiento</w:t>
      </w:r>
      <w:r w:rsidR="00190842" w:rsidRPr="00C34F00">
        <w:rPr>
          <w:lang w:val="es-AR"/>
        </w:rPr>
        <w:t xml:space="preserve"> atmosférico</w:t>
      </w:r>
      <w:r w:rsidRPr="00C34F00">
        <w:rPr>
          <w:lang w:val="es-AR"/>
        </w:rPr>
        <w:t xml:space="preserve"> y </w:t>
      </w:r>
      <w:r w:rsidR="00C34F00">
        <w:rPr>
          <w:lang w:val="es-AR"/>
        </w:rPr>
        <w:t xml:space="preserve">la </w:t>
      </w:r>
      <w:r w:rsidR="00C34F00" w:rsidRPr="00C34F00">
        <w:rPr>
          <w:lang w:val="es-AR"/>
        </w:rPr>
        <w:t>eficiencia energética</w:t>
      </w:r>
      <w:r w:rsidRPr="00C34F00">
        <w:rPr>
          <w:lang w:val="es-AR"/>
        </w:rPr>
        <w:t xml:space="preserve">. </w:t>
      </w:r>
    </w:p>
    <w:p w14:paraId="7025A8FB" w14:textId="6B2C485B" w:rsidR="00306314" w:rsidRPr="00190842" w:rsidRDefault="00306314" w:rsidP="00306314">
      <w:pPr>
        <w:widowControl w:val="0"/>
        <w:spacing w:after="160"/>
        <w:rPr>
          <w:rFonts w:eastAsia="SimSun"/>
          <w:color w:val="000000" w:themeColor="text1"/>
          <w:u w:val="single"/>
          <w:lang w:val="es-AR" w:eastAsia="zh-CN"/>
        </w:rPr>
      </w:pPr>
      <w:r w:rsidRPr="00190842">
        <w:rPr>
          <w:rFonts w:eastAsia="SimSun"/>
          <w:color w:val="000000" w:themeColor="text1"/>
          <w:u w:val="single"/>
          <w:lang w:val="es-AR"/>
        </w:rPr>
        <w:t xml:space="preserve">Nuevas responsabilidades de la </w:t>
      </w:r>
      <w:r w:rsidR="00E17069">
        <w:rPr>
          <w:rFonts w:eastAsia="SimSun"/>
          <w:color w:val="000000" w:themeColor="text1"/>
          <w:u w:val="single"/>
          <w:lang w:val="es-AR"/>
        </w:rPr>
        <w:t>dependencia nacional del ozono</w:t>
      </w:r>
      <w:r w:rsidRPr="00190842">
        <w:rPr>
          <w:rFonts w:eastAsia="SimSun"/>
          <w:color w:val="000000" w:themeColor="text1"/>
          <w:u w:val="single"/>
          <w:lang w:val="es-AR"/>
        </w:rPr>
        <w:t xml:space="preserve"> </w:t>
      </w:r>
      <w:r w:rsidR="00C34F00">
        <w:rPr>
          <w:rFonts w:eastAsia="SimSun"/>
          <w:color w:val="000000" w:themeColor="text1"/>
          <w:u w:val="single"/>
          <w:lang w:val="es-AR"/>
        </w:rPr>
        <w:t xml:space="preserve">para </w:t>
      </w:r>
      <w:r w:rsidRPr="00190842">
        <w:rPr>
          <w:rFonts w:eastAsia="SimSun"/>
          <w:color w:val="000000" w:themeColor="text1"/>
          <w:u w:val="single"/>
          <w:lang w:val="es-AR"/>
        </w:rPr>
        <w:t xml:space="preserve">hacer </w:t>
      </w:r>
      <w:r w:rsidR="00174D41">
        <w:rPr>
          <w:rFonts w:eastAsia="SimSun"/>
          <w:color w:val="000000" w:themeColor="text1"/>
          <w:u w:val="single"/>
          <w:lang w:val="es-AR"/>
        </w:rPr>
        <w:t xml:space="preserve">operativa </w:t>
      </w:r>
      <w:r w:rsidRPr="00190842">
        <w:rPr>
          <w:rFonts w:eastAsia="SimSun"/>
          <w:color w:val="000000" w:themeColor="text1"/>
          <w:u w:val="single"/>
          <w:lang w:val="es-AR"/>
        </w:rPr>
        <w:t xml:space="preserve">la </w:t>
      </w:r>
      <w:r w:rsidR="00C34F00">
        <w:rPr>
          <w:rFonts w:eastAsia="SimSun"/>
          <w:color w:val="000000" w:themeColor="text1"/>
          <w:u w:val="single"/>
          <w:lang w:val="es-AR"/>
        </w:rPr>
        <w:t>política sobre igualdad de género</w:t>
      </w:r>
      <w:r w:rsidRPr="00190842">
        <w:rPr>
          <w:rFonts w:eastAsia="SimSun"/>
          <w:color w:val="000000" w:themeColor="text1"/>
          <w:u w:val="single"/>
          <w:lang w:val="es-AR"/>
        </w:rPr>
        <w:t xml:space="preserve"> del </w:t>
      </w:r>
      <w:r w:rsidR="00190842">
        <w:rPr>
          <w:rFonts w:eastAsia="SimSun"/>
          <w:color w:val="000000" w:themeColor="text1"/>
          <w:u w:val="single"/>
          <w:lang w:val="es-AR"/>
        </w:rPr>
        <w:t>Fondo Multilateral</w:t>
      </w:r>
      <w:r w:rsidRPr="00190842">
        <w:rPr>
          <w:lang w:val="es-AR"/>
        </w:rPr>
        <w:t xml:space="preserve"> </w:t>
      </w:r>
    </w:p>
    <w:p w14:paraId="6FD098F2" w14:textId="0A701C52" w:rsidR="00306314" w:rsidRPr="00190842" w:rsidRDefault="00306314" w:rsidP="00306314">
      <w:pPr>
        <w:widowControl w:val="0"/>
        <w:numPr>
          <w:ilvl w:val="0"/>
          <w:numId w:val="1"/>
        </w:numPr>
        <w:spacing w:after="160"/>
        <w:rPr>
          <w:lang w:val="es-AR"/>
        </w:rPr>
      </w:pPr>
      <w:r w:rsidRPr="00190842">
        <w:rPr>
          <w:lang w:val="es-AR"/>
        </w:rPr>
        <w:t xml:space="preserve">Conforme a la política </w:t>
      </w:r>
      <w:r w:rsidR="00C34F00">
        <w:rPr>
          <w:lang w:val="es-AR"/>
        </w:rPr>
        <w:t xml:space="preserve">sobre </w:t>
      </w:r>
      <w:r w:rsidRPr="00190842">
        <w:rPr>
          <w:lang w:val="es-AR"/>
        </w:rPr>
        <w:t xml:space="preserve">la </w:t>
      </w:r>
      <w:r w:rsidR="00C34F00">
        <w:rPr>
          <w:lang w:val="es-AR"/>
        </w:rPr>
        <w:t xml:space="preserve">incorporación de la perspectiva de género </w:t>
      </w:r>
      <w:r w:rsidRPr="00190842">
        <w:rPr>
          <w:lang w:val="es-AR"/>
        </w:rPr>
        <w:t>para los proyectos</w:t>
      </w:r>
      <w:r w:rsidR="00C34F00">
        <w:rPr>
          <w:lang w:val="es-AR"/>
        </w:rPr>
        <w:t xml:space="preserve"> apoyados por</w:t>
      </w:r>
      <w:r w:rsidRPr="00190842">
        <w:rPr>
          <w:lang w:val="es-AR"/>
        </w:rPr>
        <w:t xml:space="preserve"> </w:t>
      </w:r>
      <w:r w:rsidR="00C34F00">
        <w:rPr>
          <w:lang w:val="es-AR"/>
        </w:rPr>
        <w:t xml:space="preserve">el </w:t>
      </w:r>
      <w:r w:rsidRPr="00190842">
        <w:rPr>
          <w:lang w:val="es-AR"/>
        </w:rPr>
        <w:t>Fondo</w:t>
      </w:r>
      <w:r w:rsidR="00C34F00">
        <w:rPr>
          <w:lang w:val="es-AR"/>
        </w:rPr>
        <w:t xml:space="preserve"> M</w:t>
      </w:r>
      <w:r w:rsidRPr="00190842">
        <w:rPr>
          <w:lang w:val="es-AR"/>
        </w:rPr>
        <w:t>ultilateral,</w:t>
      </w:r>
      <w:r w:rsidRPr="00190842">
        <w:rPr>
          <w:rStyle w:val="FootnoteReference"/>
          <w:lang w:val="es-AR"/>
        </w:rPr>
        <w:footnoteReference w:id="23"/>
      </w:r>
      <w:r w:rsidRPr="00190842">
        <w:rPr>
          <w:lang w:val="es-AR"/>
        </w:rPr>
        <w:t xml:space="preserve"> las </w:t>
      </w:r>
      <w:r w:rsidR="00E17069">
        <w:rPr>
          <w:lang w:val="es-AR"/>
        </w:rPr>
        <w:t>dependencias nacionales del ozono</w:t>
      </w:r>
      <w:r w:rsidRPr="00190842">
        <w:rPr>
          <w:lang w:val="es-AR"/>
        </w:rPr>
        <w:t xml:space="preserve"> </w:t>
      </w:r>
      <w:r w:rsidR="00C34F00">
        <w:rPr>
          <w:lang w:val="es-AR"/>
        </w:rPr>
        <w:t xml:space="preserve">deberán </w:t>
      </w:r>
      <w:r w:rsidRPr="00190842">
        <w:rPr>
          <w:lang w:val="es-AR"/>
        </w:rPr>
        <w:t xml:space="preserve">asegurar que los indicadores relativos a las diferencias entre los sexos </w:t>
      </w:r>
      <w:r w:rsidR="0086379D">
        <w:rPr>
          <w:lang w:val="es-AR"/>
        </w:rPr>
        <w:t xml:space="preserve">se desarrollen, integren </w:t>
      </w:r>
      <w:r w:rsidRPr="00190842">
        <w:rPr>
          <w:lang w:val="es-AR"/>
        </w:rPr>
        <w:t xml:space="preserve">y </w:t>
      </w:r>
      <w:r w:rsidR="0086379D">
        <w:rPr>
          <w:lang w:val="es-AR"/>
        </w:rPr>
        <w:t xml:space="preserve">midan </w:t>
      </w:r>
      <w:r w:rsidRPr="00190842">
        <w:rPr>
          <w:lang w:val="es-AR"/>
        </w:rPr>
        <w:t xml:space="preserve">durante </w:t>
      </w:r>
      <w:r w:rsidR="00190842">
        <w:rPr>
          <w:lang w:val="es-AR"/>
        </w:rPr>
        <w:t>la ejecución</w:t>
      </w:r>
      <w:r w:rsidRPr="00190842">
        <w:rPr>
          <w:lang w:val="es-AR"/>
        </w:rPr>
        <w:t xml:space="preserve"> de todos los proyectos apoyados por </w:t>
      </w:r>
      <w:r w:rsidR="00C34F00">
        <w:rPr>
          <w:lang w:val="es-AR"/>
        </w:rPr>
        <w:t xml:space="preserve">dicho </w:t>
      </w:r>
      <w:r w:rsidR="00190842">
        <w:rPr>
          <w:lang w:val="es-AR"/>
        </w:rPr>
        <w:t>Fondo</w:t>
      </w:r>
      <w:r w:rsidRPr="00190842">
        <w:rPr>
          <w:color w:val="000000" w:themeColor="text1"/>
          <w:lang w:val="es-AR"/>
        </w:rPr>
        <w:t>.</w:t>
      </w:r>
    </w:p>
    <w:p w14:paraId="30886E2E" w14:textId="3CBB9773" w:rsidR="00306314" w:rsidRPr="00190842" w:rsidRDefault="00306314" w:rsidP="00306314">
      <w:pPr>
        <w:spacing w:after="240"/>
        <w:outlineLvl w:val="0"/>
        <w:rPr>
          <w:u w:val="single"/>
          <w:lang w:val="es-AR"/>
        </w:rPr>
      </w:pPr>
      <w:r w:rsidRPr="00190842">
        <w:rPr>
          <w:u w:val="single"/>
          <w:lang w:val="es-AR"/>
        </w:rPr>
        <w:t xml:space="preserve">Ayuda </w:t>
      </w:r>
      <w:r w:rsidR="0086379D">
        <w:rPr>
          <w:u w:val="single"/>
          <w:lang w:val="es-AR"/>
        </w:rPr>
        <w:t xml:space="preserve">a través de </w:t>
      </w:r>
      <w:r w:rsidR="009F4D4E" w:rsidRPr="009F4D4E">
        <w:rPr>
          <w:u w:val="single"/>
          <w:lang w:val="es-AR"/>
        </w:rPr>
        <w:t>oficinas</w:t>
      </w:r>
      <w:r w:rsidR="009F4D4E">
        <w:rPr>
          <w:u w:val="single"/>
          <w:lang w:val="es-AR"/>
        </w:rPr>
        <w:t xml:space="preserve"> de gestión de proyectos y el programa de asistencia al cumplimiento d</w:t>
      </w:r>
      <w:r w:rsidR="00190842">
        <w:rPr>
          <w:u w:val="single"/>
          <w:lang w:val="es-AR"/>
        </w:rPr>
        <w:t>el PNUMA</w:t>
      </w:r>
      <w:r w:rsidRPr="00190842">
        <w:rPr>
          <w:u w:val="single"/>
          <w:lang w:val="es-AR"/>
        </w:rPr>
        <w:t xml:space="preserve"> </w:t>
      </w:r>
    </w:p>
    <w:p w14:paraId="7CF7B4B2" w14:textId="4EC397D3" w:rsidR="00306314" w:rsidRPr="00190842" w:rsidRDefault="00306314" w:rsidP="00306314">
      <w:pPr>
        <w:pStyle w:val="Heading1"/>
        <w:rPr>
          <w:lang w:val="es-AR"/>
        </w:rPr>
      </w:pPr>
      <w:r w:rsidRPr="00190842">
        <w:rPr>
          <w:lang w:val="es-AR"/>
        </w:rPr>
        <w:t>E</w:t>
      </w:r>
      <w:r w:rsidR="009F4D4E" w:rsidRPr="00190842">
        <w:rPr>
          <w:lang w:val="es-AR"/>
        </w:rPr>
        <w:t>n la 82</w:t>
      </w:r>
      <w:r w:rsidR="009F4D4E">
        <w:rPr>
          <w:lang w:val="es-AR"/>
        </w:rPr>
        <w:t>ª reunión e</w:t>
      </w:r>
      <w:r w:rsidRPr="00190842">
        <w:rPr>
          <w:lang w:val="es-AR"/>
        </w:rPr>
        <w:t xml:space="preserve">l Comité Ejecutivo </w:t>
      </w:r>
      <w:r w:rsidR="00674039">
        <w:rPr>
          <w:lang w:val="es-AR"/>
        </w:rPr>
        <w:t>trató</w:t>
      </w:r>
      <w:r w:rsidRPr="00190842">
        <w:rPr>
          <w:lang w:val="es-AR"/>
        </w:rPr>
        <w:t xml:space="preserve"> la </w:t>
      </w:r>
      <w:r w:rsidR="009F4D4E">
        <w:rPr>
          <w:lang w:val="es-AR"/>
        </w:rPr>
        <w:t xml:space="preserve">cuestión de las posibles similitudes </w:t>
      </w:r>
      <w:r w:rsidRPr="00190842">
        <w:rPr>
          <w:lang w:val="es-AR"/>
        </w:rPr>
        <w:t xml:space="preserve">entre los </w:t>
      </w:r>
      <w:r w:rsidR="00190842">
        <w:rPr>
          <w:lang w:val="es-AR"/>
        </w:rPr>
        <w:t>costos</w:t>
      </w:r>
      <w:r w:rsidRPr="00190842">
        <w:rPr>
          <w:lang w:val="es-AR"/>
        </w:rPr>
        <w:t xml:space="preserve"> administrativos de</w:t>
      </w:r>
      <w:r w:rsidR="009F4D4E">
        <w:rPr>
          <w:lang w:val="es-AR"/>
        </w:rPr>
        <w:t>l organismo</w:t>
      </w:r>
      <w:r w:rsidRPr="00190842">
        <w:rPr>
          <w:lang w:val="es-AR"/>
        </w:rPr>
        <w:t xml:space="preserve"> y </w:t>
      </w:r>
      <w:r w:rsidR="009F4D4E">
        <w:rPr>
          <w:lang w:val="es-AR"/>
        </w:rPr>
        <w:t>las oficinas de gestión de proyectos</w:t>
      </w:r>
      <w:r w:rsidRPr="00190842">
        <w:rPr>
          <w:lang w:val="es-AR"/>
        </w:rPr>
        <w:t>, y el grado a</w:t>
      </w:r>
      <w:r w:rsidR="009F4D4E">
        <w:rPr>
          <w:lang w:val="es-AR"/>
        </w:rPr>
        <w:t>l</w:t>
      </w:r>
      <w:r w:rsidRPr="00190842">
        <w:rPr>
          <w:lang w:val="es-AR"/>
        </w:rPr>
        <w:t xml:space="preserve"> que los </w:t>
      </w:r>
      <w:r w:rsidR="009F4D4E">
        <w:rPr>
          <w:lang w:val="es-AR"/>
        </w:rPr>
        <w:t>o</w:t>
      </w:r>
      <w:r w:rsidRPr="00190842">
        <w:rPr>
          <w:lang w:val="es-AR"/>
        </w:rPr>
        <w:t xml:space="preserve">rganismos pasaban fondos para la administración </w:t>
      </w:r>
      <w:r w:rsidR="00190842">
        <w:rPr>
          <w:lang w:val="es-AR"/>
        </w:rPr>
        <w:t>del proyecto</w:t>
      </w:r>
      <w:r w:rsidRPr="00190842">
        <w:rPr>
          <w:lang w:val="es-AR"/>
        </w:rPr>
        <w:t xml:space="preserve">s en el nivel nacional a los intermediarios financieros, </w:t>
      </w:r>
      <w:r w:rsidR="009F4D4E">
        <w:rPr>
          <w:lang w:val="es-AR"/>
        </w:rPr>
        <w:lastRenderedPageBreak/>
        <w:t xml:space="preserve">los organismos de ejecución </w:t>
      </w:r>
      <w:r w:rsidRPr="00190842">
        <w:rPr>
          <w:lang w:val="es-AR"/>
        </w:rPr>
        <w:t>o los gobiernos,</w:t>
      </w:r>
      <w:r w:rsidRPr="00190842">
        <w:rPr>
          <w:rStyle w:val="FootnoteReference"/>
          <w:lang w:val="es-AR"/>
        </w:rPr>
        <w:footnoteReference w:id="24"/>
      </w:r>
      <w:r w:rsidRPr="00190842">
        <w:rPr>
          <w:lang w:val="es-AR"/>
        </w:rPr>
        <w:t xml:space="preserve"> y </w:t>
      </w:r>
      <w:r w:rsidR="009F4D4E">
        <w:rPr>
          <w:lang w:val="es-AR"/>
        </w:rPr>
        <w:t xml:space="preserve">asuntos relacionados </w:t>
      </w:r>
      <w:r w:rsidRPr="00190842">
        <w:rPr>
          <w:lang w:val="es-AR"/>
        </w:rPr>
        <w:t xml:space="preserve">con </w:t>
      </w:r>
      <w:r w:rsidR="009F4D4E">
        <w:rPr>
          <w:lang w:val="es-AR"/>
        </w:rPr>
        <w:t>las oficinas de gestión de proyectos</w:t>
      </w:r>
      <w:r w:rsidRPr="00190842">
        <w:rPr>
          <w:lang w:val="es-AR"/>
        </w:rPr>
        <w:t>,</w:t>
      </w:r>
      <w:r w:rsidR="00393B3C">
        <w:rPr>
          <w:lang w:val="es-AR"/>
        </w:rPr>
        <w:t xml:space="preserve"> el fortalecimiento institucional</w:t>
      </w:r>
      <w:r w:rsidR="009F4D4E">
        <w:rPr>
          <w:lang w:val="es-AR"/>
        </w:rPr>
        <w:t xml:space="preserve"> </w:t>
      </w:r>
      <w:r w:rsidRPr="00190842">
        <w:rPr>
          <w:lang w:val="es-AR"/>
        </w:rPr>
        <w:t xml:space="preserve">y los </w:t>
      </w:r>
      <w:r w:rsidR="009F4D4E">
        <w:rPr>
          <w:lang w:val="es-AR"/>
        </w:rPr>
        <w:t>organismos</w:t>
      </w:r>
      <w:r w:rsidRPr="00190842">
        <w:rPr>
          <w:lang w:val="es-AR"/>
        </w:rPr>
        <w:t xml:space="preserve"> de ejecución, </w:t>
      </w:r>
      <w:r w:rsidR="00190842">
        <w:rPr>
          <w:lang w:val="es-AR"/>
        </w:rPr>
        <w:t>inclusive</w:t>
      </w:r>
      <w:r w:rsidR="009F4D4E">
        <w:rPr>
          <w:lang w:val="es-AR"/>
        </w:rPr>
        <w:t xml:space="preserve"> las</w:t>
      </w:r>
      <w:r w:rsidRPr="00190842">
        <w:rPr>
          <w:lang w:val="es-AR"/>
        </w:rPr>
        <w:t xml:space="preserve"> actividades y financiación bajo </w:t>
      </w:r>
      <w:r w:rsidR="009F4D4E">
        <w:rPr>
          <w:lang w:val="es-AR"/>
        </w:rPr>
        <w:t>el Programa de asistencia al cumplimiento del PNUMA</w:t>
      </w:r>
      <w:r w:rsidRPr="00190842">
        <w:rPr>
          <w:lang w:val="es-AR"/>
        </w:rPr>
        <w:t xml:space="preserve">, las </w:t>
      </w:r>
      <w:r w:rsidR="009F4D4E">
        <w:rPr>
          <w:lang w:val="es-AR"/>
        </w:rPr>
        <w:t xml:space="preserve">unidades centrales </w:t>
      </w:r>
      <w:r w:rsidRPr="00190842">
        <w:rPr>
          <w:lang w:val="es-AR"/>
        </w:rPr>
        <w:t xml:space="preserve">y otros elementos del </w:t>
      </w:r>
      <w:r w:rsidR="009F4D4E">
        <w:rPr>
          <w:lang w:val="es-AR"/>
        </w:rPr>
        <w:t>r</w:t>
      </w:r>
      <w:r w:rsidRPr="00190842">
        <w:rPr>
          <w:lang w:val="es-AR"/>
        </w:rPr>
        <w:t xml:space="preserve">égimen de costos administrativos, e información sobre la verificación independiente </w:t>
      </w:r>
      <w:r w:rsidR="009F4D4E">
        <w:rPr>
          <w:lang w:val="es-AR"/>
        </w:rPr>
        <w:t xml:space="preserve">en </w:t>
      </w:r>
      <w:r w:rsidRPr="00190842">
        <w:rPr>
          <w:lang w:val="es-AR"/>
        </w:rPr>
        <w:t>el nivel nacional en la 83</w:t>
      </w:r>
      <w:r w:rsidR="009F4D4E">
        <w:rPr>
          <w:lang w:val="es-AR"/>
        </w:rPr>
        <w:t xml:space="preserve">ª </w:t>
      </w:r>
      <w:r w:rsidR="00193AA4">
        <w:rPr>
          <w:lang w:val="es-AR"/>
        </w:rPr>
        <w:t>reunión</w:t>
      </w:r>
      <w:r w:rsidRPr="00190842">
        <w:rPr>
          <w:lang w:val="es-AR"/>
        </w:rPr>
        <w:t>.</w:t>
      </w:r>
      <w:r w:rsidRPr="00190842">
        <w:rPr>
          <w:rStyle w:val="FootnoteReference"/>
          <w:lang w:val="es-AR"/>
        </w:rPr>
        <w:footnoteReference w:id="25"/>
      </w:r>
      <w:r w:rsidRPr="00190842">
        <w:rPr>
          <w:lang w:val="es-AR"/>
        </w:rPr>
        <w:t xml:space="preserve"> </w:t>
      </w:r>
    </w:p>
    <w:p w14:paraId="45DC16A3" w14:textId="095ECEE3" w:rsidR="00306314" w:rsidRPr="00190842" w:rsidRDefault="003E16B5" w:rsidP="00306314">
      <w:pPr>
        <w:pStyle w:val="Heading1"/>
        <w:widowControl w:val="0"/>
        <w:rPr>
          <w:lang w:val="es-AR"/>
        </w:rPr>
      </w:pPr>
      <w:r>
        <w:rPr>
          <w:lang w:val="es-AR"/>
        </w:rPr>
        <w:t xml:space="preserve">Se observó </w:t>
      </w:r>
      <w:r w:rsidR="00306314" w:rsidRPr="00190842">
        <w:rPr>
          <w:lang w:val="es-AR"/>
        </w:rPr>
        <w:t xml:space="preserve">que </w:t>
      </w:r>
      <w:r w:rsidR="00190842">
        <w:rPr>
          <w:lang w:val="es-AR"/>
        </w:rPr>
        <w:t>la función</w:t>
      </w:r>
      <w:r w:rsidR="00306314" w:rsidRPr="00190842">
        <w:rPr>
          <w:lang w:val="es-AR"/>
        </w:rPr>
        <w:t xml:space="preserve"> de la </w:t>
      </w:r>
      <w:r w:rsidR="00E17069">
        <w:rPr>
          <w:lang w:val="es-AR"/>
        </w:rPr>
        <w:t>dependencia nacional del ozono</w:t>
      </w:r>
      <w:r w:rsidR="00306314" w:rsidRPr="00190842">
        <w:rPr>
          <w:lang w:val="es-AR"/>
        </w:rPr>
        <w:t xml:space="preserve"> era </w:t>
      </w:r>
      <w:r>
        <w:rPr>
          <w:lang w:val="es-AR"/>
        </w:rPr>
        <w:t xml:space="preserve">fundamental para </w:t>
      </w:r>
      <w:r w:rsidR="00306314" w:rsidRPr="00190842">
        <w:rPr>
          <w:lang w:val="es-AR"/>
        </w:rPr>
        <w:t>elimina</w:t>
      </w:r>
      <w:r>
        <w:rPr>
          <w:lang w:val="es-AR"/>
        </w:rPr>
        <w:t>r</w:t>
      </w:r>
      <w:r w:rsidR="00306314" w:rsidRPr="00190842">
        <w:rPr>
          <w:lang w:val="es-AR"/>
        </w:rPr>
        <w:t xml:space="preserve"> </w:t>
      </w:r>
      <w:r>
        <w:rPr>
          <w:lang w:val="es-AR"/>
        </w:rPr>
        <w:t xml:space="preserve">las </w:t>
      </w:r>
      <w:r w:rsidR="006A29C6">
        <w:rPr>
          <w:lang w:val="es-AR"/>
        </w:rPr>
        <w:t>sustancias</w:t>
      </w:r>
      <w:r w:rsidR="00306314" w:rsidRPr="00190842">
        <w:rPr>
          <w:lang w:val="es-AR"/>
        </w:rPr>
        <w:t xml:space="preserve"> controladas y contribu</w:t>
      </w:r>
      <w:r>
        <w:rPr>
          <w:lang w:val="es-AR"/>
        </w:rPr>
        <w:t xml:space="preserve">ía </w:t>
      </w:r>
      <w:r w:rsidR="00306314" w:rsidRPr="00190842">
        <w:rPr>
          <w:lang w:val="es-AR"/>
        </w:rPr>
        <w:t xml:space="preserve">al éxito del </w:t>
      </w:r>
      <w:r w:rsidR="00190842">
        <w:rPr>
          <w:lang w:val="es-AR"/>
        </w:rPr>
        <w:t>Protocolo</w:t>
      </w:r>
      <w:r w:rsidR="00306314" w:rsidRPr="00190842">
        <w:rPr>
          <w:lang w:val="es-AR"/>
        </w:rPr>
        <w:t xml:space="preserve"> de Montreal en el nivel nacional. </w:t>
      </w:r>
      <w:r w:rsidR="00190842">
        <w:rPr>
          <w:lang w:val="es-AR"/>
        </w:rPr>
        <w:t>La función</w:t>
      </w:r>
      <w:r w:rsidR="00306314" w:rsidRPr="00190842">
        <w:rPr>
          <w:lang w:val="es-AR"/>
        </w:rPr>
        <w:t xml:space="preserve"> de la </w:t>
      </w:r>
      <w:r w:rsidR="00E17069">
        <w:rPr>
          <w:lang w:val="es-AR"/>
        </w:rPr>
        <w:t>dependencia nacional del ozono</w:t>
      </w:r>
      <w:r w:rsidR="00306314" w:rsidRPr="00190842">
        <w:rPr>
          <w:lang w:val="es-AR"/>
        </w:rPr>
        <w:t xml:space="preserve"> </w:t>
      </w:r>
      <w:r>
        <w:rPr>
          <w:lang w:val="es-AR"/>
        </w:rPr>
        <w:t xml:space="preserve">con respecto a </w:t>
      </w:r>
      <w:r w:rsidR="00306314" w:rsidRPr="00190842">
        <w:rPr>
          <w:lang w:val="es-AR"/>
        </w:rPr>
        <w:t xml:space="preserve">la supervisión, coordinación </w:t>
      </w:r>
      <w:r>
        <w:rPr>
          <w:lang w:val="es-AR"/>
        </w:rPr>
        <w:t>e</w:t>
      </w:r>
      <w:r w:rsidR="00306314" w:rsidRPr="00190842">
        <w:rPr>
          <w:lang w:val="es-AR"/>
        </w:rPr>
        <w:t xml:space="preserve"> información sobre </w:t>
      </w:r>
      <w:r>
        <w:rPr>
          <w:lang w:val="es-AR"/>
        </w:rPr>
        <w:t xml:space="preserve">las </w:t>
      </w:r>
      <w:r w:rsidR="00306314" w:rsidRPr="00190842">
        <w:rPr>
          <w:lang w:val="es-AR"/>
        </w:rPr>
        <w:t xml:space="preserve">actividades del </w:t>
      </w:r>
      <w:r w:rsidR="00190842">
        <w:rPr>
          <w:lang w:val="es-AR"/>
        </w:rPr>
        <w:t>Protocolo</w:t>
      </w:r>
      <w:r w:rsidR="00306314" w:rsidRPr="00190842">
        <w:rPr>
          <w:lang w:val="es-AR"/>
        </w:rPr>
        <w:t xml:space="preserve"> de Montreal era más ampli</w:t>
      </w:r>
      <w:r>
        <w:rPr>
          <w:lang w:val="es-AR"/>
        </w:rPr>
        <w:t>a</w:t>
      </w:r>
      <w:r w:rsidR="00306314" w:rsidRPr="00190842">
        <w:rPr>
          <w:lang w:val="es-AR"/>
        </w:rPr>
        <w:t xml:space="preserve"> que l</w:t>
      </w:r>
      <w:r>
        <w:rPr>
          <w:lang w:val="es-AR"/>
        </w:rPr>
        <w:t>a</w:t>
      </w:r>
      <w:r w:rsidR="00306314" w:rsidRPr="00190842">
        <w:rPr>
          <w:lang w:val="es-AR"/>
        </w:rPr>
        <w:t xml:space="preserve"> de la oficina de </w:t>
      </w:r>
      <w:r>
        <w:rPr>
          <w:lang w:val="es-AR"/>
        </w:rPr>
        <w:t>gestión de proyectos</w:t>
      </w:r>
      <w:r w:rsidR="00306314" w:rsidRPr="00190842">
        <w:rPr>
          <w:lang w:val="es-AR"/>
        </w:rPr>
        <w:t>. El</w:t>
      </w:r>
      <w:r>
        <w:rPr>
          <w:lang w:val="es-AR"/>
        </w:rPr>
        <w:t xml:space="preserve"> marco legal e institucional </w:t>
      </w:r>
      <w:r w:rsidR="00306314" w:rsidRPr="00190842">
        <w:rPr>
          <w:lang w:val="es-AR"/>
        </w:rPr>
        <w:t xml:space="preserve">facilitado por la </w:t>
      </w:r>
      <w:r w:rsidR="00E17069">
        <w:rPr>
          <w:lang w:val="es-AR"/>
        </w:rPr>
        <w:t>dependencia nacional del ozono</w:t>
      </w:r>
      <w:r w:rsidR="00306314" w:rsidRPr="00190842">
        <w:rPr>
          <w:lang w:val="es-AR"/>
        </w:rPr>
        <w:t xml:space="preserve"> proporcion</w:t>
      </w:r>
      <w:r>
        <w:rPr>
          <w:lang w:val="es-AR"/>
        </w:rPr>
        <w:t>ó</w:t>
      </w:r>
      <w:r w:rsidR="00306314" w:rsidRPr="00190842">
        <w:rPr>
          <w:lang w:val="es-AR"/>
        </w:rPr>
        <w:t xml:space="preserve"> la </w:t>
      </w:r>
      <w:r>
        <w:rPr>
          <w:lang w:val="es-AR"/>
        </w:rPr>
        <w:t xml:space="preserve">base </w:t>
      </w:r>
      <w:r w:rsidR="00306314" w:rsidRPr="00190842">
        <w:rPr>
          <w:lang w:val="es-AR"/>
        </w:rPr>
        <w:t xml:space="preserve">para que la oficina de </w:t>
      </w:r>
      <w:r>
        <w:rPr>
          <w:lang w:val="es-AR"/>
        </w:rPr>
        <w:t>gestión de proyectos</w:t>
      </w:r>
      <w:r w:rsidR="00306314" w:rsidRPr="00190842">
        <w:rPr>
          <w:lang w:val="es-AR"/>
        </w:rPr>
        <w:t xml:space="preserve"> ejecute el plan de gestión de eliminación de </w:t>
      </w:r>
      <w:r w:rsidR="00190842">
        <w:rPr>
          <w:lang w:val="es-AR"/>
        </w:rPr>
        <w:t>los HCFC</w:t>
      </w:r>
      <w:r>
        <w:rPr>
          <w:lang w:val="es-AR"/>
        </w:rPr>
        <w:t>,</w:t>
      </w:r>
      <w:r w:rsidR="00306314" w:rsidRPr="00190842">
        <w:rPr>
          <w:lang w:val="es-AR"/>
        </w:rPr>
        <w:t xml:space="preserve"> </w:t>
      </w:r>
      <w:r>
        <w:rPr>
          <w:lang w:val="es-AR"/>
        </w:rPr>
        <w:t>dado que suministr</w:t>
      </w:r>
      <w:r w:rsidR="00174D41">
        <w:rPr>
          <w:lang w:val="es-AR"/>
        </w:rPr>
        <w:t>aba</w:t>
      </w:r>
      <w:r>
        <w:rPr>
          <w:lang w:val="es-AR"/>
        </w:rPr>
        <w:t xml:space="preserve"> la pericia </w:t>
      </w:r>
      <w:r w:rsidR="00306314" w:rsidRPr="00190842">
        <w:rPr>
          <w:color w:val="000000" w:themeColor="text1"/>
          <w:spacing w:val="-2"/>
          <w:lang w:val="es-AR"/>
        </w:rPr>
        <w:t>técnic</w:t>
      </w:r>
      <w:r>
        <w:rPr>
          <w:color w:val="000000" w:themeColor="text1"/>
          <w:spacing w:val="-2"/>
          <w:lang w:val="es-AR"/>
        </w:rPr>
        <w:t>a</w:t>
      </w:r>
      <w:r w:rsidR="00306314" w:rsidRPr="00190842">
        <w:rPr>
          <w:color w:val="000000" w:themeColor="text1"/>
          <w:spacing w:val="-2"/>
          <w:lang w:val="es-AR"/>
        </w:rPr>
        <w:t xml:space="preserve"> </w:t>
      </w:r>
      <w:r>
        <w:rPr>
          <w:color w:val="000000" w:themeColor="text1"/>
          <w:spacing w:val="-2"/>
          <w:lang w:val="es-AR"/>
        </w:rPr>
        <w:t xml:space="preserve">de la que </w:t>
      </w:r>
      <w:r w:rsidR="00306314" w:rsidRPr="00190842">
        <w:rPr>
          <w:color w:val="000000" w:themeColor="text1"/>
          <w:spacing w:val="-2"/>
          <w:lang w:val="es-AR"/>
        </w:rPr>
        <w:t xml:space="preserve">no </w:t>
      </w:r>
      <w:r>
        <w:rPr>
          <w:color w:val="000000" w:themeColor="text1"/>
          <w:spacing w:val="-2"/>
          <w:lang w:val="es-AR"/>
        </w:rPr>
        <w:t>disponía</w:t>
      </w:r>
      <w:r w:rsidR="00306314" w:rsidRPr="00190842">
        <w:rPr>
          <w:lang w:val="es-AR"/>
        </w:rPr>
        <w:t xml:space="preserve">, ayudando </w:t>
      </w:r>
      <w:r w:rsidRPr="00190842">
        <w:rPr>
          <w:lang w:val="es-AR"/>
        </w:rPr>
        <w:t xml:space="preserve">así </w:t>
      </w:r>
      <w:r w:rsidR="00306314" w:rsidRPr="00190842">
        <w:rPr>
          <w:lang w:val="es-AR"/>
        </w:rPr>
        <w:t xml:space="preserve">a los países </w:t>
      </w:r>
      <w:r>
        <w:rPr>
          <w:lang w:val="es-AR"/>
        </w:rPr>
        <w:t xml:space="preserve">a satisfacer </w:t>
      </w:r>
      <w:r w:rsidR="00306314" w:rsidRPr="00190842">
        <w:rPr>
          <w:lang w:val="es-AR"/>
        </w:rPr>
        <w:t xml:space="preserve">sus </w:t>
      </w:r>
      <w:r w:rsidR="00E17069">
        <w:rPr>
          <w:lang w:val="es-AR"/>
        </w:rPr>
        <w:t>requisitos de cumplimiento</w:t>
      </w:r>
      <w:r w:rsidR="00306314" w:rsidRPr="00190842">
        <w:rPr>
          <w:lang w:val="es-AR"/>
        </w:rPr>
        <w:t xml:space="preserve"> </w:t>
      </w:r>
      <w:r w:rsidR="00674039">
        <w:rPr>
          <w:lang w:val="es-AR"/>
        </w:rPr>
        <w:t>bajo el Protocolo</w:t>
      </w:r>
      <w:r>
        <w:rPr>
          <w:lang w:val="es-AR"/>
        </w:rPr>
        <w:t>.</w:t>
      </w:r>
      <w:r w:rsidR="00674039">
        <w:rPr>
          <w:lang w:val="es-AR"/>
        </w:rPr>
        <w:t xml:space="preserve"> </w:t>
      </w:r>
    </w:p>
    <w:p w14:paraId="275D3C5D" w14:textId="15A22420" w:rsidR="00306314" w:rsidRPr="00190842" w:rsidRDefault="00306314" w:rsidP="00306314">
      <w:pPr>
        <w:pStyle w:val="Heading1"/>
        <w:widowControl w:val="0"/>
        <w:rPr>
          <w:lang w:val="es-AR"/>
        </w:rPr>
      </w:pPr>
      <w:r w:rsidRPr="00190842">
        <w:rPr>
          <w:lang w:val="es-AR"/>
        </w:rPr>
        <w:t xml:space="preserve">Los servicios </w:t>
      </w:r>
      <w:r w:rsidR="003E16B5">
        <w:rPr>
          <w:lang w:val="es-AR"/>
        </w:rPr>
        <w:t xml:space="preserve">básicos </w:t>
      </w:r>
      <w:r w:rsidRPr="00190842">
        <w:rPr>
          <w:lang w:val="es-AR"/>
        </w:rPr>
        <w:t xml:space="preserve">proporcionados por </w:t>
      </w:r>
      <w:r w:rsidR="00190842">
        <w:rPr>
          <w:lang w:val="es-AR"/>
        </w:rPr>
        <w:t xml:space="preserve">el </w:t>
      </w:r>
      <w:r w:rsidR="00174D41">
        <w:rPr>
          <w:lang w:val="es-AR"/>
        </w:rPr>
        <w:t>P</w:t>
      </w:r>
      <w:r w:rsidR="003E16B5">
        <w:rPr>
          <w:lang w:val="es-AR"/>
        </w:rPr>
        <w:t xml:space="preserve">rograma de asistencia al cumplimiento del PNUMA </w:t>
      </w:r>
      <w:r w:rsidRPr="00190842">
        <w:rPr>
          <w:lang w:val="es-AR"/>
        </w:rPr>
        <w:t>incluyeron</w:t>
      </w:r>
      <w:r w:rsidR="003E16B5">
        <w:rPr>
          <w:lang w:val="es-AR"/>
        </w:rPr>
        <w:t>,</w:t>
      </w:r>
      <w:r w:rsidRPr="00190842">
        <w:rPr>
          <w:lang w:val="es-AR"/>
        </w:rPr>
        <w:t xml:space="preserve"> </w:t>
      </w:r>
      <w:r w:rsidRPr="003E16B5">
        <w:rPr>
          <w:lang w:val="es-AR"/>
        </w:rPr>
        <w:t>entre otras cosas</w:t>
      </w:r>
      <w:r w:rsidRPr="00190842">
        <w:rPr>
          <w:i/>
          <w:lang w:val="es-AR"/>
        </w:rPr>
        <w:t xml:space="preserve">, </w:t>
      </w:r>
      <w:r w:rsidRPr="00190842">
        <w:rPr>
          <w:lang w:val="es-AR"/>
        </w:rPr>
        <w:t xml:space="preserve">un mecanismo de </w:t>
      </w:r>
      <w:r w:rsidR="00190842">
        <w:rPr>
          <w:lang w:val="es-AR"/>
        </w:rPr>
        <w:t>creación de capacidad</w:t>
      </w:r>
      <w:r w:rsidRPr="00190842">
        <w:rPr>
          <w:lang w:val="es-AR"/>
        </w:rPr>
        <w:t xml:space="preserve"> que promovió el intercambio de información, </w:t>
      </w:r>
      <w:r w:rsidR="00174D41">
        <w:rPr>
          <w:lang w:val="es-AR"/>
        </w:rPr>
        <w:t xml:space="preserve">la </w:t>
      </w:r>
      <w:r w:rsidRPr="00190842">
        <w:rPr>
          <w:lang w:val="es-AR"/>
        </w:rPr>
        <w:t xml:space="preserve">experiencia y </w:t>
      </w:r>
      <w:r w:rsidR="00174D41">
        <w:rPr>
          <w:lang w:val="es-AR"/>
        </w:rPr>
        <w:t xml:space="preserve">los </w:t>
      </w:r>
      <w:r w:rsidRPr="00190842">
        <w:rPr>
          <w:lang w:val="es-AR"/>
        </w:rPr>
        <w:t>conocimientos técnicos que consolid</w:t>
      </w:r>
      <w:r w:rsidR="00174D41">
        <w:rPr>
          <w:lang w:val="es-AR"/>
        </w:rPr>
        <w:t>aron</w:t>
      </w:r>
      <w:r w:rsidRPr="00190842">
        <w:rPr>
          <w:lang w:val="es-AR"/>
        </w:rPr>
        <w:t xml:space="preserve"> la capacidad de las </w:t>
      </w:r>
      <w:r w:rsidR="00E17069">
        <w:rPr>
          <w:lang w:val="es-AR"/>
        </w:rPr>
        <w:t>dependencias nacionales del ozono</w:t>
      </w:r>
      <w:r w:rsidRPr="00190842">
        <w:rPr>
          <w:lang w:val="es-AR"/>
        </w:rPr>
        <w:t xml:space="preserve"> y de </w:t>
      </w:r>
      <w:r w:rsidR="006A29C6">
        <w:rPr>
          <w:lang w:val="es-AR"/>
        </w:rPr>
        <w:t>los interesados directos</w:t>
      </w:r>
      <w:r w:rsidRPr="00190842">
        <w:rPr>
          <w:lang w:val="es-AR"/>
        </w:rPr>
        <w:t xml:space="preserve"> </w:t>
      </w:r>
      <w:r w:rsidR="00AE4795">
        <w:rPr>
          <w:lang w:val="es-AR"/>
        </w:rPr>
        <w:t>para</w:t>
      </w:r>
      <w:r w:rsidRPr="00190842">
        <w:rPr>
          <w:lang w:val="es-AR"/>
        </w:rPr>
        <w:t xml:space="preserve"> establecer un ambiente </w:t>
      </w:r>
      <w:r w:rsidR="00AE4795">
        <w:rPr>
          <w:lang w:val="es-AR"/>
        </w:rPr>
        <w:t xml:space="preserve">habilitante </w:t>
      </w:r>
      <w:r w:rsidRPr="00190842">
        <w:rPr>
          <w:lang w:val="es-AR"/>
        </w:rPr>
        <w:t xml:space="preserve">para la aplicación del </w:t>
      </w:r>
      <w:r w:rsidR="00190842">
        <w:rPr>
          <w:lang w:val="es-AR"/>
        </w:rPr>
        <w:t>Protocolo</w:t>
      </w:r>
      <w:r w:rsidRPr="00190842">
        <w:rPr>
          <w:lang w:val="es-AR"/>
        </w:rPr>
        <w:t xml:space="preserve"> de Montreal.</w:t>
      </w:r>
    </w:p>
    <w:p w14:paraId="3EE18AC3" w14:textId="34D0BE6E" w:rsidR="00306314" w:rsidRPr="00190842" w:rsidRDefault="00306314" w:rsidP="00306314">
      <w:pPr>
        <w:rPr>
          <w:u w:val="single"/>
          <w:lang w:val="es-AR"/>
        </w:rPr>
      </w:pPr>
      <w:r w:rsidRPr="00190842">
        <w:rPr>
          <w:u w:val="single"/>
          <w:lang w:val="es-AR"/>
        </w:rPr>
        <w:t>Prolonga</w:t>
      </w:r>
      <w:r w:rsidR="00AE4795">
        <w:rPr>
          <w:u w:val="single"/>
          <w:lang w:val="es-AR"/>
        </w:rPr>
        <w:t>ción de</w:t>
      </w:r>
      <w:r w:rsidRPr="00190842">
        <w:rPr>
          <w:u w:val="single"/>
          <w:lang w:val="es-AR"/>
        </w:rPr>
        <w:t xml:space="preserve"> la duración de la renovación de</w:t>
      </w:r>
      <w:r w:rsidR="00190842">
        <w:rPr>
          <w:u w:val="single"/>
          <w:lang w:val="es-AR"/>
        </w:rPr>
        <w:t xml:space="preserve"> </w:t>
      </w:r>
      <w:r w:rsidR="00674039">
        <w:rPr>
          <w:u w:val="single"/>
          <w:lang w:val="es-AR"/>
        </w:rPr>
        <w:t xml:space="preserve">proyectos de </w:t>
      </w:r>
      <w:r w:rsidR="00AA1ED5">
        <w:rPr>
          <w:u w:val="single"/>
          <w:lang w:val="es-AR"/>
        </w:rPr>
        <w:t>fortalecimiento institucional</w:t>
      </w:r>
    </w:p>
    <w:p w14:paraId="6D951F8C" w14:textId="77777777" w:rsidR="00306314" w:rsidRPr="00190842" w:rsidRDefault="00306314" w:rsidP="00306314">
      <w:pPr>
        <w:rPr>
          <w:lang w:val="es-AR"/>
        </w:rPr>
      </w:pPr>
    </w:p>
    <w:p w14:paraId="0CE82D5B" w14:textId="03DE52C5" w:rsidR="00306314" w:rsidRPr="00190842" w:rsidRDefault="00AE4795" w:rsidP="00306314">
      <w:pPr>
        <w:pStyle w:val="Heading1"/>
        <w:widowControl w:val="0"/>
        <w:rPr>
          <w:lang w:val="es-AR"/>
        </w:rPr>
      </w:pPr>
      <w:r>
        <w:rPr>
          <w:lang w:val="es-AR"/>
        </w:rPr>
        <w:t xml:space="preserve">En consonancia con </w:t>
      </w:r>
      <w:r w:rsidR="00306314" w:rsidRPr="00190842">
        <w:rPr>
          <w:lang w:val="es-AR"/>
        </w:rPr>
        <w:t xml:space="preserve">la decisión 19/29, después del período </w:t>
      </w:r>
      <w:r w:rsidRPr="00190842">
        <w:rPr>
          <w:lang w:val="es-AR"/>
        </w:rPr>
        <w:t xml:space="preserve">inicial </w:t>
      </w:r>
      <w:r w:rsidR="00306314" w:rsidRPr="00190842">
        <w:rPr>
          <w:lang w:val="es-AR"/>
        </w:rPr>
        <w:t xml:space="preserve">de tres años </w:t>
      </w:r>
      <w:r>
        <w:rPr>
          <w:lang w:val="es-AR"/>
        </w:rPr>
        <w:t xml:space="preserve">de </w:t>
      </w:r>
      <w:r w:rsidR="00306314" w:rsidRPr="00190842">
        <w:rPr>
          <w:lang w:val="es-AR"/>
        </w:rPr>
        <w:t>la primera aprobación del proyecto</w:t>
      </w:r>
      <w:r>
        <w:rPr>
          <w:lang w:val="es-AR"/>
        </w:rPr>
        <w:t xml:space="preserve"> de fortalecimiento institucional,</w:t>
      </w:r>
      <w:r w:rsidR="00306314" w:rsidRPr="00190842">
        <w:rPr>
          <w:lang w:val="es-AR"/>
        </w:rPr>
        <w:t xml:space="preserve"> </w:t>
      </w:r>
      <w:r w:rsidR="008A2B91">
        <w:rPr>
          <w:lang w:val="es-AR"/>
        </w:rPr>
        <w:t>los organismos de ejecución y bilaterales</w:t>
      </w:r>
      <w:r w:rsidR="00306314" w:rsidRPr="00190842">
        <w:rPr>
          <w:lang w:val="es-AR"/>
        </w:rPr>
        <w:t xml:space="preserve"> ha</w:t>
      </w:r>
      <w:r w:rsidR="00174D41">
        <w:rPr>
          <w:lang w:val="es-AR"/>
        </w:rPr>
        <w:t>n</w:t>
      </w:r>
      <w:r w:rsidR="00306314" w:rsidRPr="00190842">
        <w:rPr>
          <w:lang w:val="es-AR"/>
        </w:rPr>
        <w:t xml:space="preserve"> </w:t>
      </w:r>
      <w:r>
        <w:rPr>
          <w:lang w:val="es-AR"/>
        </w:rPr>
        <w:t xml:space="preserve">estado pidiendo </w:t>
      </w:r>
      <w:r w:rsidR="00306314" w:rsidRPr="00190842">
        <w:rPr>
          <w:lang w:val="es-AR"/>
        </w:rPr>
        <w:t xml:space="preserve">en nombre de los países del </w:t>
      </w:r>
      <w:r w:rsidR="00190842">
        <w:rPr>
          <w:lang w:val="es-AR"/>
        </w:rPr>
        <w:t>Artículo</w:t>
      </w:r>
      <w:r w:rsidR="00306314" w:rsidRPr="00190842">
        <w:rPr>
          <w:lang w:val="es-AR"/>
        </w:rPr>
        <w:t xml:space="preserve"> 5 </w:t>
      </w:r>
      <w:r>
        <w:rPr>
          <w:lang w:val="es-AR"/>
        </w:rPr>
        <w:t xml:space="preserve">que </w:t>
      </w:r>
      <w:r w:rsidR="00306314" w:rsidRPr="00190842">
        <w:rPr>
          <w:lang w:val="es-AR"/>
        </w:rPr>
        <w:t>la renovación de</w:t>
      </w:r>
      <w:r w:rsidR="00190842">
        <w:rPr>
          <w:lang w:val="es-AR"/>
        </w:rPr>
        <w:t xml:space="preserve"> </w:t>
      </w:r>
      <w:r>
        <w:rPr>
          <w:lang w:val="es-AR"/>
        </w:rPr>
        <w:t xml:space="preserve">dichos </w:t>
      </w:r>
      <w:r w:rsidR="00674039">
        <w:rPr>
          <w:lang w:val="es-AR"/>
        </w:rPr>
        <w:t xml:space="preserve">proyectos </w:t>
      </w:r>
      <w:r>
        <w:rPr>
          <w:lang w:val="es-AR"/>
        </w:rPr>
        <w:t xml:space="preserve">durase dos </w:t>
      </w:r>
      <w:r w:rsidR="00306314" w:rsidRPr="00190842">
        <w:rPr>
          <w:lang w:val="es-AR"/>
        </w:rPr>
        <w:t xml:space="preserve">años. </w:t>
      </w:r>
      <w:r>
        <w:rPr>
          <w:lang w:val="es-AR"/>
        </w:rPr>
        <w:t xml:space="preserve">Al preparar </w:t>
      </w:r>
      <w:r w:rsidR="00306314" w:rsidRPr="00190842">
        <w:rPr>
          <w:lang w:val="es-AR"/>
        </w:rPr>
        <w:t xml:space="preserve">el </w:t>
      </w:r>
      <w:r w:rsidR="00190842">
        <w:rPr>
          <w:lang w:val="es-AR"/>
        </w:rPr>
        <w:t>presente documento</w:t>
      </w:r>
      <w:r w:rsidR="00306314" w:rsidRPr="00190842">
        <w:rPr>
          <w:lang w:val="es-AR"/>
        </w:rPr>
        <w:t xml:space="preserve">, la </w:t>
      </w:r>
      <w:r w:rsidR="00190842">
        <w:rPr>
          <w:lang w:val="es-AR"/>
        </w:rPr>
        <w:t>Secretaría</w:t>
      </w:r>
      <w:r w:rsidR="00306314" w:rsidRPr="00190842">
        <w:rPr>
          <w:lang w:val="es-AR"/>
        </w:rPr>
        <w:t xml:space="preserve"> revisó las implicaciones para los países, </w:t>
      </w:r>
      <w:r w:rsidR="008A2B91">
        <w:rPr>
          <w:lang w:val="es-AR"/>
        </w:rPr>
        <w:t>los organismos de ejecución y bilaterales</w:t>
      </w:r>
      <w:r w:rsidR="00306314" w:rsidRPr="00190842">
        <w:rPr>
          <w:lang w:val="es-AR"/>
        </w:rPr>
        <w:t xml:space="preserve">, la </w:t>
      </w:r>
      <w:r w:rsidR="00190842">
        <w:rPr>
          <w:lang w:val="es-AR"/>
        </w:rPr>
        <w:t>Secretaría</w:t>
      </w:r>
      <w:r w:rsidR="00306314" w:rsidRPr="00190842">
        <w:rPr>
          <w:lang w:val="es-AR"/>
        </w:rPr>
        <w:t xml:space="preserve"> y el Comité Ejecutivo de prolongar </w:t>
      </w:r>
      <w:r w:rsidRPr="00190842">
        <w:rPr>
          <w:lang w:val="es-AR"/>
        </w:rPr>
        <w:t xml:space="preserve">potencialmente </w:t>
      </w:r>
      <w:r w:rsidR="00306314" w:rsidRPr="00190842">
        <w:rPr>
          <w:lang w:val="es-AR"/>
        </w:rPr>
        <w:t>la duración de la renovación de</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de dos a tres años. Para los cuatro países del </w:t>
      </w:r>
      <w:r w:rsidR="00190842">
        <w:rPr>
          <w:lang w:val="es-AR"/>
        </w:rPr>
        <w:t>Artículo</w:t>
      </w:r>
      <w:r w:rsidR="00306314" w:rsidRPr="00190842">
        <w:rPr>
          <w:lang w:val="es-AR"/>
        </w:rPr>
        <w:t xml:space="preserve"> 5 que integraron</w:t>
      </w:r>
      <w:r w:rsidR="004A3566">
        <w:rPr>
          <w:lang w:val="es-AR"/>
        </w:rPr>
        <w:t xml:space="preserve"> </w:t>
      </w:r>
      <w:r>
        <w:rPr>
          <w:lang w:val="es-AR"/>
        </w:rPr>
        <w:t xml:space="preserve">esos </w:t>
      </w:r>
      <w:r w:rsidR="00306314" w:rsidRPr="00190842">
        <w:rPr>
          <w:lang w:val="es-AR"/>
        </w:rPr>
        <w:t xml:space="preserve">los proyectos en sus planes de gestión de eliminación de </w:t>
      </w:r>
      <w:r w:rsidR="00190842">
        <w:rPr>
          <w:lang w:val="es-AR"/>
        </w:rPr>
        <w:t>los HCFC</w:t>
      </w:r>
      <w:r w:rsidR="00306314" w:rsidRPr="00190842">
        <w:rPr>
          <w:lang w:val="es-AR"/>
        </w:rPr>
        <w:t xml:space="preserve">, las actividades relacionadas </w:t>
      </w:r>
      <w:r>
        <w:rPr>
          <w:lang w:val="es-AR"/>
        </w:rPr>
        <w:t xml:space="preserve">con el fortalecimiento institucional se convirtieron en parte de la ejecución de sus planes </w:t>
      </w:r>
      <w:r w:rsidR="00306314" w:rsidRPr="00190842">
        <w:rPr>
          <w:lang w:val="es-AR"/>
        </w:rPr>
        <w:t>de gestión y</w:t>
      </w:r>
      <w:r>
        <w:rPr>
          <w:lang w:val="es-AR"/>
        </w:rPr>
        <w:t>,</w:t>
      </w:r>
      <w:r w:rsidR="00306314" w:rsidRPr="00190842">
        <w:rPr>
          <w:lang w:val="es-AR"/>
        </w:rPr>
        <w:t xml:space="preserve"> por lo tanto</w:t>
      </w:r>
      <w:r>
        <w:rPr>
          <w:lang w:val="es-AR"/>
        </w:rPr>
        <w:t>,</w:t>
      </w:r>
      <w:r w:rsidR="00306314" w:rsidRPr="00190842">
        <w:rPr>
          <w:lang w:val="es-AR"/>
        </w:rPr>
        <w:t xml:space="preserve"> la financiación depende de</w:t>
      </w:r>
      <w:r>
        <w:rPr>
          <w:lang w:val="es-AR"/>
        </w:rPr>
        <w:t xml:space="preserve">l momento en que se hagan </w:t>
      </w:r>
      <w:r w:rsidR="00306314" w:rsidRPr="00190842">
        <w:rPr>
          <w:lang w:val="es-AR"/>
        </w:rPr>
        <w:t>las presentaciones de</w:t>
      </w:r>
      <w:r>
        <w:rPr>
          <w:lang w:val="es-AR"/>
        </w:rPr>
        <w:t xml:space="preserve"> los </w:t>
      </w:r>
      <w:r w:rsidR="00306314" w:rsidRPr="00190842">
        <w:rPr>
          <w:lang w:val="es-AR"/>
        </w:rPr>
        <w:t>tramo</w:t>
      </w:r>
      <w:r>
        <w:rPr>
          <w:lang w:val="es-AR"/>
        </w:rPr>
        <w:t>s</w:t>
      </w:r>
      <w:r w:rsidR="00306314" w:rsidRPr="00190842">
        <w:rPr>
          <w:lang w:val="es-AR"/>
        </w:rPr>
        <w:t xml:space="preserve"> del plan de gestión de eliminación de </w:t>
      </w:r>
      <w:r w:rsidR="00190842">
        <w:rPr>
          <w:lang w:val="es-AR"/>
        </w:rPr>
        <w:t>los HCFC</w:t>
      </w:r>
      <w:r w:rsidR="00306314" w:rsidRPr="00190842">
        <w:rPr>
          <w:lang w:val="es-AR"/>
        </w:rPr>
        <w:t xml:space="preserve">. </w:t>
      </w:r>
    </w:p>
    <w:p w14:paraId="4220BA53" w14:textId="528398E4" w:rsidR="00306314" w:rsidRPr="00190842" w:rsidRDefault="00AE4795" w:rsidP="00306314">
      <w:pPr>
        <w:pStyle w:val="Heading1"/>
        <w:rPr>
          <w:lang w:val="es-AR"/>
        </w:rPr>
      </w:pPr>
      <w:r>
        <w:rPr>
          <w:lang w:val="es-AR"/>
        </w:rPr>
        <w:t xml:space="preserve">Tras </w:t>
      </w:r>
      <w:r w:rsidR="00306314" w:rsidRPr="00190842">
        <w:rPr>
          <w:lang w:val="es-AR"/>
        </w:rPr>
        <w:t xml:space="preserve">este estudio, la </w:t>
      </w:r>
      <w:r w:rsidR="00190842">
        <w:rPr>
          <w:lang w:val="es-AR"/>
        </w:rPr>
        <w:t>Secretaría</w:t>
      </w:r>
      <w:r w:rsidR="00306314" w:rsidRPr="00190842">
        <w:rPr>
          <w:lang w:val="es-AR"/>
        </w:rPr>
        <w:t xml:space="preserve"> observó que </w:t>
      </w:r>
      <w:r w:rsidR="00D9416A">
        <w:rPr>
          <w:lang w:val="es-AR"/>
        </w:rPr>
        <w:t>la prolongación d</w:t>
      </w:r>
      <w:r w:rsidR="00306314" w:rsidRPr="00190842">
        <w:rPr>
          <w:lang w:val="es-AR"/>
        </w:rPr>
        <w:t xml:space="preserve">el período de </w:t>
      </w:r>
      <w:r w:rsidR="00190842">
        <w:rPr>
          <w:lang w:val="es-AR"/>
        </w:rPr>
        <w:t>ejecución</w:t>
      </w:r>
      <w:r w:rsidR="00306314" w:rsidRPr="00190842">
        <w:rPr>
          <w:lang w:val="es-AR"/>
        </w:rPr>
        <w:t xml:space="preserve"> para las renovaciones de</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independientes podía tener </w:t>
      </w:r>
      <w:r w:rsidR="00174D41">
        <w:rPr>
          <w:lang w:val="es-AR"/>
        </w:rPr>
        <w:t xml:space="preserve">los </w:t>
      </w:r>
      <w:r w:rsidR="00306314" w:rsidRPr="00190842">
        <w:rPr>
          <w:lang w:val="es-AR"/>
        </w:rPr>
        <w:t xml:space="preserve">siguientes </w:t>
      </w:r>
      <w:r w:rsidR="00174D41">
        <w:rPr>
          <w:lang w:val="es-AR"/>
        </w:rPr>
        <w:t xml:space="preserve">beneficios </w:t>
      </w:r>
      <w:r w:rsidR="00306314" w:rsidRPr="00190842">
        <w:rPr>
          <w:lang w:val="es-AR"/>
        </w:rPr>
        <w:t>en el nivel de país:</w:t>
      </w:r>
    </w:p>
    <w:p w14:paraId="7C98D9D1" w14:textId="448F1ECF" w:rsidR="00306314" w:rsidRPr="00190842" w:rsidRDefault="00D9416A" w:rsidP="00306314">
      <w:pPr>
        <w:pStyle w:val="Heading2"/>
        <w:rPr>
          <w:lang w:val="es-AR"/>
        </w:rPr>
      </w:pPr>
      <w:r>
        <w:rPr>
          <w:bCs/>
          <w:i/>
          <w:lang w:val="es-AR"/>
        </w:rPr>
        <w:t>Reducción de la c</w:t>
      </w:r>
      <w:r w:rsidR="00306314" w:rsidRPr="00190842">
        <w:rPr>
          <w:bCs/>
          <w:i/>
          <w:lang w:val="es-AR"/>
        </w:rPr>
        <w:t>arga de proceso</w:t>
      </w:r>
      <w:r>
        <w:rPr>
          <w:bCs/>
          <w:i/>
          <w:lang w:val="es-AR"/>
        </w:rPr>
        <w:t>s</w:t>
      </w:r>
      <w:r w:rsidR="00306314" w:rsidRPr="00190842">
        <w:rPr>
          <w:bCs/>
          <w:lang w:val="es-AR"/>
        </w:rPr>
        <w:t>:</w:t>
      </w:r>
      <w:r w:rsidR="00306314" w:rsidRPr="00190842">
        <w:rPr>
          <w:lang w:val="es-AR"/>
        </w:rPr>
        <w:t xml:space="preserve"> Todos los países del </w:t>
      </w:r>
      <w:r w:rsidR="00190842">
        <w:rPr>
          <w:lang w:val="es-AR"/>
        </w:rPr>
        <w:t>Artículo</w:t>
      </w:r>
      <w:r w:rsidR="00306314" w:rsidRPr="00190842">
        <w:rPr>
          <w:lang w:val="es-AR"/>
        </w:rPr>
        <w:t xml:space="preserve"> 5 tienen procedimientos administrativos internos que se deb</w:t>
      </w:r>
      <w:r>
        <w:rPr>
          <w:lang w:val="es-AR"/>
        </w:rPr>
        <w:t>e</w:t>
      </w:r>
      <w:r w:rsidR="00306314" w:rsidRPr="00190842">
        <w:rPr>
          <w:lang w:val="es-AR"/>
        </w:rPr>
        <w:t>n seguir</w:t>
      </w:r>
      <w:r w:rsidR="00306314" w:rsidRPr="00190842">
        <w:rPr>
          <w:rStyle w:val="FootnoteReference"/>
          <w:lang w:val="es-AR"/>
        </w:rPr>
        <w:footnoteReference w:id="26"/>
      </w:r>
      <w:r w:rsidR="00306314" w:rsidRPr="00190842">
        <w:rPr>
          <w:lang w:val="es-AR"/>
        </w:rPr>
        <w:t xml:space="preserve"> para cada proyecto aprobado por el Comité Ejecutivo. Algunos de estos procesos tardan considerable tiempo, </w:t>
      </w:r>
      <w:r>
        <w:rPr>
          <w:lang w:val="es-AR"/>
        </w:rPr>
        <w:t xml:space="preserve">pero aun así </w:t>
      </w:r>
      <w:r w:rsidR="00306314" w:rsidRPr="00190842">
        <w:rPr>
          <w:lang w:val="es-AR"/>
        </w:rPr>
        <w:t xml:space="preserve">deben </w:t>
      </w:r>
      <w:r>
        <w:rPr>
          <w:lang w:val="es-AR"/>
        </w:rPr>
        <w:t xml:space="preserve">terminarse </w:t>
      </w:r>
      <w:r w:rsidR="00306314" w:rsidRPr="00190842">
        <w:rPr>
          <w:lang w:val="es-AR"/>
        </w:rPr>
        <w:t xml:space="preserve">antes de que </w:t>
      </w:r>
      <w:r w:rsidR="00190842">
        <w:rPr>
          <w:lang w:val="es-AR"/>
        </w:rPr>
        <w:t>la ejecución</w:t>
      </w:r>
      <w:r w:rsidR="00306314" w:rsidRPr="00190842">
        <w:rPr>
          <w:lang w:val="es-AR"/>
        </w:rPr>
        <w:t xml:space="preserve"> del proyecto pueda comenzar;</w:t>
      </w:r>
    </w:p>
    <w:p w14:paraId="0EE914B3" w14:textId="0A58ECC2" w:rsidR="00306314" w:rsidRPr="00190842" w:rsidRDefault="00D9416A" w:rsidP="00306314">
      <w:pPr>
        <w:pStyle w:val="Heading2"/>
        <w:rPr>
          <w:lang w:val="es-AR"/>
        </w:rPr>
      </w:pPr>
      <w:r>
        <w:rPr>
          <w:bCs/>
          <w:i/>
          <w:lang w:val="es-AR"/>
        </w:rPr>
        <w:lastRenderedPageBreak/>
        <w:t xml:space="preserve">Mayor concentración </w:t>
      </w:r>
      <w:r w:rsidR="00306314" w:rsidRPr="00190842">
        <w:rPr>
          <w:bCs/>
          <w:i/>
          <w:lang w:val="es-AR"/>
        </w:rPr>
        <w:t xml:space="preserve">en la </w:t>
      </w:r>
      <w:r>
        <w:rPr>
          <w:bCs/>
          <w:i/>
          <w:lang w:val="es-AR"/>
        </w:rPr>
        <w:t>e</w:t>
      </w:r>
      <w:r w:rsidR="00306314" w:rsidRPr="00190842">
        <w:rPr>
          <w:bCs/>
          <w:i/>
          <w:lang w:val="es-AR"/>
        </w:rPr>
        <w:t xml:space="preserve">jecución </w:t>
      </w:r>
      <w:r w:rsidR="00190842">
        <w:rPr>
          <w:bCs/>
          <w:i/>
          <w:lang w:val="es-AR"/>
        </w:rPr>
        <w:t>del proyecto</w:t>
      </w:r>
      <w:r w:rsidR="00306314" w:rsidRPr="00190842">
        <w:rPr>
          <w:bCs/>
          <w:lang w:val="es-AR"/>
        </w:rPr>
        <w:t>:</w:t>
      </w:r>
      <w:r w:rsidR="00306314" w:rsidRPr="00190842">
        <w:rPr>
          <w:lang w:val="es-AR"/>
        </w:rPr>
        <w:t xml:space="preserve"> Dado las </w:t>
      </w:r>
      <w:r>
        <w:rPr>
          <w:lang w:val="es-AR"/>
        </w:rPr>
        <w:t xml:space="preserve">medidas </w:t>
      </w:r>
      <w:r w:rsidR="00306314" w:rsidRPr="00190842">
        <w:rPr>
          <w:lang w:val="es-AR"/>
        </w:rPr>
        <w:t xml:space="preserve">administrativas requeridas antes de comenzar </w:t>
      </w:r>
      <w:r w:rsidR="00190842">
        <w:rPr>
          <w:lang w:val="es-AR"/>
        </w:rPr>
        <w:t>la ejecución</w:t>
      </w:r>
      <w:r w:rsidR="00306314" w:rsidRPr="00190842">
        <w:rPr>
          <w:lang w:val="es-AR"/>
        </w:rPr>
        <w:t xml:space="preserve">, el calendario real para </w:t>
      </w:r>
      <w:r w:rsidR="00190842">
        <w:rPr>
          <w:lang w:val="es-AR"/>
        </w:rPr>
        <w:t>la ejecución</w:t>
      </w:r>
      <w:r w:rsidR="00306314" w:rsidRPr="00190842">
        <w:rPr>
          <w:lang w:val="es-AR"/>
        </w:rPr>
        <w:t xml:space="preserve"> de</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es </w:t>
      </w:r>
      <w:r>
        <w:rPr>
          <w:lang w:val="es-AR"/>
        </w:rPr>
        <w:t xml:space="preserve">de </w:t>
      </w:r>
      <w:r w:rsidR="00306314" w:rsidRPr="00190842">
        <w:rPr>
          <w:lang w:val="es-AR"/>
        </w:rPr>
        <w:t xml:space="preserve">menos de dos años. Además, la presentación de la </w:t>
      </w:r>
      <w:r w:rsidR="00190842">
        <w:rPr>
          <w:lang w:val="es-AR"/>
        </w:rPr>
        <w:t>propuesta</w:t>
      </w:r>
      <w:r w:rsidR="00306314" w:rsidRPr="00190842">
        <w:rPr>
          <w:lang w:val="es-AR"/>
        </w:rPr>
        <w:t xml:space="preserve"> para la renovación de</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w:t>
      </w:r>
      <w:r>
        <w:rPr>
          <w:lang w:val="es-AR"/>
        </w:rPr>
        <w:t>de</w:t>
      </w:r>
      <w:r w:rsidR="00306314" w:rsidRPr="00190842">
        <w:rPr>
          <w:lang w:val="es-AR"/>
        </w:rPr>
        <w:t xml:space="preserve"> ocho semanas antes de la reunión de Comité Ejecutivo incluye un </w:t>
      </w:r>
      <w:r>
        <w:rPr>
          <w:lang w:val="es-AR"/>
        </w:rPr>
        <w:t>i</w:t>
      </w:r>
      <w:r w:rsidR="00306314" w:rsidRPr="00190842">
        <w:rPr>
          <w:lang w:val="es-AR"/>
        </w:rPr>
        <w:t>nforme sobre la marcha de las actividades que cubr</w:t>
      </w:r>
      <w:r>
        <w:rPr>
          <w:lang w:val="es-AR"/>
        </w:rPr>
        <w:t>e</w:t>
      </w:r>
      <w:r w:rsidR="00306314" w:rsidRPr="00190842">
        <w:rPr>
          <w:lang w:val="es-AR"/>
        </w:rPr>
        <w:t xml:space="preserve"> </w:t>
      </w:r>
      <w:r w:rsidR="00190842">
        <w:rPr>
          <w:lang w:val="es-AR"/>
        </w:rPr>
        <w:t>sólo</w:t>
      </w:r>
      <w:r w:rsidR="00306314" w:rsidRPr="00190842">
        <w:rPr>
          <w:lang w:val="es-AR"/>
        </w:rPr>
        <w:t xml:space="preserve"> entre 15 y 18 meses de </w:t>
      </w:r>
      <w:r w:rsidR="00190842">
        <w:rPr>
          <w:lang w:val="es-AR"/>
        </w:rPr>
        <w:t>la ejecución</w:t>
      </w:r>
      <w:r w:rsidR="00306314" w:rsidRPr="00190842">
        <w:rPr>
          <w:lang w:val="es-AR"/>
        </w:rPr>
        <w:t xml:space="preserve">, dando </w:t>
      </w:r>
      <w:r>
        <w:rPr>
          <w:lang w:val="es-AR"/>
        </w:rPr>
        <w:t xml:space="preserve">así poco tiempo </w:t>
      </w:r>
      <w:r w:rsidR="00306314" w:rsidRPr="00190842">
        <w:rPr>
          <w:lang w:val="es-AR"/>
        </w:rPr>
        <w:t xml:space="preserve">para </w:t>
      </w:r>
      <w:r>
        <w:rPr>
          <w:lang w:val="es-AR"/>
        </w:rPr>
        <w:t xml:space="preserve">lograr </w:t>
      </w:r>
      <w:r w:rsidR="00306314" w:rsidRPr="00190842">
        <w:rPr>
          <w:lang w:val="es-AR"/>
        </w:rPr>
        <w:t xml:space="preserve">algunos de los </w:t>
      </w:r>
      <w:r w:rsidR="004A3566">
        <w:rPr>
          <w:lang w:val="es-AR"/>
        </w:rPr>
        <w:t>indicadores de desempeño</w:t>
      </w:r>
      <w:r w:rsidR="00306314" w:rsidRPr="00190842">
        <w:rPr>
          <w:lang w:val="es-AR"/>
        </w:rPr>
        <w:t xml:space="preserve">. Un calendario de tres años permitiría un período más largo para </w:t>
      </w:r>
      <w:r>
        <w:rPr>
          <w:lang w:val="es-AR"/>
        </w:rPr>
        <w:t xml:space="preserve">que </w:t>
      </w:r>
      <w:r w:rsidR="00190842">
        <w:rPr>
          <w:lang w:val="es-AR"/>
        </w:rPr>
        <w:t>la ejecución</w:t>
      </w:r>
      <w:r w:rsidR="00306314" w:rsidRPr="00190842">
        <w:rPr>
          <w:lang w:val="es-AR"/>
        </w:rPr>
        <w:t xml:space="preserve"> entre las fases </w:t>
      </w:r>
      <w:r>
        <w:rPr>
          <w:lang w:val="es-AR"/>
        </w:rPr>
        <w:t xml:space="preserve">fuese eficaz </w:t>
      </w:r>
      <w:r w:rsidR="00306314" w:rsidRPr="00190842">
        <w:rPr>
          <w:lang w:val="es-AR"/>
        </w:rPr>
        <w:t xml:space="preserve">y permitiría a la </w:t>
      </w:r>
      <w:r w:rsidR="00E17069">
        <w:rPr>
          <w:lang w:val="es-AR"/>
        </w:rPr>
        <w:t>dependencia nacional del ozono</w:t>
      </w:r>
      <w:r w:rsidR="00306314" w:rsidRPr="00190842">
        <w:rPr>
          <w:lang w:val="es-AR"/>
        </w:rPr>
        <w:t xml:space="preserve"> ejecutar actividades </w:t>
      </w:r>
      <w:r w:rsidR="0054606A">
        <w:rPr>
          <w:lang w:val="es-AR"/>
        </w:rPr>
        <w:t xml:space="preserve">en preparación de </w:t>
      </w:r>
      <w:r w:rsidR="00306314" w:rsidRPr="00190842">
        <w:rPr>
          <w:lang w:val="es-AR"/>
        </w:rPr>
        <w:t xml:space="preserve">los </w:t>
      </w:r>
      <w:r w:rsidR="004A3566">
        <w:rPr>
          <w:lang w:val="es-AR"/>
        </w:rPr>
        <w:t>indicadores de desempeño</w:t>
      </w:r>
      <w:r w:rsidR="0054606A">
        <w:rPr>
          <w:lang w:val="es-AR"/>
        </w:rPr>
        <w:t>;</w:t>
      </w:r>
      <w:r w:rsidR="004A3566">
        <w:rPr>
          <w:lang w:val="es-AR"/>
        </w:rPr>
        <w:t xml:space="preserve"> </w:t>
      </w:r>
      <w:r w:rsidR="00306314" w:rsidRPr="00190842">
        <w:rPr>
          <w:lang w:val="es-AR"/>
        </w:rPr>
        <w:t>y</w:t>
      </w:r>
    </w:p>
    <w:p w14:paraId="1ECBCE8D" w14:textId="3085AFFF" w:rsidR="00306314" w:rsidRPr="00190842" w:rsidRDefault="00D9416A" w:rsidP="00306314">
      <w:pPr>
        <w:pStyle w:val="Heading2"/>
        <w:widowControl/>
        <w:rPr>
          <w:lang w:val="es-AR"/>
        </w:rPr>
      </w:pPr>
      <w:r>
        <w:rPr>
          <w:i/>
          <w:lang w:val="es-AR"/>
        </w:rPr>
        <w:t xml:space="preserve">Mayor estabilidad y tiempo </w:t>
      </w:r>
      <w:r w:rsidR="00306314" w:rsidRPr="00190842">
        <w:rPr>
          <w:i/>
          <w:lang w:val="es-AR"/>
        </w:rPr>
        <w:t>de</w:t>
      </w:r>
      <w:r w:rsidR="00306314" w:rsidRPr="00D9416A">
        <w:rPr>
          <w:i/>
          <w:lang w:val="es-AR"/>
        </w:rPr>
        <w:t xml:space="preserve"> la</w:t>
      </w:r>
      <w:r w:rsidR="00306314" w:rsidRPr="00190842">
        <w:rPr>
          <w:lang w:val="es-AR"/>
        </w:rPr>
        <w:t xml:space="preserve"> </w:t>
      </w:r>
      <w:r w:rsidR="00E17069">
        <w:rPr>
          <w:i/>
          <w:lang w:val="es-AR"/>
        </w:rPr>
        <w:t>dependencia nacional del ozono</w:t>
      </w:r>
      <w:r w:rsidR="00306314" w:rsidRPr="00190842">
        <w:rPr>
          <w:i/>
          <w:lang w:val="es-AR"/>
        </w:rPr>
        <w:t xml:space="preserve"> para </w:t>
      </w:r>
      <w:r>
        <w:rPr>
          <w:i/>
          <w:lang w:val="es-AR"/>
        </w:rPr>
        <w:t xml:space="preserve">contratar </w:t>
      </w:r>
      <w:r w:rsidR="00306314" w:rsidRPr="00190842">
        <w:rPr>
          <w:i/>
          <w:lang w:val="es-AR"/>
        </w:rPr>
        <w:t>personal</w:t>
      </w:r>
      <w:r w:rsidR="00306314" w:rsidRPr="00190842">
        <w:rPr>
          <w:lang w:val="es-AR"/>
        </w:rPr>
        <w:t xml:space="preserve">: Los países del </w:t>
      </w:r>
      <w:r w:rsidR="00190842">
        <w:rPr>
          <w:lang w:val="es-AR"/>
        </w:rPr>
        <w:t>Artículo</w:t>
      </w:r>
      <w:r w:rsidR="00306314" w:rsidRPr="00190842">
        <w:rPr>
          <w:lang w:val="es-AR"/>
        </w:rPr>
        <w:t xml:space="preserve"> 5 pueden </w:t>
      </w:r>
      <w:r>
        <w:rPr>
          <w:lang w:val="es-AR"/>
        </w:rPr>
        <w:t xml:space="preserve">comprometerse </w:t>
      </w:r>
      <w:r w:rsidR="00190842">
        <w:rPr>
          <w:lang w:val="es-AR"/>
        </w:rPr>
        <w:t>sólo</w:t>
      </w:r>
      <w:r w:rsidR="00306314" w:rsidRPr="00190842">
        <w:rPr>
          <w:lang w:val="es-AR"/>
        </w:rPr>
        <w:t xml:space="preserve"> </w:t>
      </w:r>
      <w:r>
        <w:rPr>
          <w:lang w:val="es-AR"/>
        </w:rPr>
        <w:t>a</w:t>
      </w:r>
      <w:r w:rsidR="00306314" w:rsidRPr="00190842">
        <w:rPr>
          <w:lang w:val="es-AR"/>
        </w:rPr>
        <w:t xml:space="preserve"> proveer </w:t>
      </w:r>
      <w:r w:rsidR="00BF1C5A">
        <w:rPr>
          <w:lang w:val="es-AR"/>
        </w:rPr>
        <w:t xml:space="preserve">contratos </w:t>
      </w:r>
      <w:r w:rsidR="00306314" w:rsidRPr="00190842">
        <w:rPr>
          <w:lang w:val="es-AR"/>
        </w:rPr>
        <w:t>de personal de acuerdo con la duración del</w:t>
      </w:r>
      <w:r w:rsidR="00674039">
        <w:rPr>
          <w:lang w:val="es-AR"/>
        </w:rPr>
        <w:t xml:space="preserve"> </w:t>
      </w:r>
      <w:r w:rsidR="00BF1C5A">
        <w:rPr>
          <w:lang w:val="es-AR"/>
        </w:rPr>
        <w:t>proyecto de fortalecimiento institucional</w:t>
      </w:r>
      <w:r w:rsidR="00306314" w:rsidRPr="00190842">
        <w:rPr>
          <w:lang w:val="es-AR"/>
        </w:rPr>
        <w:t>; prolongar la duración a tres años creará más incentivo</w:t>
      </w:r>
      <w:r w:rsidR="00BF1C5A">
        <w:rPr>
          <w:lang w:val="es-AR"/>
        </w:rPr>
        <w:t>s</w:t>
      </w:r>
      <w:r w:rsidR="00306314" w:rsidRPr="00190842">
        <w:rPr>
          <w:lang w:val="es-AR"/>
        </w:rPr>
        <w:t xml:space="preserve"> para que el personal trabaje con la </w:t>
      </w:r>
      <w:r w:rsidR="00E17069">
        <w:rPr>
          <w:lang w:val="es-AR"/>
        </w:rPr>
        <w:t>dependencia nacional del ozono</w:t>
      </w:r>
      <w:r w:rsidR="00BF1C5A">
        <w:rPr>
          <w:lang w:val="es-AR"/>
        </w:rPr>
        <w:t>,</w:t>
      </w:r>
      <w:r w:rsidR="00306314" w:rsidRPr="00190842">
        <w:rPr>
          <w:lang w:val="es-AR"/>
        </w:rPr>
        <w:t xml:space="preserve"> dada las ventajas de un contrato más largo.</w:t>
      </w:r>
    </w:p>
    <w:p w14:paraId="0BBFC18E" w14:textId="15C86A61" w:rsidR="00306314" w:rsidRPr="00190842" w:rsidRDefault="00306314" w:rsidP="00306314">
      <w:pPr>
        <w:pStyle w:val="Heading1"/>
        <w:rPr>
          <w:lang w:val="es-AR"/>
        </w:rPr>
      </w:pPr>
      <w:r w:rsidRPr="00190842">
        <w:rPr>
          <w:lang w:val="es-AR"/>
        </w:rPr>
        <w:t xml:space="preserve">La facilitación de la carga de proceso en el nivel de país también se aplicará a los </w:t>
      </w:r>
      <w:r w:rsidR="009F4D4E">
        <w:rPr>
          <w:lang w:val="es-AR"/>
        </w:rPr>
        <w:t>organismos</w:t>
      </w:r>
      <w:r w:rsidRPr="00190842">
        <w:rPr>
          <w:lang w:val="es-AR"/>
        </w:rPr>
        <w:t xml:space="preserve"> de ejecución</w:t>
      </w:r>
      <w:r w:rsidR="00BF1C5A">
        <w:rPr>
          <w:lang w:val="es-AR"/>
        </w:rPr>
        <w:t xml:space="preserve"> y bilaterales</w:t>
      </w:r>
      <w:r w:rsidRPr="00190842">
        <w:rPr>
          <w:lang w:val="es-AR"/>
        </w:rPr>
        <w:t xml:space="preserve">. Además, </w:t>
      </w:r>
      <w:r w:rsidR="0054606A">
        <w:rPr>
          <w:lang w:val="es-AR"/>
        </w:rPr>
        <w:t xml:space="preserve">el volumen </w:t>
      </w:r>
      <w:r w:rsidRPr="00190842">
        <w:rPr>
          <w:lang w:val="es-AR"/>
        </w:rPr>
        <w:t xml:space="preserve">de trabajo de la </w:t>
      </w:r>
      <w:r w:rsidR="00190842">
        <w:rPr>
          <w:lang w:val="es-AR"/>
        </w:rPr>
        <w:t>Secretaría</w:t>
      </w:r>
      <w:r w:rsidRPr="00190842">
        <w:rPr>
          <w:lang w:val="es-AR"/>
        </w:rPr>
        <w:t xml:space="preserve"> se reduci</w:t>
      </w:r>
      <w:r w:rsidR="00BF1C5A">
        <w:rPr>
          <w:lang w:val="es-AR"/>
        </w:rPr>
        <w:t>rá</w:t>
      </w:r>
      <w:r w:rsidRPr="00190842">
        <w:rPr>
          <w:lang w:val="es-AR"/>
        </w:rPr>
        <w:t xml:space="preserve"> en términos de</w:t>
      </w:r>
      <w:r w:rsidR="00BF1C5A">
        <w:rPr>
          <w:lang w:val="es-AR"/>
        </w:rPr>
        <w:t xml:space="preserve"> examen</w:t>
      </w:r>
      <w:r w:rsidRPr="00190842">
        <w:rPr>
          <w:lang w:val="es-AR"/>
        </w:rPr>
        <w:t xml:space="preserve"> </w:t>
      </w:r>
      <w:r w:rsidR="00190842">
        <w:rPr>
          <w:lang w:val="es-AR"/>
        </w:rPr>
        <w:t>de proyecto</w:t>
      </w:r>
      <w:r w:rsidR="0054606A">
        <w:rPr>
          <w:lang w:val="es-AR"/>
        </w:rPr>
        <w:t>s</w:t>
      </w:r>
      <w:r w:rsidRPr="00190842">
        <w:rPr>
          <w:lang w:val="es-AR"/>
        </w:rPr>
        <w:t xml:space="preserve">, con una reducción similar en </w:t>
      </w:r>
      <w:r w:rsidR="009B1556">
        <w:rPr>
          <w:lang w:val="es-AR"/>
        </w:rPr>
        <w:t xml:space="preserve">el volumen de trabajo </w:t>
      </w:r>
      <w:r w:rsidRPr="00190842">
        <w:rPr>
          <w:lang w:val="es-AR"/>
        </w:rPr>
        <w:t xml:space="preserve">del Comité Ejecutivo en términos de </w:t>
      </w:r>
      <w:r w:rsidR="00BF1C5A">
        <w:rPr>
          <w:lang w:val="es-AR"/>
        </w:rPr>
        <w:t>examen</w:t>
      </w:r>
      <w:r w:rsidRPr="00190842">
        <w:rPr>
          <w:lang w:val="es-AR"/>
        </w:rPr>
        <w:t>, consideración y aprobación de</w:t>
      </w:r>
      <w:r w:rsidR="00BF1C5A">
        <w:rPr>
          <w:lang w:val="es-AR"/>
        </w:rPr>
        <w:t xml:space="preserve"> los</w:t>
      </w:r>
      <w:r w:rsidRPr="00190842">
        <w:rPr>
          <w:lang w:val="es-AR"/>
        </w:rPr>
        <w:t xml:space="preserve"> documentos pertinentes. Como cada </w:t>
      </w:r>
      <w:r w:rsidR="00190842">
        <w:rPr>
          <w:lang w:val="es-AR"/>
        </w:rPr>
        <w:t>organismo de ejecución</w:t>
      </w:r>
      <w:r w:rsidR="00BF1C5A">
        <w:rPr>
          <w:lang w:val="es-AR"/>
        </w:rPr>
        <w:t xml:space="preserve"> y</w:t>
      </w:r>
      <w:r w:rsidRPr="00190842">
        <w:rPr>
          <w:lang w:val="es-AR"/>
        </w:rPr>
        <w:t xml:space="preserve"> bilateral tiene su propio mecanismo interno para supervisar regularmente </w:t>
      </w:r>
      <w:r w:rsidR="00190842">
        <w:rPr>
          <w:lang w:val="es-AR"/>
        </w:rPr>
        <w:t>la ejecución</w:t>
      </w:r>
      <w:r w:rsidRPr="00190842">
        <w:rPr>
          <w:lang w:val="es-AR"/>
        </w:rPr>
        <w:t xml:space="preserve"> de</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prolongar la duración a tres años no reduciría la calidad de las </w:t>
      </w:r>
      <w:r w:rsidR="00BF1C5A">
        <w:rPr>
          <w:lang w:val="es-AR"/>
        </w:rPr>
        <w:t xml:space="preserve">propuestas </w:t>
      </w:r>
      <w:r w:rsidR="00190842">
        <w:rPr>
          <w:lang w:val="es-AR"/>
        </w:rPr>
        <w:t>de proyecto</w:t>
      </w:r>
      <w:r w:rsidRPr="00190842">
        <w:rPr>
          <w:lang w:val="es-AR"/>
        </w:rPr>
        <w:t xml:space="preserve">, ni impediría la supervisión de esos proyectos </w:t>
      </w:r>
      <w:r w:rsidR="00BF1C5A">
        <w:rPr>
          <w:lang w:val="es-AR"/>
        </w:rPr>
        <w:t xml:space="preserve">por parte </w:t>
      </w:r>
      <w:r w:rsidRPr="00190842">
        <w:rPr>
          <w:lang w:val="es-AR"/>
        </w:rPr>
        <w:t>del Comité Ejecutivo.</w:t>
      </w:r>
    </w:p>
    <w:p w14:paraId="56711F41" w14:textId="1044C3E9" w:rsidR="00306314" w:rsidRPr="00190842" w:rsidRDefault="00BF1C5A" w:rsidP="00306314">
      <w:pPr>
        <w:rPr>
          <w:b/>
          <w:lang w:val="es-AR"/>
        </w:rPr>
      </w:pPr>
      <w:r>
        <w:rPr>
          <w:b/>
          <w:lang w:val="es-AR"/>
        </w:rPr>
        <w:t xml:space="preserve">Requisitos de </w:t>
      </w:r>
      <w:r w:rsidR="00306314" w:rsidRPr="00190842">
        <w:rPr>
          <w:b/>
          <w:lang w:val="es-AR"/>
        </w:rPr>
        <w:t>financiamiento para</w:t>
      </w:r>
      <w:r w:rsidR="00190842">
        <w:rPr>
          <w:b/>
          <w:lang w:val="es-AR"/>
        </w:rPr>
        <w:t xml:space="preserve"> fortalecimiento institucional </w:t>
      </w:r>
    </w:p>
    <w:p w14:paraId="4CC8E312" w14:textId="77777777" w:rsidR="00306314" w:rsidRPr="00190842" w:rsidRDefault="00306314" w:rsidP="00306314">
      <w:pPr>
        <w:rPr>
          <w:b/>
          <w:lang w:val="es-AR"/>
        </w:rPr>
      </w:pPr>
    </w:p>
    <w:p w14:paraId="51BBF6F0" w14:textId="44956A86" w:rsidR="00306314" w:rsidRPr="00190842" w:rsidRDefault="00306314" w:rsidP="00306314">
      <w:pPr>
        <w:pStyle w:val="Heading1"/>
        <w:rPr>
          <w:lang w:val="es-AR"/>
        </w:rPr>
      </w:pPr>
      <w:r w:rsidRPr="00BF1C5A">
        <w:rPr>
          <w:lang w:val="es-AR"/>
        </w:rPr>
        <w:t>Desde su 7</w:t>
      </w:r>
      <w:r w:rsidR="00BF1C5A">
        <w:rPr>
          <w:lang w:val="es-AR"/>
        </w:rPr>
        <w:t xml:space="preserve">ª </w:t>
      </w:r>
      <w:r w:rsidRPr="00BF1C5A">
        <w:rPr>
          <w:lang w:val="es-AR"/>
        </w:rPr>
        <w:t>reunión</w:t>
      </w:r>
      <w:r w:rsidRPr="00190842">
        <w:rPr>
          <w:lang w:val="es-AR"/>
        </w:rPr>
        <w:t xml:space="preserve">, el </w:t>
      </w:r>
      <w:r w:rsidR="00190842">
        <w:rPr>
          <w:lang w:val="es-AR"/>
        </w:rPr>
        <w:t>Comité Ejecutivo aprobó</w:t>
      </w:r>
      <w:r w:rsidR="00DF14AE">
        <w:rPr>
          <w:lang w:val="es-AR"/>
        </w:rPr>
        <w:t xml:space="preserve"> $EUA </w:t>
      </w:r>
      <w:r w:rsidRPr="00190842">
        <w:rPr>
          <w:lang w:val="es-AR"/>
        </w:rPr>
        <w:t>15</w:t>
      </w:r>
      <w:r w:rsidR="00190842" w:rsidRPr="00190842">
        <w:rPr>
          <w:lang w:val="es-AR"/>
        </w:rPr>
        <w:t>1</w:t>
      </w:r>
      <w:r w:rsidR="00190842">
        <w:rPr>
          <w:lang w:val="es-AR"/>
        </w:rPr>
        <w:t xml:space="preserve"> </w:t>
      </w:r>
      <w:r w:rsidR="00190842" w:rsidRPr="00190842">
        <w:rPr>
          <w:lang w:val="es-AR"/>
        </w:rPr>
        <w:t>925</w:t>
      </w:r>
      <w:r w:rsidR="00190842">
        <w:rPr>
          <w:lang w:val="es-AR"/>
        </w:rPr>
        <w:t xml:space="preserve"> </w:t>
      </w:r>
      <w:r w:rsidR="00190842" w:rsidRPr="00190842">
        <w:rPr>
          <w:lang w:val="es-AR"/>
        </w:rPr>
        <w:t>706</w:t>
      </w:r>
      <w:r w:rsidRPr="00190842">
        <w:rPr>
          <w:lang w:val="es-AR"/>
        </w:rPr>
        <w:t xml:space="preserve">, más </w:t>
      </w:r>
      <w:r w:rsidR="00BF1C5A">
        <w:rPr>
          <w:lang w:val="es-AR"/>
        </w:rPr>
        <w:t xml:space="preserve">los gastos </w:t>
      </w:r>
      <w:r w:rsidR="00190842">
        <w:rPr>
          <w:lang w:val="es-AR"/>
        </w:rPr>
        <w:t>de apoyo</w:t>
      </w:r>
      <w:r w:rsidRPr="00190842">
        <w:rPr>
          <w:lang w:val="es-AR"/>
        </w:rPr>
        <w:t xml:space="preserve"> de </w:t>
      </w:r>
      <w:r w:rsidR="009F4D4E">
        <w:rPr>
          <w:lang w:val="es-AR"/>
        </w:rPr>
        <w:t>organismo</w:t>
      </w:r>
      <w:r w:rsidR="00945381">
        <w:rPr>
          <w:lang w:val="es-AR"/>
        </w:rPr>
        <w:t>s</w:t>
      </w:r>
      <w:r w:rsidRPr="00190842">
        <w:rPr>
          <w:lang w:val="es-AR"/>
        </w:rPr>
        <w:t xml:space="preserve"> de</w:t>
      </w:r>
      <w:r w:rsidR="00DF14AE">
        <w:rPr>
          <w:lang w:val="es-AR"/>
        </w:rPr>
        <w:t xml:space="preserve"> $EUA </w:t>
      </w:r>
      <w:r w:rsidR="00190842" w:rsidRPr="00190842">
        <w:rPr>
          <w:lang w:val="es-AR"/>
        </w:rPr>
        <w:t>8</w:t>
      </w:r>
      <w:r w:rsidR="00190842">
        <w:rPr>
          <w:lang w:val="es-AR"/>
        </w:rPr>
        <w:t xml:space="preserve"> </w:t>
      </w:r>
      <w:r w:rsidR="00190842" w:rsidRPr="00190842">
        <w:rPr>
          <w:lang w:val="es-AR"/>
        </w:rPr>
        <w:t>151</w:t>
      </w:r>
      <w:r w:rsidR="00190842">
        <w:rPr>
          <w:lang w:val="es-AR"/>
        </w:rPr>
        <w:t xml:space="preserve"> </w:t>
      </w:r>
      <w:r w:rsidR="00190842" w:rsidRPr="00190842">
        <w:rPr>
          <w:lang w:val="es-AR"/>
        </w:rPr>
        <w:t>770</w:t>
      </w:r>
      <w:r w:rsidRPr="00190842">
        <w:rPr>
          <w:lang w:val="es-AR"/>
        </w:rPr>
        <w:t xml:space="preserve"> para</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945381">
        <w:rPr>
          <w:lang w:val="es-AR"/>
        </w:rPr>
        <w:t xml:space="preserve">lo que equivale </w:t>
      </w:r>
      <w:r w:rsidRPr="00190842">
        <w:rPr>
          <w:lang w:val="es-AR"/>
        </w:rPr>
        <w:t xml:space="preserve">al </w:t>
      </w:r>
      <w:r w:rsidR="00190842" w:rsidRPr="00190842">
        <w:rPr>
          <w:lang w:val="es-AR"/>
        </w:rPr>
        <w:t>4</w:t>
      </w:r>
      <w:r w:rsidR="00190842">
        <w:rPr>
          <w:lang w:val="es-AR"/>
        </w:rPr>
        <w:t>,</w:t>
      </w:r>
      <w:r w:rsidR="00190842" w:rsidRPr="00190842">
        <w:rPr>
          <w:lang w:val="es-AR"/>
        </w:rPr>
        <w:t>2</w:t>
      </w:r>
      <w:r w:rsidRPr="00190842">
        <w:rPr>
          <w:lang w:val="es-AR"/>
        </w:rPr>
        <w:t>1 por ciento de</w:t>
      </w:r>
      <w:r w:rsidR="00945381">
        <w:rPr>
          <w:lang w:val="es-AR"/>
        </w:rPr>
        <w:t xml:space="preserve">l total de financiamiento </w:t>
      </w:r>
      <w:r w:rsidRPr="00190842">
        <w:rPr>
          <w:lang w:val="es-AR"/>
        </w:rPr>
        <w:t>aprobad</w:t>
      </w:r>
      <w:r w:rsidR="00945381">
        <w:rPr>
          <w:lang w:val="es-AR"/>
        </w:rPr>
        <w:t>o</w:t>
      </w:r>
      <w:r w:rsidRPr="00190842">
        <w:rPr>
          <w:lang w:val="es-AR"/>
        </w:rPr>
        <w:t xml:space="preserve"> </w:t>
      </w:r>
      <w:r w:rsidR="009B1556">
        <w:rPr>
          <w:lang w:val="es-AR"/>
        </w:rPr>
        <w:t>bajo el Fondo</w:t>
      </w:r>
      <w:r w:rsidR="00190842">
        <w:rPr>
          <w:lang w:val="es-AR"/>
        </w:rPr>
        <w:t xml:space="preserve"> Multilateral</w:t>
      </w:r>
      <w:r w:rsidRPr="00190842">
        <w:rPr>
          <w:lang w:val="es-AR"/>
        </w:rPr>
        <w:t xml:space="preserve"> para proyectos y actividades. Actualmente, 144 países del </w:t>
      </w:r>
      <w:r w:rsidR="00190842">
        <w:rPr>
          <w:lang w:val="es-AR"/>
        </w:rPr>
        <w:t>Artículo</w:t>
      </w:r>
      <w:r w:rsidRPr="00190842">
        <w:rPr>
          <w:lang w:val="es-AR"/>
        </w:rPr>
        <w:t xml:space="preserve"> 5 reciben </w:t>
      </w:r>
      <w:r w:rsidR="00945381">
        <w:rPr>
          <w:lang w:val="es-AR"/>
        </w:rPr>
        <w:t xml:space="preserve">financiamiento </w:t>
      </w:r>
      <w:r w:rsidRPr="00190842">
        <w:rPr>
          <w:lang w:val="es-AR"/>
        </w:rPr>
        <w:t>para</w:t>
      </w:r>
      <w:r w:rsidR="00674039">
        <w:rPr>
          <w:lang w:val="es-AR"/>
        </w:rPr>
        <w:t xml:space="preserve"> proyectos de </w:t>
      </w:r>
      <w:r w:rsidR="00AA1ED5">
        <w:rPr>
          <w:lang w:val="es-AR"/>
        </w:rPr>
        <w:t>fortalecimiento institucional</w:t>
      </w:r>
      <w:r w:rsidRPr="00190842">
        <w:rPr>
          <w:lang w:val="es-AR"/>
        </w:rPr>
        <w:t xml:space="preserve">, 140 de esos países tienen </w:t>
      </w:r>
      <w:r w:rsidR="00674039">
        <w:rPr>
          <w:lang w:val="es-AR"/>
        </w:rPr>
        <w:t xml:space="preserve">proyectos de </w:t>
      </w:r>
      <w:r w:rsidR="00AA1ED5">
        <w:rPr>
          <w:lang w:val="es-AR"/>
        </w:rPr>
        <w:t>fortalecimiento institucional</w:t>
      </w:r>
      <w:r w:rsidRPr="00190842">
        <w:rPr>
          <w:lang w:val="es-AR"/>
        </w:rPr>
        <w:t xml:space="preserve"> </w:t>
      </w:r>
      <w:r w:rsidR="00945381" w:rsidRPr="00190842">
        <w:rPr>
          <w:lang w:val="es-AR"/>
        </w:rPr>
        <w:t>independiente</w:t>
      </w:r>
      <w:r w:rsidR="00945381">
        <w:rPr>
          <w:lang w:val="es-AR"/>
        </w:rPr>
        <w:t xml:space="preserve">s </w:t>
      </w:r>
      <w:r w:rsidRPr="00190842">
        <w:rPr>
          <w:lang w:val="es-AR"/>
        </w:rPr>
        <w:t>y cuatro países tienen su</w:t>
      </w:r>
      <w:r w:rsidR="00674039">
        <w:rPr>
          <w:lang w:val="es-AR"/>
        </w:rPr>
        <w:t xml:space="preserve"> </w:t>
      </w:r>
      <w:r w:rsidR="00BF1C5A">
        <w:rPr>
          <w:lang w:val="es-AR"/>
        </w:rPr>
        <w:t xml:space="preserve">proyecto de fortalecimiento institucional </w:t>
      </w:r>
      <w:r w:rsidRPr="00190842">
        <w:rPr>
          <w:lang w:val="es-AR"/>
        </w:rPr>
        <w:t xml:space="preserve">integrado </w:t>
      </w:r>
      <w:r w:rsidR="00945381">
        <w:rPr>
          <w:lang w:val="es-AR"/>
        </w:rPr>
        <w:t>a</w:t>
      </w:r>
      <w:r w:rsidRPr="00190842">
        <w:rPr>
          <w:lang w:val="es-AR"/>
        </w:rPr>
        <w:t xml:space="preserve"> su plan de gestión de eliminación de </w:t>
      </w:r>
      <w:r w:rsidR="00190842">
        <w:rPr>
          <w:lang w:val="es-AR"/>
        </w:rPr>
        <w:t>los HCFC</w:t>
      </w:r>
      <w:r w:rsidRPr="00190842">
        <w:rPr>
          <w:lang w:val="es-AR"/>
        </w:rPr>
        <w:t>. Si</w:t>
      </w:r>
      <w:r w:rsidR="00674039">
        <w:rPr>
          <w:lang w:val="es-AR"/>
        </w:rPr>
        <w:t xml:space="preserve"> </w:t>
      </w:r>
      <w:r w:rsidR="00945381" w:rsidRPr="00190842">
        <w:rPr>
          <w:lang w:val="es-AR"/>
        </w:rPr>
        <w:t xml:space="preserve">todos los países del </w:t>
      </w:r>
      <w:r w:rsidR="00945381">
        <w:rPr>
          <w:lang w:val="es-AR"/>
        </w:rPr>
        <w:t>Artículo</w:t>
      </w:r>
      <w:r w:rsidR="00945381" w:rsidRPr="00190842">
        <w:rPr>
          <w:lang w:val="es-AR"/>
        </w:rPr>
        <w:t xml:space="preserve"> 5 </w:t>
      </w:r>
      <w:r w:rsidRPr="00190842">
        <w:rPr>
          <w:lang w:val="es-AR"/>
        </w:rPr>
        <w:t xml:space="preserve">con proyectos </w:t>
      </w:r>
      <w:r w:rsidR="00945381">
        <w:rPr>
          <w:lang w:val="es-AR"/>
        </w:rPr>
        <w:t xml:space="preserve">de fortalecimiento institucional presentasen </w:t>
      </w:r>
      <w:r w:rsidRPr="00190842">
        <w:rPr>
          <w:lang w:val="es-AR"/>
        </w:rPr>
        <w:t xml:space="preserve">peticiones de </w:t>
      </w:r>
      <w:r w:rsidR="00945381">
        <w:rPr>
          <w:lang w:val="es-AR"/>
        </w:rPr>
        <w:t xml:space="preserve">financiamiento </w:t>
      </w:r>
      <w:r w:rsidRPr="00190842">
        <w:rPr>
          <w:lang w:val="es-AR"/>
        </w:rPr>
        <w:t xml:space="preserve">en el mismo año, la financiación total </w:t>
      </w:r>
      <w:r w:rsidR="009B1556">
        <w:rPr>
          <w:lang w:val="es-AR"/>
        </w:rPr>
        <w:t>de</w:t>
      </w:r>
      <w:r w:rsidR="009B1556" w:rsidRPr="00190842">
        <w:rPr>
          <w:lang w:val="es-AR"/>
        </w:rPr>
        <w:t xml:space="preserve"> un año </w:t>
      </w:r>
      <w:r w:rsidRPr="00190842">
        <w:rPr>
          <w:lang w:val="es-AR"/>
        </w:rPr>
        <w:t>de</w:t>
      </w:r>
      <w:r w:rsidR="00674039">
        <w:rPr>
          <w:lang w:val="es-AR"/>
        </w:rPr>
        <w:t xml:space="preserve"> proyectos de </w:t>
      </w:r>
      <w:r w:rsidR="00AA1ED5">
        <w:rPr>
          <w:lang w:val="es-AR"/>
        </w:rPr>
        <w:t>fortalecimiento institucional</w:t>
      </w:r>
      <w:r w:rsidRPr="00190842">
        <w:rPr>
          <w:lang w:val="es-AR"/>
        </w:rPr>
        <w:t xml:space="preserve"> para los 144 países del </w:t>
      </w:r>
      <w:r w:rsidR="00190842">
        <w:rPr>
          <w:lang w:val="es-AR"/>
        </w:rPr>
        <w:t>Artículo</w:t>
      </w:r>
      <w:r w:rsidRPr="00190842">
        <w:rPr>
          <w:lang w:val="es-AR"/>
        </w:rPr>
        <w:t xml:space="preserve"> 5 ascenderían a</w:t>
      </w:r>
      <w:r w:rsidR="00DF14AE">
        <w:rPr>
          <w:lang w:val="es-AR"/>
        </w:rPr>
        <w:t xml:space="preserve"> $EUA </w:t>
      </w:r>
      <w:r w:rsidRPr="00190842">
        <w:rPr>
          <w:lang w:val="es-AR"/>
        </w:rPr>
        <w:t>1</w:t>
      </w:r>
      <w:r w:rsidR="00190842" w:rsidRPr="00190842">
        <w:rPr>
          <w:lang w:val="es-AR"/>
        </w:rPr>
        <w:t>0</w:t>
      </w:r>
      <w:r w:rsidR="00190842">
        <w:rPr>
          <w:lang w:val="es-AR"/>
        </w:rPr>
        <w:t xml:space="preserve"> </w:t>
      </w:r>
      <w:r w:rsidR="00190842" w:rsidRPr="00190842">
        <w:rPr>
          <w:lang w:val="es-AR"/>
        </w:rPr>
        <w:t>012</w:t>
      </w:r>
      <w:r w:rsidR="00190842">
        <w:rPr>
          <w:lang w:val="es-AR"/>
        </w:rPr>
        <w:t xml:space="preserve"> </w:t>
      </w:r>
      <w:r w:rsidR="00190842" w:rsidRPr="00190842">
        <w:rPr>
          <w:lang w:val="es-AR"/>
        </w:rPr>
        <w:t>506</w:t>
      </w:r>
      <w:r w:rsidRPr="00190842">
        <w:rPr>
          <w:lang w:val="es-AR"/>
        </w:rPr>
        <w:t xml:space="preserve"> (</w:t>
      </w:r>
      <w:r w:rsidR="00945381">
        <w:rPr>
          <w:lang w:val="es-AR"/>
        </w:rPr>
        <w:t xml:space="preserve">las </w:t>
      </w:r>
      <w:r w:rsidRPr="00190842">
        <w:rPr>
          <w:lang w:val="es-AR"/>
        </w:rPr>
        <w:t xml:space="preserve">peticiones de financiamiento no se </w:t>
      </w:r>
      <w:r w:rsidR="00945381">
        <w:rPr>
          <w:lang w:val="es-AR"/>
        </w:rPr>
        <w:t xml:space="preserve">presentan </w:t>
      </w:r>
      <w:r w:rsidRPr="00190842">
        <w:rPr>
          <w:lang w:val="es-AR"/>
        </w:rPr>
        <w:t xml:space="preserve">para </w:t>
      </w:r>
      <w:r w:rsidR="009B1556">
        <w:rPr>
          <w:lang w:val="es-AR"/>
        </w:rPr>
        <w:t xml:space="preserve">los </w:t>
      </w:r>
      <w:r w:rsidRPr="00190842">
        <w:rPr>
          <w:lang w:val="es-AR"/>
        </w:rPr>
        <w:t xml:space="preserve">144 países en </w:t>
      </w:r>
      <w:r w:rsidR="00945381">
        <w:rPr>
          <w:lang w:val="es-AR"/>
        </w:rPr>
        <w:t xml:space="preserve">un mismo </w:t>
      </w:r>
      <w:r w:rsidRPr="00190842">
        <w:rPr>
          <w:lang w:val="es-AR"/>
        </w:rPr>
        <w:t xml:space="preserve">año). </w:t>
      </w:r>
      <w:r w:rsidR="009B1556">
        <w:rPr>
          <w:lang w:val="es-AR"/>
        </w:rPr>
        <w:t xml:space="preserve">  </w:t>
      </w:r>
    </w:p>
    <w:p w14:paraId="32FD4761" w14:textId="614534E6" w:rsidR="00306314" w:rsidRPr="00190842" w:rsidRDefault="00306314" w:rsidP="00306314">
      <w:pPr>
        <w:pStyle w:val="Heading1"/>
        <w:keepNext/>
        <w:rPr>
          <w:lang w:val="es-AR"/>
        </w:rPr>
      </w:pPr>
      <w:r w:rsidRPr="00190842">
        <w:rPr>
          <w:lang w:val="es-AR"/>
        </w:rPr>
        <w:t xml:space="preserve">Históricamente, el Comité Ejecutivo ha aumentado </w:t>
      </w:r>
      <w:r w:rsidR="00945381" w:rsidRPr="00190842">
        <w:rPr>
          <w:lang w:val="es-AR"/>
        </w:rPr>
        <w:t xml:space="preserve">dos veces </w:t>
      </w:r>
      <w:r w:rsidRPr="00190842">
        <w:rPr>
          <w:lang w:val="es-AR"/>
        </w:rPr>
        <w:t>el nivel de financiamiento de</w:t>
      </w:r>
      <w:r w:rsidR="00190842">
        <w:rPr>
          <w:lang w:val="es-AR"/>
        </w:rPr>
        <w:t xml:space="preserve"> </w:t>
      </w:r>
      <w:r w:rsidR="009B1556">
        <w:rPr>
          <w:lang w:val="es-AR"/>
        </w:rPr>
        <w:t xml:space="preserve">los </w:t>
      </w:r>
      <w:r w:rsidR="00674039">
        <w:rPr>
          <w:lang w:val="es-AR"/>
        </w:rPr>
        <w:t xml:space="preserve">proyectos de </w:t>
      </w:r>
      <w:r w:rsidR="00AA1ED5">
        <w:rPr>
          <w:lang w:val="es-AR"/>
        </w:rPr>
        <w:t>fortalecimiento institucional</w:t>
      </w:r>
      <w:r w:rsidRPr="00190842">
        <w:rPr>
          <w:lang w:val="es-AR"/>
        </w:rPr>
        <w:t>: en su 35</w:t>
      </w:r>
      <w:r w:rsidR="00945381">
        <w:rPr>
          <w:lang w:val="es-AR"/>
        </w:rPr>
        <w:t xml:space="preserve">ª </w:t>
      </w:r>
      <w:r w:rsidRPr="00190842">
        <w:rPr>
          <w:lang w:val="es-AR"/>
        </w:rPr>
        <w:t xml:space="preserve">reunión (diciembre de 2001), el 30 por ciento del nivel </w:t>
      </w:r>
      <w:r w:rsidR="00DF14AE">
        <w:rPr>
          <w:lang w:val="es-AR"/>
        </w:rPr>
        <w:t>acordado</w:t>
      </w:r>
      <w:r w:rsidRPr="00190842">
        <w:rPr>
          <w:lang w:val="es-AR"/>
        </w:rPr>
        <w:t xml:space="preserve"> </w:t>
      </w:r>
      <w:r w:rsidR="009B1556">
        <w:rPr>
          <w:lang w:val="es-AR"/>
        </w:rPr>
        <w:t xml:space="preserve">históricamente </w:t>
      </w:r>
      <w:r w:rsidRPr="00190842">
        <w:rPr>
          <w:lang w:val="es-AR"/>
        </w:rPr>
        <w:t>(decisión 35/57), y en su 74</w:t>
      </w:r>
      <w:r w:rsidR="00945381">
        <w:rPr>
          <w:lang w:val="es-AR"/>
        </w:rPr>
        <w:t xml:space="preserve">ª </w:t>
      </w:r>
      <w:r w:rsidR="00193AA4">
        <w:rPr>
          <w:lang w:val="es-AR"/>
        </w:rPr>
        <w:t>reunión</w:t>
      </w:r>
      <w:r w:rsidRPr="00190842">
        <w:rPr>
          <w:lang w:val="es-AR"/>
        </w:rPr>
        <w:t xml:space="preserve"> (mayo de 2015), un 28 por ciento adicional con una financiación anual mínima de</w:t>
      </w:r>
      <w:r w:rsidR="00DF14AE">
        <w:rPr>
          <w:lang w:val="es-AR"/>
        </w:rPr>
        <w:t xml:space="preserve"> $EUA </w:t>
      </w:r>
      <w:r w:rsidRPr="00190842">
        <w:rPr>
          <w:lang w:val="es-AR"/>
        </w:rPr>
        <w:t>4</w:t>
      </w:r>
      <w:r w:rsidR="00190842" w:rsidRPr="00190842">
        <w:rPr>
          <w:lang w:val="es-AR"/>
        </w:rPr>
        <w:t>2</w:t>
      </w:r>
      <w:r w:rsidR="00190842">
        <w:rPr>
          <w:lang w:val="es-AR"/>
        </w:rPr>
        <w:t xml:space="preserve"> </w:t>
      </w:r>
      <w:r w:rsidR="00190842" w:rsidRPr="00190842">
        <w:rPr>
          <w:lang w:val="es-AR"/>
        </w:rPr>
        <w:t>500</w:t>
      </w:r>
      <w:r w:rsidRPr="00190842">
        <w:rPr>
          <w:lang w:val="es-AR"/>
        </w:rPr>
        <w:t xml:space="preserve"> (decisión 74/51), aplicable </w:t>
      </w:r>
      <w:r w:rsidR="00190842">
        <w:rPr>
          <w:lang w:val="es-AR"/>
        </w:rPr>
        <w:t>sólo</w:t>
      </w:r>
      <w:r w:rsidRPr="00190842">
        <w:rPr>
          <w:lang w:val="es-AR"/>
        </w:rPr>
        <w:t xml:space="preserve"> a </w:t>
      </w:r>
      <w:r w:rsidR="00945381">
        <w:rPr>
          <w:lang w:val="es-AR"/>
        </w:rPr>
        <w:t xml:space="preserve">proyectos de fortalecimiento institucional </w:t>
      </w:r>
      <w:r w:rsidR="00945381" w:rsidRPr="00190842">
        <w:rPr>
          <w:lang w:val="es-AR"/>
        </w:rPr>
        <w:t>independiente</w:t>
      </w:r>
      <w:r w:rsidR="00945381">
        <w:rPr>
          <w:lang w:val="es-AR"/>
        </w:rPr>
        <w:t>s</w:t>
      </w:r>
      <w:r w:rsidRPr="00190842">
        <w:rPr>
          <w:lang w:val="es-AR"/>
        </w:rPr>
        <w:t xml:space="preserve">. </w:t>
      </w:r>
      <w:r w:rsidR="00945381">
        <w:rPr>
          <w:lang w:val="es-AR"/>
        </w:rPr>
        <w:t xml:space="preserve">El promedio anual de </w:t>
      </w:r>
      <w:r w:rsidRPr="00190842">
        <w:rPr>
          <w:lang w:val="es-AR"/>
        </w:rPr>
        <w:t>financiación para</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es </w:t>
      </w:r>
      <w:r w:rsidR="00190842">
        <w:rPr>
          <w:lang w:val="es-AR"/>
        </w:rPr>
        <w:t xml:space="preserve">$EUA </w:t>
      </w:r>
      <w:r w:rsidR="00190842" w:rsidRPr="00190842">
        <w:rPr>
          <w:lang w:val="es-AR"/>
        </w:rPr>
        <w:t>7</w:t>
      </w:r>
      <w:r w:rsidR="00190842">
        <w:rPr>
          <w:lang w:val="es-AR"/>
        </w:rPr>
        <w:t xml:space="preserve"> </w:t>
      </w:r>
      <w:r w:rsidR="00190842" w:rsidRPr="00190842">
        <w:rPr>
          <w:lang w:val="es-AR"/>
        </w:rPr>
        <w:t>489</w:t>
      </w:r>
      <w:r w:rsidR="00190842">
        <w:rPr>
          <w:lang w:val="es-AR"/>
        </w:rPr>
        <w:t xml:space="preserve"> </w:t>
      </w:r>
      <w:r w:rsidR="00190842" w:rsidRPr="00190842">
        <w:rPr>
          <w:lang w:val="es-AR"/>
        </w:rPr>
        <w:t>737</w:t>
      </w:r>
      <w:r w:rsidR="00945381">
        <w:rPr>
          <w:lang w:val="es-AR"/>
        </w:rPr>
        <w:t xml:space="preserve"> </w:t>
      </w:r>
      <w:r w:rsidR="00945381" w:rsidRPr="00190842">
        <w:rPr>
          <w:lang w:val="es-AR"/>
        </w:rPr>
        <w:t>aproximadamente</w:t>
      </w:r>
      <w:r w:rsidRPr="00190842">
        <w:rPr>
          <w:lang w:val="es-AR"/>
        </w:rPr>
        <w:t xml:space="preserve">. Actualmente, 61 países </w:t>
      </w:r>
      <w:r w:rsidR="00945381">
        <w:rPr>
          <w:lang w:val="es-AR"/>
        </w:rPr>
        <w:t xml:space="preserve">reciben financiamiento </w:t>
      </w:r>
      <w:r w:rsidRPr="00190842">
        <w:rPr>
          <w:lang w:val="es-AR"/>
        </w:rPr>
        <w:t>en el nivel mínimo de</w:t>
      </w:r>
      <w:r w:rsidR="00DF14AE">
        <w:rPr>
          <w:lang w:val="es-AR"/>
        </w:rPr>
        <w:t xml:space="preserve"> $EUA </w:t>
      </w:r>
      <w:r w:rsidRPr="00190842">
        <w:rPr>
          <w:lang w:val="es-AR"/>
        </w:rPr>
        <w:t>4</w:t>
      </w:r>
      <w:r w:rsidR="00190842" w:rsidRPr="00190842">
        <w:rPr>
          <w:lang w:val="es-AR"/>
        </w:rPr>
        <w:t>2</w:t>
      </w:r>
      <w:r w:rsidR="00190842">
        <w:rPr>
          <w:lang w:val="es-AR"/>
        </w:rPr>
        <w:t xml:space="preserve"> </w:t>
      </w:r>
      <w:r w:rsidR="00190842" w:rsidRPr="00190842">
        <w:rPr>
          <w:lang w:val="es-AR"/>
        </w:rPr>
        <w:t>500</w:t>
      </w:r>
      <w:r w:rsidRPr="00190842">
        <w:rPr>
          <w:lang w:val="es-AR"/>
        </w:rPr>
        <w:t xml:space="preserve"> por año. </w:t>
      </w:r>
    </w:p>
    <w:p w14:paraId="39A8272F" w14:textId="6F3C45DC" w:rsidR="00306314" w:rsidRPr="00190842" w:rsidRDefault="00306314" w:rsidP="00306314">
      <w:pPr>
        <w:pStyle w:val="Heading1"/>
        <w:rPr>
          <w:lang w:val="es-AR"/>
        </w:rPr>
      </w:pPr>
      <w:r w:rsidRPr="00190842">
        <w:rPr>
          <w:lang w:val="es-AR"/>
        </w:rPr>
        <w:t xml:space="preserve">El </w:t>
      </w:r>
      <w:r w:rsidR="009B1556">
        <w:rPr>
          <w:lang w:val="es-AR"/>
        </w:rPr>
        <w:t xml:space="preserve">relativo </w:t>
      </w:r>
      <w:r w:rsidRPr="00190842">
        <w:rPr>
          <w:lang w:val="es-AR"/>
        </w:rPr>
        <w:t xml:space="preserve">bajo </w:t>
      </w:r>
      <w:r w:rsidR="00945381">
        <w:rPr>
          <w:lang w:val="es-AR"/>
        </w:rPr>
        <w:t xml:space="preserve">nivel </w:t>
      </w:r>
      <w:r w:rsidRPr="00190842">
        <w:rPr>
          <w:lang w:val="es-AR"/>
        </w:rPr>
        <w:t>de financiación aprobada para</w:t>
      </w:r>
      <w:r w:rsidR="00190842">
        <w:rPr>
          <w:lang w:val="es-AR"/>
        </w:rPr>
        <w:t xml:space="preserve"> fortalecimiento institucional </w:t>
      </w:r>
      <w:r w:rsidRPr="00190842">
        <w:rPr>
          <w:lang w:val="es-AR"/>
        </w:rPr>
        <w:t xml:space="preserve">ha contribuido </w:t>
      </w:r>
      <w:r w:rsidR="00190842">
        <w:rPr>
          <w:lang w:val="es-AR"/>
        </w:rPr>
        <w:t>notablemente</w:t>
      </w:r>
      <w:r w:rsidRPr="00190842">
        <w:rPr>
          <w:lang w:val="es-AR"/>
        </w:rPr>
        <w:t xml:space="preserve"> al éxito del </w:t>
      </w:r>
      <w:r w:rsidR="00190842">
        <w:rPr>
          <w:lang w:val="es-AR"/>
        </w:rPr>
        <w:t>Protocolo</w:t>
      </w:r>
      <w:r w:rsidRPr="00190842">
        <w:rPr>
          <w:lang w:val="es-AR"/>
        </w:rPr>
        <w:t xml:space="preserve"> de Montreal como primer y </w:t>
      </w:r>
      <w:r w:rsidR="00945381">
        <w:rPr>
          <w:lang w:val="es-AR"/>
        </w:rPr>
        <w:t xml:space="preserve">único </w:t>
      </w:r>
      <w:r w:rsidRPr="00190842">
        <w:rPr>
          <w:lang w:val="es-AR"/>
        </w:rPr>
        <w:t xml:space="preserve">tratado ambiental internacional </w:t>
      </w:r>
      <w:r w:rsidR="00945381">
        <w:rPr>
          <w:lang w:val="es-AR"/>
        </w:rPr>
        <w:t xml:space="preserve">que ha sido </w:t>
      </w:r>
      <w:r w:rsidRPr="00190842">
        <w:rPr>
          <w:lang w:val="es-AR"/>
        </w:rPr>
        <w:t>ratificado universal</w:t>
      </w:r>
      <w:r w:rsidR="00945381">
        <w:rPr>
          <w:lang w:val="es-AR"/>
        </w:rPr>
        <w:t>mente</w:t>
      </w:r>
      <w:r w:rsidRPr="00190842">
        <w:rPr>
          <w:lang w:val="es-AR"/>
        </w:rPr>
        <w:t xml:space="preserve"> (</w:t>
      </w:r>
      <w:r w:rsidR="00945381">
        <w:rPr>
          <w:lang w:val="es-AR"/>
        </w:rPr>
        <w:t xml:space="preserve">con </w:t>
      </w:r>
      <w:r w:rsidRPr="00190842">
        <w:rPr>
          <w:lang w:val="es-AR"/>
        </w:rPr>
        <w:t xml:space="preserve">todas sus </w:t>
      </w:r>
      <w:r w:rsidR="00945381">
        <w:rPr>
          <w:lang w:val="es-AR"/>
        </w:rPr>
        <w:t>e</w:t>
      </w:r>
      <w:r w:rsidR="00190842">
        <w:rPr>
          <w:lang w:val="es-AR"/>
        </w:rPr>
        <w:t>nmienda</w:t>
      </w:r>
      <w:r w:rsidRPr="00190842">
        <w:rPr>
          <w:lang w:val="es-AR"/>
        </w:rPr>
        <w:t>s</w:t>
      </w:r>
      <w:r w:rsidR="00945381">
        <w:rPr>
          <w:lang w:val="es-AR"/>
        </w:rPr>
        <w:t>,</w:t>
      </w:r>
      <w:r w:rsidRPr="00190842">
        <w:rPr>
          <w:lang w:val="es-AR"/>
        </w:rPr>
        <w:t xml:space="preserve"> a excepción de la </w:t>
      </w:r>
      <w:r w:rsidR="00190842">
        <w:rPr>
          <w:lang w:val="es-AR"/>
        </w:rPr>
        <w:t>Enmienda</w:t>
      </w:r>
      <w:r w:rsidRPr="00190842">
        <w:rPr>
          <w:lang w:val="es-AR"/>
        </w:rPr>
        <w:t xml:space="preserve"> de Kigali), con un </w:t>
      </w:r>
      <w:r w:rsidR="00945381">
        <w:rPr>
          <w:lang w:val="es-AR"/>
        </w:rPr>
        <w:t xml:space="preserve">récord </w:t>
      </w:r>
      <w:r w:rsidRPr="00190842">
        <w:rPr>
          <w:lang w:val="es-AR"/>
        </w:rPr>
        <w:t xml:space="preserve">de casi todos los países del </w:t>
      </w:r>
      <w:r w:rsidR="00190842">
        <w:rPr>
          <w:lang w:val="es-AR"/>
        </w:rPr>
        <w:t>Artículo</w:t>
      </w:r>
      <w:r w:rsidRPr="00190842">
        <w:rPr>
          <w:lang w:val="es-AR"/>
        </w:rPr>
        <w:t xml:space="preserve"> 5 que </w:t>
      </w:r>
      <w:r w:rsidR="00945381">
        <w:rPr>
          <w:lang w:val="es-AR"/>
        </w:rPr>
        <w:t xml:space="preserve">cumplen con </w:t>
      </w:r>
      <w:r w:rsidRPr="00190842">
        <w:rPr>
          <w:lang w:val="es-AR"/>
        </w:rPr>
        <w:t xml:space="preserve">todas sus obligaciones </w:t>
      </w:r>
      <w:r w:rsidR="00674039">
        <w:rPr>
          <w:lang w:val="es-AR"/>
        </w:rPr>
        <w:t xml:space="preserve">bajo el Protocolo </w:t>
      </w:r>
      <w:r w:rsidRPr="00190842">
        <w:rPr>
          <w:lang w:val="es-AR"/>
        </w:rPr>
        <w:t xml:space="preserve">de Montreal. </w:t>
      </w:r>
      <w:r w:rsidR="00F0404B">
        <w:rPr>
          <w:lang w:val="es-AR"/>
        </w:rPr>
        <w:t xml:space="preserve">Se debería continuar </w:t>
      </w:r>
      <w:r w:rsidR="009B1556">
        <w:rPr>
          <w:lang w:val="es-AR"/>
        </w:rPr>
        <w:t xml:space="preserve">con </w:t>
      </w:r>
      <w:r w:rsidR="00F0404B">
        <w:rPr>
          <w:lang w:val="es-AR"/>
        </w:rPr>
        <w:t>e</w:t>
      </w:r>
      <w:r w:rsidRPr="00190842">
        <w:rPr>
          <w:lang w:val="es-AR"/>
        </w:rPr>
        <w:t>l suficiente apoyo financiero para</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F0404B">
        <w:rPr>
          <w:lang w:val="es-AR"/>
        </w:rPr>
        <w:t xml:space="preserve">para permitir a </w:t>
      </w:r>
      <w:r w:rsidRPr="00190842">
        <w:rPr>
          <w:lang w:val="es-AR"/>
        </w:rPr>
        <w:t xml:space="preserve">esos países del </w:t>
      </w:r>
      <w:r w:rsidR="00190842">
        <w:rPr>
          <w:lang w:val="es-AR"/>
        </w:rPr>
        <w:t>Artículo</w:t>
      </w:r>
      <w:r w:rsidRPr="00190842">
        <w:rPr>
          <w:lang w:val="es-AR"/>
        </w:rPr>
        <w:t xml:space="preserve"> 5 que no han ratificado la </w:t>
      </w:r>
      <w:r w:rsidR="00190842">
        <w:rPr>
          <w:lang w:val="es-AR"/>
        </w:rPr>
        <w:t>Enmienda</w:t>
      </w:r>
      <w:r w:rsidRPr="00190842">
        <w:rPr>
          <w:lang w:val="es-AR"/>
        </w:rPr>
        <w:t xml:space="preserve"> de Kigali </w:t>
      </w:r>
      <w:r w:rsidR="00F0404B">
        <w:rPr>
          <w:lang w:val="es-AR"/>
        </w:rPr>
        <w:t>a que lo hagan</w:t>
      </w:r>
      <w:r w:rsidRPr="00190842">
        <w:rPr>
          <w:lang w:val="es-AR"/>
        </w:rPr>
        <w:t xml:space="preserve">, </w:t>
      </w:r>
      <w:r w:rsidR="00F0404B">
        <w:rPr>
          <w:lang w:val="es-AR"/>
        </w:rPr>
        <w:t xml:space="preserve">asegurando al mismo tiempo </w:t>
      </w:r>
      <w:r w:rsidRPr="00190842">
        <w:rPr>
          <w:lang w:val="es-AR"/>
        </w:rPr>
        <w:t xml:space="preserve">su </w:t>
      </w:r>
      <w:r w:rsidR="00A602DC">
        <w:rPr>
          <w:lang w:val="es-AR"/>
        </w:rPr>
        <w:t>cumplimiento</w:t>
      </w:r>
      <w:r w:rsidR="00F0404B">
        <w:rPr>
          <w:lang w:val="es-AR"/>
        </w:rPr>
        <w:t xml:space="preserve"> con las metas existentes de eliminación de los </w:t>
      </w:r>
      <w:r w:rsidR="00190842">
        <w:rPr>
          <w:lang w:val="es-AR"/>
        </w:rPr>
        <w:lastRenderedPageBreak/>
        <w:t>HCFC</w:t>
      </w:r>
      <w:r w:rsidRPr="00190842">
        <w:rPr>
          <w:lang w:val="es-AR"/>
        </w:rPr>
        <w:t xml:space="preserve"> </w:t>
      </w:r>
      <w:r w:rsidR="00F0404B">
        <w:rPr>
          <w:lang w:val="es-AR"/>
        </w:rPr>
        <w:t>acordadas bajo la decisión</w:t>
      </w:r>
      <w:r w:rsidRPr="00190842">
        <w:rPr>
          <w:lang w:val="es-AR"/>
        </w:rPr>
        <w:t> XIX/6 y l</w:t>
      </w:r>
      <w:r w:rsidR="00F0404B">
        <w:rPr>
          <w:lang w:val="es-AR"/>
        </w:rPr>
        <w:t>a</w:t>
      </w:r>
      <w:r w:rsidRPr="00190842">
        <w:rPr>
          <w:lang w:val="es-AR"/>
        </w:rPr>
        <w:t>s nuev</w:t>
      </w:r>
      <w:r w:rsidR="00F0404B">
        <w:rPr>
          <w:lang w:val="es-AR"/>
        </w:rPr>
        <w:t>a</w:t>
      </w:r>
      <w:r w:rsidRPr="00190842">
        <w:rPr>
          <w:lang w:val="es-AR"/>
        </w:rPr>
        <w:t xml:space="preserve">s </w:t>
      </w:r>
      <w:r w:rsidR="00F0404B">
        <w:rPr>
          <w:lang w:val="es-AR"/>
        </w:rPr>
        <w:t xml:space="preserve">metas </w:t>
      </w:r>
      <w:r w:rsidR="00FC7B69">
        <w:rPr>
          <w:lang w:val="es-AR"/>
        </w:rPr>
        <w:t>de reducción de HFC</w:t>
      </w:r>
      <w:r w:rsidRPr="00190842">
        <w:rPr>
          <w:lang w:val="es-AR"/>
        </w:rPr>
        <w:t xml:space="preserve"> </w:t>
      </w:r>
      <w:r w:rsidR="00F0404B">
        <w:rPr>
          <w:lang w:val="es-AR"/>
        </w:rPr>
        <w:t>acordad</w:t>
      </w:r>
      <w:r w:rsidR="009B1556">
        <w:rPr>
          <w:lang w:val="es-AR"/>
        </w:rPr>
        <w:t>a</w:t>
      </w:r>
      <w:r w:rsidR="00F0404B">
        <w:rPr>
          <w:lang w:val="es-AR"/>
        </w:rPr>
        <w:t xml:space="preserve">s </w:t>
      </w:r>
      <w:r w:rsidR="00A70C96">
        <w:rPr>
          <w:lang w:val="es-AR"/>
        </w:rPr>
        <w:t>bajo la Enmienda</w:t>
      </w:r>
      <w:r w:rsidRPr="00190842">
        <w:rPr>
          <w:lang w:val="es-AR"/>
        </w:rPr>
        <w:t xml:space="preserve"> de Kigali.</w:t>
      </w:r>
    </w:p>
    <w:p w14:paraId="02F412D7" w14:textId="532878E3" w:rsidR="00306314" w:rsidRPr="00190842" w:rsidRDefault="00306314" w:rsidP="00306314">
      <w:pPr>
        <w:pStyle w:val="Heading1"/>
        <w:rPr>
          <w:lang w:val="es-AR"/>
        </w:rPr>
      </w:pPr>
      <w:r w:rsidRPr="00190842">
        <w:rPr>
          <w:lang w:val="es-AR"/>
        </w:rPr>
        <w:t xml:space="preserve">La entrada en vigor de la </w:t>
      </w:r>
      <w:r w:rsidR="00190842">
        <w:rPr>
          <w:lang w:val="es-AR"/>
        </w:rPr>
        <w:t>Enmienda</w:t>
      </w:r>
      <w:r w:rsidRPr="00190842">
        <w:rPr>
          <w:lang w:val="es-AR"/>
        </w:rPr>
        <w:t xml:space="preserve"> de Kigali a</w:t>
      </w:r>
      <w:r w:rsidR="00F0404B">
        <w:rPr>
          <w:lang w:val="es-AR"/>
        </w:rPr>
        <w:t xml:space="preserve">gregará </w:t>
      </w:r>
      <w:r w:rsidRPr="00190842">
        <w:rPr>
          <w:lang w:val="es-AR"/>
        </w:rPr>
        <w:t xml:space="preserve">otros deberes para las </w:t>
      </w:r>
      <w:r w:rsidR="00E17069">
        <w:rPr>
          <w:lang w:val="es-AR"/>
        </w:rPr>
        <w:t>dependencias nacionales del ozono</w:t>
      </w:r>
      <w:r w:rsidRPr="00190842">
        <w:rPr>
          <w:lang w:val="es-AR"/>
        </w:rPr>
        <w:t xml:space="preserve"> además de </w:t>
      </w:r>
      <w:r w:rsidR="00F0404B">
        <w:rPr>
          <w:lang w:val="es-AR"/>
        </w:rPr>
        <w:t>los ya existentes</w:t>
      </w:r>
      <w:r w:rsidRPr="00190842">
        <w:rPr>
          <w:lang w:val="es-AR"/>
        </w:rPr>
        <w:t xml:space="preserve">, como se mencionó anteriormente. En febrero de 2021, 79 países del </w:t>
      </w:r>
      <w:r w:rsidR="00190842">
        <w:rPr>
          <w:lang w:val="es-AR"/>
        </w:rPr>
        <w:t>Artículo</w:t>
      </w:r>
      <w:r w:rsidRPr="00190842">
        <w:rPr>
          <w:lang w:val="es-AR"/>
        </w:rPr>
        <w:t xml:space="preserve"> 5 habían ratificado la </w:t>
      </w:r>
      <w:r w:rsidR="00190842">
        <w:rPr>
          <w:lang w:val="es-AR"/>
        </w:rPr>
        <w:t>Enmienda</w:t>
      </w:r>
      <w:r w:rsidRPr="00190842">
        <w:rPr>
          <w:lang w:val="es-AR"/>
        </w:rPr>
        <w:t xml:space="preserve"> de Kigali, </w:t>
      </w:r>
      <w:r w:rsidR="00F0404B">
        <w:rPr>
          <w:lang w:val="es-AR"/>
        </w:rPr>
        <w:t xml:space="preserve">lo que representa más del </w:t>
      </w:r>
      <w:r w:rsidRPr="00190842">
        <w:rPr>
          <w:lang w:val="es-AR"/>
        </w:rPr>
        <w:t xml:space="preserve">50 por ciento del número total de países del </w:t>
      </w:r>
      <w:r w:rsidR="00190842">
        <w:rPr>
          <w:lang w:val="es-AR"/>
        </w:rPr>
        <w:t>Artículo</w:t>
      </w:r>
      <w:r w:rsidRPr="00190842">
        <w:rPr>
          <w:lang w:val="es-AR"/>
        </w:rPr>
        <w:t xml:space="preserve"> 5. La experiencia con</w:t>
      </w:r>
      <w:r w:rsidR="00F0404B">
        <w:rPr>
          <w:lang w:val="es-AR"/>
        </w:rPr>
        <w:t xml:space="preserve"> la eliminación de</w:t>
      </w:r>
      <w:r w:rsidRPr="00190842">
        <w:rPr>
          <w:lang w:val="es-AR"/>
        </w:rPr>
        <w:t xml:space="preserve"> CFC y </w:t>
      </w:r>
      <w:r w:rsidR="00190842">
        <w:rPr>
          <w:lang w:val="es-AR"/>
        </w:rPr>
        <w:t>HCFC</w:t>
      </w:r>
      <w:r w:rsidRPr="00190842">
        <w:rPr>
          <w:lang w:val="es-AR"/>
        </w:rPr>
        <w:t xml:space="preserve"> ha mostrado que algunas de las actividades más difícil</w:t>
      </w:r>
      <w:r w:rsidR="00F0404B">
        <w:rPr>
          <w:lang w:val="es-AR"/>
        </w:rPr>
        <w:t xml:space="preserve">es </w:t>
      </w:r>
      <w:r w:rsidRPr="00190842">
        <w:rPr>
          <w:lang w:val="es-AR"/>
        </w:rPr>
        <w:t>asociadas a</w:t>
      </w:r>
      <w:r w:rsidR="00F0404B">
        <w:rPr>
          <w:lang w:val="es-AR"/>
        </w:rPr>
        <w:t>l</w:t>
      </w:r>
      <w:r w:rsidRPr="00190842">
        <w:rPr>
          <w:lang w:val="es-AR"/>
        </w:rPr>
        <w:t xml:space="preserve"> </w:t>
      </w:r>
      <w:r w:rsidR="00A602DC">
        <w:rPr>
          <w:lang w:val="es-AR"/>
        </w:rPr>
        <w:t>cumplimiento</w:t>
      </w:r>
      <w:r w:rsidRPr="00190842">
        <w:rPr>
          <w:lang w:val="es-AR"/>
        </w:rPr>
        <w:t xml:space="preserve"> en el nivel de país </w:t>
      </w:r>
      <w:r w:rsidR="00F0404B">
        <w:rPr>
          <w:lang w:val="es-AR"/>
        </w:rPr>
        <w:t xml:space="preserve">ocurre </w:t>
      </w:r>
      <w:r w:rsidRPr="00190842">
        <w:rPr>
          <w:lang w:val="es-AR"/>
        </w:rPr>
        <w:t xml:space="preserve">en los años inmediatamente </w:t>
      </w:r>
      <w:r w:rsidR="00F0404B">
        <w:rPr>
          <w:lang w:val="es-AR"/>
        </w:rPr>
        <w:t xml:space="preserve">anteriores a </w:t>
      </w:r>
      <w:r w:rsidRPr="00190842">
        <w:rPr>
          <w:lang w:val="es-AR"/>
        </w:rPr>
        <w:t xml:space="preserve">la fecha de la primera medida de </w:t>
      </w:r>
      <w:r w:rsidR="00F0404B">
        <w:rPr>
          <w:lang w:val="es-AR"/>
        </w:rPr>
        <w:t xml:space="preserve">control </w:t>
      </w:r>
      <w:r w:rsidRPr="00190842">
        <w:rPr>
          <w:lang w:val="es-AR"/>
        </w:rPr>
        <w:t xml:space="preserve">para las sustancias </w:t>
      </w:r>
      <w:r w:rsidR="00F0404B">
        <w:rPr>
          <w:lang w:val="es-AR"/>
        </w:rPr>
        <w:t>en cuestión</w:t>
      </w:r>
      <w:r w:rsidRPr="00190842">
        <w:rPr>
          <w:lang w:val="es-AR"/>
        </w:rPr>
        <w:t xml:space="preserve">. </w:t>
      </w:r>
    </w:p>
    <w:p w14:paraId="688370A2" w14:textId="211949AE" w:rsidR="00306314" w:rsidRPr="00190842" w:rsidRDefault="00306314" w:rsidP="00306314">
      <w:pPr>
        <w:pStyle w:val="Heading1"/>
        <w:rPr>
          <w:lang w:val="es-AR"/>
        </w:rPr>
      </w:pPr>
      <w:r w:rsidRPr="00190842">
        <w:rPr>
          <w:lang w:val="es-AR"/>
        </w:rPr>
        <w:t xml:space="preserve">Es difícil cuantificar el impacto </w:t>
      </w:r>
      <w:r w:rsidR="00DE24D4">
        <w:rPr>
          <w:lang w:val="es-AR"/>
        </w:rPr>
        <w:t xml:space="preserve">que este mayor volumen </w:t>
      </w:r>
      <w:r w:rsidR="00DE24D4" w:rsidRPr="00190842">
        <w:rPr>
          <w:lang w:val="es-AR"/>
        </w:rPr>
        <w:t xml:space="preserve">de trabajo </w:t>
      </w:r>
      <w:r w:rsidRPr="00190842">
        <w:rPr>
          <w:lang w:val="es-AR"/>
        </w:rPr>
        <w:t xml:space="preserve">tendrá en la necesidad de </w:t>
      </w:r>
      <w:r w:rsidR="00193AA4">
        <w:rPr>
          <w:lang w:val="es-AR"/>
        </w:rPr>
        <w:t>financiamiento</w:t>
      </w:r>
      <w:r w:rsidR="00DE24D4">
        <w:rPr>
          <w:lang w:val="es-AR"/>
        </w:rPr>
        <w:t xml:space="preserve"> adicional</w:t>
      </w:r>
      <w:r w:rsidR="00193AA4">
        <w:rPr>
          <w:lang w:val="es-AR"/>
        </w:rPr>
        <w:t xml:space="preserve"> </w:t>
      </w:r>
      <w:r w:rsidR="00F0404B">
        <w:rPr>
          <w:lang w:val="es-AR"/>
        </w:rPr>
        <w:t xml:space="preserve">para </w:t>
      </w:r>
      <w:r w:rsidR="00193AA4">
        <w:rPr>
          <w:lang w:val="es-AR"/>
        </w:rPr>
        <w:t>fortalecimiento institucional</w:t>
      </w:r>
      <w:r w:rsidR="00F0404B">
        <w:rPr>
          <w:lang w:val="es-AR"/>
        </w:rPr>
        <w:t xml:space="preserve"> </w:t>
      </w:r>
      <w:r w:rsidR="00190842">
        <w:rPr>
          <w:lang w:val="es-AR"/>
        </w:rPr>
        <w:t>relativo a</w:t>
      </w:r>
      <w:r w:rsidRPr="00190842">
        <w:rPr>
          <w:lang w:val="es-AR"/>
        </w:rPr>
        <w:t xml:space="preserve">l futuro </w:t>
      </w:r>
      <w:r w:rsidR="00F0404B" w:rsidRPr="00190842">
        <w:rPr>
          <w:lang w:val="es-AR"/>
        </w:rPr>
        <w:t xml:space="preserve">trabajo </w:t>
      </w:r>
      <w:r w:rsidRPr="00190842">
        <w:rPr>
          <w:lang w:val="es-AR"/>
        </w:rPr>
        <w:t xml:space="preserve">en todos los países del </w:t>
      </w:r>
      <w:r w:rsidR="00190842">
        <w:rPr>
          <w:lang w:val="es-AR"/>
        </w:rPr>
        <w:t>Artículo</w:t>
      </w:r>
      <w:r w:rsidRPr="00190842">
        <w:rPr>
          <w:lang w:val="es-AR"/>
        </w:rPr>
        <w:t xml:space="preserve"> 5, especialmente para </w:t>
      </w:r>
      <w:r w:rsidR="00F0404B">
        <w:rPr>
          <w:lang w:val="es-AR"/>
        </w:rPr>
        <w:t>l</w:t>
      </w:r>
      <w:r w:rsidR="00190842">
        <w:rPr>
          <w:lang w:val="es-AR"/>
        </w:rPr>
        <w:t>os HFC</w:t>
      </w:r>
      <w:r w:rsidRPr="00190842">
        <w:rPr>
          <w:lang w:val="es-AR"/>
        </w:rPr>
        <w:t xml:space="preserve">. </w:t>
      </w:r>
      <w:r w:rsidR="00F0404B">
        <w:rPr>
          <w:lang w:val="es-AR"/>
        </w:rPr>
        <w:t xml:space="preserve">Si bien </w:t>
      </w:r>
      <w:r w:rsidRPr="00190842">
        <w:rPr>
          <w:lang w:val="es-AR"/>
        </w:rPr>
        <w:t>la</w:t>
      </w:r>
      <w:r w:rsidR="00F0404B">
        <w:rPr>
          <w:lang w:val="es-AR"/>
        </w:rPr>
        <w:t>s</w:t>
      </w:r>
      <w:r w:rsidRPr="00190842">
        <w:rPr>
          <w:lang w:val="es-AR"/>
        </w:rPr>
        <w:t xml:space="preserve"> capacidad</w:t>
      </w:r>
      <w:r w:rsidR="00F0404B">
        <w:rPr>
          <w:lang w:val="es-AR"/>
        </w:rPr>
        <w:t>es</w:t>
      </w:r>
      <w:r w:rsidRPr="00190842">
        <w:rPr>
          <w:lang w:val="es-AR"/>
        </w:rPr>
        <w:t xml:space="preserve"> institucional</w:t>
      </w:r>
      <w:r w:rsidR="00F0404B">
        <w:rPr>
          <w:lang w:val="es-AR"/>
        </w:rPr>
        <w:t>es</w:t>
      </w:r>
      <w:r w:rsidRPr="00190842">
        <w:rPr>
          <w:lang w:val="es-AR"/>
        </w:rPr>
        <w:t xml:space="preserve"> existente</w:t>
      </w:r>
      <w:r w:rsidR="00F0404B">
        <w:rPr>
          <w:lang w:val="es-AR"/>
        </w:rPr>
        <w:t>s</w:t>
      </w:r>
      <w:r w:rsidRPr="00190842">
        <w:rPr>
          <w:lang w:val="es-AR"/>
        </w:rPr>
        <w:t>, algun</w:t>
      </w:r>
      <w:r w:rsidR="00F0404B">
        <w:rPr>
          <w:lang w:val="es-AR"/>
        </w:rPr>
        <w:t>as</w:t>
      </w:r>
      <w:r w:rsidRPr="00190842">
        <w:rPr>
          <w:lang w:val="es-AR"/>
        </w:rPr>
        <w:t xml:space="preserve"> de l</w:t>
      </w:r>
      <w:r w:rsidR="00F0404B">
        <w:rPr>
          <w:lang w:val="es-AR"/>
        </w:rPr>
        <w:t>a</w:t>
      </w:r>
      <w:r w:rsidRPr="00190842">
        <w:rPr>
          <w:lang w:val="es-AR"/>
        </w:rPr>
        <w:t>s cuales fue</w:t>
      </w:r>
      <w:r w:rsidR="00F0404B">
        <w:rPr>
          <w:lang w:val="es-AR"/>
        </w:rPr>
        <w:t>sen</w:t>
      </w:r>
      <w:r w:rsidRPr="00190842">
        <w:rPr>
          <w:lang w:val="es-AR"/>
        </w:rPr>
        <w:t xml:space="preserve"> establecida</w:t>
      </w:r>
      <w:r w:rsidR="00F0404B">
        <w:rPr>
          <w:lang w:val="es-AR"/>
        </w:rPr>
        <w:t>s</w:t>
      </w:r>
      <w:r w:rsidRPr="00190842">
        <w:rPr>
          <w:lang w:val="es-AR"/>
        </w:rPr>
        <w:t xml:space="preserve"> durante </w:t>
      </w:r>
      <w:r w:rsidR="00F0404B">
        <w:rPr>
          <w:lang w:val="es-AR"/>
        </w:rPr>
        <w:t xml:space="preserve">la eliminación </w:t>
      </w:r>
      <w:r w:rsidR="00A70C96">
        <w:rPr>
          <w:lang w:val="es-AR"/>
        </w:rPr>
        <w:t xml:space="preserve">de las </w:t>
      </w:r>
      <w:r w:rsidR="00190842">
        <w:rPr>
          <w:lang w:val="es-AR"/>
        </w:rPr>
        <w:t>SAO</w:t>
      </w:r>
      <w:r w:rsidR="00F0404B">
        <w:rPr>
          <w:lang w:val="es-AR"/>
        </w:rPr>
        <w:t>,</w:t>
      </w:r>
      <w:r w:rsidRPr="00190842">
        <w:rPr>
          <w:lang w:val="es-AR"/>
        </w:rPr>
        <w:t xml:space="preserve"> </w:t>
      </w:r>
      <w:r w:rsidR="00190842">
        <w:rPr>
          <w:lang w:val="es-AR"/>
        </w:rPr>
        <w:t>inclusive</w:t>
      </w:r>
      <w:r w:rsidRPr="00190842">
        <w:rPr>
          <w:lang w:val="es-AR"/>
        </w:rPr>
        <w:t xml:space="preserve"> </w:t>
      </w:r>
      <w:r w:rsidR="00190842">
        <w:rPr>
          <w:lang w:val="es-AR"/>
        </w:rPr>
        <w:t>los HCFC</w:t>
      </w:r>
      <w:r w:rsidRPr="00190842">
        <w:rPr>
          <w:lang w:val="es-AR"/>
        </w:rPr>
        <w:t>, se</w:t>
      </w:r>
      <w:r w:rsidR="00F0404B">
        <w:rPr>
          <w:lang w:val="es-AR"/>
        </w:rPr>
        <w:t xml:space="preserve"> utilizarán </w:t>
      </w:r>
      <w:r w:rsidRPr="00190842">
        <w:rPr>
          <w:lang w:val="es-AR"/>
        </w:rPr>
        <w:t xml:space="preserve">durante el proceso </w:t>
      </w:r>
      <w:r w:rsidR="00FC7B69">
        <w:rPr>
          <w:lang w:val="es-AR"/>
        </w:rPr>
        <w:t>de reducción de HFC</w:t>
      </w:r>
      <w:r w:rsidRPr="00190842">
        <w:rPr>
          <w:lang w:val="es-AR"/>
        </w:rPr>
        <w:t xml:space="preserve">, otras instituciones ya </w:t>
      </w:r>
      <w:r w:rsidR="00AA4124">
        <w:rPr>
          <w:lang w:val="es-AR"/>
        </w:rPr>
        <w:t xml:space="preserve">presentes deberán fortalecerse </w:t>
      </w:r>
      <w:r w:rsidRPr="00190842">
        <w:rPr>
          <w:lang w:val="es-AR"/>
        </w:rPr>
        <w:t>para lograr otr</w:t>
      </w:r>
      <w:r w:rsidR="00AA4124">
        <w:rPr>
          <w:lang w:val="es-AR"/>
        </w:rPr>
        <w:t>o</w:t>
      </w:r>
      <w:r w:rsidRPr="00190842">
        <w:rPr>
          <w:lang w:val="es-AR"/>
        </w:rPr>
        <w:t xml:space="preserve">s </w:t>
      </w:r>
      <w:r w:rsidR="00AA4124">
        <w:rPr>
          <w:lang w:val="es-AR"/>
        </w:rPr>
        <w:t xml:space="preserve">beneficios </w:t>
      </w:r>
      <w:r w:rsidRPr="00190842">
        <w:rPr>
          <w:lang w:val="es-AR"/>
        </w:rPr>
        <w:t>de</w:t>
      </w:r>
      <w:r w:rsidR="00AA4124">
        <w:rPr>
          <w:lang w:val="es-AR"/>
        </w:rPr>
        <w:t xml:space="preserve"> la eliminación de</w:t>
      </w:r>
      <w:r w:rsidRPr="00190842">
        <w:rPr>
          <w:lang w:val="es-AR"/>
        </w:rPr>
        <w:t xml:space="preserve"> </w:t>
      </w:r>
      <w:r w:rsidR="00190842">
        <w:rPr>
          <w:lang w:val="es-AR"/>
        </w:rPr>
        <w:t>los HCFC</w:t>
      </w:r>
      <w:r w:rsidRPr="00190842">
        <w:rPr>
          <w:lang w:val="es-AR"/>
        </w:rPr>
        <w:t>, por ejemplo</w:t>
      </w:r>
      <w:r w:rsidR="00AA4124">
        <w:rPr>
          <w:lang w:val="es-AR"/>
        </w:rPr>
        <w:t>, la</w:t>
      </w:r>
      <w:r w:rsidRPr="00190842">
        <w:rPr>
          <w:lang w:val="es-AR"/>
        </w:rPr>
        <w:t xml:space="preserve"> </w:t>
      </w:r>
      <w:r w:rsidR="00A70C96">
        <w:rPr>
          <w:lang w:val="es-AR"/>
        </w:rPr>
        <w:t>eficiencia energética</w:t>
      </w:r>
      <w:r w:rsidRPr="00190842">
        <w:rPr>
          <w:lang w:val="es-AR"/>
        </w:rPr>
        <w:t xml:space="preserve"> y la reducción de las emisiones de CO</w:t>
      </w:r>
      <w:r w:rsidRPr="00AA4124">
        <w:rPr>
          <w:vertAlign w:val="subscript"/>
          <w:lang w:val="es-AR"/>
        </w:rPr>
        <w:t>2</w:t>
      </w:r>
      <w:r w:rsidRPr="00190842">
        <w:rPr>
          <w:lang w:val="es-AR"/>
        </w:rPr>
        <w:t xml:space="preserve"> en la atmósfera. Además, el Comité Ejecutivo está </w:t>
      </w:r>
      <w:r w:rsidR="00AA4124">
        <w:rPr>
          <w:lang w:val="es-AR"/>
        </w:rPr>
        <w:t xml:space="preserve">debatiendo las </w:t>
      </w:r>
      <w:r w:rsidR="00BC29F6">
        <w:rPr>
          <w:lang w:val="es-AR"/>
        </w:rPr>
        <w:t xml:space="preserve">directrices </w:t>
      </w:r>
      <w:r w:rsidRPr="00190842">
        <w:rPr>
          <w:lang w:val="es-AR"/>
        </w:rPr>
        <w:t xml:space="preserve">para la preparación y financiamiento de los planes </w:t>
      </w:r>
      <w:r w:rsidR="00FC7B69">
        <w:rPr>
          <w:lang w:val="es-AR"/>
        </w:rPr>
        <w:t>de reducción de HFC</w:t>
      </w:r>
      <w:r w:rsidRPr="00190842">
        <w:rPr>
          <w:lang w:val="es-AR"/>
        </w:rPr>
        <w:t>, así como las directrices relativas a los costos para</w:t>
      </w:r>
      <w:r w:rsidR="00B63EAD">
        <w:rPr>
          <w:lang w:val="es-AR"/>
        </w:rPr>
        <w:t xml:space="preserve"> la eliminación de</w:t>
      </w:r>
      <w:r w:rsidRPr="00190842">
        <w:rPr>
          <w:lang w:val="es-AR"/>
        </w:rPr>
        <w:t xml:space="preserve"> HFC. Est</w:t>
      </w:r>
      <w:r w:rsidR="00B63EAD">
        <w:rPr>
          <w:lang w:val="es-AR"/>
        </w:rPr>
        <w:t>as</w:t>
      </w:r>
      <w:r w:rsidRPr="00190842">
        <w:rPr>
          <w:lang w:val="es-AR"/>
        </w:rPr>
        <w:t xml:space="preserve"> </w:t>
      </w:r>
      <w:r w:rsidR="00BC29F6">
        <w:rPr>
          <w:lang w:val="es-AR"/>
        </w:rPr>
        <w:t>directrices</w:t>
      </w:r>
      <w:r w:rsidRPr="00190842">
        <w:rPr>
          <w:lang w:val="es-AR"/>
        </w:rPr>
        <w:t xml:space="preserve">, una vez </w:t>
      </w:r>
      <w:r w:rsidR="00B63EAD">
        <w:rPr>
          <w:lang w:val="es-AR"/>
        </w:rPr>
        <w:t>acordadas</w:t>
      </w:r>
      <w:r w:rsidRPr="00190842">
        <w:rPr>
          <w:lang w:val="es-AR"/>
        </w:rPr>
        <w:t>, definirá</w:t>
      </w:r>
      <w:r w:rsidR="00B63EAD">
        <w:rPr>
          <w:lang w:val="es-AR"/>
        </w:rPr>
        <w:t>n,</w:t>
      </w:r>
      <w:r w:rsidRPr="00190842">
        <w:rPr>
          <w:lang w:val="es-AR"/>
        </w:rPr>
        <w:t xml:space="preserve"> </w:t>
      </w:r>
      <w:r w:rsidR="00190842">
        <w:rPr>
          <w:lang w:val="es-AR"/>
        </w:rPr>
        <w:t>además,</w:t>
      </w:r>
      <w:r w:rsidRPr="00190842">
        <w:rPr>
          <w:lang w:val="es-AR"/>
        </w:rPr>
        <w:t xml:space="preserve"> el nivel de esfuerzo y </w:t>
      </w:r>
      <w:r w:rsidR="00C42222">
        <w:rPr>
          <w:lang w:val="es-AR"/>
        </w:rPr>
        <w:t xml:space="preserve">la amplitud </w:t>
      </w:r>
      <w:r w:rsidRPr="00190842">
        <w:rPr>
          <w:lang w:val="es-AR"/>
        </w:rPr>
        <w:t xml:space="preserve">de las </w:t>
      </w:r>
      <w:r w:rsidR="00B63EAD">
        <w:rPr>
          <w:lang w:val="es-AR"/>
        </w:rPr>
        <w:t xml:space="preserve">medidas </w:t>
      </w:r>
      <w:r w:rsidRPr="00190842">
        <w:rPr>
          <w:lang w:val="es-AR"/>
        </w:rPr>
        <w:t xml:space="preserve">requeridas en cada país del </w:t>
      </w:r>
      <w:r w:rsidR="00190842">
        <w:rPr>
          <w:lang w:val="es-AR"/>
        </w:rPr>
        <w:t>Artículo</w:t>
      </w:r>
      <w:r w:rsidRPr="00190842">
        <w:rPr>
          <w:lang w:val="es-AR"/>
        </w:rPr>
        <w:t xml:space="preserve"> 5 para </w:t>
      </w:r>
      <w:r w:rsidR="00B63EAD">
        <w:rPr>
          <w:lang w:val="es-AR"/>
        </w:rPr>
        <w:t xml:space="preserve">aplicar </w:t>
      </w:r>
      <w:r w:rsidRPr="00190842">
        <w:rPr>
          <w:lang w:val="es-AR"/>
        </w:rPr>
        <w:t xml:space="preserve">la </w:t>
      </w:r>
      <w:r w:rsidR="00190842">
        <w:rPr>
          <w:lang w:val="es-AR"/>
        </w:rPr>
        <w:t>Enmienda</w:t>
      </w:r>
      <w:r w:rsidRPr="00190842">
        <w:rPr>
          <w:lang w:val="es-AR"/>
        </w:rPr>
        <w:t xml:space="preserve"> de Kigali </w:t>
      </w:r>
      <w:r w:rsidR="00B63EAD">
        <w:rPr>
          <w:lang w:val="es-AR"/>
        </w:rPr>
        <w:t xml:space="preserve">mediante </w:t>
      </w:r>
      <w:r w:rsidRPr="00190842">
        <w:rPr>
          <w:lang w:val="es-AR"/>
        </w:rPr>
        <w:t xml:space="preserve">los planes </w:t>
      </w:r>
      <w:r w:rsidR="00FC7B69">
        <w:rPr>
          <w:lang w:val="es-AR"/>
        </w:rPr>
        <w:t>de reducción de HFC</w:t>
      </w:r>
      <w:r w:rsidRPr="00190842">
        <w:rPr>
          <w:lang w:val="es-AR"/>
        </w:rPr>
        <w:t xml:space="preserve">. </w:t>
      </w:r>
    </w:p>
    <w:p w14:paraId="1584EF57" w14:textId="275E468F" w:rsidR="00306314" w:rsidRPr="00190842" w:rsidRDefault="00306314" w:rsidP="00306314">
      <w:pPr>
        <w:pStyle w:val="Heading1"/>
        <w:rPr>
          <w:lang w:val="es-AR"/>
        </w:rPr>
      </w:pPr>
      <w:r w:rsidRPr="00190842">
        <w:rPr>
          <w:lang w:val="es-AR"/>
        </w:rPr>
        <w:t xml:space="preserve">El análisis antedicho no sólo proporciona una base </w:t>
      </w:r>
      <w:r w:rsidR="00C42222">
        <w:rPr>
          <w:lang w:val="es-AR"/>
        </w:rPr>
        <w:t xml:space="preserve">sólida </w:t>
      </w:r>
      <w:r w:rsidRPr="00190842">
        <w:rPr>
          <w:lang w:val="es-AR"/>
        </w:rPr>
        <w:t xml:space="preserve">para </w:t>
      </w:r>
      <w:r w:rsidR="00B63EAD">
        <w:rPr>
          <w:lang w:val="es-AR"/>
        </w:rPr>
        <w:t xml:space="preserve">continuar manteniendo </w:t>
      </w:r>
      <w:r w:rsidRPr="00190842">
        <w:rPr>
          <w:lang w:val="es-AR"/>
        </w:rPr>
        <w:t>el apoyo financiero para</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B63EAD">
        <w:rPr>
          <w:lang w:val="es-AR"/>
        </w:rPr>
        <w:t xml:space="preserve">sino que </w:t>
      </w:r>
      <w:r w:rsidR="00C42222">
        <w:rPr>
          <w:lang w:val="es-AR"/>
        </w:rPr>
        <w:t xml:space="preserve">también </w:t>
      </w:r>
      <w:r w:rsidRPr="00190842">
        <w:rPr>
          <w:lang w:val="es-AR"/>
        </w:rPr>
        <w:t xml:space="preserve">podría ayudar al Comité Ejecutivo </w:t>
      </w:r>
      <w:r w:rsidR="00B63EAD">
        <w:rPr>
          <w:lang w:val="es-AR"/>
        </w:rPr>
        <w:t xml:space="preserve">a explorar posibilidades de más </w:t>
      </w:r>
      <w:r w:rsidR="00193AA4">
        <w:rPr>
          <w:lang w:val="es-AR"/>
        </w:rPr>
        <w:t xml:space="preserve">financiamiento </w:t>
      </w:r>
      <w:r w:rsidR="00B63EAD">
        <w:rPr>
          <w:lang w:val="es-AR"/>
        </w:rPr>
        <w:t xml:space="preserve">para </w:t>
      </w:r>
      <w:r w:rsidR="00193AA4">
        <w:rPr>
          <w:lang w:val="es-AR"/>
        </w:rPr>
        <w:t>fortalecimiento institucional</w:t>
      </w:r>
      <w:r w:rsidR="00B63EAD">
        <w:rPr>
          <w:lang w:val="es-AR"/>
        </w:rPr>
        <w:t xml:space="preserve"> </w:t>
      </w:r>
      <w:r w:rsidRPr="00190842">
        <w:rPr>
          <w:lang w:val="es-AR"/>
        </w:rPr>
        <w:t xml:space="preserve">para tener en cuenta los complejos </w:t>
      </w:r>
      <w:r w:rsidR="00B63EAD" w:rsidRPr="00190842">
        <w:rPr>
          <w:lang w:val="es-AR"/>
        </w:rPr>
        <w:t xml:space="preserve">requisitos </w:t>
      </w:r>
      <w:r w:rsidR="00B63EAD">
        <w:rPr>
          <w:lang w:val="es-AR"/>
        </w:rPr>
        <w:t>de</w:t>
      </w:r>
      <w:r w:rsidR="00DF14AE">
        <w:rPr>
          <w:lang w:val="es-AR"/>
        </w:rPr>
        <w:t xml:space="preserve"> cumplimiento</w:t>
      </w:r>
      <w:r w:rsidRPr="00190842">
        <w:rPr>
          <w:lang w:val="es-AR"/>
        </w:rPr>
        <w:t xml:space="preserve"> con la </w:t>
      </w:r>
      <w:r w:rsidR="00190842">
        <w:rPr>
          <w:lang w:val="es-AR"/>
        </w:rPr>
        <w:t>Enmienda</w:t>
      </w:r>
      <w:r w:rsidRPr="00190842">
        <w:rPr>
          <w:lang w:val="es-AR"/>
        </w:rPr>
        <w:t xml:space="preserve"> de Kigali, y la ayuda requerida para ejecutar la etapa 1 de los planes </w:t>
      </w:r>
      <w:r w:rsidR="00FC7B69">
        <w:rPr>
          <w:lang w:val="es-AR"/>
        </w:rPr>
        <w:t>de reducción de HFC</w:t>
      </w:r>
      <w:r w:rsidRPr="00190842">
        <w:rPr>
          <w:lang w:val="es-AR"/>
        </w:rPr>
        <w:t>.</w:t>
      </w:r>
    </w:p>
    <w:p w14:paraId="27DEAA15" w14:textId="6AFB802A" w:rsidR="00306314" w:rsidRPr="00190842" w:rsidRDefault="00B63EAD" w:rsidP="00306314">
      <w:pPr>
        <w:rPr>
          <w:b/>
          <w:lang w:val="es-AR"/>
        </w:rPr>
      </w:pPr>
      <w:r>
        <w:rPr>
          <w:b/>
          <w:lang w:val="es-AR"/>
        </w:rPr>
        <w:t xml:space="preserve">Pedido de examen </w:t>
      </w:r>
      <w:r w:rsidR="00306314" w:rsidRPr="00190842">
        <w:rPr>
          <w:b/>
          <w:lang w:val="es-AR"/>
        </w:rPr>
        <w:t>de</w:t>
      </w:r>
      <w:r w:rsidR="00190842">
        <w:rPr>
          <w:b/>
          <w:lang w:val="es-AR"/>
        </w:rPr>
        <w:t xml:space="preserve"> fortalecimiento institucional </w:t>
      </w:r>
      <w:r w:rsidR="00306314" w:rsidRPr="00190842">
        <w:rPr>
          <w:b/>
          <w:lang w:val="es-AR"/>
        </w:rPr>
        <w:t>y niveles de financiamiento</w:t>
      </w:r>
    </w:p>
    <w:p w14:paraId="242FBA6D" w14:textId="77777777" w:rsidR="00306314" w:rsidRPr="00190842" w:rsidRDefault="00306314" w:rsidP="00306314">
      <w:pPr>
        <w:rPr>
          <w:lang w:val="es-AR"/>
        </w:rPr>
      </w:pPr>
    </w:p>
    <w:p w14:paraId="560FB66C" w14:textId="7601DBF9" w:rsidR="00306314" w:rsidRPr="00190842" w:rsidRDefault="00C42222" w:rsidP="00306314">
      <w:pPr>
        <w:pStyle w:val="Heading1"/>
        <w:rPr>
          <w:lang w:val="es-AR"/>
        </w:rPr>
      </w:pPr>
      <w:r>
        <w:rPr>
          <w:lang w:val="es-AR"/>
        </w:rPr>
        <w:t>Al o</w:t>
      </w:r>
      <w:r w:rsidR="00306314" w:rsidRPr="00190842">
        <w:rPr>
          <w:lang w:val="es-AR"/>
        </w:rPr>
        <w:t>bserva</w:t>
      </w:r>
      <w:r>
        <w:rPr>
          <w:lang w:val="es-AR"/>
        </w:rPr>
        <w:t>r</w:t>
      </w:r>
      <w:r w:rsidR="00306314" w:rsidRPr="00190842">
        <w:rPr>
          <w:lang w:val="es-AR"/>
        </w:rPr>
        <w:t xml:space="preserve"> que la base para el cumplimiento de HFC se</w:t>
      </w:r>
      <w:r>
        <w:rPr>
          <w:lang w:val="es-AR"/>
        </w:rPr>
        <w:t xml:space="preserve"> </w:t>
      </w:r>
      <w:r w:rsidR="00306314" w:rsidRPr="00190842">
        <w:rPr>
          <w:lang w:val="es-AR"/>
        </w:rPr>
        <w:t>establec</w:t>
      </w:r>
      <w:r>
        <w:rPr>
          <w:lang w:val="es-AR"/>
        </w:rPr>
        <w:t xml:space="preserve">erá </w:t>
      </w:r>
      <w:r w:rsidR="00190842">
        <w:rPr>
          <w:lang w:val="es-AR"/>
        </w:rPr>
        <w:t>sólo</w:t>
      </w:r>
      <w:r w:rsidR="00306314" w:rsidRPr="00190842">
        <w:rPr>
          <w:lang w:val="es-AR"/>
        </w:rPr>
        <w:t xml:space="preserve"> en 2025 para el </w:t>
      </w:r>
      <w:r>
        <w:rPr>
          <w:lang w:val="es-AR"/>
        </w:rPr>
        <w:t xml:space="preserve">grupo 1 de los países al amparo del </w:t>
      </w:r>
      <w:r w:rsidR="00190842">
        <w:rPr>
          <w:lang w:val="es-AR"/>
        </w:rPr>
        <w:t>Artículo</w:t>
      </w:r>
      <w:r w:rsidR="00306314" w:rsidRPr="00190842">
        <w:rPr>
          <w:lang w:val="es-AR"/>
        </w:rPr>
        <w:t xml:space="preserve"> 5, </w:t>
      </w:r>
      <w:r>
        <w:rPr>
          <w:lang w:val="es-AR"/>
        </w:rPr>
        <w:t xml:space="preserve">que la </w:t>
      </w:r>
      <w:r w:rsidR="00306314" w:rsidRPr="00190842">
        <w:rPr>
          <w:lang w:val="es-AR"/>
        </w:rPr>
        <w:t xml:space="preserve">financiación para la preparación </w:t>
      </w:r>
      <w:r w:rsidR="00FC7B69">
        <w:rPr>
          <w:lang w:val="es-AR"/>
        </w:rPr>
        <w:t>de reducción de HFC</w:t>
      </w:r>
      <w:r w:rsidR="00306314" w:rsidRPr="00190842">
        <w:rPr>
          <w:lang w:val="es-AR"/>
        </w:rPr>
        <w:t xml:space="preserve"> todavía no se ha aprobado y que los planes reales de </w:t>
      </w:r>
      <w:r w:rsidR="00FC7B69">
        <w:rPr>
          <w:lang w:val="es-AR"/>
        </w:rPr>
        <w:t>reducción</w:t>
      </w:r>
      <w:r w:rsidR="00306314" w:rsidRPr="00190842">
        <w:rPr>
          <w:lang w:val="es-AR"/>
        </w:rPr>
        <w:t xml:space="preserve"> podrían </w:t>
      </w:r>
      <w:r>
        <w:rPr>
          <w:lang w:val="es-AR"/>
        </w:rPr>
        <w:t xml:space="preserve">aprobarse </w:t>
      </w:r>
      <w:r w:rsidRPr="00190842">
        <w:rPr>
          <w:lang w:val="es-AR"/>
        </w:rPr>
        <w:t xml:space="preserve">aproximadamente </w:t>
      </w:r>
      <w:r w:rsidR="00306314" w:rsidRPr="00190842">
        <w:rPr>
          <w:lang w:val="es-AR"/>
        </w:rPr>
        <w:t xml:space="preserve">dos años después de la aprobación de la financiación para la preparación de esos planes, el Comité Ejecutivo </w:t>
      </w:r>
      <w:r w:rsidR="00190842">
        <w:rPr>
          <w:lang w:val="es-AR"/>
        </w:rPr>
        <w:t>podría</w:t>
      </w:r>
      <w:r w:rsidR="00306314" w:rsidRPr="00190842">
        <w:rPr>
          <w:lang w:val="es-AR"/>
        </w:rPr>
        <w:t xml:space="preserve"> </w:t>
      </w:r>
      <w:r>
        <w:rPr>
          <w:lang w:val="es-AR"/>
        </w:rPr>
        <w:t xml:space="preserve">pedir </w:t>
      </w:r>
      <w:r w:rsidR="006753DD">
        <w:rPr>
          <w:lang w:val="es-AR"/>
        </w:rPr>
        <w:t>a</w:t>
      </w:r>
      <w:r w:rsidR="00306314" w:rsidRPr="00190842">
        <w:rPr>
          <w:lang w:val="es-AR"/>
        </w:rPr>
        <w:t xml:space="preserve"> la </w:t>
      </w:r>
      <w:r w:rsidR="00190842">
        <w:rPr>
          <w:lang w:val="es-AR"/>
        </w:rPr>
        <w:t>Secretaría</w:t>
      </w:r>
      <w:r w:rsidR="00306314" w:rsidRPr="00190842">
        <w:rPr>
          <w:lang w:val="es-AR"/>
        </w:rPr>
        <w:t xml:space="preserve"> </w:t>
      </w:r>
      <w:r w:rsidR="006753DD">
        <w:rPr>
          <w:lang w:val="es-AR"/>
        </w:rPr>
        <w:t xml:space="preserve">que presentase </w:t>
      </w:r>
      <w:r w:rsidR="00306314" w:rsidRPr="00190842">
        <w:rPr>
          <w:lang w:val="es-AR"/>
        </w:rPr>
        <w:t>un análisis de</w:t>
      </w:r>
      <w:r w:rsidR="006753DD">
        <w:rPr>
          <w:lang w:val="es-AR"/>
        </w:rPr>
        <w:t xml:space="preserve"> </w:t>
      </w:r>
      <w:r w:rsidR="00306314" w:rsidRPr="00190842">
        <w:rPr>
          <w:lang w:val="es-AR"/>
        </w:rPr>
        <w:t>l</w:t>
      </w:r>
      <w:r w:rsidR="006753DD">
        <w:rPr>
          <w:lang w:val="es-AR"/>
        </w:rPr>
        <w:t>os</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w:t>
      </w:r>
      <w:r w:rsidR="006753DD">
        <w:rPr>
          <w:lang w:val="es-AR"/>
        </w:rPr>
        <w:t xml:space="preserve">con los </w:t>
      </w:r>
      <w:r w:rsidR="00306314" w:rsidRPr="00190842">
        <w:rPr>
          <w:lang w:val="es-AR"/>
        </w:rPr>
        <w:t xml:space="preserve">niveles de financiación </w:t>
      </w:r>
      <w:r w:rsidR="006753DD">
        <w:rPr>
          <w:lang w:val="es-AR"/>
        </w:rPr>
        <w:t xml:space="preserve">a más tardar en </w:t>
      </w:r>
      <w:r w:rsidR="00306314" w:rsidRPr="00190842">
        <w:rPr>
          <w:lang w:val="es-AR"/>
        </w:rPr>
        <w:t xml:space="preserve">la segunda reunión </w:t>
      </w:r>
      <w:r w:rsidR="006753DD">
        <w:rPr>
          <w:lang w:val="es-AR"/>
        </w:rPr>
        <w:t>de</w:t>
      </w:r>
      <w:r w:rsidR="00306314" w:rsidRPr="00190842">
        <w:rPr>
          <w:lang w:val="es-AR"/>
        </w:rPr>
        <w:t xml:space="preserve"> 2025.</w:t>
      </w:r>
    </w:p>
    <w:p w14:paraId="33D62A5F" w14:textId="62FC6E78" w:rsidR="00306314" w:rsidRPr="00190842" w:rsidRDefault="00306314" w:rsidP="00306314">
      <w:pPr>
        <w:spacing w:after="240"/>
        <w:outlineLvl w:val="0"/>
        <w:rPr>
          <w:b/>
          <w:lang w:val="es-AR"/>
        </w:rPr>
      </w:pPr>
      <w:r w:rsidRPr="00190842">
        <w:rPr>
          <w:b/>
          <w:lang w:val="es-AR"/>
        </w:rPr>
        <w:t>E</w:t>
      </w:r>
      <w:r w:rsidR="006753DD">
        <w:rPr>
          <w:b/>
          <w:lang w:val="es-AR"/>
        </w:rPr>
        <w:t xml:space="preserve">xamen </w:t>
      </w:r>
      <w:r w:rsidRPr="00190842">
        <w:rPr>
          <w:b/>
          <w:lang w:val="es-AR"/>
        </w:rPr>
        <w:t xml:space="preserve">del formato de </w:t>
      </w:r>
      <w:r w:rsidR="006753DD">
        <w:rPr>
          <w:b/>
          <w:lang w:val="es-AR"/>
        </w:rPr>
        <w:t xml:space="preserve">presentación de informes </w:t>
      </w:r>
      <w:r w:rsidRPr="00190842">
        <w:rPr>
          <w:b/>
          <w:lang w:val="es-AR"/>
        </w:rPr>
        <w:t>para</w:t>
      </w:r>
      <w:r w:rsidR="00190842">
        <w:rPr>
          <w:b/>
          <w:lang w:val="es-AR"/>
        </w:rPr>
        <w:t xml:space="preserve"> </w:t>
      </w:r>
      <w:r w:rsidR="00393B3C">
        <w:rPr>
          <w:b/>
          <w:lang w:val="es-AR"/>
        </w:rPr>
        <w:t xml:space="preserve">las renovaciones de proyectos de fortalecimiento institucional </w:t>
      </w:r>
    </w:p>
    <w:p w14:paraId="3A244FE2" w14:textId="29CC00C6" w:rsidR="00306314" w:rsidRPr="00190842" w:rsidRDefault="00306314" w:rsidP="00306314">
      <w:pPr>
        <w:pStyle w:val="Heading1"/>
        <w:rPr>
          <w:lang w:val="es-AR"/>
        </w:rPr>
      </w:pPr>
      <w:r w:rsidRPr="00190842">
        <w:rPr>
          <w:lang w:val="es-AR"/>
        </w:rPr>
        <w:t xml:space="preserve">Aunque el nuevo formato </w:t>
      </w:r>
      <w:r w:rsidR="006753DD">
        <w:rPr>
          <w:lang w:val="es-AR"/>
        </w:rPr>
        <w:t>de presentación de informes</w:t>
      </w:r>
      <w:r w:rsidRPr="00190842">
        <w:rPr>
          <w:lang w:val="es-AR"/>
        </w:rPr>
        <w:t xml:space="preserve">, que incluye indicadores específicos, </w:t>
      </w:r>
      <w:r w:rsidR="00C42222">
        <w:rPr>
          <w:lang w:val="es-AR"/>
        </w:rPr>
        <w:t xml:space="preserve">sólo se aprobó </w:t>
      </w:r>
      <w:r w:rsidRPr="00190842">
        <w:rPr>
          <w:lang w:val="es-AR"/>
        </w:rPr>
        <w:t>en la 74</w:t>
      </w:r>
      <w:r w:rsidR="006753DD">
        <w:rPr>
          <w:lang w:val="es-AR"/>
        </w:rPr>
        <w:t xml:space="preserve">ª </w:t>
      </w:r>
      <w:r w:rsidR="00193AA4">
        <w:rPr>
          <w:lang w:val="es-AR"/>
        </w:rPr>
        <w:t>reunión</w:t>
      </w:r>
      <w:r w:rsidRPr="00190842">
        <w:rPr>
          <w:lang w:val="es-AR"/>
        </w:rPr>
        <w:t>,</w:t>
      </w:r>
      <w:r w:rsidRPr="00190842">
        <w:rPr>
          <w:rStyle w:val="FootnoteReference"/>
          <w:lang w:val="es-AR"/>
        </w:rPr>
        <w:footnoteReference w:id="27"/>
      </w:r>
      <w:r w:rsidRPr="00190842">
        <w:rPr>
          <w:lang w:val="es-AR"/>
        </w:rPr>
        <w:t xml:space="preserve"> la </w:t>
      </w:r>
      <w:r w:rsidR="00190842">
        <w:rPr>
          <w:lang w:val="es-AR"/>
        </w:rPr>
        <w:t>Secretaría</w:t>
      </w:r>
      <w:r w:rsidRPr="00190842">
        <w:rPr>
          <w:lang w:val="es-AR"/>
        </w:rPr>
        <w:t xml:space="preserve"> </w:t>
      </w:r>
      <w:r w:rsidR="006753DD">
        <w:rPr>
          <w:lang w:val="es-AR"/>
        </w:rPr>
        <w:t xml:space="preserve">realizó </w:t>
      </w:r>
      <w:r w:rsidRPr="00190842">
        <w:rPr>
          <w:lang w:val="es-AR"/>
        </w:rPr>
        <w:t>un análisis de los informes escritos usando este nuevo formato para ver si cont</w:t>
      </w:r>
      <w:r w:rsidR="00C42222">
        <w:rPr>
          <w:lang w:val="es-AR"/>
        </w:rPr>
        <w:t xml:space="preserve">enían </w:t>
      </w:r>
      <w:r w:rsidRPr="00190842">
        <w:rPr>
          <w:lang w:val="es-AR"/>
        </w:rPr>
        <w:t xml:space="preserve">suficiente información para describir los resultados de </w:t>
      </w:r>
      <w:r w:rsidR="00190842">
        <w:rPr>
          <w:lang w:val="es-AR"/>
        </w:rPr>
        <w:t>la ejecución</w:t>
      </w:r>
      <w:r w:rsidR="00674039">
        <w:rPr>
          <w:lang w:val="es-AR"/>
        </w:rPr>
        <w:t xml:space="preserve"> </w:t>
      </w:r>
      <w:r w:rsidR="006753DD">
        <w:rPr>
          <w:lang w:val="es-AR"/>
        </w:rPr>
        <w:t xml:space="preserve">de </w:t>
      </w:r>
      <w:r w:rsidR="00C42222">
        <w:rPr>
          <w:lang w:val="es-AR"/>
        </w:rPr>
        <w:t xml:space="preserve">los proyectos de </w:t>
      </w:r>
      <w:r w:rsidR="006753DD">
        <w:rPr>
          <w:lang w:val="es-AR"/>
        </w:rPr>
        <w:t xml:space="preserve">renovación </w:t>
      </w:r>
      <w:r w:rsidR="00674039">
        <w:rPr>
          <w:lang w:val="es-AR"/>
        </w:rPr>
        <w:t xml:space="preserve">de </w:t>
      </w:r>
      <w:r w:rsidR="00AA1ED5">
        <w:rPr>
          <w:lang w:val="es-AR"/>
        </w:rPr>
        <w:t>fortalecimiento institucional</w:t>
      </w:r>
      <w:r w:rsidRPr="00190842">
        <w:rPr>
          <w:lang w:val="es-AR"/>
        </w:rPr>
        <w:t xml:space="preserve">. La </w:t>
      </w:r>
      <w:r w:rsidR="00190842">
        <w:rPr>
          <w:lang w:val="es-AR"/>
        </w:rPr>
        <w:t>Secretaría</w:t>
      </w:r>
      <w:r w:rsidRPr="00190842">
        <w:rPr>
          <w:lang w:val="es-AR"/>
        </w:rPr>
        <w:t xml:space="preserve"> también </w:t>
      </w:r>
      <w:r w:rsidR="006753DD">
        <w:rPr>
          <w:lang w:val="es-AR"/>
        </w:rPr>
        <w:t xml:space="preserve">verificó </w:t>
      </w:r>
      <w:r w:rsidRPr="00190842">
        <w:rPr>
          <w:lang w:val="es-AR"/>
        </w:rPr>
        <w:t xml:space="preserve">si </w:t>
      </w:r>
      <w:r w:rsidR="00C42222" w:rsidRPr="00190842">
        <w:rPr>
          <w:lang w:val="es-AR"/>
        </w:rPr>
        <w:t>en los informes</w:t>
      </w:r>
      <w:r w:rsidR="00C42222">
        <w:rPr>
          <w:lang w:val="es-AR"/>
        </w:rPr>
        <w:t xml:space="preserve"> se utilizaron </w:t>
      </w:r>
      <w:r w:rsidRPr="00190842">
        <w:rPr>
          <w:lang w:val="es-AR"/>
        </w:rPr>
        <w:t xml:space="preserve">los </w:t>
      </w:r>
      <w:r w:rsidR="004A3566">
        <w:rPr>
          <w:lang w:val="es-AR"/>
        </w:rPr>
        <w:t xml:space="preserve">indicadores de desempeño </w:t>
      </w:r>
      <w:r w:rsidR="006753DD">
        <w:rPr>
          <w:lang w:val="es-AR"/>
        </w:rPr>
        <w:t xml:space="preserve">acordados </w:t>
      </w:r>
      <w:r w:rsidRPr="00190842">
        <w:rPr>
          <w:lang w:val="es-AR"/>
        </w:rPr>
        <w:t xml:space="preserve">en la misma reunión, y si los informes </w:t>
      </w:r>
      <w:r w:rsidR="006753DD">
        <w:rPr>
          <w:lang w:val="es-AR"/>
        </w:rPr>
        <w:t xml:space="preserve">presentados </w:t>
      </w:r>
      <w:r w:rsidR="00C42222">
        <w:rPr>
          <w:lang w:val="es-AR"/>
        </w:rPr>
        <w:t xml:space="preserve">a partir de </w:t>
      </w:r>
      <w:r w:rsidRPr="00190842">
        <w:rPr>
          <w:lang w:val="es-AR"/>
        </w:rPr>
        <w:t>la</w:t>
      </w:r>
      <w:r w:rsidR="006753DD">
        <w:rPr>
          <w:lang w:val="es-AR"/>
        </w:rPr>
        <w:t xml:space="preserve"> 85ª </w:t>
      </w:r>
      <w:r w:rsidRPr="00190842">
        <w:rPr>
          <w:lang w:val="es-AR"/>
        </w:rPr>
        <w:t>reunión</w:t>
      </w:r>
      <w:r w:rsidR="006753DD">
        <w:rPr>
          <w:lang w:val="es-AR"/>
        </w:rPr>
        <w:t xml:space="preserve"> </w:t>
      </w:r>
      <w:r w:rsidRPr="00190842">
        <w:rPr>
          <w:lang w:val="es-AR"/>
        </w:rPr>
        <w:t>han incorporado la</w:t>
      </w:r>
      <w:r w:rsidR="006753DD">
        <w:rPr>
          <w:lang w:val="es-AR"/>
        </w:rPr>
        <w:t>s</w:t>
      </w:r>
      <w:r w:rsidRPr="00190842">
        <w:rPr>
          <w:lang w:val="es-AR"/>
        </w:rPr>
        <w:t xml:space="preserve"> política</w:t>
      </w:r>
      <w:r w:rsidR="006753DD">
        <w:rPr>
          <w:lang w:val="es-AR"/>
        </w:rPr>
        <w:t xml:space="preserve">s sobre igualdad de </w:t>
      </w:r>
      <w:r w:rsidRPr="00190842">
        <w:rPr>
          <w:lang w:val="es-AR"/>
        </w:rPr>
        <w:t xml:space="preserve">género del </w:t>
      </w:r>
      <w:r w:rsidR="006753DD">
        <w:rPr>
          <w:lang w:val="es-AR"/>
        </w:rPr>
        <w:t>F</w:t>
      </w:r>
      <w:r w:rsidRPr="00190842">
        <w:rPr>
          <w:lang w:val="es-AR"/>
        </w:rPr>
        <w:t>ondo</w:t>
      </w:r>
      <w:r w:rsidR="006753DD">
        <w:rPr>
          <w:lang w:val="es-AR"/>
        </w:rPr>
        <w:t xml:space="preserve"> Multilateral</w:t>
      </w:r>
      <w:r w:rsidRPr="00190842">
        <w:rPr>
          <w:lang w:val="es-AR"/>
        </w:rPr>
        <w:t xml:space="preserve">. La </w:t>
      </w:r>
      <w:r w:rsidR="00190842">
        <w:rPr>
          <w:lang w:val="es-AR"/>
        </w:rPr>
        <w:t>Secretaría</w:t>
      </w:r>
      <w:r w:rsidRPr="00190842">
        <w:rPr>
          <w:lang w:val="es-AR"/>
        </w:rPr>
        <w:t xml:space="preserve"> observó que había cuestiones </w:t>
      </w:r>
      <w:r w:rsidR="006753DD">
        <w:rPr>
          <w:lang w:val="es-AR"/>
        </w:rPr>
        <w:t xml:space="preserve">recurrentes </w:t>
      </w:r>
      <w:r w:rsidRPr="00190842">
        <w:rPr>
          <w:lang w:val="es-AR"/>
        </w:rPr>
        <w:t xml:space="preserve">en las presentaciones, </w:t>
      </w:r>
      <w:r w:rsidRPr="006753DD">
        <w:rPr>
          <w:lang w:val="es-AR"/>
        </w:rPr>
        <w:t>entre otras cosas</w:t>
      </w:r>
      <w:r w:rsidRPr="00190842">
        <w:rPr>
          <w:i/>
          <w:lang w:val="es-AR"/>
        </w:rPr>
        <w:t xml:space="preserve">, </w:t>
      </w:r>
      <w:r w:rsidRPr="00190842">
        <w:rPr>
          <w:iCs/>
          <w:lang w:val="es-AR"/>
        </w:rPr>
        <w:t xml:space="preserve">una </w:t>
      </w:r>
      <w:r w:rsidRPr="00190842">
        <w:rPr>
          <w:lang w:val="es-AR"/>
        </w:rPr>
        <w:t xml:space="preserve">falta </w:t>
      </w:r>
      <w:r w:rsidRPr="00190842">
        <w:rPr>
          <w:color w:val="000000" w:themeColor="text1"/>
          <w:lang w:val="es-AR"/>
        </w:rPr>
        <w:t xml:space="preserve">de claridad con respecto a </w:t>
      </w:r>
      <w:r w:rsidRPr="00190842">
        <w:rPr>
          <w:lang w:val="es-AR"/>
        </w:rPr>
        <w:t xml:space="preserve">los </w:t>
      </w:r>
      <w:r w:rsidRPr="00190842">
        <w:rPr>
          <w:color w:val="000000" w:themeColor="text1"/>
          <w:lang w:val="es-AR"/>
        </w:rPr>
        <w:t xml:space="preserve">conceptos de aplicación de </w:t>
      </w:r>
      <w:r w:rsidR="00190842">
        <w:rPr>
          <w:color w:val="000000" w:themeColor="text1"/>
          <w:lang w:val="es-AR"/>
        </w:rPr>
        <w:t>medidas de control</w:t>
      </w:r>
      <w:r w:rsidRPr="00190842">
        <w:rPr>
          <w:color w:val="000000" w:themeColor="text1"/>
          <w:lang w:val="es-AR"/>
        </w:rPr>
        <w:t>, supervisión</w:t>
      </w:r>
      <w:r w:rsidR="00A70C96">
        <w:rPr>
          <w:color w:val="000000" w:themeColor="text1"/>
          <w:lang w:val="es-AR"/>
        </w:rPr>
        <w:t xml:space="preserve"> de las </w:t>
      </w:r>
      <w:r w:rsidR="00190842">
        <w:rPr>
          <w:color w:val="000000" w:themeColor="text1"/>
          <w:lang w:val="es-AR"/>
        </w:rPr>
        <w:t>SAO</w:t>
      </w:r>
      <w:r w:rsidRPr="00190842">
        <w:rPr>
          <w:color w:val="000000" w:themeColor="text1"/>
          <w:lang w:val="es-AR"/>
        </w:rPr>
        <w:t xml:space="preserve"> </w:t>
      </w:r>
      <w:r w:rsidR="006753DD">
        <w:rPr>
          <w:color w:val="000000" w:themeColor="text1"/>
          <w:lang w:val="es-AR"/>
        </w:rPr>
        <w:t>ya eliminadas</w:t>
      </w:r>
      <w:r w:rsidRPr="00190842">
        <w:rPr>
          <w:color w:val="000000" w:themeColor="text1"/>
          <w:lang w:val="es-AR"/>
        </w:rPr>
        <w:t xml:space="preserve">, prevención del comercio </w:t>
      </w:r>
      <w:r w:rsidR="00190842">
        <w:rPr>
          <w:color w:val="000000" w:themeColor="text1"/>
          <w:lang w:val="es-AR"/>
        </w:rPr>
        <w:t>ilícito</w:t>
      </w:r>
      <w:r w:rsidRPr="00190842">
        <w:rPr>
          <w:color w:val="000000" w:themeColor="text1"/>
          <w:lang w:val="es-AR"/>
        </w:rPr>
        <w:t xml:space="preserve">, y supervisión de </w:t>
      </w:r>
      <w:r w:rsidRPr="00190842">
        <w:rPr>
          <w:lang w:val="es-AR"/>
        </w:rPr>
        <w:t xml:space="preserve">los </w:t>
      </w:r>
      <w:r w:rsidRPr="00190842">
        <w:rPr>
          <w:color w:val="000000" w:themeColor="text1"/>
          <w:lang w:val="es-AR"/>
        </w:rPr>
        <w:t xml:space="preserve">datos </w:t>
      </w:r>
      <w:r w:rsidR="00190842">
        <w:rPr>
          <w:color w:val="000000" w:themeColor="text1"/>
          <w:lang w:val="es-AR"/>
        </w:rPr>
        <w:t>de importación/exportación</w:t>
      </w:r>
      <w:r w:rsidR="00A70C96">
        <w:rPr>
          <w:color w:val="000000" w:themeColor="text1"/>
          <w:lang w:val="es-AR"/>
        </w:rPr>
        <w:t xml:space="preserve"> de las </w:t>
      </w:r>
      <w:r w:rsidR="00190842">
        <w:rPr>
          <w:color w:val="000000" w:themeColor="text1"/>
          <w:lang w:val="es-AR"/>
        </w:rPr>
        <w:t>SAO</w:t>
      </w:r>
      <w:r w:rsidRPr="00190842">
        <w:rPr>
          <w:color w:val="000000" w:themeColor="text1"/>
          <w:lang w:val="es-AR"/>
        </w:rPr>
        <w:t>;</w:t>
      </w:r>
      <w:r w:rsidRPr="00190842">
        <w:rPr>
          <w:lang w:val="es-AR"/>
        </w:rPr>
        <w:t xml:space="preserve"> </w:t>
      </w:r>
      <w:r w:rsidRPr="00190842">
        <w:rPr>
          <w:color w:val="000000" w:themeColor="text1"/>
          <w:lang w:val="es-AR"/>
        </w:rPr>
        <w:t>definiciones confusas de reuniones y sus propósitos;</w:t>
      </w:r>
      <w:r w:rsidRPr="00190842">
        <w:rPr>
          <w:lang w:val="es-AR"/>
        </w:rPr>
        <w:t xml:space="preserve"> </w:t>
      </w:r>
      <w:r w:rsidRPr="00190842">
        <w:rPr>
          <w:color w:val="000000" w:themeColor="text1"/>
          <w:lang w:val="es-AR"/>
        </w:rPr>
        <w:t xml:space="preserve">y duplicación de </w:t>
      </w:r>
      <w:r w:rsidRPr="00190842">
        <w:rPr>
          <w:lang w:val="es-AR"/>
        </w:rPr>
        <w:t xml:space="preserve">la </w:t>
      </w:r>
      <w:r w:rsidRPr="00190842">
        <w:rPr>
          <w:color w:val="000000" w:themeColor="text1"/>
          <w:lang w:val="es-AR"/>
        </w:rPr>
        <w:t xml:space="preserve">información </w:t>
      </w:r>
      <w:r w:rsidR="00190842">
        <w:rPr>
          <w:color w:val="000000" w:themeColor="text1"/>
          <w:lang w:val="es-AR"/>
        </w:rPr>
        <w:t>inform</w:t>
      </w:r>
      <w:r w:rsidRPr="00190842">
        <w:rPr>
          <w:color w:val="000000" w:themeColor="text1"/>
          <w:lang w:val="es-AR"/>
        </w:rPr>
        <w:t xml:space="preserve">ada bajo </w:t>
      </w:r>
      <w:r w:rsidRPr="00190842">
        <w:rPr>
          <w:lang w:val="es-AR"/>
        </w:rPr>
        <w:lastRenderedPageBreak/>
        <w:t xml:space="preserve">tramos de los planes de gestión de eliminación de </w:t>
      </w:r>
      <w:r w:rsidR="00190842">
        <w:rPr>
          <w:lang w:val="es-AR"/>
        </w:rPr>
        <w:t>los HCFC</w:t>
      </w:r>
      <w:r w:rsidRPr="00190842">
        <w:rPr>
          <w:lang w:val="es-AR"/>
        </w:rPr>
        <w:t xml:space="preserve">. </w:t>
      </w:r>
      <w:r w:rsidR="006753DD">
        <w:rPr>
          <w:lang w:val="es-AR"/>
        </w:rPr>
        <w:t>Por lo general, e</w:t>
      </w:r>
      <w:r w:rsidRPr="00190842">
        <w:rPr>
          <w:lang w:val="es-AR"/>
        </w:rPr>
        <w:t xml:space="preserve">sas cuestiones </w:t>
      </w:r>
      <w:r w:rsidR="006753DD">
        <w:rPr>
          <w:lang w:val="es-AR"/>
        </w:rPr>
        <w:t xml:space="preserve">se resolvieron a través de </w:t>
      </w:r>
      <w:r w:rsidR="00190842">
        <w:rPr>
          <w:lang w:val="es-AR"/>
        </w:rPr>
        <w:t>deliberaciones</w:t>
      </w:r>
      <w:r w:rsidRPr="00190842">
        <w:rPr>
          <w:lang w:val="es-AR"/>
        </w:rPr>
        <w:t xml:space="preserve"> entre la </w:t>
      </w:r>
      <w:r w:rsidR="00190842">
        <w:rPr>
          <w:lang w:val="es-AR"/>
        </w:rPr>
        <w:t>Secretaría</w:t>
      </w:r>
      <w:r w:rsidRPr="00190842">
        <w:rPr>
          <w:lang w:val="es-AR"/>
        </w:rPr>
        <w:t xml:space="preserve"> y </w:t>
      </w:r>
      <w:r w:rsidR="006753DD">
        <w:rPr>
          <w:lang w:val="es-AR"/>
        </w:rPr>
        <w:t xml:space="preserve">el organismo de ejecución o </w:t>
      </w:r>
      <w:r w:rsidRPr="00190842">
        <w:rPr>
          <w:lang w:val="es-AR"/>
        </w:rPr>
        <w:t>bilateral pertinente.</w:t>
      </w:r>
    </w:p>
    <w:p w14:paraId="1E1974FC" w14:textId="5842FB5D" w:rsidR="00306314" w:rsidRPr="00190842" w:rsidRDefault="004145CA" w:rsidP="00306314">
      <w:pPr>
        <w:pStyle w:val="Heading1"/>
        <w:rPr>
          <w:lang w:val="es-AR"/>
        </w:rPr>
      </w:pPr>
      <w:r>
        <w:rPr>
          <w:lang w:val="es-AR"/>
        </w:rPr>
        <w:t xml:space="preserve">Al rever </w:t>
      </w:r>
      <w:r w:rsidR="00306314" w:rsidRPr="00190842">
        <w:rPr>
          <w:lang w:val="es-AR"/>
        </w:rPr>
        <w:t xml:space="preserve">los </w:t>
      </w:r>
      <w:r w:rsidR="004A3566">
        <w:rPr>
          <w:lang w:val="es-AR"/>
        </w:rPr>
        <w:t xml:space="preserve">indicadores de desempeño </w:t>
      </w:r>
      <w:r w:rsidR="00306314" w:rsidRPr="00190842">
        <w:rPr>
          <w:lang w:val="es-AR"/>
        </w:rPr>
        <w:t xml:space="preserve">incluidos en los informes </w:t>
      </w:r>
      <w:r>
        <w:rPr>
          <w:lang w:val="es-AR"/>
        </w:rPr>
        <w:t xml:space="preserve">presentados </w:t>
      </w:r>
      <w:r w:rsidR="00306314" w:rsidRPr="00190842">
        <w:rPr>
          <w:lang w:val="es-AR"/>
        </w:rPr>
        <w:t xml:space="preserve">con las peticiones </w:t>
      </w:r>
      <w:r>
        <w:rPr>
          <w:lang w:val="es-AR"/>
        </w:rPr>
        <w:t xml:space="preserve">de </w:t>
      </w:r>
      <w:r w:rsidR="00306314" w:rsidRPr="00190842">
        <w:rPr>
          <w:lang w:val="es-AR"/>
        </w:rPr>
        <w:t xml:space="preserve">renovación de </w:t>
      </w:r>
      <w:r>
        <w:rPr>
          <w:lang w:val="es-AR"/>
        </w:rPr>
        <w:t>proyectos de fortalecimiento institucional independientes</w:t>
      </w:r>
      <w:r w:rsidR="00306314" w:rsidRPr="00190842">
        <w:rPr>
          <w:lang w:val="es-AR"/>
        </w:rPr>
        <w:t xml:space="preserve">, la </w:t>
      </w:r>
      <w:r w:rsidR="00190842">
        <w:rPr>
          <w:lang w:val="es-AR"/>
        </w:rPr>
        <w:t>Secretaría</w:t>
      </w:r>
      <w:r w:rsidR="00306314" w:rsidRPr="00190842">
        <w:rPr>
          <w:lang w:val="es-AR"/>
        </w:rPr>
        <w:t xml:space="preserve"> observ</w:t>
      </w:r>
      <w:r>
        <w:rPr>
          <w:lang w:val="es-AR"/>
        </w:rPr>
        <w:t xml:space="preserve">ó </w:t>
      </w:r>
      <w:r w:rsidR="00306314" w:rsidRPr="00190842">
        <w:rPr>
          <w:lang w:val="es-AR"/>
        </w:rPr>
        <w:t xml:space="preserve">que </w:t>
      </w:r>
      <w:r w:rsidR="00146D09" w:rsidRPr="00190842">
        <w:rPr>
          <w:lang w:val="es-AR"/>
        </w:rPr>
        <w:t xml:space="preserve">los países del </w:t>
      </w:r>
      <w:r w:rsidR="00146D09">
        <w:rPr>
          <w:lang w:val="es-AR"/>
        </w:rPr>
        <w:t>Artículo</w:t>
      </w:r>
      <w:r w:rsidR="00146D09" w:rsidRPr="00190842">
        <w:rPr>
          <w:lang w:val="es-AR"/>
        </w:rPr>
        <w:t xml:space="preserve"> 5 </w:t>
      </w:r>
      <w:r w:rsidR="00146D09">
        <w:rPr>
          <w:lang w:val="es-AR"/>
        </w:rPr>
        <w:t xml:space="preserve">habían seleccionado </w:t>
      </w:r>
      <w:r w:rsidR="00306314" w:rsidRPr="00190842">
        <w:rPr>
          <w:lang w:val="es-AR"/>
        </w:rPr>
        <w:t xml:space="preserve">una amplia gama de indicadores para cada objetivo, muchos </w:t>
      </w:r>
      <w:r w:rsidR="00146D09">
        <w:rPr>
          <w:lang w:val="es-AR"/>
        </w:rPr>
        <w:t xml:space="preserve">de los cuales a menudo </w:t>
      </w:r>
      <w:r w:rsidR="00306314" w:rsidRPr="00190842">
        <w:rPr>
          <w:lang w:val="es-AR"/>
        </w:rPr>
        <w:t xml:space="preserve">no eran </w:t>
      </w:r>
      <w:r w:rsidR="00306314" w:rsidRPr="00190842">
        <w:rPr>
          <w:color w:val="000000" w:themeColor="text1"/>
          <w:lang w:val="es-AR"/>
        </w:rPr>
        <w:t>atribuible</w:t>
      </w:r>
      <w:r w:rsidR="00146D09">
        <w:rPr>
          <w:color w:val="000000" w:themeColor="text1"/>
          <w:lang w:val="es-AR"/>
        </w:rPr>
        <w:t>s</w:t>
      </w:r>
      <w:r w:rsidR="00306314" w:rsidRPr="00190842">
        <w:rPr>
          <w:color w:val="000000" w:themeColor="text1"/>
          <w:lang w:val="es-AR"/>
        </w:rPr>
        <w:t xml:space="preserve"> a</w:t>
      </w:r>
      <w:r w:rsidR="00146D09">
        <w:rPr>
          <w:color w:val="000000" w:themeColor="text1"/>
          <w:lang w:val="es-AR"/>
        </w:rPr>
        <w:t xml:space="preserve">l logro de </w:t>
      </w:r>
      <w:r w:rsidR="00306314" w:rsidRPr="00190842">
        <w:rPr>
          <w:color w:val="000000" w:themeColor="text1"/>
          <w:lang w:val="es-AR"/>
        </w:rPr>
        <w:t>los objetivos de</w:t>
      </w:r>
      <w:r w:rsidR="00190842">
        <w:rPr>
          <w:color w:val="000000" w:themeColor="text1"/>
          <w:lang w:val="es-AR"/>
        </w:rPr>
        <w:t xml:space="preserve"> fortalecimiento institucional</w:t>
      </w:r>
      <w:r w:rsidR="00306314" w:rsidRPr="00190842">
        <w:rPr>
          <w:color w:val="000000" w:themeColor="text1"/>
          <w:lang w:val="es-AR"/>
        </w:rPr>
        <w:t>.</w:t>
      </w:r>
      <w:r w:rsidR="00306314" w:rsidRPr="00190842">
        <w:rPr>
          <w:lang w:val="es-AR"/>
        </w:rPr>
        <w:t xml:space="preserve"> Una tabla que resume los </w:t>
      </w:r>
      <w:r w:rsidR="004A3566">
        <w:rPr>
          <w:lang w:val="es-AR"/>
        </w:rPr>
        <w:t xml:space="preserve">indicadores de desempeño </w:t>
      </w:r>
      <w:r w:rsidR="00306314" w:rsidRPr="00190842">
        <w:rPr>
          <w:lang w:val="es-AR"/>
        </w:rPr>
        <w:t>usados</w:t>
      </w:r>
      <w:r w:rsidR="00C42222">
        <w:rPr>
          <w:lang w:val="es-AR"/>
        </w:rPr>
        <w:t>,</w:t>
      </w:r>
      <w:r w:rsidR="00306314" w:rsidRPr="00190842">
        <w:rPr>
          <w:lang w:val="es-AR"/>
        </w:rPr>
        <w:t xml:space="preserve"> por</w:t>
      </w:r>
      <w:r w:rsidR="00190842">
        <w:rPr>
          <w:lang w:val="es-AR"/>
        </w:rPr>
        <w:t xml:space="preserve"> </w:t>
      </w:r>
      <w:r w:rsidR="00C42222">
        <w:rPr>
          <w:lang w:val="es-AR"/>
        </w:rPr>
        <w:t xml:space="preserve">objetivo de </w:t>
      </w:r>
      <w:r w:rsidR="00190842">
        <w:rPr>
          <w:lang w:val="es-AR"/>
        </w:rPr>
        <w:t>fortalecimiento institucional</w:t>
      </w:r>
      <w:r w:rsidR="00C42222">
        <w:rPr>
          <w:lang w:val="es-AR"/>
        </w:rPr>
        <w:t>,</w:t>
      </w:r>
      <w:r w:rsidR="00190842">
        <w:rPr>
          <w:lang w:val="es-AR"/>
        </w:rPr>
        <w:t xml:space="preserve"> se incluye en</w:t>
      </w:r>
      <w:r w:rsidR="00306314" w:rsidRPr="00190842">
        <w:rPr>
          <w:lang w:val="es-AR"/>
        </w:rPr>
        <w:t xml:space="preserve"> el </w:t>
      </w:r>
      <w:r w:rsidR="00146D09">
        <w:rPr>
          <w:lang w:val="es-AR"/>
        </w:rPr>
        <w:t>A</w:t>
      </w:r>
      <w:r w:rsidR="00306314" w:rsidRPr="00190842">
        <w:rPr>
          <w:lang w:val="es-AR"/>
        </w:rPr>
        <w:t xml:space="preserve">nexo III </w:t>
      </w:r>
      <w:r w:rsidR="00190842">
        <w:rPr>
          <w:lang w:val="es-AR"/>
        </w:rPr>
        <w:t>del presente documento</w:t>
      </w:r>
      <w:r w:rsidR="00306314" w:rsidRPr="00190842">
        <w:rPr>
          <w:lang w:val="es-AR"/>
        </w:rPr>
        <w:t>.</w:t>
      </w:r>
    </w:p>
    <w:p w14:paraId="51A99FE4" w14:textId="0F984F58" w:rsidR="00306314" w:rsidRPr="00190842" w:rsidRDefault="00306314" w:rsidP="00306314">
      <w:pPr>
        <w:pStyle w:val="Heading1"/>
        <w:rPr>
          <w:lang w:val="es-AR"/>
        </w:rPr>
      </w:pPr>
      <w:r w:rsidRPr="00190842">
        <w:rPr>
          <w:lang w:val="es-AR"/>
        </w:rPr>
        <w:t>De acuerdo con el e</w:t>
      </w:r>
      <w:r w:rsidR="00146D09">
        <w:rPr>
          <w:lang w:val="es-AR"/>
        </w:rPr>
        <w:t xml:space="preserve">xamen </w:t>
      </w:r>
      <w:r w:rsidRPr="00190842">
        <w:rPr>
          <w:lang w:val="es-AR"/>
        </w:rPr>
        <w:t xml:space="preserve">antedicho y </w:t>
      </w:r>
      <w:r w:rsidR="00146D09">
        <w:rPr>
          <w:lang w:val="es-AR"/>
        </w:rPr>
        <w:t xml:space="preserve">tomando nota </w:t>
      </w:r>
      <w:r w:rsidRPr="00190842">
        <w:rPr>
          <w:lang w:val="es-AR"/>
        </w:rPr>
        <w:t xml:space="preserve">de que la </w:t>
      </w:r>
      <w:r w:rsidR="00190842">
        <w:rPr>
          <w:lang w:val="es-AR"/>
        </w:rPr>
        <w:t>Enmienda</w:t>
      </w:r>
      <w:r w:rsidRPr="00190842">
        <w:rPr>
          <w:lang w:val="es-AR"/>
        </w:rPr>
        <w:t xml:space="preserve"> de Kigali entró en </w:t>
      </w:r>
      <w:r w:rsidR="00146D09">
        <w:rPr>
          <w:lang w:val="es-AR"/>
        </w:rPr>
        <w:t xml:space="preserve">vigor </w:t>
      </w:r>
      <w:r w:rsidRPr="00190842">
        <w:rPr>
          <w:lang w:val="es-AR"/>
        </w:rPr>
        <w:t xml:space="preserve">el 1 de enero de 2019, la </w:t>
      </w:r>
      <w:r w:rsidR="00190842">
        <w:rPr>
          <w:lang w:val="es-AR"/>
        </w:rPr>
        <w:t>Secretaría</w:t>
      </w:r>
      <w:r w:rsidRPr="00190842">
        <w:rPr>
          <w:lang w:val="es-AR"/>
        </w:rPr>
        <w:t xml:space="preserve"> consider</w:t>
      </w:r>
      <w:r w:rsidR="00146D09">
        <w:rPr>
          <w:lang w:val="es-AR"/>
        </w:rPr>
        <w:t>ó</w:t>
      </w:r>
      <w:r w:rsidRPr="00190842">
        <w:rPr>
          <w:lang w:val="es-AR"/>
        </w:rPr>
        <w:t xml:space="preserve"> necesari</w:t>
      </w:r>
      <w:r w:rsidR="00146D09">
        <w:rPr>
          <w:lang w:val="es-AR"/>
        </w:rPr>
        <w:t>o</w:t>
      </w:r>
      <w:r w:rsidRPr="00190842">
        <w:rPr>
          <w:lang w:val="es-AR"/>
        </w:rPr>
        <w:t>:</w:t>
      </w:r>
    </w:p>
    <w:p w14:paraId="7367DE71" w14:textId="4B4A14AB" w:rsidR="00306314" w:rsidRPr="00190842" w:rsidRDefault="00146D09" w:rsidP="00306314">
      <w:pPr>
        <w:pStyle w:val="Heading2"/>
        <w:rPr>
          <w:lang w:val="es-AR"/>
        </w:rPr>
      </w:pPr>
      <w:r>
        <w:rPr>
          <w:lang w:val="es-AR"/>
        </w:rPr>
        <w:t xml:space="preserve">Actualizar </w:t>
      </w:r>
      <w:r w:rsidR="00306314" w:rsidRPr="00190842">
        <w:rPr>
          <w:lang w:val="es-AR"/>
        </w:rPr>
        <w:t xml:space="preserve">el formato </w:t>
      </w:r>
      <w:r>
        <w:rPr>
          <w:lang w:val="es-AR"/>
        </w:rPr>
        <w:t xml:space="preserve">de los informes finales </w:t>
      </w:r>
      <w:r w:rsidR="009A6731">
        <w:rPr>
          <w:lang w:val="es-AR"/>
        </w:rPr>
        <w:t>de</w:t>
      </w:r>
      <w:r>
        <w:rPr>
          <w:lang w:val="es-AR"/>
        </w:rPr>
        <w:t xml:space="preserve"> </w:t>
      </w:r>
      <w:r w:rsidR="00190842">
        <w:rPr>
          <w:lang w:val="es-AR"/>
        </w:rPr>
        <w:t xml:space="preserve">fortalecimiento institucional </w:t>
      </w:r>
      <w:r w:rsidR="00306314" w:rsidRPr="00190842">
        <w:rPr>
          <w:lang w:val="es-AR"/>
        </w:rPr>
        <w:t xml:space="preserve">y </w:t>
      </w:r>
      <w:r>
        <w:rPr>
          <w:lang w:val="es-AR"/>
        </w:rPr>
        <w:t xml:space="preserve">los pedidos de </w:t>
      </w:r>
      <w:r w:rsidR="008A2B91">
        <w:rPr>
          <w:lang w:val="es-AR"/>
        </w:rPr>
        <w:t>renovación</w:t>
      </w:r>
      <w:r w:rsidR="00306314" w:rsidRPr="00190842">
        <w:rPr>
          <w:lang w:val="es-AR"/>
        </w:rPr>
        <w:t xml:space="preserve">, </w:t>
      </w:r>
      <w:r w:rsidR="00190842">
        <w:rPr>
          <w:lang w:val="es-AR"/>
        </w:rPr>
        <w:t>inclusive</w:t>
      </w:r>
      <w:r w:rsidR="00306314" w:rsidRPr="00190842">
        <w:rPr>
          <w:lang w:val="es-AR"/>
        </w:rPr>
        <w:t xml:space="preserve"> la consideración de </w:t>
      </w:r>
      <w:r>
        <w:rPr>
          <w:lang w:val="es-AR"/>
        </w:rPr>
        <w:t xml:space="preserve">los </w:t>
      </w:r>
      <w:r w:rsidR="00306314" w:rsidRPr="00190842">
        <w:rPr>
          <w:lang w:val="es-AR"/>
        </w:rPr>
        <w:t xml:space="preserve">proyectos integrados en el plan de gestión de eliminación de </w:t>
      </w:r>
      <w:r w:rsidR="00190842">
        <w:rPr>
          <w:lang w:val="es-AR"/>
        </w:rPr>
        <w:t>los HCFC</w:t>
      </w:r>
      <w:r w:rsidR="00306314" w:rsidRPr="00190842">
        <w:rPr>
          <w:lang w:val="es-AR"/>
        </w:rPr>
        <w:t xml:space="preserve">, </w:t>
      </w:r>
      <w:r>
        <w:rPr>
          <w:lang w:val="es-AR"/>
        </w:rPr>
        <w:t xml:space="preserve">mediante la incorporación de </w:t>
      </w:r>
      <w:r w:rsidR="00306314" w:rsidRPr="00190842">
        <w:rPr>
          <w:lang w:val="es-AR"/>
        </w:rPr>
        <w:t xml:space="preserve">nuevos objetivos relacionados con </w:t>
      </w:r>
      <w:r w:rsidR="00190842">
        <w:rPr>
          <w:lang w:val="es-AR"/>
        </w:rPr>
        <w:t xml:space="preserve">la </w:t>
      </w:r>
      <w:r>
        <w:rPr>
          <w:lang w:val="es-AR"/>
        </w:rPr>
        <w:t xml:space="preserve">aplicación </w:t>
      </w:r>
      <w:r w:rsidR="00306314" w:rsidRPr="00190842">
        <w:rPr>
          <w:lang w:val="es-AR"/>
        </w:rPr>
        <w:t xml:space="preserve">de la </w:t>
      </w:r>
      <w:r w:rsidR="00190842">
        <w:rPr>
          <w:lang w:val="es-AR"/>
        </w:rPr>
        <w:t>Enmienda</w:t>
      </w:r>
      <w:r w:rsidR="00306314" w:rsidRPr="00190842">
        <w:rPr>
          <w:lang w:val="es-AR"/>
        </w:rPr>
        <w:t xml:space="preserve"> de Kigali y de la</w:t>
      </w:r>
      <w:r>
        <w:rPr>
          <w:lang w:val="es-AR"/>
        </w:rPr>
        <w:t>s</w:t>
      </w:r>
      <w:r w:rsidR="00306314" w:rsidRPr="00190842">
        <w:rPr>
          <w:lang w:val="es-AR"/>
        </w:rPr>
        <w:t xml:space="preserve"> </w:t>
      </w:r>
      <w:r w:rsidR="00C34F00">
        <w:rPr>
          <w:lang w:val="es-AR"/>
        </w:rPr>
        <w:t>política</w:t>
      </w:r>
      <w:r>
        <w:rPr>
          <w:lang w:val="es-AR"/>
        </w:rPr>
        <w:t>s</w:t>
      </w:r>
      <w:r w:rsidR="00C34F00">
        <w:rPr>
          <w:lang w:val="es-AR"/>
        </w:rPr>
        <w:t xml:space="preserve"> sobre igualdad de género</w:t>
      </w:r>
      <w:r w:rsidR="00306314" w:rsidRPr="00190842">
        <w:rPr>
          <w:lang w:val="es-AR"/>
        </w:rPr>
        <w:t xml:space="preserve"> del </w:t>
      </w:r>
      <w:r w:rsidR="00190842">
        <w:rPr>
          <w:lang w:val="es-AR"/>
        </w:rPr>
        <w:t>Fondo Multilateral</w:t>
      </w:r>
      <w:r w:rsidR="00306314" w:rsidRPr="00190842">
        <w:rPr>
          <w:lang w:val="es-AR"/>
        </w:rPr>
        <w:t xml:space="preserve">; </w:t>
      </w:r>
      <w:r>
        <w:rPr>
          <w:lang w:val="es-AR"/>
        </w:rPr>
        <w:t>e</w:t>
      </w:r>
    </w:p>
    <w:p w14:paraId="72CD957A" w14:textId="54CD0C5E" w:rsidR="00306314" w:rsidRPr="00190842" w:rsidRDefault="00146D09" w:rsidP="00306314">
      <w:pPr>
        <w:pStyle w:val="Heading2"/>
        <w:rPr>
          <w:lang w:val="es-AR"/>
        </w:rPr>
      </w:pPr>
      <w:r>
        <w:rPr>
          <w:lang w:val="es-AR"/>
        </w:rPr>
        <w:t>I</w:t>
      </w:r>
      <w:r w:rsidR="00306314" w:rsidRPr="00190842">
        <w:rPr>
          <w:lang w:val="es-AR"/>
        </w:rPr>
        <w:t xml:space="preserve">dentificar los </w:t>
      </w:r>
      <w:r w:rsidR="004A3566">
        <w:rPr>
          <w:lang w:val="es-AR"/>
        </w:rPr>
        <w:t xml:space="preserve">indicadores de desempeño </w:t>
      </w:r>
      <w:r w:rsidR="00306314" w:rsidRPr="00190842">
        <w:rPr>
          <w:lang w:val="es-AR"/>
        </w:rPr>
        <w:t xml:space="preserve">más </w:t>
      </w:r>
      <w:r>
        <w:rPr>
          <w:lang w:val="es-AR"/>
        </w:rPr>
        <w:t>relevantes</w:t>
      </w:r>
      <w:r w:rsidR="00306314" w:rsidRPr="00190842">
        <w:rPr>
          <w:lang w:val="es-AR"/>
        </w:rPr>
        <w:t>, confiables y pertinentes para cada uno de los objetivos de</w:t>
      </w:r>
      <w:r>
        <w:rPr>
          <w:lang w:val="es-AR"/>
        </w:rPr>
        <w:t xml:space="preserve"> los</w:t>
      </w:r>
      <w:r w:rsidR="00190842">
        <w:rPr>
          <w:lang w:val="es-AR"/>
        </w:rPr>
        <w:t xml:space="preserve"> </w:t>
      </w:r>
      <w:r w:rsidR="00674039">
        <w:rPr>
          <w:lang w:val="es-AR"/>
        </w:rPr>
        <w:t xml:space="preserve">proyectos de </w:t>
      </w:r>
      <w:r w:rsidR="00AA1ED5">
        <w:rPr>
          <w:lang w:val="es-AR"/>
        </w:rPr>
        <w:t>fortalecimiento institucional</w:t>
      </w:r>
      <w:r w:rsidR="00306314" w:rsidRPr="00190842">
        <w:rPr>
          <w:lang w:val="es-AR"/>
        </w:rPr>
        <w:t xml:space="preserve"> y</w:t>
      </w:r>
      <w:r>
        <w:rPr>
          <w:lang w:val="es-AR"/>
        </w:rPr>
        <w:t xml:space="preserve"> que</w:t>
      </w:r>
      <w:r w:rsidR="00306314" w:rsidRPr="00190842">
        <w:rPr>
          <w:lang w:val="es-AR"/>
        </w:rPr>
        <w:t xml:space="preserve"> </w:t>
      </w:r>
      <w:r w:rsidR="00190842">
        <w:rPr>
          <w:lang w:val="es-AR"/>
        </w:rPr>
        <w:t>pued</w:t>
      </w:r>
      <w:r>
        <w:rPr>
          <w:lang w:val="es-AR"/>
        </w:rPr>
        <w:t>an</w:t>
      </w:r>
      <w:r w:rsidR="00190842">
        <w:rPr>
          <w:lang w:val="es-AR"/>
        </w:rPr>
        <w:t xml:space="preserve"> </w:t>
      </w:r>
      <w:r>
        <w:rPr>
          <w:lang w:val="es-AR"/>
        </w:rPr>
        <w:t xml:space="preserve">ser utilizados </w:t>
      </w:r>
      <w:r w:rsidR="00306314" w:rsidRPr="00190842">
        <w:rPr>
          <w:lang w:val="es-AR"/>
        </w:rPr>
        <w:t xml:space="preserve">por todos los países del </w:t>
      </w:r>
      <w:r w:rsidR="00190842">
        <w:rPr>
          <w:lang w:val="es-AR"/>
        </w:rPr>
        <w:t>Artículo</w:t>
      </w:r>
      <w:r w:rsidR="00306314" w:rsidRPr="00190842">
        <w:rPr>
          <w:lang w:val="es-AR"/>
        </w:rPr>
        <w:t xml:space="preserve"> 5 </w:t>
      </w:r>
      <w:r>
        <w:rPr>
          <w:lang w:val="es-AR"/>
        </w:rPr>
        <w:t>de</w:t>
      </w:r>
      <w:r w:rsidR="00306314" w:rsidRPr="00190842">
        <w:rPr>
          <w:lang w:val="es-AR"/>
        </w:rPr>
        <w:t xml:space="preserve"> manera </w:t>
      </w:r>
      <w:r>
        <w:rPr>
          <w:lang w:val="es-AR"/>
        </w:rPr>
        <w:t>consecuente</w:t>
      </w:r>
      <w:r w:rsidR="00306314" w:rsidRPr="00190842">
        <w:rPr>
          <w:lang w:val="es-AR"/>
        </w:rPr>
        <w:t xml:space="preserve">. </w:t>
      </w:r>
    </w:p>
    <w:p w14:paraId="53EC500C" w14:textId="2886CEAB" w:rsidR="00306314" w:rsidRPr="00190842" w:rsidRDefault="00306314" w:rsidP="00306314">
      <w:pPr>
        <w:pStyle w:val="Heading1"/>
        <w:rPr>
          <w:lang w:val="es-AR"/>
        </w:rPr>
      </w:pPr>
      <w:r w:rsidRPr="00190842">
        <w:rPr>
          <w:lang w:val="es-AR"/>
        </w:rPr>
        <w:t xml:space="preserve">Las actualizaciones propuestas al formato de </w:t>
      </w:r>
      <w:r w:rsidR="009A6731">
        <w:rPr>
          <w:lang w:val="es-AR"/>
        </w:rPr>
        <w:t xml:space="preserve">presentación de informes </w:t>
      </w:r>
      <w:r w:rsidRPr="00190842">
        <w:rPr>
          <w:lang w:val="es-AR"/>
        </w:rPr>
        <w:t>proporcionarán mayor claridad y permitir</w:t>
      </w:r>
      <w:r w:rsidR="00146D09">
        <w:rPr>
          <w:lang w:val="es-AR"/>
        </w:rPr>
        <w:t>án</w:t>
      </w:r>
      <w:r w:rsidRPr="00190842">
        <w:rPr>
          <w:lang w:val="es-AR"/>
        </w:rPr>
        <w:t xml:space="preserve"> </w:t>
      </w:r>
      <w:r w:rsidR="009A6731">
        <w:rPr>
          <w:lang w:val="es-AR"/>
        </w:rPr>
        <w:t>a</w:t>
      </w:r>
      <w:r w:rsidRPr="00190842">
        <w:rPr>
          <w:lang w:val="es-AR"/>
        </w:rPr>
        <w:t xml:space="preserve"> la </w:t>
      </w:r>
      <w:r w:rsidR="00190842">
        <w:rPr>
          <w:lang w:val="es-AR"/>
        </w:rPr>
        <w:t>Secretaría</w:t>
      </w:r>
      <w:r w:rsidRPr="00190842">
        <w:rPr>
          <w:lang w:val="es-AR"/>
        </w:rPr>
        <w:t xml:space="preserve"> </w:t>
      </w:r>
      <w:r w:rsidR="009A6731">
        <w:rPr>
          <w:lang w:val="es-AR"/>
        </w:rPr>
        <w:t>suministrar a</w:t>
      </w:r>
      <w:r w:rsidRPr="00190842">
        <w:rPr>
          <w:lang w:val="es-AR"/>
        </w:rPr>
        <w:t>l Comité Ejecutivo un análisis más a fondo del impacto de</w:t>
      </w:r>
      <w:r w:rsidR="00146D09">
        <w:rPr>
          <w:lang w:val="es-AR"/>
        </w:rPr>
        <w:t>l financiamiento</w:t>
      </w:r>
      <w:r w:rsidRPr="00190842">
        <w:rPr>
          <w:lang w:val="es-AR"/>
        </w:rPr>
        <w:t xml:space="preserve">. </w:t>
      </w:r>
      <w:r w:rsidR="009A6731">
        <w:rPr>
          <w:lang w:val="es-AR"/>
        </w:rPr>
        <w:t>No obstante</w:t>
      </w:r>
      <w:r w:rsidRPr="00190842">
        <w:rPr>
          <w:lang w:val="es-AR"/>
        </w:rPr>
        <w:t xml:space="preserve">, dado las restricciones impuestas por </w:t>
      </w:r>
      <w:r w:rsidR="00AA1ED5">
        <w:rPr>
          <w:lang w:val="es-AR"/>
        </w:rPr>
        <w:t>la pandemia del COVID-19</w:t>
      </w:r>
      <w:r w:rsidRPr="00190842">
        <w:rPr>
          <w:lang w:val="es-AR"/>
        </w:rPr>
        <w:t xml:space="preserve">, la </w:t>
      </w:r>
      <w:r w:rsidR="00190842">
        <w:rPr>
          <w:lang w:val="es-AR"/>
        </w:rPr>
        <w:t>Secretaría</w:t>
      </w:r>
      <w:r w:rsidRPr="00190842">
        <w:rPr>
          <w:lang w:val="es-AR"/>
        </w:rPr>
        <w:t xml:space="preserve"> no p</w:t>
      </w:r>
      <w:r w:rsidR="00146D09">
        <w:rPr>
          <w:lang w:val="es-AR"/>
        </w:rPr>
        <w:t xml:space="preserve">udo deliberar </w:t>
      </w:r>
      <w:r w:rsidRPr="00190842">
        <w:rPr>
          <w:lang w:val="es-AR"/>
        </w:rPr>
        <w:t xml:space="preserve">con </w:t>
      </w:r>
      <w:r w:rsidR="008A2B91">
        <w:rPr>
          <w:lang w:val="es-AR"/>
        </w:rPr>
        <w:t xml:space="preserve">los organismos de ejecución y bilaterales </w:t>
      </w:r>
      <w:r w:rsidR="00146D09">
        <w:rPr>
          <w:lang w:val="es-AR"/>
        </w:rPr>
        <w:t xml:space="preserve">sobre </w:t>
      </w:r>
      <w:r w:rsidRPr="00190842">
        <w:rPr>
          <w:lang w:val="es-AR"/>
        </w:rPr>
        <w:t xml:space="preserve">las </w:t>
      </w:r>
      <w:r w:rsidR="00FC7B69">
        <w:rPr>
          <w:lang w:val="es-AR"/>
        </w:rPr>
        <w:t>cuestiones</w:t>
      </w:r>
      <w:r w:rsidRPr="00190842">
        <w:rPr>
          <w:lang w:val="es-AR"/>
        </w:rPr>
        <w:t xml:space="preserve"> relacionadas con el e</w:t>
      </w:r>
      <w:r w:rsidR="00146D09">
        <w:rPr>
          <w:lang w:val="es-AR"/>
        </w:rPr>
        <w:t xml:space="preserve">xamen </w:t>
      </w:r>
      <w:r w:rsidRPr="00190842">
        <w:rPr>
          <w:lang w:val="es-AR"/>
        </w:rPr>
        <w:t xml:space="preserve">del formato de </w:t>
      </w:r>
      <w:r w:rsidR="00146D09">
        <w:rPr>
          <w:lang w:val="es-AR"/>
        </w:rPr>
        <w:t xml:space="preserve">presentación de informes </w:t>
      </w:r>
      <w:r w:rsidRPr="00190842">
        <w:rPr>
          <w:lang w:val="es-AR"/>
        </w:rPr>
        <w:t>para</w:t>
      </w:r>
      <w:r w:rsidR="00674039">
        <w:rPr>
          <w:lang w:val="es-AR"/>
        </w:rPr>
        <w:t xml:space="preserve"> </w:t>
      </w:r>
      <w:r w:rsidR="00146D09">
        <w:rPr>
          <w:lang w:val="es-AR"/>
        </w:rPr>
        <w:t xml:space="preserve">los </w:t>
      </w:r>
      <w:r w:rsidR="00674039">
        <w:rPr>
          <w:lang w:val="es-AR"/>
        </w:rPr>
        <w:t xml:space="preserve">proyectos de </w:t>
      </w:r>
      <w:r w:rsidR="00AA1ED5">
        <w:rPr>
          <w:lang w:val="es-AR"/>
        </w:rPr>
        <w:t>fortalecimiento institucional</w:t>
      </w:r>
      <w:r w:rsidRPr="00190842">
        <w:rPr>
          <w:lang w:val="es-AR"/>
        </w:rPr>
        <w:t xml:space="preserve"> </w:t>
      </w:r>
      <w:r w:rsidR="00146D09">
        <w:rPr>
          <w:lang w:val="es-AR"/>
        </w:rPr>
        <w:t>en curso</w:t>
      </w:r>
      <w:r w:rsidRPr="00190842">
        <w:rPr>
          <w:lang w:val="es-AR"/>
        </w:rPr>
        <w:t xml:space="preserve">, y la selección de un sistema de </w:t>
      </w:r>
      <w:r w:rsidR="004A3566">
        <w:rPr>
          <w:lang w:val="es-AR"/>
        </w:rPr>
        <w:t xml:space="preserve">indicadores de desempeño </w:t>
      </w:r>
      <w:r w:rsidRPr="00190842">
        <w:rPr>
          <w:lang w:val="es-AR"/>
        </w:rPr>
        <w:t xml:space="preserve">que </w:t>
      </w:r>
      <w:r w:rsidR="00146D09" w:rsidRPr="00190842">
        <w:rPr>
          <w:lang w:val="es-AR"/>
        </w:rPr>
        <w:t xml:space="preserve">todos los países del </w:t>
      </w:r>
      <w:r w:rsidR="00146D09">
        <w:rPr>
          <w:lang w:val="es-AR"/>
        </w:rPr>
        <w:t>Artículo</w:t>
      </w:r>
      <w:r w:rsidR="00146D09" w:rsidRPr="00190842">
        <w:rPr>
          <w:lang w:val="es-AR"/>
        </w:rPr>
        <w:t xml:space="preserve"> 5</w:t>
      </w:r>
      <w:r w:rsidR="00146D09">
        <w:rPr>
          <w:lang w:val="es-AR"/>
        </w:rPr>
        <w:t xml:space="preserve"> pudie</w:t>
      </w:r>
      <w:r w:rsidR="009A6731">
        <w:rPr>
          <w:lang w:val="es-AR"/>
        </w:rPr>
        <w:t>se</w:t>
      </w:r>
      <w:r w:rsidR="00146D09">
        <w:rPr>
          <w:lang w:val="es-AR"/>
        </w:rPr>
        <w:t>n utilizar de manera consecuente</w:t>
      </w:r>
      <w:r w:rsidRPr="00190842">
        <w:rPr>
          <w:lang w:val="es-AR"/>
        </w:rPr>
        <w:t xml:space="preserve">. La </w:t>
      </w:r>
      <w:r w:rsidR="00190842">
        <w:rPr>
          <w:lang w:val="es-AR"/>
        </w:rPr>
        <w:t>Secretaría</w:t>
      </w:r>
      <w:r w:rsidRPr="00190842">
        <w:rPr>
          <w:lang w:val="es-AR"/>
        </w:rPr>
        <w:t xml:space="preserve"> propone </w:t>
      </w:r>
      <w:r w:rsidR="00146D09">
        <w:rPr>
          <w:lang w:val="es-AR"/>
        </w:rPr>
        <w:t xml:space="preserve">tratar </w:t>
      </w:r>
      <w:r w:rsidRPr="00190842">
        <w:rPr>
          <w:lang w:val="es-AR"/>
        </w:rPr>
        <w:t xml:space="preserve">estas </w:t>
      </w:r>
      <w:r w:rsidR="00FC7B69">
        <w:rPr>
          <w:lang w:val="es-AR"/>
        </w:rPr>
        <w:t>cuestiones</w:t>
      </w:r>
      <w:r w:rsidRPr="00190842">
        <w:rPr>
          <w:lang w:val="es-AR"/>
        </w:rPr>
        <w:t xml:space="preserve"> con </w:t>
      </w:r>
      <w:r w:rsidR="00146D09">
        <w:rPr>
          <w:lang w:val="es-AR"/>
        </w:rPr>
        <w:t>los organismos de ejecución</w:t>
      </w:r>
      <w:r w:rsidR="008A2B91">
        <w:rPr>
          <w:lang w:val="es-AR"/>
        </w:rPr>
        <w:t xml:space="preserve"> y bilaterales </w:t>
      </w:r>
      <w:r w:rsidR="00146D09">
        <w:rPr>
          <w:lang w:val="es-AR"/>
        </w:rPr>
        <w:t xml:space="preserve">y dar a conocer sus conclusiones </w:t>
      </w:r>
      <w:r w:rsidRPr="00190842">
        <w:rPr>
          <w:lang w:val="es-AR"/>
        </w:rPr>
        <w:t xml:space="preserve">al Comité Ejecutivo en una reunión futura. </w:t>
      </w:r>
    </w:p>
    <w:p w14:paraId="2BC7B766" w14:textId="77777777" w:rsidR="00306314" w:rsidRPr="00190842" w:rsidRDefault="00306314" w:rsidP="00306314">
      <w:pPr>
        <w:keepNext/>
        <w:spacing w:after="240"/>
        <w:outlineLvl w:val="0"/>
        <w:rPr>
          <w:b/>
          <w:lang w:val="es-AR"/>
        </w:rPr>
      </w:pPr>
      <w:r w:rsidRPr="00190842">
        <w:rPr>
          <w:b/>
          <w:lang w:val="es-AR"/>
        </w:rPr>
        <w:t>RECOMENDACIÓN</w:t>
      </w:r>
    </w:p>
    <w:p w14:paraId="27D39222" w14:textId="506C8DF3" w:rsidR="00306314" w:rsidRPr="00190842" w:rsidRDefault="00306314" w:rsidP="00306314">
      <w:pPr>
        <w:pStyle w:val="Heading1"/>
        <w:rPr>
          <w:lang w:val="es-AR"/>
        </w:rPr>
      </w:pPr>
      <w:r w:rsidRPr="00190842">
        <w:rPr>
          <w:lang w:val="es-AR"/>
        </w:rPr>
        <w:t xml:space="preserve">El Comité Ejecutivo </w:t>
      </w:r>
      <w:r w:rsidR="00190842">
        <w:rPr>
          <w:lang w:val="es-AR"/>
        </w:rPr>
        <w:t>podría</w:t>
      </w:r>
      <w:r w:rsidR="009A6731">
        <w:rPr>
          <w:lang w:val="es-AR"/>
        </w:rPr>
        <w:t xml:space="preserve"> querer</w:t>
      </w:r>
      <w:r w:rsidRPr="00190842">
        <w:rPr>
          <w:lang w:val="es-AR"/>
        </w:rPr>
        <w:t>:</w:t>
      </w:r>
    </w:p>
    <w:p w14:paraId="7A99E02A" w14:textId="2AD5BD94" w:rsidR="00306314" w:rsidRPr="00190842" w:rsidRDefault="00146D09" w:rsidP="00306314">
      <w:pPr>
        <w:pStyle w:val="Heading2"/>
        <w:numPr>
          <w:ilvl w:val="1"/>
          <w:numId w:val="23"/>
        </w:numPr>
        <w:rPr>
          <w:lang w:val="es-AR"/>
        </w:rPr>
      </w:pPr>
      <w:r>
        <w:rPr>
          <w:lang w:val="es-AR"/>
        </w:rPr>
        <w:t xml:space="preserve">Tomar nota del </w:t>
      </w:r>
      <w:r w:rsidR="00306314" w:rsidRPr="00190842">
        <w:rPr>
          <w:lang w:val="es-AR"/>
        </w:rPr>
        <w:t>e</w:t>
      </w:r>
      <w:r>
        <w:rPr>
          <w:lang w:val="es-AR"/>
        </w:rPr>
        <w:t xml:space="preserve">xamen </w:t>
      </w:r>
      <w:r w:rsidR="00306314" w:rsidRPr="00190842">
        <w:rPr>
          <w:lang w:val="es-AR"/>
        </w:rPr>
        <w:t xml:space="preserve">de la financiación de proyectos de </w:t>
      </w:r>
      <w:r w:rsidR="00674039">
        <w:rPr>
          <w:lang w:val="es-AR"/>
        </w:rPr>
        <w:t>fortalecimiento institucional</w:t>
      </w:r>
      <w:r w:rsidR="00306314" w:rsidRPr="00190842">
        <w:rPr>
          <w:lang w:val="es-AR"/>
        </w:rPr>
        <w:t xml:space="preserve"> </w:t>
      </w:r>
      <w:r w:rsidR="00842129">
        <w:rPr>
          <w:lang w:val="es-AR"/>
        </w:rPr>
        <w:t xml:space="preserve">con </w:t>
      </w:r>
      <w:r w:rsidR="00306314" w:rsidRPr="00190842">
        <w:rPr>
          <w:lang w:val="es-AR"/>
        </w:rPr>
        <w:t xml:space="preserve">los niveles de financiación (decisión 74/51 d)), </w:t>
      </w:r>
      <w:r w:rsidR="00842129">
        <w:rPr>
          <w:lang w:val="es-AR"/>
        </w:rPr>
        <w:t xml:space="preserve">que figura </w:t>
      </w:r>
      <w:r w:rsidR="00306314" w:rsidRPr="00190842">
        <w:rPr>
          <w:lang w:val="es-AR"/>
        </w:rPr>
        <w:t>en el documento UNEP/OzL.Pro</w:t>
      </w:r>
      <w:r w:rsidR="00190842">
        <w:rPr>
          <w:lang w:val="es-AR"/>
        </w:rPr>
        <w:t>/ExCom/</w:t>
      </w:r>
      <w:r w:rsidR="00306314" w:rsidRPr="00190842">
        <w:rPr>
          <w:lang w:val="es-AR"/>
        </w:rPr>
        <w:t>86/84;</w:t>
      </w:r>
    </w:p>
    <w:p w14:paraId="7C39A5D6" w14:textId="3C45AE01" w:rsidR="00306314" w:rsidRPr="00190842" w:rsidRDefault="00842129" w:rsidP="00306314">
      <w:pPr>
        <w:pStyle w:val="Heading2"/>
        <w:numPr>
          <w:ilvl w:val="1"/>
          <w:numId w:val="23"/>
        </w:numPr>
        <w:rPr>
          <w:lang w:val="es-AR"/>
        </w:rPr>
      </w:pPr>
      <w:r>
        <w:rPr>
          <w:lang w:val="es-AR"/>
        </w:rPr>
        <w:t>E</w:t>
      </w:r>
      <w:r w:rsidR="00306314" w:rsidRPr="00190842">
        <w:rPr>
          <w:lang w:val="es-AR"/>
        </w:rPr>
        <w:t xml:space="preserve">stablecer el nivel de </w:t>
      </w:r>
      <w:r w:rsidR="009A6731">
        <w:rPr>
          <w:lang w:val="es-AR"/>
        </w:rPr>
        <w:t xml:space="preserve">financiación </w:t>
      </w:r>
      <w:r w:rsidR="00306314" w:rsidRPr="00190842">
        <w:rPr>
          <w:lang w:val="es-AR"/>
        </w:rPr>
        <w:t>para</w:t>
      </w:r>
      <w:r w:rsidR="00190842">
        <w:rPr>
          <w:lang w:val="es-AR"/>
        </w:rPr>
        <w:t xml:space="preserve"> </w:t>
      </w:r>
      <w:r w:rsidR="00193AA4">
        <w:rPr>
          <w:lang w:val="es-AR"/>
        </w:rPr>
        <w:t>apoyar el fortalecimiento institucional</w:t>
      </w:r>
      <w:r w:rsidR="00306314" w:rsidRPr="00190842">
        <w:rPr>
          <w:lang w:val="es-AR"/>
        </w:rPr>
        <w:t xml:space="preserve"> que </w:t>
      </w:r>
      <w:r>
        <w:rPr>
          <w:lang w:val="es-AR"/>
        </w:rPr>
        <w:t xml:space="preserve">tome </w:t>
      </w:r>
      <w:r w:rsidR="00306314" w:rsidRPr="00190842">
        <w:rPr>
          <w:lang w:val="es-AR"/>
        </w:rPr>
        <w:t xml:space="preserve">en cuenta las actividades que los países del </w:t>
      </w:r>
      <w:r w:rsidR="00190842">
        <w:rPr>
          <w:lang w:val="es-AR"/>
        </w:rPr>
        <w:t>Artículo</w:t>
      </w:r>
      <w:r w:rsidR="00306314" w:rsidRPr="00190842">
        <w:rPr>
          <w:lang w:val="es-AR"/>
        </w:rPr>
        <w:t xml:space="preserve"> 5 </w:t>
      </w:r>
      <w:r>
        <w:rPr>
          <w:lang w:val="es-AR"/>
        </w:rPr>
        <w:t xml:space="preserve">deberían </w:t>
      </w:r>
      <w:r w:rsidR="00306314" w:rsidRPr="00190842">
        <w:rPr>
          <w:lang w:val="es-AR"/>
        </w:rPr>
        <w:t xml:space="preserve">emprender para iniciar actividades </w:t>
      </w:r>
      <w:r>
        <w:rPr>
          <w:lang w:val="es-AR"/>
        </w:rPr>
        <w:t xml:space="preserve">que apliquen </w:t>
      </w:r>
      <w:r w:rsidR="00306314" w:rsidRPr="00190842">
        <w:rPr>
          <w:lang w:val="es-AR"/>
        </w:rPr>
        <w:t xml:space="preserve">la </w:t>
      </w:r>
      <w:r w:rsidR="00190842">
        <w:rPr>
          <w:lang w:val="es-AR"/>
        </w:rPr>
        <w:t>Enmienda</w:t>
      </w:r>
      <w:r w:rsidR="00306314" w:rsidRPr="00190842">
        <w:rPr>
          <w:lang w:val="es-AR"/>
        </w:rPr>
        <w:t xml:space="preserve"> de Kigali y para </w:t>
      </w:r>
      <w:r>
        <w:rPr>
          <w:lang w:val="es-AR"/>
        </w:rPr>
        <w:t xml:space="preserve">cumplir con </w:t>
      </w:r>
      <w:r w:rsidR="00306314" w:rsidRPr="00190842">
        <w:rPr>
          <w:lang w:val="es-AR"/>
        </w:rPr>
        <w:t xml:space="preserve">las primeras </w:t>
      </w:r>
      <w:r w:rsidR="00190842">
        <w:rPr>
          <w:lang w:val="es-AR"/>
        </w:rPr>
        <w:t>medidas de control</w:t>
      </w:r>
      <w:r w:rsidR="00306314" w:rsidRPr="00190842">
        <w:rPr>
          <w:lang w:val="es-AR"/>
        </w:rPr>
        <w:t xml:space="preserve"> para </w:t>
      </w:r>
      <w:r>
        <w:rPr>
          <w:lang w:val="es-AR"/>
        </w:rPr>
        <w:t xml:space="preserve">reducir </w:t>
      </w:r>
      <w:r w:rsidR="00190842">
        <w:rPr>
          <w:lang w:val="es-AR"/>
        </w:rPr>
        <w:t>HFC</w:t>
      </w:r>
      <w:r w:rsidR="00306314" w:rsidRPr="00190842">
        <w:rPr>
          <w:lang w:val="es-AR"/>
        </w:rPr>
        <w:t xml:space="preserve"> durante el período 2020-2030, al mismo tiempo </w:t>
      </w:r>
      <w:r>
        <w:rPr>
          <w:lang w:val="es-AR"/>
        </w:rPr>
        <w:t xml:space="preserve">que continúen ejecutando los planes de gestión de eliminación </w:t>
      </w:r>
      <w:r w:rsidR="00306314" w:rsidRPr="00190842">
        <w:rPr>
          <w:lang w:val="es-AR"/>
        </w:rPr>
        <w:t xml:space="preserve">de </w:t>
      </w:r>
      <w:r w:rsidR="00190842">
        <w:rPr>
          <w:lang w:val="es-AR"/>
        </w:rPr>
        <w:t>los HCFC</w:t>
      </w:r>
      <w:r w:rsidR="00306314" w:rsidRPr="00190842">
        <w:rPr>
          <w:lang w:val="es-AR"/>
        </w:rPr>
        <w:t xml:space="preserve">; </w:t>
      </w:r>
    </w:p>
    <w:p w14:paraId="4A9C093D" w14:textId="580D75C0" w:rsidR="00306314" w:rsidRPr="00842129" w:rsidRDefault="00842129" w:rsidP="00306314">
      <w:pPr>
        <w:pStyle w:val="Heading2"/>
        <w:numPr>
          <w:ilvl w:val="1"/>
          <w:numId w:val="23"/>
        </w:numPr>
        <w:rPr>
          <w:lang w:val="es-AR"/>
        </w:rPr>
      </w:pPr>
      <w:r>
        <w:rPr>
          <w:lang w:val="es-AR"/>
        </w:rPr>
        <w:t>C</w:t>
      </w:r>
      <w:r w:rsidR="00306314" w:rsidRPr="00842129">
        <w:rPr>
          <w:lang w:val="es-AR"/>
        </w:rPr>
        <w:t>onsiderar si prolonga la duración de</w:t>
      </w:r>
      <w:r>
        <w:rPr>
          <w:lang w:val="es-AR"/>
        </w:rPr>
        <w:t xml:space="preserve"> las etapas de ejecución de las renovaciones de</w:t>
      </w:r>
      <w:r w:rsidR="00190842" w:rsidRPr="00842129">
        <w:rPr>
          <w:lang w:val="es-AR"/>
        </w:rPr>
        <w:t xml:space="preserve"> fortalecimiento institucional</w:t>
      </w:r>
      <w:r>
        <w:rPr>
          <w:lang w:val="es-AR"/>
        </w:rPr>
        <w:t xml:space="preserve">, </w:t>
      </w:r>
      <w:r w:rsidR="00306314" w:rsidRPr="00842129">
        <w:rPr>
          <w:lang w:val="es-AR"/>
        </w:rPr>
        <w:t xml:space="preserve">de </w:t>
      </w:r>
      <w:r>
        <w:rPr>
          <w:lang w:val="es-AR"/>
        </w:rPr>
        <w:t xml:space="preserve">los actuales </w:t>
      </w:r>
      <w:r w:rsidR="00306314" w:rsidRPr="00842129">
        <w:rPr>
          <w:lang w:val="es-AR"/>
        </w:rPr>
        <w:t>dos años a tres años para</w:t>
      </w:r>
      <w:r w:rsidR="00190842" w:rsidRPr="00842129">
        <w:rPr>
          <w:lang w:val="es-AR"/>
        </w:rPr>
        <w:t xml:space="preserve"> </w:t>
      </w:r>
      <w:r>
        <w:rPr>
          <w:lang w:val="es-AR"/>
        </w:rPr>
        <w:t xml:space="preserve">las propuestas de renovación de </w:t>
      </w:r>
      <w:r w:rsidR="00190842" w:rsidRPr="00842129">
        <w:rPr>
          <w:lang w:val="es-AR"/>
        </w:rPr>
        <w:t xml:space="preserve">fortalecimiento institucional </w:t>
      </w:r>
      <w:r>
        <w:rPr>
          <w:lang w:val="es-AR"/>
        </w:rPr>
        <w:t xml:space="preserve">presentadas a partir de </w:t>
      </w:r>
      <w:r w:rsidR="00306314" w:rsidRPr="00842129">
        <w:rPr>
          <w:lang w:val="es-AR"/>
        </w:rPr>
        <w:t>la 88</w:t>
      </w:r>
      <w:r>
        <w:rPr>
          <w:lang w:val="es-AR"/>
        </w:rPr>
        <w:t xml:space="preserve">ª </w:t>
      </w:r>
      <w:r w:rsidR="00193AA4" w:rsidRPr="00842129">
        <w:rPr>
          <w:lang w:val="es-AR"/>
        </w:rPr>
        <w:t>reunión</w:t>
      </w:r>
      <w:r w:rsidR="00306314" w:rsidRPr="00842129">
        <w:rPr>
          <w:lang w:val="es-AR"/>
        </w:rPr>
        <w:t xml:space="preserve">; </w:t>
      </w:r>
    </w:p>
    <w:p w14:paraId="5F1B44CC" w14:textId="4F6F8DA3" w:rsidR="00306314" w:rsidRPr="00190842" w:rsidRDefault="00842129" w:rsidP="00306314">
      <w:pPr>
        <w:pStyle w:val="Heading2"/>
        <w:rPr>
          <w:lang w:val="es-AR"/>
        </w:rPr>
      </w:pPr>
      <w:r>
        <w:rPr>
          <w:lang w:val="es-AR"/>
        </w:rPr>
        <w:t xml:space="preserve">Pedir a </w:t>
      </w:r>
      <w:r w:rsidR="00306314" w:rsidRPr="00190842">
        <w:rPr>
          <w:lang w:val="es-AR"/>
        </w:rPr>
        <w:t xml:space="preserve">la </w:t>
      </w:r>
      <w:r w:rsidR="00190842">
        <w:rPr>
          <w:lang w:val="es-AR"/>
        </w:rPr>
        <w:t>Secretaría</w:t>
      </w:r>
      <w:r w:rsidR="00306314" w:rsidRPr="00190842">
        <w:rPr>
          <w:lang w:val="es-AR"/>
        </w:rPr>
        <w:t xml:space="preserve"> </w:t>
      </w:r>
      <w:r>
        <w:rPr>
          <w:lang w:val="es-AR"/>
        </w:rPr>
        <w:t xml:space="preserve">que trate </w:t>
      </w:r>
      <w:r w:rsidR="009A6731">
        <w:rPr>
          <w:lang w:val="es-AR"/>
        </w:rPr>
        <w:t xml:space="preserve">con </w:t>
      </w:r>
      <w:r w:rsidR="009A6731" w:rsidRPr="00190842">
        <w:rPr>
          <w:lang w:val="es-AR"/>
        </w:rPr>
        <w:t xml:space="preserve">los </w:t>
      </w:r>
      <w:r w:rsidR="009A6731">
        <w:rPr>
          <w:lang w:val="es-AR"/>
        </w:rPr>
        <w:t>organismos</w:t>
      </w:r>
      <w:r w:rsidR="009A6731" w:rsidRPr="00190842">
        <w:rPr>
          <w:lang w:val="es-AR"/>
        </w:rPr>
        <w:t xml:space="preserve"> de ejecución</w:t>
      </w:r>
      <w:r w:rsidR="009A6731">
        <w:rPr>
          <w:lang w:val="es-AR"/>
        </w:rPr>
        <w:t xml:space="preserve"> y bilaterales</w:t>
      </w:r>
      <w:r w:rsidR="009A6731" w:rsidRPr="00190842">
        <w:rPr>
          <w:lang w:val="es-AR"/>
        </w:rPr>
        <w:t xml:space="preserve"> </w:t>
      </w:r>
      <w:r w:rsidR="00306314" w:rsidRPr="00190842">
        <w:rPr>
          <w:lang w:val="es-AR"/>
        </w:rPr>
        <w:t xml:space="preserve">las </w:t>
      </w:r>
      <w:r w:rsidR="00FC7B69">
        <w:rPr>
          <w:lang w:val="es-AR"/>
        </w:rPr>
        <w:t>cuestiones</w:t>
      </w:r>
      <w:r w:rsidR="00306314" w:rsidRPr="00190842">
        <w:rPr>
          <w:lang w:val="es-AR"/>
        </w:rPr>
        <w:t xml:space="preserve"> relacionadas con el </w:t>
      </w:r>
      <w:r>
        <w:rPr>
          <w:lang w:val="es-AR"/>
        </w:rPr>
        <w:t xml:space="preserve">examen </w:t>
      </w:r>
      <w:r w:rsidR="00306314" w:rsidRPr="00190842">
        <w:rPr>
          <w:lang w:val="es-AR"/>
        </w:rPr>
        <w:t xml:space="preserve">del formato existente de </w:t>
      </w:r>
      <w:r>
        <w:rPr>
          <w:lang w:val="es-AR"/>
        </w:rPr>
        <w:t>los informes</w:t>
      </w:r>
      <w:r w:rsidR="009A6731">
        <w:rPr>
          <w:lang w:val="es-AR"/>
        </w:rPr>
        <w:t xml:space="preserve"> finales</w:t>
      </w:r>
      <w:r>
        <w:rPr>
          <w:lang w:val="es-AR"/>
        </w:rPr>
        <w:t xml:space="preserve"> </w:t>
      </w:r>
      <w:r w:rsidR="00306314" w:rsidRPr="00190842">
        <w:rPr>
          <w:lang w:val="es-AR"/>
        </w:rPr>
        <w:t xml:space="preserve">y las peticiones </w:t>
      </w:r>
      <w:r>
        <w:rPr>
          <w:lang w:val="es-AR"/>
        </w:rPr>
        <w:t>de</w:t>
      </w:r>
      <w:r w:rsidR="00306314" w:rsidRPr="00190842">
        <w:rPr>
          <w:lang w:val="es-AR"/>
        </w:rPr>
        <w:t xml:space="preserve"> prórroga </w:t>
      </w:r>
      <w:r>
        <w:rPr>
          <w:lang w:val="es-AR"/>
        </w:rPr>
        <w:t>de financiamiento para fortalecimiento institucional</w:t>
      </w:r>
      <w:r w:rsidR="009A6731">
        <w:rPr>
          <w:lang w:val="es-AR"/>
        </w:rPr>
        <w:t>,</w:t>
      </w:r>
      <w:r w:rsidR="00306314" w:rsidRPr="00190842">
        <w:rPr>
          <w:lang w:val="es-AR"/>
        </w:rPr>
        <w:t xml:space="preserve"> y </w:t>
      </w:r>
      <w:r w:rsidR="00B81A01">
        <w:rPr>
          <w:lang w:val="es-AR"/>
        </w:rPr>
        <w:t xml:space="preserve">seleccione </w:t>
      </w:r>
      <w:r w:rsidR="00306314" w:rsidRPr="00190842">
        <w:rPr>
          <w:lang w:val="es-AR"/>
        </w:rPr>
        <w:t xml:space="preserve">un sistema </w:t>
      </w:r>
      <w:r w:rsidR="00306314" w:rsidRPr="00190842">
        <w:rPr>
          <w:lang w:val="es-AR"/>
        </w:rPr>
        <w:lastRenderedPageBreak/>
        <w:t xml:space="preserve">de </w:t>
      </w:r>
      <w:r w:rsidR="004A3566">
        <w:rPr>
          <w:lang w:val="es-AR"/>
        </w:rPr>
        <w:t xml:space="preserve">indicadores de desempeño </w:t>
      </w:r>
      <w:r w:rsidR="00306314" w:rsidRPr="00190842">
        <w:rPr>
          <w:lang w:val="es-AR"/>
        </w:rPr>
        <w:t xml:space="preserve">que </w:t>
      </w:r>
      <w:r w:rsidR="00B81A01" w:rsidRPr="00190842">
        <w:rPr>
          <w:lang w:val="es-AR"/>
        </w:rPr>
        <w:t xml:space="preserve">todos los países del </w:t>
      </w:r>
      <w:r w:rsidR="00B81A01">
        <w:rPr>
          <w:lang w:val="es-AR"/>
        </w:rPr>
        <w:t>Artículo</w:t>
      </w:r>
      <w:r w:rsidR="00B81A01" w:rsidRPr="00190842">
        <w:rPr>
          <w:lang w:val="es-AR"/>
        </w:rPr>
        <w:t xml:space="preserve"> 5</w:t>
      </w:r>
      <w:r w:rsidR="00B81A01">
        <w:rPr>
          <w:lang w:val="es-AR"/>
        </w:rPr>
        <w:t xml:space="preserve"> pu</w:t>
      </w:r>
      <w:r w:rsidR="009A6731">
        <w:rPr>
          <w:lang w:val="es-AR"/>
        </w:rPr>
        <w:t>edan</w:t>
      </w:r>
      <w:r w:rsidR="00B81A01">
        <w:rPr>
          <w:lang w:val="es-AR"/>
        </w:rPr>
        <w:t xml:space="preserve"> utilizar de forma consecuente</w:t>
      </w:r>
      <w:r w:rsidR="00306314" w:rsidRPr="00190842">
        <w:rPr>
          <w:lang w:val="es-AR"/>
        </w:rPr>
        <w:t xml:space="preserve">, </w:t>
      </w:r>
      <w:r w:rsidR="00B81A01">
        <w:rPr>
          <w:lang w:val="es-AR"/>
        </w:rPr>
        <w:t>y</w:t>
      </w:r>
      <w:r w:rsidR="00306314" w:rsidRPr="00190842">
        <w:rPr>
          <w:lang w:val="es-AR"/>
        </w:rPr>
        <w:t xml:space="preserve"> </w:t>
      </w:r>
      <w:r w:rsidR="00B81A01">
        <w:rPr>
          <w:lang w:val="es-AR"/>
        </w:rPr>
        <w:t xml:space="preserve">dé a conocer sus conclusiones </w:t>
      </w:r>
      <w:r w:rsidR="00306314" w:rsidRPr="00190842">
        <w:rPr>
          <w:lang w:val="es-AR"/>
        </w:rPr>
        <w:t>al Comité Ejecutivo en una reunión futura; y</w:t>
      </w:r>
    </w:p>
    <w:p w14:paraId="342B2592" w14:textId="014EB319" w:rsidR="00306314" w:rsidRPr="00190842" w:rsidRDefault="00306314" w:rsidP="00306314">
      <w:pPr>
        <w:pStyle w:val="Heading2"/>
        <w:numPr>
          <w:ilvl w:val="1"/>
          <w:numId w:val="23"/>
        </w:numPr>
        <w:rPr>
          <w:lang w:val="es-AR"/>
        </w:rPr>
      </w:pPr>
      <w:r w:rsidRPr="00190842">
        <w:rPr>
          <w:lang w:val="es-AR"/>
        </w:rPr>
        <w:t>P</w:t>
      </w:r>
      <w:r w:rsidR="00B81A01">
        <w:rPr>
          <w:lang w:val="es-AR"/>
        </w:rPr>
        <w:t xml:space="preserve">edir a </w:t>
      </w:r>
      <w:r w:rsidRPr="00190842">
        <w:rPr>
          <w:lang w:val="es-AR"/>
        </w:rPr>
        <w:t xml:space="preserve">la </w:t>
      </w:r>
      <w:r w:rsidR="00190842">
        <w:rPr>
          <w:lang w:val="es-AR"/>
        </w:rPr>
        <w:t>Secretaría</w:t>
      </w:r>
      <w:r w:rsidRPr="00190842">
        <w:rPr>
          <w:lang w:val="es-AR"/>
        </w:rPr>
        <w:t xml:space="preserve"> </w:t>
      </w:r>
      <w:r w:rsidR="00B81A01">
        <w:rPr>
          <w:lang w:val="es-AR"/>
        </w:rPr>
        <w:t xml:space="preserve">que presente </w:t>
      </w:r>
      <w:r w:rsidRPr="00190842">
        <w:rPr>
          <w:lang w:val="es-AR"/>
        </w:rPr>
        <w:t>otro e</w:t>
      </w:r>
      <w:r w:rsidR="00B81A01">
        <w:rPr>
          <w:lang w:val="es-AR"/>
        </w:rPr>
        <w:t xml:space="preserve">xamen </w:t>
      </w:r>
      <w:r w:rsidRPr="00190842">
        <w:rPr>
          <w:lang w:val="es-AR"/>
        </w:rPr>
        <w:t>de</w:t>
      </w:r>
      <w:r w:rsidR="00190842">
        <w:rPr>
          <w:lang w:val="es-AR"/>
        </w:rPr>
        <w:t xml:space="preserve"> </w:t>
      </w:r>
      <w:r w:rsidR="00674039">
        <w:rPr>
          <w:lang w:val="es-AR"/>
        </w:rPr>
        <w:t xml:space="preserve">proyectos de </w:t>
      </w:r>
      <w:r w:rsidR="00AA1ED5">
        <w:rPr>
          <w:lang w:val="es-AR"/>
        </w:rPr>
        <w:t>fortalecimiento institucional</w:t>
      </w:r>
      <w:r w:rsidRPr="00190842">
        <w:rPr>
          <w:lang w:val="es-AR"/>
        </w:rPr>
        <w:t xml:space="preserve"> </w:t>
      </w:r>
      <w:r w:rsidR="00B81A01">
        <w:rPr>
          <w:lang w:val="es-AR"/>
        </w:rPr>
        <w:t xml:space="preserve">con </w:t>
      </w:r>
      <w:r w:rsidRPr="00190842">
        <w:rPr>
          <w:lang w:val="es-AR"/>
        </w:rPr>
        <w:t xml:space="preserve">niveles de financiación </w:t>
      </w:r>
      <w:r w:rsidR="00B81A01">
        <w:rPr>
          <w:lang w:val="es-AR"/>
        </w:rPr>
        <w:t xml:space="preserve">a más tardar en </w:t>
      </w:r>
      <w:r w:rsidRPr="00190842">
        <w:rPr>
          <w:lang w:val="es-AR"/>
        </w:rPr>
        <w:t xml:space="preserve">la segunda reunión </w:t>
      </w:r>
      <w:r w:rsidR="00B81A01">
        <w:rPr>
          <w:lang w:val="es-AR"/>
        </w:rPr>
        <w:t>de</w:t>
      </w:r>
      <w:r w:rsidRPr="00190842">
        <w:rPr>
          <w:lang w:val="es-AR"/>
        </w:rPr>
        <w:t xml:space="preserve"> 2025.</w:t>
      </w:r>
    </w:p>
    <w:p w14:paraId="764D153F" w14:textId="77777777" w:rsidR="00306314" w:rsidRPr="00190842" w:rsidRDefault="00306314" w:rsidP="00306314">
      <w:pPr>
        <w:pStyle w:val="Heading2"/>
        <w:numPr>
          <w:ilvl w:val="0"/>
          <w:numId w:val="0"/>
        </w:numPr>
        <w:ind w:left="1440"/>
        <w:rPr>
          <w:lang w:val="es-AR"/>
        </w:rPr>
      </w:pPr>
    </w:p>
    <w:p w14:paraId="06350F78" w14:textId="77777777" w:rsidR="00306314" w:rsidRPr="00190842" w:rsidRDefault="00306314" w:rsidP="00306314">
      <w:pPr>
        <w:rPr>
          <w:lang w:val="es-AR"/>
        </w:rPr>
        <w:sectPr w:rsidR="00306314" w:rsidRPr="00190842" w:rsidSect="009E3957">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3C9F328E" w14:textId="77777777" w:rsidR="00306314" w:rsidRPr="00190842" w:rsidRDefault="00306314" w:rsidP="00306314">
      <w:pPr>
        <w:jc w:val="center"/>
        <w:rPr>
          <w:b/>
          <w:lang w:val="es-AR"/>
        </w:rPr>
      </w:pPr>
      <w:r w:rsidRPr="00190842">
        <w:rPr>
          <w:b/>
          <w:lang w:val="es-AR"/>
        </w:rPr>
        <w:lastRenderedPageBreak/>
        <w:t>Anexo I</w:t>
      </w:r>
    </w:p>
    <w:p w14:paraId="426341C2" w14:textId="77777777" w:rsidR="00306314" w:rsidRPr="00190842" w:rsidRDefault="00306314" w:rsidP="00306314">
      <w:pPr>
        <w:rPr>
          <w:lang w:val="es-AR"/>
        </w:rPr>
      </w:pPr>
    </w:p>
    <w:p w14:paraId="57662988" w14:textId="77777777" w:rsidR="00306314" w:rsidRPr="00190842" w:rsidRDefault="00306314" w:rsidP="00306314">
      <w:pPr>
        <w:jc w:val="center"/>
        <w:rPr>
          <w:lang w:val="es-AR"/>
        </w:rPr>
      </w:pPr>
    </w:p>
    <w:sectPr w:rsidR="00306314" w:rsidRPr="00190842" w:rsidSect="00615509">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D868" w14:textId="77777777" w:rsidR="00F42763" w:rsidRDefault="00F42763">
      <w:r>
        <w:separator/>
      </w:r>
    </w:p>
  </w:endnote>
  <w:endnote w:type="continuationSeparator" w:id="0">
    <w:p w14:paraId="0E6FD4B9" w14:textId="77777777" w:rsidR="00F42763" w:rsidRDefault="00F4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1964" w14:textId="7D511694" w:rsidR="00F0404B" w:rsidRDefault="00F0404B">
    <w:pPr>
      <w:jc w:val="center"/>
    </w:pPr>
    <w:r>
      <w:fldChar w:fldCharType="begin"/>
    </w:r>
    <w:r>
      <w:instrText xml:space="preserve"> PAGE </w:instrText>
    </w:r>
    <w:r>
      <w:fldChar w:fldCharType="separate"/>
    </w:r>
    <w:r w:rsidR="00B35AA6">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0715" w14:textId="6AF928D8" w:rsidR="00F0404B" w:rsidRDefault="00F0404B">
    <w:pPr>
      <w:jc w:val="center"/>
    </w:pPr>
    <w:r>
      <w:fldChar w:fldCharType="begin"/>
    </w:r>
    <w:r>
      <w:instrText xml:space="preserve"> PAGE </w:instrText>
    </w:r>
    <w:r>
      <w:fldChar w:fldCharType="separate"/>
    </w:r>
    <w:r w:rsidR="00B35AA6">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FC27" w14:textId="1D9EC430" w:rsidR="00F0404B" w:rsidRPr="001E0683" w:rsidRDefault="004C7619">
    <w:pPr>
      <w:pBdr>
        <w:top w:val="single" w:sz="4" w:space="1" w:color="auto"/>
        <w:left w:val="single" w:sz="4" w:space="4" w:color="auto"/>
        <w:bottom w:val="single" w:sz="4" w:space="1" w:color="auto"/>
        <w:right w:val="single" w:sz="4" w:space="4" w:color="auto"/>
      </w:pBdr>
      <w:jc w:val="center"/>
      <w:rPr>
        <w:sz w:val="16"/>
        <w:szCs w:val="16"/>
        <w:lang w:val="es-MX"/>
      </w:rPr>
    </w:pPr>
    <w:r w:rsidRPr="001E0683">
      <w:rPr>
        <w:sz w:val="16"/>
        <w:szCs w:val="16"/>
        <w:lang w:val="es-MX"/>
      </w:rPr>
      <w:t>Lo</w:t>
    </w:r>
    <w:r w:rsidRPr="001E0683">
      <w:rPr>
        <w:sz w:val="16"/>
        <w:szCs w:val="16"/>
        <w:lang w:val="es-ES"/>
      </w:rPr>
      <w:t>s documentos previos al período de sesiones del Comité Ejecutivo del Fondo Multilateral para la Aplicación del Protocolo de Montreal no van en perjuicio de cualquier decisión que el Comité Ejecutivo pudiera adoptar después de la emisión de los mismos</w:t>
    </w:r>
    <w:r w:rsidR="00F0404B" w:rsidRPr="001E0683">
      <w:rPr>
        <w:sz w:val="16"/>
        <w:szCs w:val="16"/>
        <w:lang w:val="es-MX"/>
      </w:rPr>
      <w:t>.</w:t>
    </w:r>
  </w:p>
  <w:p w14:paraId="3FA24919" w14:textId="77777777" w:rsidR="00F0404B" w:rsidRPr="001E0683" w:rsidRDefault="00F0404B" w:rsidP="009E3957">
    <w:pPr>
      <w:pBdr>
        <w:top w:val="single" w:sz="4" w:space="1" w:color="auto"/>
        <w:left w:val="single" w:sz="4" w:space="4" w:color="auto"/>
        <w:bottom w:val="single" w:sz="4" w:space="1" w:color="auto"/>
        <w:right w:val="single" w:sz="4" w:space="4" w:color="auto"/>
      </w:pBdr>
      <w:jc w:val="center"/>
      <w:rPr>
        <w:sz w:val="16"/>
        <w:szCs w:val="16"/>
        <w:lang w:val="es-MX"/>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4559" w14:textId="0FD1AE60" w:rsidR="00F0404B" w:rsidRDefault="00F0404B" w:rsidP="00B04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713482" w14:textId="77777777" w:rsidR="00F0404B" w:rsidRPr="0035363C" w:rsidRDefault="00F0404B" w:rsidP="0035363C">
    <w:pPr>
      <w:pStyle w:val="Footer"/>
      <w:jc w:val="center"/>
      <w:rPr>
        <w:lang w:val="es-AR"/>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4CE6" w14:textId="16859484" w:rsidR="00F0404B" w:rsidRDefault="00F0404B" w:rsidP="00B04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930EF31" w14:textId="77777777" w:rsidR="00F0404B" w:rsidRPr="0035363C" w:rsidRDefault="00F0404B" w:rsidP="0035363C">
    <w:pPr>
      <w:pStyle w:val="Footer"/>
      <w:jc w:val="center"/>
      <w:rPr>
        <w:lang w:val="es-AR"/>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6F8D" w14:textId="77777777" w:rsidR="00F0404B" w:rsidRPr="00255AF2" w:rsidRDefault="00F0404B" w:rsidP="00FF31B7">
    <w:pPr>
      <w:pBdr>
        <w:top w:val="single" w:sz="4" w:space="1" w:color="auto"/>
        <w:left w:val="single" w:sz="4" w:space="4" w:color="auto"/>
        <w:bottom w:val="single" w:sz="4" w:space="1" w:color="auto"/>
        <w:right w:val="single" w:sz="4" w:space="4" w:color="auto"/>
      </w:pBdr>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62FF4B70" w14:textId="77777777" w:rsidR="00F0404B" w:rsidRPr="00FF31B7" w:rsidRDefault="00F0404B">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E7C0" w14:textId="77777777" w:rsidR="00F42763" w:rsidRDefault="00F42763">
      <w:r>
        <w:separator/>
      </w:r>
    </w:p>
  </w:footnote>
  <w:footnote w:type="continuationSeparator" w:id="0">
    <w:p w14:paraId="354CF602" w14:textId="77777777" w:rsidR="00F42763" w:rsidRDefault="00F42763">
      <w:r>
        <w:continuationSeparator/>
      </w:r>
    </w:p>
  </w:footnote>
  <w:footnote w:id="1">
    <w:p w14:paraId="56746AA4" w14:textId="16884F27" w:rsidR="009F4988" w:rsidRPr="00F20A65" w:rsidRDefault="009F4988" w:rsidP="00F20A65">
      <w:pPr>
        <w:pStyle w:val="FootnoteText"/>
        <w:rPr>
          <w:lang w:val="es-MX"/>
        </w:rPr>
      </w:pPr>
      <w:r>
        <w:rPr>
          <w:rStyle w:val="FootnoteReference"/>
        </w:rPr>
        <w:footnoteRef/>
      </w:r>
      <w:r w:rsidRPr="00064429">
        <w:rPr>
          <w:lang w:val="es-AR"/>
        </w:rPr>
        <w:t xml:space="preserve"> </w:t>
      </w:r>
      <w:r w:rsidRPr="008D6A1A">
        <w:rPr>
          <w:lang w:val="es-MX"/>
        </w:rPr>
        <w:t>En junio y julio de 2021 se celebrarán reunion</w:t>
      </w:r>
      <w:r>
        <w:rPr>
          <w:lang w:val="es-MX"/>
        </w:rPr>
        <w:t>e</w:t>
      </w:r>
      <w:r w:rsidRPr="008D6A1A">
        <w:rPr>
          <w:lang w:val="es-MX"/>
        </w:rPr>
        <w:t xml:space="preserve">s en </w:t>
      </w:r>
      <w:r>
        <w:rPr>
          <w:lang w:val="es-MX"/>
        </w:rPr>
        <w:t>líneas y se llevará a cabo el proceso de aprobación entre período de sesiones, debido al coronavirus (C</w:t>
      </w:r>
      <w:r w:rsidR="00F20A65">
        <w:rPr>
          <w:lang w:val="es-MX"/>
        </w:rPr>
        <w:t>ovid</w:t>
      </w:r>
      <w:r>
        <w:rPr>
          <w:lang w:val="es-MX"/>
        </w:rPr>
        <w:t>-19).</w:t>
      </w:r>
    </w:p>
  </w:footnote>
  <w:footnote w:id="2">
    <w:p w14:paraId="74DE96F3" w14:textId="13B7574C" w:rsidR="00F0404B" w:rsidRPr="00985AC8" w:rsidRDefault="00F0404B" w:rsidP="00306314">
      <w:pPr>
        <w:pStyle w:val="FootnoteText"/>
        <w:rPr>
          <w:lang w:val="es-MX"/>
        </w:rPr>
      </w:pPr>
      <w:r>
        <w:rPr>
          <w:rStyle w:val="FootnoteReference"/>
        </w:rPr>
        <w:footnoteRef/>
      </w:r>
      <w:r w:rsidRPr="00985AC8">
        <w:rPr>
          <w:lang w:val="es-MX"/>
        </w:rPr>
        <w:t xml:space="preserve"> Se aprobaron proyectos de fortalecimiento institucional para Chile, Jordan</w:t>
      </w:r>
      <w:r>
        <w:rPr>
          <w:lang w:val="es-MX"/>
        </w:rPr>
        <w:t>ia</w:t>
      </w:r>
      <w:r w:rsidRPr="00985AC8">
        <w:rPr>
          <w:lang w:val="es-MX"/>
        </w:rPr>
        <w:t xml:space="preserve"> </w:t>
      </w:r>
      <w:r>
        <w:rPr>
          <w:lang w:val="es-MX"/>
        </w:rPr>
        <w:t>y</w:t>
      </w:r>
      <w:r w:rsidRPr="00985AC8">
        <w:rPr>
          <w:lang w:val="es-MX"/>
        </w:rPr>
        <w:t xml:space="preserve"> M</w:t>
      </w:r>
      <w:r>
        <w:rPr>
          <w:lang w:val="es-MX"/>
        </w:rPr>
        <w:t>é</w:t>
      </w:r>
      <w:r w:rsidRPr="00985AC8">
        <w:rPr>
          <w:lang w:val="es-MX"/>
        </w:rPr>
        <w:t xml:space="preserve">xico. </w:t>
      </w:r>
    </w:p>
  </w:footnote>
  <w:footnote w:id="3">
    <w:p w14:paraId="1A51E290" w14:textId="7877EA1F" w:rsidR="00F0404B" w:rsidRDefault="00F0404B" w:rsidP="00306314">
      <w:pPr>
        <w:pStyle w:val="FootnoteText"/>
        <w:rPr>
          <w:lang w:val="es-MX"/>
        </w:rPr>
      </w:pPr>
      <w:r>
        <w:rPr>
          <w:rStyle w:val="FootnoteReference"/>
        </w:rPr>
        <w:footnoteRef/>
      </w:r>
      <w:r w:rsidRPr="00985AC8">
        <w:rPr>
          <w:lang w:val="es-MX"/>
        </w:rPr>
        <w:t xml:space="preserve"> Categoría 1: países </w:t>
      </w:r>
      <w:r>
        <w:rPr>
          <w:lang w:val="es-MX"/>
        </w:rPr>
        <w:t>con gran consumo</w:t>
      </w:r>
      <w:r w:rsidRPr="00985AC8">
        <w:rPr>
          <w:lang w:val="es-MX"/>
        </w:rPr>
        <w:t xml:space="preserve"> (</w:t>
      </w:r>
      <w:r>
        <w:rPr>
          <w:lang w:val="es-MX"/>
        </w:rPr>
        <w:t xml:space="preserve">más de </w:t>
      </w:r>
      <w:r w:rsidRPr="00985AC8">
        <w:rPr>
          <w:lang w:val="es-MX"/>
        </w:rPr>
        <w:t>10</w:t>
      </w:r>
      <w:r>
        <w:rPr>
          <w:lang w:val="es-MX"/>
        </w:rPr>
        <w:t xml:space="preserve"> </w:t>
      </w:r>
      <w:r w:rsidRPr="00985AC8">
        <w:rPr>
          <w:lang w:val="es-MX"/>
        </w:rPr>
        <w:t xml:space="preserve">000 </w:t>
      </w:r>
      <w:r>
        <w:rPr>
          <w:lang w:val="es-MX"/>
        </w:rPr>
        <w:t xml:space="preserve">toneladas PAO </w:t>
      </w:r>
      <w:r w:rsidRPr="00985AC8">
        <w:rPr>
          <w:lang w:val="es-MX"/>
        </w:rPr>
        <w:t xml:space="preserve">- hasta </w:t>
      </w:r>
      <w:r>
        <w:rPr>
          <w:lang w:val="es-MX"/>
        </w:rPr>
        <w:t>$EUA</w:t>
      </w:r>
      <w:r w:rsidRPr="00985AC8">
        <w:rPr>
          <w:lang w:val="es-MX"/>
        </w:rPr>
        <w:t xml:space="preserve"> 400</w:t>
      </w:r>
      <w:r>
        <w:rPr>
          <w:lang w:val="es-MX"/>
        </w:rPr>
        <w:t xml:space="preserve"> </w:t>
      </w:r>
      <w:r w:rsidRPr="00985AC8">
        <w:rPr>
          <w:lang w:val="es-MX"/>
        </w:rPr>
        <w:t xml:space="preserve">000); categoría 2: países </w:t>
      </w:r>
      <w:r>
        <w:rPr>
          <w:lang w:val="es-MX"/>
        </w:rPr>
        <w:t xml:space="preserve">con consumo </w:t>
      </w:r>
      <w:r w:rsidRPr="00985AC8">
        <w:rPr>
          <w:lang w:val="es-MX"/>
        </w:rPr>
        <w:t>medio (5</w:t>
      </w:r>
      <w:r>
        <w:rPr>
          <w:lang w:val="es-MX"/>
        </w:rPr>
        <w:t xml:space="preserve"> </w:t>
      </w:r>
      <w:r w:rsidRPr="00985AC8">
        <w:rPr>
          <w:lang w:val="es-MX"/>
        </w:rPr>
        <w:t>000-10</w:t>
      </w:r>
      <w:r>
        <w:rPr>
          <w:lang w:val="es-MX"/>
        </w:rPr>
        <w:t xml:space="preserve"> </w:t>
      </w:r>
      <w:r w:rsidRPr="00985AC8">
        <w:rPr>
          <w:lang w:val="es-MX"/>
        </w:rPr>
        <w:t xml:space="preserve">000 </w:t>
      </w:r>
      <w:r>
        <w:rPr>
          <w:lang w:val="es-MX"/>
        </w:rPr>
        <w:t xml:space="preserve">toneladas PAO </w:t>
      </w:r>
      <w:r w:rsidRPr="00985AC8">
        <w:rPr>
          <w:lang w:val="es-MX"/>
        </w:rPr>
        <w:t xml:space="preserve">- hasta </w:t>
      </w:r>
      <w:r>
        <w:rPr>
          <w:lang w:val="es-MX"/>
        </w:rPr>
        <w:t>$EUA</w:t>
      </w:r>
      <w:r w:rsidRPr="00985AC8">
        <w:rPr>
          <w:lang w:val="es-MX"/>
        </w:rPr>
        <w:t xml:space="preserve"> 300</w:t>
      </w:r>
      <w:r>
        <w:rPr>
          <w:lang w:val="es-MX"/>
        </w:rPr>
        <w:t xml:space="preserve"> </w:t>
      </w:r>
      <w:r w:rsidRPr="00985AC8">
        <w:rPr>
          <w:lang w:val="es-MX"/>
        </w:rPr>
        <w:t xml:space="preserve">000); categoría 3: países </w:t>
      </w:r>
      <w:r>
        <w:rPr>
          <w:lang w:val="es-MX"/>
        </w:rPr>
        <w:t>con bajo consumo</w:t>
      </w:r>
      <w:r w:rsidRPr="00985AC8">
        <w:rPr>
          <w:lang w:val="es-MX"/>
        </w:rPr>
        <w:t xml:space="preserve"> (menos de 5</w:t>
      </w:r>
      <w:r>
        <w:rPr>
          <w:lang w:val="es-MX"/>
        </w:rPr>
        <w:t xml:space="preserve"> </w:t>
      </w:r>
      <w:r w:rsidRPr="00985AC8">
        <w:rPr>
          <w:lang w:val="es-MX"/>
        </w:rPr>
        <w:t xml:space="preserve">000 </w:t>
      </w:r>
      <w:r>
        <w:rPr>
          <w:lang w:val="es-MX"/>
        </w:rPr>
        <w:t>toneladas PAO</w:t>
      </w:r>
      <w:r w:rsidRPr="00985AC8">
        <w:rPr>
          <w:lang w:val="es-MX"/>
        </w:rPr>
        <w:t xml:space="preserve"> - hasta </w:t>
      </w:r>
      <w:r>
        <w:rPr>
          <w:lang w:val="es-MX"/>
        </w:rPr>
        <w:t>$EUA</w:t>
      </w:r>
      <w:r w:rsidRPr="00985AC8">
        <w:rPr>
          <w:lang w:val="es-MX"/>
        </w:rPr>
        <w:t xml:space="preserve"> 170</w:t>
      </w:r>
      <w:r>
        <w:rPr>
          <w:lang w:val="es-MX"/>
        </w:rPr>
        <w:t xml:space="preserve"> </w:t>
      </w:r>
      <w:r w:rsidRPr="00985AC8">
        <w:rPr>
          <w:lang w:val="es-MX"/>
        </w:rPr>
        <w:t>000). Los niveles de financiamiento eran indicativos y tendrían en cuenta las necesidades y las circunstancias de l</w:t>
      </w:r>
      <w:r>
        <w:rPr>
          <w:lang w:val="es-MX"/>
        </w:rPr>
        <w:t>as Partes,</w:t>
      </w:r>
      <w:r w:rsidRPr="00985AC8">
        <w:rPr>
          <w:lang w:val="es-MX"/>
        </w:rPr>
        <w:t xml:space="preserve"> caso por caso. Los elementos para </w:t>
      </w:r>
      <w:r>
        <w:rPr>
          <w:lang w:val="es-MX"/>
        </w:rPr>
        <w:t xml:space="preserve">financiamiento </w:t>
      </w:r>
      <w:r w:rsidRPr="00985AC8">
        <w:rPr>
          <w:lang w:val="es-MX"/>
        </w:rPr>
        <w:t xml:space="preserve">eran </w:t>
      </w:r>
      <w:r w:rsidR="00614879">
        <w:rPr>
          <w:lang w:val="es-MX"/>
        </w:rPr>
        <w:t xml:space="preserve">muebles </w:t>
      </w:r>
      <w:r w:rsidRPr="00985AC8">
        <w:rPr>
          <w:lang w:val="es-MX"/>
        </w:rPr>
        <w:t xml:space="preserve">de oficinas, </w:t>
      </w:r>
      <w:r>
        <w:rPr>
          <w:lang w:val="es-MX"/>
        </w:rPr>
        <w:t xml:space="preserve">gastos de personal </w:t>
      </w:r>
      <w:r w:rsidRPr="00985AC8">
        <w:rPr>
          <w:lang w:val="es-MX"/>
        </w:rPr>
        <w:t xml:space="preserve">y </w:t>
      </w:r>
      <w:r>
        <w:rPr>
          <w:lang w:val="es-MX"/>
        </w:rPr>
        <w:t>c</w:t>
      </w:r>
      <w:r w:rsidRPr="00985AC8">
        <w:rPr>
          <w:lang w:val="es-MX"/>
        </w:rPr>
        <w:t xml:space="preserve">ostos de explotación. La financiación </w:t>
      </w:r>
      <w:r>
        <w:rPr>
          <w:lang w:val="es-MX"/>
        </w:rPr>
        <w:t xml:space="preserve">se aprobó </w:t>
      </w:r>
      <w:r w:rsidRPr="00985AC8">
        <w:rPr>
          <w:lang w:val="es-MX"/>
        </w:rPr>
        <w:t>por un período de tres años.</w:t>
      </w:r>
    </w:p>
    <w:p w14:paraId="2B5D9389" w14:textId="2AE96A75" w:rsidR="001E0683" w:rsidRDefault="001E0683" w:rsidP="00306314">
      <w:pPr>
        <w:pStyle w:val="FootnoteText"/>
        <w:rPr>
          <w:lang w:val="es-MX"/>
        </w:rPr>
      </w:pPr>
    </w:p>
    <w:p w14:paraId="57A5DF19" w14:textId="77777777" w:rsidR="001E0683" w:rsidRPr="00985AC8" w:rsidRDefault="001E0683" w:rsidP="00306314">
      <w:pPr>
        <w:pStyle w:val="FootnoteText"/>
        <w:rPr>
          <w:lang w:val="es-MX"/>
        </w:rPr>
      </w:pPr>
    </w:p>
  </w:footnote>
  <w:footnote w:id="4">
    <w:p w14:paraId="526D7292" w14:textId="76EFD43A" w:rsidR="00F0404B" w:rsidRPr="00393B3C" w:rsidRDefault="00F0404B" w:rsidP="00306314">
      <w:pPr>
        <w:pStyle w:val="FootnoteText"/>
        <w:rPr>
          <w:lang w:val="es-MX"/>
        </w:rPr>
      </w:pPr>
      <w:r>
        <w:rPr>
          <w:rStyle w:val="FootnoteReference"/>
        </w:rPr>
        <w:footnoteRef/>
      </w:r>
      <w:r w:rsidRPr="00393B3C">
        <w:rPr>
          <w:lang w:val="es-MX"/>
        </w:rPr>
        <w:t xml:space="preserve"> </w:t>
      </w:r>
      <w:r>
        <w:rPr>
          <w:lang w:val="es-MX"/>
        </w:rPr>
        <w:t xml:space="preserve">El debate figura </w:t>
      </w:r>
      <w:r w:rsidRPr="00393B3C">
        <w:rPr>
          <w:lang w:val="es-MX"/>
        </w:rPr>
        <w:t>en los apartados 100 a 111 del documento UNEP/OzL.Pro/ExCom/35/67</w:t>
      </w:r>
      <w:r>
        <w:rPr>
          <w:lang w:val="es-MX"/>
        </w:rPr>
        <w:t>.</w:t>
      </w:r>
    </w:p>
  </w:footnote>
  <w:footnote w:id="5">
    <w:p w14:paraId="4BD13716" w14:textId="5A8526D4" w:rsidR="00F0404B" w:rsidRPr="00393B3C" w:rsidRDefault="00F0404B" w:rsidP="00306314">
      <w:pPr>
        <w:pStyle w:val="FootnoteText"/>
        <w:rPr>
          <w:lang w:val="es-MX"/>
        </w:rPr>
      </w:pPr>
      <w:r>
        <w:rPr>
          <w:rStyle w:val="FootnoteReference"/>
        </w:rPr>
        <w:footnoteRef/>
      </w:r>
      <w:r w:rsidRPr="00393B3C">
        <w:rPr>
          <w:lang w:val="es-MX"/>
        </w:rPr>
        <w:t xml:space="preserve"> Se permitió a</w:t>
      </w:r>
      <w:r w:rsidR="00464A71">
        <w:rPr>
          <w:lang w:val="es-MX"/>
        </w:rPr>
        <w:t xml:space="preserve"> las</w:t>
      </w:r>
      <w:r w:rsidRPr="00393B3C">
        <w:rPr>
          <w:lang w:val="es-MX"/>
        </w:rPr>
        <w:t xml:space="preserve"> Partes del Artículo 5 </w:t>
      </w:r>
      <w:r>
        <w:rPr>
          <w:lang w:val="es-MX"/>
        </w:rPr>
        <w:t xml:space="preserve">presentar </w:t>
      </w:r>
      <w:r w:rsidRPr="00393B3C">
        <w:rPr>
          <w:lang w:val="es-MX"/>
        </w:rPr>
        <w:t>su</w:t>
      </w:r>
      <w:r>
        <w:rPr>
          <w:lang w:val="es-MX"/>
        </w:rPr>
        <w:t>s</w:t>
      </w:r>
      <w:r w:rsidRPr="00393B3C">
        <w:rPr>
          <w:lang w:val="es-MX"/>
        </w:rPr>
        <w:t xml:space="preserve"> </w:t>
      </w:r>
      <w:r>
        <w:rPr>
          <w:lang w:val="es-MX"/>
        </w:rPr>
        <w:t>proyectos de fortalecimiento institucional</w:t>
      </w:r>
      <w:r w:rsidRPr="00393B3C">
        <w:rPr>
          <w:lang w:val="es-MX"/>
        </w:rPr>
        <w:t xml:space="preserve"> como proyectos independientes o </w:t>
      </w:r>
      <w:r w:rsidR="00464A71">
        <w:rPr>
          <w:lang w:val="es-MX"/>
        </w:rPr>
        <w:t xml:space="preserve">integrados en </w:t>
      </w:r>
      <w:r w:rsidRPr="00393B3C">
        <w:rPr>
          <w:lang w:val="es-MX"/>
        </w:rPr>
        <w:t>su</w:t>
      </w:r>
      <w:r>
        <w:rPr>
          <w:lang w:val="es-MX"/>
        </w:rPr>
        <w:t>s</w:t>
      </w:r>
      <w:r w:rsidRPr="00393B3C">
        <w:rPr>
          <w:lang w:val="es-MX"/>
        </w:rPr>
        <w:t xml:space="preserve"> planes de gestión de eliminación de HCFC, conforme a las decisiones 59/17 y 59/47 b).</w:t>
      </w:r>
    </w:p>
  </w:footnote>
  <w:footnote w:id="6">
    <w:p w14:paraId="343B1DFC" w14:textId="4E7F43A0" w:rsidR="00F0404B" w:rsidRPr="00393B3C" w:rsidRDefault="00F0404B" w:rsidP="00306314">
      <w:pPr>
        <w:pStyle w:val="FootnoteText"/>
        <w:rPr>
          <w:lang w:val="es-MX"/>
        </w:rPr>
      </w:pPr>
      <w:r>
        <w:rPr>
          <w:rStyle w:val="FootnoteReference"/>
        </w:rPr>
        <w:footnoteRef/>
      </w:r>
      <w:r w:rsidRPr="00393B3C">
        <w:rPr>
          <w:lang w:val="es-MX"/>
        </w:rPr>
        <w:t xml:space="preserve"> El documento estableció un </w:t>
      </w:r>
      <w:r>
        <w:rPr>
          <w:lang w:val="es-MX"/>
        </w:rPr>
        <w:t xml:space="preserve">examen </w:t>
      </w:r>
      <w:r w:rsidRPr="00393B3C">
        <w:rPr>
          <w:lang w:val="es-MX"/>
        </w:rPr>
        <w:t>de la historia de</w:t>
      </w:r>
      <w:r>
        <w:rPr>
          <w:lang w:val="es-MX"/>
        </w:rPr>
        <w:t xml:space="preserve">l financiamiento </w:t>
      </w:r>
      <w:r w:rsidR="00464A71">
        <w:rPr>
          <w:lang w:val="es-MX"/>
        </w:rPr>
        <w:t>para</w:t>
      </w:r>
      <w:r>
        <w:rPr>
          <w:lang w:val="es-MX"/>
        </w:rPr>
        <w:t xml:space="preserve"> fortalecimiento institucional</w:t>
      </w:r>
      <w:r w:rsidRPr="00393B3C">
        <w:rPr>
          <w:lang w:val="es-MX"/>
        </w:rPr>
        <w:t xml:space="preserve">; evaluó la importancia de </w:t>
      </w:r>
      <w:r>
        <w:rPr>
          <w:lang w:val="es-MX"/>
        </w:rPr>
        <w:t xml:space="preserve">la contribución de dicho fortalecimiento </w:t>
      </w:r>
      <w:r w:rsidRPr="00393B3C">
        <w:rPr>
          <w:lang w:val="es-MX"/>
        </w:rPr>
        <w:t>al logro de</w:t>
      </w:r>
      <w:r>
        <w:rPr>
          <w:lang w:val="es-MX"/>
        </w:rPr>
        <w:t>l</w:t>
      </w:r>
      <w:r w:rsidRPr="00393B3C">
        <w:rPr>
          <w:lang w:val="es-MX"/>
        </w:rPr>
        <w:t xml:space="preserve"> </w:t>
      </w:r>
      <w:r>
        <w:rPr>
          <w:lang w:val="es-MX"/>
        </w:rPr>
        <w:t xml:space="preserve">cumplimiento </w:t>
      </w:r>
      <w:r w:rsidRPr="00393B3C">
        <w:rPr>
          <w:lang w:val="es-MX"/>
        </w:rPr>
        <w:t xml:space="preserve">de los países del </w:t>
      </w:r>
      <w:r>
        <w:rPr>
          <w:lang w:val="es-MX"/>
        </w:rPr>
        <w:t>A</w:t>
      </w:r>
      <w:r w:rsidRPr="00393B3C">
        <w:rPr>
          <w:lang w:val="es-MX"/>
        </w:rPr>
        <w:t xml:space="preserve">rtículo 5 con el </w:t>
      </w:r>
      <w:r>
        <w:rPr>
          <w:lang w:val="es-MX"/>
        </w:rPr>
        <w:t>P</w:t>
      </w:r>
      <w:r w:rsidRPr="00393B3C">
        <w:rPr>
          <w:lang w:val="es-MX"/>
        </w:rPr>
        <w:t xml:space="preserve">rotocolo de Montreal, y estableció la gama de actividades que las </w:t>
      </w:r>
      <w:r w:rsidR="00464A71">
        <w:rPr>
          <w:lang w:val="es-MX"/>
        </w:rPr>
        <w:t>d</w:t>
      </w:r>
      <w:r w:rsidRPr="00393B3C">
        <w:rPr>
          <w:lang w:val="es-MX"/>
        </w:rPr>
        <w:t xml:space="preserve">ependencias </w:t>
      </w:r>
      <w:r w:rsidR="00464A71">
        <w:rPr>
          <w:lang w:val="es-MX"/>
        </w:rPr>
        <w:t>n</w:t>
      </w:r>
      <w:r w:rsidRPr="00393B3C">
        <w:rPr>
          <w:lang w:val="es-MX"/>
        </w:rPr>
        <w:t xml:space="preserve">acionales del </w:t>
      </w:r>
      <w:r w:rsidR="00464A71">
        <w:rPr>
          <w:lang w:val="es-MX"/>
        </w:rPr>
        <w:t>o</w:t>
      </w:r>
      <w:r w:rsidRPr="00393B3C">
        <w:rPr>
          <w:lang w:val="es-MX"/>
        </w:rPr>
        <w:t xml:space="preserve">zono tendrían que emprender para alcanzar </w:t>
      </w:r>
      <w:r>
        <w:rPr>
          <w:lang w:val="es-MX"/>
        </w:rPr>
        <w:t xml:space="preserve">el cumplimiento </w:t>
      </w:r>
      <w:r w:rsidRPr="00393B3C">
        <w:rPr>
          <w:lang w:val="es-MX"/>
        </w:rPr>
        <w:t xml:space="preserve">con </w:t>
      </w:r>
      <w:r>
        <w:rPr>
          <w:lang w:val="es-MX"/>
        </w:rPr>
        <w:t xml:space="preserve">las medidas de control de los </w:t>
      </w:r>
      <w:r w:rsidRPr="00393B3C">
        <w:rPr>
          <w:lang w:val="es-MX"/>
        </w:rPr>
        <w:t xml:space="preserve">HCFC </w:t>
      </w:r>
      <w:r>
        <w:rPr>
          <w:lang w:val="es-MX"/>
        </w:rPr>
        <w:t xml:space="preserve">después de </w:t>
      </w:r>
      <w:r w:rsidRPr="00393B3C">
        <w:rPr>
          <w:lang w:val="es-MX"/>
        </w:rPr>
        <w:t xml:space="preserve">2015; y su </w:t>
      </w:r>
      <w:r>
        <w:rPr>
          <w:lang w:val="es-MX"/>
        </w:rPr>
        <w:t xml:space="preserve">vinculación con </w:t>
      </w:r>
      <w:r w:rsidRPr="00393B3C">
        <w:rPr>
          <w:lang w:val="es-MX"/>
        </w:rPr>
        <w:t xml:space="preserve">otras formas de ayuda institucional y creación de capacidad proporcionadas a través de las oficinas de gestión de proyectos, y el Programa de </w:t>
      </w:r>
      <w:r w:rsidR="00AD3645">
        <w:rPr>
          <w:lang w:val="es-MX"/>
        </w:rPr>
        <w:t>a</w:t>
      </w:r>
      <w:r w:rsidRPr="00393B3C">
        <w:rPr>
          <w:lang w:val="es-MX"/>
        </w:rPr>
        <w:t xml:space="preserve">sistencia al </w:t>
      </w:r>
      <w:r w:rsidR="00AD3645">
        <w:rPr>
          <w:lang w:val="es-MX"/>
        </w:rPr>
        <w:t>c</w:t>
      </w:r>
      <w:r w:rsidRPr="00393B3C">
        <w:rPr>
          <w:lang w:val="es-MX"/>
        </w:rPr>
        <w:t xml:space="preserve">umplimiento del </w:t>
      </w:r>
      <w:r w:rsidR="00AD3645">
        <w:rPr>
          <w:lang w:val="es-MX"/>
        </w:rPr>
        <w:t>PNUMA</w:t>
      </w:r>
      <w:r w:rsidRPr="00393B3C">
        <w:rPr>
          <w:lang w:val="es-MX"/>
        </w:rPr>
        <w:t>.</w:t>
      </w:r>
    </w:p>
  </w:footnote>
  <w:footnote w:id="7">
    <w:p w14:paraId="5AFA21F7" w14:textId="2709B9EF" w:rsidR="00F0404B" w:rsidRPr="00393B3C" w:rsidRDefault="00F0404B" w:rsidP="00306314">
      <w:pPr>
        <w:pStyle w:val="FootnoteText"/>
        <w:rPr>
          <w:lang w:val="es-MX"/>
        </w:rPr>
      </w:pPr>
      <w:r>
        <w:rPr>
          <w:rStyle w:val="FootnoteReference"/>
        </w:rPr>
        <w:footnoteRef/>
      </w:r>
      <w:r w:rsidRPr="00393B3C">
        <w:rPr>
          <w:lang w:val="es-MX"/>
        </w:rPr>
        <w:t xml:space="preserve"> </w:t>
      </w:r>
      <w:r>
        <w:rPr>
          <w:lang w:val="es-MX"/>
        </w:rPr>
        <w:t xml:space="preserve">En vista de la pandemia del </w:t>
      </w:r>
      <w:r w:rsidRPr="00393B3C">
        <w:rPr>
          <w:lang w:val="es-MX"/>
        </w:rPr>
        <w:t>COVID-19, el Comité Ejecutivo acordó posponer su 85</w:t>
      </w:r>
      <w:r>
        <w:rPr>
          <w:lang w:val="es-MX"/>
        </w:rPr>
        <w:t xml:space="preserve">ª </w:t>
      </w:r>
      <w:r w:rsidRPr="00393B3C">
        <w:rPr>
          <w:lang w:val="es-MX"/>
        </w:rPr>
        <w:t>reunión, programada originalmente del 25</w:t>
      </w:r>
      <w:r>
        <w:rPr>
          <w:lang w:val="es-MX"/>
        </w:rPr>
        <w:t xml:space="preserve"> al</w:t>
      </w:r>
      <w:r w:rsidRPr="00393B3C">
        <w:rPr>
          <w:lang w:val="es-MX"/>
        </w:rPr>
        <w:t xml:space="preserve"> 29 de mayo de 2020, y llevarla a cabo </w:t>
      </w:r>
      <w:r>
        <w:rPr>
          <w:lang w:val="es-MX"/>
        </w:rPr>
        <w:t xml:space="preserve">consecutivamente </w:t>
      </w:r>
      <w:r w:rsidRPr="00393B3C">
        <w:rPr>
          <w:lang w:val="es-MX"/>
        </w:rPr>
        <w:t>con la 86</w:t>
      </w:r>
      <w:r>
        <w:rPr>
          <w:lang w:val="es-MX"/>
        </w:rPr>
        <w:t xml:space="preserve">ª </w:t>
      </w:r>
      <w:r w:rsidRPr="00393B3C">
        <w:rPr>
          <w:lang w:val="es-MX"/>
        </w:rPr>
        <w:t xml:space="preserve">reunión en noviembre de 2020. Para asegurar la continuidad de actividades </w:t>
      </w:r>
      <w:r>
        <w:rPr>
          <w:lang w:val="es-MX"/>
        </w:rPr>
        <w:t xml:space="preserve">relacionadas con el cumplimiento </w:t>
      </w:r>
      <w:r w:rsidRPr="00393B3C">
        <w:rPr>
          <w:lang w:val="es-MX"/>
        </w:rPr>
        <w:t xml:space="preserve">en países del </w:t>
      </w:r>
      <w:r>
        <w:rPr>
          <w:lang w:val="es-MX"/>
        </w:rPr>
        <w:t>A</w:t>
      </w:r>
      <w:r w:rsidRPr="00393B3C">
        <w:rPr>
          <w:lang w:val="es-MX"/>
        </w:rPr>
        <w:t xml:space="preserve">rtículo 5 y reducir su </w:t>
      </w:r>
      <w:r w:rsidR="00AD3645">
        <w:rPr>
          <w:lang w:val="es-MX"/>
        </w:rPr>
        <w:t xml:space="preserve">volumen </w:t>
      </w:r>
      <w:r w:rsidRPr="00393B3C">
        <w:rPr>
          <w:lang w:val="es-MX"/>
        </w:rPr>
        <w:t xml:space="preserve">de trabajo cuando </w:t>
      </w:r>
      <w:r>
        <w:rPr>
          <w:lang w:val="es-MX"/>
        </w:rPr>
        <w:t>durante la reunión</w:t>
      </w:r>
      <w:r w:rsidRPr="00393B3C">
        <w:rPr>
          <w:lang w:val="es-MX"/>
        </w:rPr>
        <w:t>, el Comité Ejecutivo decid</w:t>
      </w:r>
      <w:r>
        <w:rPr>
          <w:lang w:val="es-MX"/>
        </w:rPr>
        <w:t>ió</w:t>
      </w:r>
      <w:r w:rsidRPr="00393B3C">
        <w:rPr>
          <w:lang w:val="es-MX"/>
        </w:rPr>
        <w:t xml:space="preserve"> </w:t>
      </w:r>
      <w:r>
        <w:rPr>
          <w:lang w:val="es-MX"/>
        </w:rPr>
        <w:t xml:space="preserve">aplicar </w:t>
      </w:r>
      <w:r w:rsidRPr="00393B3C">
        <w:rPr>
          <w:lang w:val="es-MX"/>
        </w:rPr>
        <w:t xml:space="preserve">un proceso de </w:t>
      </w:r>
      <w:r>
        <w:rPr>
          <w:lang w:val="es-MX"/>
        </w:rPr>
        <w:t>a</w:t>
      </w:r>
      <w:r w:rsidRPr="00393B3C">
        <w:rPr>
          <w:lang w:val="es-MX"/>
        </w:rPr>
        <w:t xml:space="preserve">probación en el período entre sesiones para los proyectos y las actividades que debían </w:t>
      </w:r>
      <w:r>
        <w:rPr>
          <w:lang w:val="es-MX"/>
        </w:rPr>
        <w:t xml:space="preserve">presentarse </w:t>
      </w:r>
      <w:r w:rsidRPr="00393B3C">
        <w:rPr>
          <w:lang w:val="es-MX"/>
        </w:rPr>
        <w:t>a la 85</w:t>
      </w:r>
      <w:r>
        <w:rPr>
          <w:lang w:val="es-MX"/>
        </w:rPr>
        <w:t xml:space="preserve">ª </w:t>
      </w:r>
      <w:r w:rsidRPr="00393B3C">
        <w:rPr>
          <w:lang w:val="es-MX"/>
        </w:rPr>
        <w:t>reunión; l</w:t>
      </w:r>
      <w:r>
        <w:rPr>
          <w:lang w:val="es-MX"/>
        </w:rPr>
        <w:t xml:space="preserve">as cuestiones </w:t>
      </w:r>
      <w:r w:rsidRPr="00393B3C">
        <w:rPr>
          <w:lang w:val="es-MX"/>
        </w:rPr>
        <w:t xml:space="preserve">del orden del día que no </w:t>
      </w:r>
      <w:r>
        <w:rPr>
          <w:lang w:val="es-MX"/>
        </w:rPr>
        <w:t xml:space="preserve">se consideraron en ese período entre sesiones se incluirían </w:t>
      </w:r>
      <w:r w:rsidRPr="00393B3C">
        <w:rPr>
          <w:lang w:val="es-MX"/>
        </w:rPr>
        <w:t>en el orden del día de la 86</w:t>
      </w:r>
      <w:r>
        <w:rPr>
          <w:lang w:val="es-MX"/>
        </w:rPr>
        <w:t xml:space="preserve">ª </w:t>
      </w:r>
      <w:r w:rsidRPr="00393B3C">
        <w:rPr>
          <w:lang w:val="es-MX"/>
        </w:rPr>
        <w:t>reunión. Dado la evolución de</w:t>
      </w:r>
      <w:r>
        <w:rPr>
          <w:lang w:val="es-MX"/>
        </w:rPr>
        <w:t xml:space="preserve"> la pandemia</w:t>
      </w:r>
      <w:r w:rsidRPr="00393B3C">
        <w:rPr>
          <w:lang w:val="es-MX"/>
        </w:rPr>
        <w:t xml:space="preserve">, el Comité Ejecutivo </w:t>
      </w:r>
      <w:r>
        <w:rPr>
          <w:lang w:val="es-MX"/>
        </w:rPr>
        <w:t xml:space="preserve">volvió a aplazar </w:t>
      </w:r>
      <w:r w:rsidRPr="00393B3C">
        <w:rPr>
          <w:lang w:val="es-MX"/>
        </w:rPr>
        <w:t>ambas reuniones.</w:t>
      </w:r>
    </w:p>
  </w:footnote>
  <w:footnote w:id="8">
    <w:p w14:paraId="7972D7B9" w14:textId="161B8C33" w:rsidR="00EC37CC" w:rsidRPr="00EC37CC" w:rsidRDefault="00EC37CC" w:rsidP="00B5130E">
      <w:pPr>
        <w:pStyle w:val="FootnoteText"/>
        <w:rPr>
          <w:lang w:val="es-AR"/>
        </w:rPr>
      </w:pPr>
      <w:r>
        <w:rPr>
          <w:rStyle w:val="FootnoteReference"/>
        </w:rPr>
        <w:footnoteRef/>
      </w:r>
      <w:r w:rsidRPr="00EC37CC">
        <w:rPr>
          <w:lang w:val="es-AR"/>
        </w:rPr>
        <w:t xml:space="preserve"> El presente documento se presentó a la 86ª </w:t>
      </w:r>
      <w:proofErr w:type="gramStart"/>
      <w:r w:rsidRPr="00EC37CC">
        <w:rPr>
          <w:lang w:val="es-AR"/>
        </w:rPr>
        <w:t>reunión</w:t>
      </w:r>
      <w:proofErr w:type="gramEnd"/>
      <w:r w:rsidR="00B5130E">
        <w:rPr>
          <w:lang w:val="es-AR"/>
        </w:rPr>
        <w:t xml:space="preserve"> pero </w:t>
      </w:r>
      <w:r>
        <w:rPr>
          <w:lang w:val="es-AR"/>
        </w:rPr>
        <w:t>su</w:t>
      </w:r>
      <w:r w:rsidRPr="00EC37CC">
        <w:rPr>
          <w:lang w:val="es-AR"/>
        </w:rPr>
        <w:t xml:space="preserve"> consideración se pospuso para la 87ª reunión de conformidad con los procedimientos acordados para la realización de la</w:t>
      </w:r>
      <w:r>
        <w:rPr>
          <w:lang w:val="es-AR"/>
        </w:rPr>
        <w:t xml:space="preserve"> 86ª </w:t>
      </w:r>
      <w:r w:rsidRPr="00EC37CC">
        <w:rPr>
          <w:lang w:val="es-AR"/>
        </w:rPr>
        <w:t xml:space="preserve">reunión </w:t>
      </w:r>
      <w:r>
        <w:rPr>
          <w:lang w:val="es-AR"/>
        </w:rPr>
        <w:t>debido a</w:t>
      </w:r>
      <w:r w:rsidRPr="00EC37CC">
        <w:rPr>
          <w:lang w:val="es-AR"/>
        </w:rPr>
        <w:t xml:space="preserve"> la pandemia de C</w:t>
      </w:r>
      <w:r w:rsidR="00B5130E">
        <w:rPr>
          <w:lang w:val="es-AR"/>
        </w:rPr>
        <w:t>ovid</w:t>
      </w:r>
      <w:r w:rsidR="00B5130E">
        <w:rPr>
          <w:lang w:val="es-AR"/>
        </w:rPr>
        <w:noBreakHyphen/>
        <w:t>1</w:t>
      </w:r>
      <w:r w:rsidRPr="00EC37CC">
        <w:rPr>
          <w:lang w:val="es-AR"/>
        </w:rPr>
        <w:t>9.</w:t>
      </w:r>
    </w:p>
  </w:footnote>
  <w:footnote w:id="9">
    <w:p w14:paraId="48F5DD44" w14:textId="4CFD78E9" w:rsidR="00F0404B" w:rsidRPr="00886051" w:rsidRDefault="00F0404B" w:rsidP="00306314">
      <w:pPr>
        <w:pStyle w:val="FootnoteText"/>
        <w:rPr>
          <w:lang w:val="es-MX"/>
        </w:rPr>
      </w:pPr>
      <w:r>
        <w:rPr>
          <w:rStyle w:val="FootnoteReference"/>
        </w:rPr>
        <w:footnoteRef/>
      </w:r>
      <w:r w:rsidRPr="00886051">
        <w:rPr>
          <w:lang w:val="es-MX"/>
        </w:rPr>
        <w:t xml:space="preserve"> Decisión XXVIII/1, Anexo I del documento UNEP/</w:t>
      </w:r>
      <w:proofErr w:type="spellStart"/>
      <w:r w:rsidRPr="00886051">
        <w:rPr>
          <w:lang w:val="es-MX"/>
        </w:rPr>
        <w:t>OzL.Pro</w:t>
      </w:r>
      <w:proofErr w:type="spellEnd"/>
      <w:r w:rsidRPr="00886051">
        <w:rPr>
          <w:lang w:val="es-MX"/>
        </w:rPr>
        <w:t>/28/12.</w:t>
      </w:r>
    </w:p>
  </w:footnote>
  <w:footnote w:id="10">
    <w:p w14:paraId="1B36600F" w14:textId="4DE48807" w:rsidR="00F0404B" w:rsidRPr="00886051" w:rsidRDefault="00F0404B" w:rsidP="00306314">
      <w:pPr>
        <w:pStyle w:val="FootnoteText"/>
        <w:rPr>
          <w:lang w:val="es-MX"/>
        </w:rPr>
      </w:pPr>
      <w:r>
        <w:rPr>
          <w:rStyle w:val="FootnoteReference"/>
        </w:rPr>
        <w:footnoteRef/>
      </w:r>
      <w:r w:rsidRPr="00886051">
        <w:rPr>
          <w:lang w:val="es-MX"/>
        </w:rPr>
        <w:t xml:space="preserve"> Cuestiones relevantes para el Comité Ejecutivo, planteadas en la Vigésimo Octava reuni</w:t>
      </w:r>
      <w:r>
        <w:rPr>
          <w:lang w:val="es-MX"/>
        </w:rPr>
        <w:t>ó</w:t>
      </w:r>
      <w:r w:rsidRPr="00886051">
        <w:rPr>
          <w:lang w:val="es-MX"/>
        </w:rPr>
        <w:t xml:space="preserve">n de las Partes en el </w:t>
      </w:r>
      <w:r>
        <w:rPr>
          <w:lang w:val="es-MX"/>
        </w:rPr>
        <w:t>Protocolo de Montreal</w:t>
      </w:r>
      <w:r w:rsidRPr="00886051">
        <w:rPr>
          <w:lang w:val="es-MX"/>
        </w:rPr>
        <w:t xml:space="preserve"> (UNEP/OzL.Pro/ExCom/77/70/Rev.1).</w:t>
      </w:r>
    </w:p>
  </w:footnote>
  <w:footnote w:id="11">
    <w:p w14:paraId="100FD793" w14:textId="7ADEDB33" w:rsidR="00F0404B" w:rsidRPr="00886051" w:rsidRDefault="00F0404B" w:rsidP="00306314">
      <w:pPr>
        <w:pStyle w:val="FootnoteText"/>
        <w:rPr>
          <w:lang w:val="es-MX"/>
        </w:rPr>
      </w:pPr>
      <w:r>
        <w:rPr>
          <w:rStyle w:val="FootnoteReference"/>
        </w:rPr>
        <w:footnoteRef/>
      </w:r>
      <w:r w:rsidRPr="00886051">
        <w:rPr>
          <w:lang w:val="es-MX"/>
        </w:rPr>
        <w:t xml:space="preserve"> Apartado 205 a 2012 del documento UNEP/OzL.Pro/ExCom/77/76.</w:t>
      </w:r>
    </w:p>
  </w:footnote>
  <w:footnote w:id="12">
    <w:p w14:paraId="4ACDD7C0" w14:textId="3D953366" w:rsidR="00F0404B" w:rsidRPr="008A2B91" w:rsidRDefault="00F0404B" w:rsidP="00306314">
      <w:pPr>
        <w:pStyle w:val="FootnoteText"/>
        <w:rPr>
          <w:lang w:val="es-MX"/>
        </w:rPr>
      </w:pPr>
      <w:r>
        <w:rPr>
          <w:rStyle w:val="FootnoteReference"/>
        </w:rPr>
        <w:footnoteRef/>
      </w:r>
      <w:r w:rsidRPr="008A2B91">
        <w:rPr>
          <w:lang w:val="es-MX"/>
        </w:rPr>
        <w:t xml:space="preserve"> El proceso </w:t>
      </w:r>
      <w:r>
        <w:rPr>
          <w:lang w:val="es-MX"/>
        </w:rPr>
        <w:t xml:space="preserve">de </w:t>
      </w:r>
      <w:r w:rsidRPr="008A2B91">
        <w:rPr>
          <w:lang w:val="es-MX"/>
        </w:rPr>
        <w:t>renovación de proyectos</w:t>
      </w:r>
      <w:r>
        <w:rPr>
          <w:lang w:val="es-MX"/>
        </w:rPr>
        <w:t xml:space="preserve"> de fortalecimiento institucional</w:t>
      </w:r>
      <w:r w:rsidRPr="008A2B91">
        <w:rPr>
          <w:lang w:val="es-MX"/>
        </w:rPr>
        <w:t xml:space="preserve"> cada dos años</w:t>
      </w:r>
      <w:r>
        <w:rPr>
          <w:lang w:val="es-MX"/>
        </w:rPr>
        <w:t>,</w:t>
      </w:r>
      <w:r w:rsidRPr="008A2B91">
        <w:rPr>
          <w:lang w:val="es-MX"/>
        </w:rPr>
        <w:t xml:space="preserve"> u</w:t>
      </w:r>
      <w:r>
        <w:rPr>
          <w:lang w:val="es-MX"/>
        </w:rPr>
        <w:t xml:space="preserve">tilizando </w:t>
      </w:r>
      <w:r w:rsidRPr="008A2B91">
        <w:rPr>
          <w:lang w:val="es-MX"/>
        </w:rPr>
        <w:t xml:space="preserve">el formato aprobado y los </w:t>
      </w:r>
      <w:r>
        <w:rPr>
          <w:lang w:val="es-MX"/>
        </w:rPr>
        <w:t>i</w:t>
      </w:r>
      <w:r w:rsidRPr="008A2B91">
        <w:rPr>
          <w:lang w:val="es-MX"/>
        </w:rPr>
        <w:t>ndicadores de desempeño</w:t>
      </w:r>
      <w:r w:rsidR="0045436C">
        <w:rPr>
          <w:lang w:val="es-MX"/>
        </w:rPr>
        <w:t xml:space="preserve">, puede aplicarse </w:t>
      </w:r>
      <w:r>
        <w:rPr>
          <w:lang w:val="es-MX"/>
        </w:rPr>
        <w:t xml:space="preserve">únicamente </w:t>
      </w:r>
      <w:r w:rsidRPr="008A2B91">
        <w:rPr>
          <w:lang w:val="es-MX"/>
        </w:rPr>
        <w:t xml:space="preserve">a esos países que tengan </w:t>
      </w:r>
      <w:r>
        <w:rPr>
          <w:lang w:val="es-MX"/>
        </w:rPr>
        <w:t xml:space="preserve">proyectos </w:t>
      </w:r>
      <w:r w:rsidRPr="008A2B91">
        <w:rPr>
          <w:lang w:val="es-MX"/>
        </w:rPr>
        <w:t>independiente</w:t>
      </w:r>
      <w:r w:rsidR="0045436C">
        <w:rPr>
          <w:lang w:val="es-MX"/>
        </w:rPr>
        <w:t>s</w:t>
      </w:r>
      <w:r w:rsidRPr="008A2B91">
        <w:rPr>
          <w:lang w:val="es-MX"/>
        </w:rPr>
        <w:t xml:space="preserve">, no </w:t>
      </w:r>
      <w:r w:rsidR="0045436C">
        <w:rPr>
          <w:lang w:val="es-MX"/>
        </w:rPr>
        <w:t xml:space="preserve">a </w:t>
      </w:r>
      <w:r>
        <w:rPr>
          <w:lang w:val="es-MX"/>
        </w:rPr>
        <w:t xml:space="preserve">los que estén integrados </w:t>
      </w:r>
      <w:r w:rsidRPr="008A2B91">
        <w:rPr>
          <w:lang w:val="es-MX"/>
        </w:rPr>
        <w:t>con sus planes de gestión de eliminación de HCFC.</w:t>
      </w:r>
    </w:p>
  </w:footnote>
  <w:footnote w:id="13">
    <w:p w14:paraId="55DAC72D" w14:textId="490AEEAF" w:rsidR="00F0404B" w:rsidRPr="00171208" w:rsidRDefault="00F0404B" w:rsidP="00306314">
      <w:pPr>
        <w:pStyle w:val="FootnoteText"/>
        <w:rPr>
          <w:lang w:val="es-MX"/>
        </w:rPr>
      </w:pPr>
      <w:r>
        <w:rPr>
          <w:rStyle w:val="FootnoteReference"/>
        </w:rPr>
        <w:footnoteRef/>
      </w:r>
      <w:r w:rsidRPr="00171208">
        <w:rPr>
          <w:lang w:val="es-MX"/>
        </w:rPr>
        <w:t xml:space="preserve"> Algunos países del </w:t>
      </w:r>
      <w:r>
        <w:rPr>
          <w:lang w:val="es-MX"/>
        </w:rPr>
        <w:t>Artículo</w:t>
      </w:r>
      <w:r w:rsidRPr="00171208">
        <w:rPr>
          <w:lang w:val="es-MX"/>
        </w:rPr>
        <w:t xml:space="preserve"> 5 </w:t>
      </w:r>
      <w:r>
        <w:rPr>
          <w:lang w:val="es-MX"/>
        </w:rPr>
        <w:t xml:space="preserve">se comprometieron </w:t>
      </w:r>
      <w:r w:rsidRPr="00171208">
        <w:rPr>
          <w:lang w:val="es-MX"/>
        </w:rPr>
        <w:t xml:space="preserve">en sus </w:t>
      </w:r>
      <w:r>
        <w:rPr>
          <w:lang w:val="es-MX"/>
        </w:rPr>
        <w:t>A</w:t>
      </w:r>
      <w:r w:rsidRPr="00171208">
        <w:rPr>
          <w:lang w:val="es-MX"/>
        </w:rPr>
        <w:t xml:space="preserve">cuerdos con el Comité Ejecutivo </w:t>
      </w:r>
      <w:r>
        <w:rPr>
          <w:lang w:val="es-MX"/>
        </w:rPr>
        <w:t xml:space="preserve">a </w:t>
      </w:r>
      <w:r w:rsidRPr="00171208">
        <w:rPr>
          <w:lang w:val="es-MX"/>
        </w:rPr>
        <w:t xml:space="preserve">acelerar las reducciones </w:t>
      </w:r>
      <w:r>
        <w:rPr>
          <w:lang w:val="es-MX"/>
        </w:rPr>
        <w:t>del consumo de HCFC</w:t>
      </w:r>
      <w:r w:rsidRPr="00171208">
        <w:rPr>
          <w:lang w:val="es-MX"/>
        </w:rPr>
        <w:t>.</w:t>
      </w:r>
    </w:p>
  </w:footnote>
  <w:footnote w:id="14">
    <w:p w14:paraId="4517EECD" w14:textId="342E8EA5" w:rsidR="00F0404B" w:rsidRPr="00171208" w:rsidRDefault="00F0404B" w:rsidP="00306314">
      <w:pPr>
        <w:pStyle w:val="FootnoteText"/>
        <w:rPr>
          <w:lang w:val="es-MX"/>
        </w:rPr>
      </w:pPr>
      <w:r>
        <w:rPr>
          <w:rStyle w:val="FootnoteReference"/>
        </w:rPr>
        <w:footnoteRef/>
      </w:r>
      <w:r w:rsidRPr="00171208">
        <w:rPr>
          <w:lang w:val="es-MX"/>
        </w:rPr>
        <w:t xml:space="preserve"> </w:t>
      </w:r>
      <w:r>
        <w:rPr>
          <w:lang w:val="es-MX"/>
        </w:rPr>
        <w:t xml:space="preserve">El </w:t>
      </w:r>
      <w:r w:rsidR="00C066E8">
        <w:rPr>
          <w:lang w:val="es-MX"/>
        </w:rPr>
        <w:t>C</w:t>
      </w:r>
      <w:r>
        <w:rPr>
          <w:lang w:val="es-MX"/>
        </w:rPr>
        <w:t>uadro no incluye l</w:t>
      </w:r>
      <w:r w:rsidRPr="00171208">
        <w:rPr>
          <w:lang w:val="es-MX"/>
        </w:rPr>
        <w:t xml:space="preserve">as actividades de facilitación para la </w:t>
      </w:r>
      <w:r>
        <w:rPr>
          <w:lang w:val="es-MX"/>
        </w:rPr>
        <w:t>reducción</w:t>
      </w:r>
      <w:r w:rsidRPr="00171208">
        <w:rPr>
          <w:lang w:val="es-MX"/>
        </w:rPr>
        <w:t xml:space="preserve"> de HFC en países del </w:t>
      </w:r>
      <w:r>
        <w:rPr>
          <w:lang w:val="es-MX"/>
        </w:rPr>
        <w:t>Artículo</w:t>
      </w:r>
      <w:r w:rsidRPr="00171208">
        <w:rPr>
          <w:lang w:val="es-MX"/>
        </w:rPr>
        <w:t xml:space="preserve"> 5 (aprob</w:t>
      </w:r>
      <w:r>
        <w:rPr>
          <w:lang w:val="es-MX"/>
        </w:rPr>
        <w:t>adas</w:t>
      </w:r>
      <w:r w:rsidRPr="00171208">
        <w:rPr>
          <w:lang w:val="es-MX"/>
        </w:rPr>
        <w:t xml:space="preserve"> y </w:t>
      </w:r>
      <w:r>
        <w:rPr>
          <w:lang w:val="es-MX"/>
        </w:rPr>
        <w:t>por aprobar</w:t>
      </w:r>
      <w:r w:rsidRPr="00171208">
        <w:rPr>
          <w:lang w:val="es-MX"/>
        </w:rPr>
        <w:t>), y los proyectos de inversiones independientes de HFC que se aproba</w:t>
      </w:r>
      <w:r>
        <w:rPr>
          <w:lang w:val="es-MX"/>
        </w:rPr>
        <w:t xml:space="preserve">ron </w:t>
      </w:r>
      <w:r w:rsidRPr="00171208">
        <w:rPr>
          <w:lang w:val="es-MX"/>
        </w:rPr>
        <w:t xml:space="preserve">para proporcionar información detallada </w:t>
      </w:r>
      <w:r>
        <w:rPr>
          <w:lang w:val="es-MX"/>
        </w:rPr>
        <w:t xml:space="preserve">sobre </w:t>
      </w:r>
      <w:r w:rsidRPr="00171208">
        <w:rPr>
          <w:lang w:val="es-MX"/>
        </w:rPr>
        <w:t xml:space="preserve">los </w:t>
      </w:r>
      <w:r>
        <w:rPr>
          <w:lang w:val="es-MX"/>
        </w:rPr>
        <w:t>c</w:t>
      </w:r>
      <w:r w:rsidRPr="00171208">
        <w:rPr>
          <w:lang w:val="es-MX"/>
        </w:rPr>
        <w:t xml:space="preserve">ostos adicionales de </w:t>
      </w:r>
      <w:r>
        <w:rPr>
          <w:lang w:val="es-MX"/>
        </w:rPr>
        <w:t>c</w:t>
      </w:r>
      <w:r w:rsidRPr="00171208">
        <w:rPr>
          <w:lang w:val="es-MX"/>
        </w:rPr>
        <w:t xml:space="preserve">onversión. </w:t>
      </w:r>
      <w:r>
        <w:rPr>
          <w:lang w:val="es-MX"/>
        </w:rPr>
        <w:t>Asimismo</w:t>
      </w:r>
      <w:r w:rsidRPr="00171208">
        <w:rPr>
          <w:lang w:val="es-MX"/>
        </w:rPr>
        <w:t>, el número de países es indicativo.</w:t>
      </w:r>
    </w:p>
  </w:footnote>
  <w:footnote w:id="15">
    <w:p w14:paraId="42310610" w14:textId="23876A83" w:rsidR="00F0404B" w:rsidRPr="0077043C" w:rsidRDefault="00F0404B" w:rsidP="00306314">
      <w:pPr>
        <w:pStyle w:val="FootnoteText"/>
        <w:rPr>
          <w:lang w:val="es-MX"/>
        </w:rPr>
      </w:pPr>
      <w:r>
        <w:rPr>
          <w:rStyle w:val="FootnoteReference"/>
        </w:rPr>
        <w:footnoteRef/>
      </w:r>
      <w:r w:rsidRPr="0077043C">
        <w:rPr>
          <w:lang w:val="es-MX"/>
        </w:rPr>
        <w:t xml:space="preserve"> La </w:t>
      </w:r>
      <w:r w:rsidR="00C27396">
        <w:rPr>
          <w:lang w:val="es-MX"/>
        </w:rPr>
        <w:t>d</w:t>
      </w:r>
      <w:r w:rsidRPr="0077043C">
        <w:rPr>
          <w:lang w:val="es-MX"/>
        </w:rPr>
        <w:t xml:space="preserve">ependencia </w:t>
      </w:r>
      <w:r w:rsidR="00C27396">
        <w:rPr>
          <w:lang w:val="es-MX"/>
        </w:rPr>
        <w:t>n</w:t>
      </w:r>
      <w:r w:rsidRPr="0077043C">
        <w:rPr>
          <w:lang w:val="es-MX"/>
        </w:rPr>
        <w:t xml:space="preserve">acional del </w:t>
      </w:r>
      <w:r w:rsidR="00C27396">
        <w:rPr>
          <w:lang w:val="es-MX"/>
        </w:rPr>
        <w:t>o</w:t>
      </w:r>
      <w:r w:rsidRPr="0077043C">
        <w:rPr>
          <w:lang w:val="es-MX"/>
        </w:rPr>
        <w:t xml:space="preserve">zono es el </w:t>
      </w:r>
      <w:r>
        <w:rPr>
          <w:lang w:val="es-MX"/>
        </w:rPr>
        <w:t xml:space="preserve">centro de coordinación para recopilar </w:t>
      </w:r>
      <w:r w:rsidRPr="0077043C">
        <w:rPr>
          <w:lang w:val="es-MX"/>
        </w:rPr>
        <w:t xml:space="preserve">y revisar datos del programa de país </w:t>
      </w:r>
      <w:r>
        <w:rPr>
          <w:lang w:val="es-MX"/>
        </w:rPr>
        <w:t xml:space="preserve">destinados a la </w:t>
      </w:r>
      <w:r w:rsidRPr="0077043C">
        <w:rPr>
          <w:lang w:val="es-MX"/>
        </w:rPr>
        <w:t>Secretaría del Fondo (</w:t>
      </w:r>
      <w:r>
        <w:rPr>
          <w:lang w:val="es-MX"/>
        </w:rPr>
        <w:t xml:space="preserve">para </w:t>
      </w:r>
      <w:r w:rsidRPr="0077043C">
        <w:rPr>
          <w:lang w:val="es-MX"/>
        </w:rPr>
        <w:t xml:space="preserve">el 1 de mayo </w:t>
      </w:r>
      <w:r>
        <w:rPr>
          <w:lang w:val="es-MX"/>
        </w:rPr>
        <w:t xml:space="preserve">de </w:t>
      </w:r>
      <w:r w:rsidRPr="0077043C">
        <w:rPr>
          <w:lang w:val="es-MX"/>
        </w:rPr>
        <w:t xml:space="preserve">cada año), y los datos del </w:t>
      </w:r>
      <w:r>
        <w:rPr>
          <w:lang w:val="es-MX"/>
        </w:rPr>
        <w:t>A</w:t>
      </w:r>
      <w:r w:rsidRPr="0077043C">
        <w:rPr>
          <w:lang w:val="es-MX"/>
        </w:rPr>
        <w:t xml:space="preserve">rtículo 7 </w:t>
      </w:r>
      <w:r>
        <w:rPr>
          <w:lang w:val="es-MX"/>
        </w:rPr>
        <w:t xml:space="preserve">destinados a </w:t>
      </w:r>
      <w:r w:rsidRPr="0077043C">
        <w:rPr>
          <w:lang w:val="es-MX"/>
        </w:rPr>
        <w:t>la Secretaría del Ozono (el 30 de septiembre</w:t>
      </w:r>
      <w:r>
        <w:rPr>
          <w:lang w:val="es-MX"/>
        </w:rPr>
        <w:t xml:space="preserve"> de</w:t>
      </w:r>
      <w:r w:rsidRPr="0077043C">
        <w:rPr>
          <w:lang w:val="es-MX"/>
        </w:rPr>
        <w:t xml:space="preserve"> cada año).</w:t>
      </w:r>
    </w:p>
  </w:footnote>
  <w:footnote w:id="16">
    <w:p w14:paraId="6DC27A9D" w14:textId="37AB29A1" w:rsidR="00F0404B" w:rsidRPr="0077043C" w:rsidRDefault="00F0404B" w:rsidP="00306314">
      <w:pPr>
        <w:pStyle w:val="FootnoteText"/>
        <w:rPr>
          <w:lang w:val="es-MX"/>
        </w:rPr>
      </w:pPr>
      <w:r>
        <w:rPr>
          <w:rStyle w:val="FootnoteReference"/>
        </w:rPr>
        <w:footnoteRef/>
      </w:r>
      <w:r w:rsidRPr="0077043C">
        <w:rPr>
          <w:lang w:val="es-MX"/>
        </w:rPr>
        <w:t xml:space="preserve"> Actualmente,</w:t>
      </w:r>
      <w:r>
        <w:rPr>
          <w:lang w:val="es-MX"/>
        </w:rPr>
        <w:t xml:space="preserve"> se está realizando</w:t>
      </w:r>
      <w:r w:rsidRPr="0077043C">
        <w:rPr>
          <w:lang w:val="es-MX"/>
        </w:rPr>
        <w:t xml:space="preserve"> la etapa I de los planes de gestión de eliminación de HCFC para 113 países y la etapa II de los planes de gestión de eliminación de HCFC para 73 países; la etapa I de los planes de gestión de eliminación de HCFC para 32 países </w:t>
      </w:r>
      <w:r w:rsidR="00C27396">
        <w:rPr>
          <w:lang w:val="es-MX"/>
        </w:rPr>
        <w:t xml:space="preserve">ya </w:t>
      </w:r>
      <w:r w:rsidRPr="0077043C">
        <w:rPr>
          <w:lang w:val="es-MX"/>
        </w:rPr>
        <w:t>ha terminado.</w:t>
      </w:r>
    </w:p>
  </w:footnote>
  <w:footnote w:id="17">
    <w:p w14:paraId="58E6BAF7" w14:textId="13978AA2" w:rsidR="00F0404B" w:rsidRPr="00A127FA" w:rsidRDefault="00F0404B" w:rsidP="00306314">
      <w:pPr>
        <w:pStyle w:val="FootnoteText"/>
        <w:rPr>
          <w:lang w:val="es-MX"/>
        </w:rPr>
      </w:pPr>
      <w:r>
        <w:rPr>
          <w:rStyle w:val="FootnoteReference"/>
        </w:rPr>
        <w:footnoteRef/>
      </w:r>
      <w:r w:rsidRPr="00A127FA">
        <w:rPr>
          <w:lang w:val="es-MX"/>
        </w:rPr>
        <w:t xml:space="preserve"> UNEP/OzL.Pro/ExCom/86/83, </w:t>
      </w:r>
      <w:r w:rsidR="00A127FA">
        <w:rPr>
          <w:lang w:val="es-MX"/>
        </w:rPr>
        <w:t>“R</w:t>
      </w:r>
      <w:r w:rsidR="00A127FA" w:rsidRPr="00A127FA">
        <w:rPr>
          <w:lang w:val="es-MX"/>
        </w:rPr>
        <w:t xml:space="preserve">eseña de los sistemas vigentes de supervisión, presentación de informes, verificación y concesión de licencias y cupos exigibles desarrollados con apoyo del </w:t>
      </w:r>
      <w:r w:rsidR="00A127FA">
        <w:rPr>
          <w:lang w:val="es-MX"/>
        </w:rPr>
        <w:t>F</w:t>
      </w:r>
      <w:r w:rsidR="00A127FA" w:rsidRPr="00A127FA">
        <w:rPr>
          <w:lang w:val="es-MX"/>
        </w:rPr>
        <w:t xml:space="preserve">ondo </w:t>
      </w:r>
      <w:r w:rsidR="00A127FA">
        <w:rPr>
          <w:lang w:val="es-MX"/>
        </w:rPr>
        <w:t>M</w:t>
      </w:r>
      <w:r w:rsidR="00A127FA" w:rsidRPr="00A127FA">
        <w:rPr>
          <w:lang w:val="es-MX"/>
        </w:rPr>
        <w:t>ultilateral (decisión 84/85)</w:t>
      </w:r>
      <w:r w:rsidR="00A127FA">
        <w:rPr>
          <w:lang w:val="es-MX"/>
        </w:rPr>
        <w:t xml:space="preserve">,” </w:t>
      </w:r>
      <w:r w:rsidRPr="00A127FA">
        <w:rPr>
          <w:lang w:val="es-MX"/>
        </w:rPr>
        <w:t>suministra información importante para el fortalecimiento institucional</w:t>
      </w:r>
      <w:r w:rsidR="00A127FA">
        <w:rPr>
          <w:lang w:val="es-MX"/>
        </w:rPr>
        <w:t>,</w:t>
      </w:r>
      <w:r w:rsidRPr="00A127FA">
        <w:rPr>
          <w:lang w:val="es-MX"/>
        </w:rPr>
        <w:t xml:space="preserve"> al respecto.</w:t>
      </w:r>
    </w:p>
  </w:footnote>
  <w:footnote w:id="18">
    <w:p w14:paraId="269F7F28" w14:textId="0DBA2DC0" w:rsidR="00F0404B" w:rsidRPr="0077043C" w:rsidRDefault="00F0404B" w:rsidP="00306314">
      <w:pPr>
        <w:pStyle w:val="FootnoteText"/>
        <w:rPr>
          <w:lang w:val="es-MX"/>
        </w:rPr>
      </w:pPr>
      <w:r>
        <w:rPr>
          <w:rStyle w:val="FootnoteReference"/>
        </w:rPr>
        <w:footnoteRef/>
      </w:r>
      <w:r w:rsidRPr="0077043C">
        <w:rPr>
          <w:lang w:val="es-MX"/>
        </w:rPr>
        <w:t xml:space="preserve"> Estas actividades se enumeran en el apartado 15 del documento UNEP/OzL.Pro/ExCom/74/51.</w:t>
      </w:r>
    </w:p>
  </w:footnote>
  <w:footnote w:id="19">
    <w:p w14:paraId="4FDDEACF" w14:textId="7DB0A546" w:rsidR="00F0404B" w:rsidRPr="0077043C" w:rsidRDefault="00F0404B" w:rsidP="00306314">
      <w:pPr>
        <w:pStyle w:val="FootnoteText"/>
        <w:rPr>
          <w:lang w:val="es-MX"/>
        </w:rPr>
      </w:pPr>
      <w:r>
        <w:rPr>
          <w:rStyle w:val="FootnoteReference"/>
        </w:rPr>
        <w:footnoteRef/>
      </w:r>
      <w:r w:rsidRPr="0077043C">
        <w:rPr>
          <w:lang w:val="es-MX"/>
        </w:rPr>
        <w:t xml:space="preserve"> </w:t>
      </w:r>
      <w:r>
        <w:rPr>
          <w:lang w:val="es-MX"/>
        </w:rPr>
        <w:t>A</w:t>
      </w:r>
      <w:r w:rsidRPr="0077043C">
        <w:rPr>
          <w:lang w:val="es-MX"/>
        </w:rPr>
        <w:t xml:space="preserve">l 17 de febrero de 2021, 113 países (73 países del </w:t>
      </w:r>
      <w:r>
        <w:rPr>
          <w:lang w:val="es-MX"/>
        </w:rPr>
        <w:t>A</w:t>
      </w:r>
      <w:r w:rsidRPr="0077043C">
        <w:rPr>
          <w:lang w:val="es-MX"/>
        </w:rPr>
        <w:t xml:space="preserve">rtículo 5) </w:t>
      </w:r>
      <w:r>
        <w:rPr>
          <w:lang w:val="es-MX"/>
        </w:rPr>
        <w:t xml:space="preserve">habían ratificado </w:t>
      </w:r>
      <w:r w:rsidRPr="0077043C">
        <w:rPr>
          <w:lang w:val="es-MX"/>
        </w:rPr>
        <w:t xml:space="preserve">la </w:t>
      </w:r>
      <w:r>
        <w:rPr>
          <w:lang w:val="es-MX"/>
        </w:rPr>
        <w:t>E</w:t>
      </w:r>
      <w:r w:rsidRPr="0077043C">
        <w:rPr>
          <w:lang w:val="es-MX"/>
        </w:rPr>
        <w:t>nmienda de Kigali.</w:t>
      </w:r>
    </w:p>
  </w:footnote>
  <w:footnote w:id="20">
    <w:p w14:paraId="0F85F9C5" w14:textId="6B1A3D0E" w:rsidR="00F0404B" w:rsidRPr="00A602DC" w:rsidRDefault="00F0404B" w:rsidP="00306314">
      <w:pPr>
        <w:pStyle w:val="FootnoteText"/>
        <w:rPr>
          <w:lang w:val="es-MX"/>
        </w:rPr>
      </w:pPr>
      <w:r>
        <w:rPr>
          <w:rStyle w:val="FootnoteReference"/>
        </w:rPr>
        <w:footnoteRef/>
      </w:r>
      <w:r w:rsidRPr="00A602DC">
        <w:rPr>
          <w:lang w:val="es-MX"/>
        </w:rPr>
        <w:t xml:space="preserve"> El Partes </w:t>
      </w:r>
      <w:r>
        <w:rPr>
          <w:lang w:val="es-MX"/>
        </w:rPr>
        <w:t xml:space="preserve">al amparo </w:t>
      </w:r>
      <w:r w:rsidRPr="00A602DC">
        <w:rPr>
          <w:lang w:val="es-MX"/>
        </w:rPr>
        <w:t xml:space="preserve">del Artículo 5 que </w:t>
      </w:r>
      <w:r>
        <w:rPr>
          <w:lang w:val="es-MX"/>
        </w:rPr>
        <w:t>ratificaron</w:t>
      </w:r>
      <w:r w:rsidRPr="00A602DC">
        <w:rPr>
          <w:lang w:val="es-MX"/>
        </w:rPr>
        <w:t>, aproba</w:t>
      </w:r>
      <w:r>
        <w:rPr>
          <w:lang w:val="es-MX"/>
        </w:rPr>
        <w:t xml:space="preserve">ron o aceptaron </w:t>
      </w:r>
      <w:r w:rsidRPr="00A602DC">
        <w:rPr>
          <w:lang w:val="es-MX"/>
        </w:rPr>
        <w:t xml:space="preserve">la </w:t>
      </w:r>
      <w:r>
        <w:rPr>
          <w:lang w:val="es-MX"/>
        </w:rPr>
        <w:t>E</w:t>
      </w:r>
      <w:r w:rsidRPr="00A602DC">
        <w:rPr>
          <w:lang w:val="es-MX"/>
        </w:rPr>
        <w:t>nmienda de Kigali debe</w:t>
      </w:r>
      <w:r>
        <w:rPr>
          <w:lang w:val="es-MX"/>
        </w:rPr>
        <w:t>n</w:t>
      </w:r>
      <w:r w:rsidRPr="00A602DC">
        <w:rPr>
          <w:lang w:val="es-MX"/>
        </w:rPr>
        <w:t xml:space="preserve"> establecer y </w:t>
      </w:r>
      <w:r>
        <w:rPr>
          <w:lang w:val="es-MX"/>
        </w:rPr>
        <w:t xml:space="preserve">aplicar </w:t>
      </w:r>
      <w:r w:rsidRPr="00A602DC">
        <w:rPr>
          <w:lang w:val="es-MX"/>
        </w:rPr>
        <w:t xml:space="preserve">un </w:t>
      </w:r>
      <w:r>
        <w:rPr>
          <w:lang w:val="es-MX"/>
        </w:rPr>
        <w:t>s</w:t>
      </w:r>
      <w:r w:rsidRPr="00A602DC">
        <w:rPr>
          <w:lang w:val="es-MX"/>
        </w:rPr>
        <w:t xml:space="preserve">istema de otorgamiento de licencias </w:t>
      </w:r>
      <w:r>
        <w:rPr>
          <w:lang w:val="es-MX"/>
        </w:rPr>
        <w:t>para el</w:t>
      </w:r>
      <w:r w:rsidRPr="00A602DC">
        <w:rPr>
          <w:lang w:val="es-MX"/>
        </w:rPr>
        <w:t xml:space="preserve"> 1 de enero de 2019, que incluirá sustancias del </w:t>
      </w:r>
      <w:r>
        <w:rPr>
          <w:lang w:val="es-MX"/>
        </w:rPr>
        <w:t>A</w:t>
      </w:r>
      <w:r w:rsidRPr="00A602DC">
        <w:rPr>
          <w:lang w:val="es-MX"/>
        </w:rPr>
        <w:t xml:space="preserve">nexo F, observando que </w:t>
      </w:r>
      <w:r>
        <w:rPr>
          <w:lang w:val="es-MX"/>
        </w:rPr>
        <w:t xml:space="preserve">aquellas Partes </w:t>
      </w:r>
      <w:r w:rsidRPr="00A602DC">
        <w:rPr>
          <w:lang w:val="es-MX"/>
        </w:rPr>
        <w:t xml:space="preserve">que no están en posición </w:t>
      </w:r>
      <w:r>
        <w:rPr>
          <w:lang w:val="es-MX"/>
        </w:rPr>
        <w:t>de</w:t>
      </w:r>
      <w:r w:rsidRPr="00A602DC">
        <w:rPr>
          <w:lang w:val="es-MX"/>
        </w:rPr>
        <w:t xml:space="preserve"> establecer y </w:t>
      </w:r>
      <w:r>
        <w:rPr>
          <w:lang w:val="es-MX"/>
        </w:rPr>
        <w:t xml:space="preserve">aplicar </w:t>
      </w:r>
      <w:r w:rsidRPr="00A602DC">
        <w:rPr>
          <w:lang w:val="es-MX"/>
        </w:rPr>
        <w:t xml:space="preserve">un </w:t>
      </w:r>
      <w:r>
        <w:rPr>
          <w:lang w:val="es-MX"/>
        </w:rPr>
        <w:t>s</w:t>
      </w:r>
      <w:r w:rsidRPr="00A602DC">
        <w:rPr>
          <w:lang w:val="es-MX"/>
        </w:rPr>
        <w:t xml:space="preserve">istema de otorgamiento de licencias </w:t>
      </w:r>
      <w:r w:rsidR="00D86349">
        <w:rPr>
          <w:lang w:val="es-MX"/>
        </w:rPr>
        <w:t xml:space="preserve">para el </w:t>
      </w:r>
      <w:r w:rsidR="00D86349" w:rsidRPr="00A602DC">
        <w:rPr>
          <w:lang w:val="es-MX"/>
        </w:rPr>
        <w:t xml:space="preserve">1 de enero de 2019 </w:t>
      </w:r>
      <w:r w:rsidRPr="00A602DC">
        <w:rPr>
          <w:lang w:val="es-MX"/>
        </w:rPr>
        <w:t xml:space="preserve">pueden </w:t>
      </w:r>
      <w:r>
        <w:rPr>
          <w:lang w:val="es-MX"/>
        </w:rPr>
        <w:t xml:space="preserve">aplazar la toma de esas medidas </w:t>
      </w:r>
      <w:r w:rsidRPr="00A602DC">
        <w:rPr>
          <w:lang w:val="es-MX"/>
        </w:rPr>
        <w:t>hasta el 1 de enero de 2021.</w:t>
      </w:r>
    </w:p>
  </w:footnote>
  <w:footnote w:id="21">
    <w:p w14:paraId="21CBA3A1" w14:textId="6F057168" w:rsidR="00F0404B" w:rsidRPr="00A602DC" w:rsidRDefault="00F0404B" w:rsidP="00306314">
      <w:pPr>
        <w:pStyle w:val="FootnoteText"/>
        <w:rPr>
          <w:lang w:val="es-MX"/>
        </w:rPr>
      </w:pPr>
      <w:r>
        <w:rPr>
          <w:rStyle w:val="FootnoteReference"/>
        </w:rPr>
        <w:footnoteRef/>
      </w:r>
      <w:r w:rsidRPr="00A602DC">
        <w:rPr>
          <w:lang w:val="es-MX"/>
        </w:rPr>
        <w:t xml:space="preserve"> </w:t>
      </w:r>
      <w:r w:rsidR="00D86349">
        <w:rPr>
          <w:lang w:val="es-MX"/>
        </w:rPr>
        <w:t>Las</w:t>
      </w:r>
      <w:r w:rsidR="00D86349" w:rsidRPr="00A602DC">
        <w:rPr>
          <w:lang w:val="es-MX"/>
        </w:rPr>
        <w:t xml:space="preserve"> </w:t>
      </w:r>
      <w:r w:rsidR="00D86349">
        <w:rPr>
          <w:lang w:val="es-MX"/>
        </w:rPr>
        <w:t xml:space="preserve">Partes aprobaron </w:t>
      </w:r>
      <w:r w:rsidRPr="00A602DC">
        <w:rPr>
          <w:lang w:val="es-MX"/>
        </w:rPr>
        <w:t xml:space="preserve">nuevos formatos para </w:t>
      </w:r>
      <w:r>
        <w:rPr>
          <w:lang w:val="es-MX"/>
        </w:rPr>
        <w:t xml:space="preserve">presentar los </w:t>
      </w:r>
      <w:r w:rsidRPr="00A602DC">
        <w:rPr>
          <w:lang w:val="es-MX"/>
        </w:rPr>
        <w:t xml:space="preserve">datos </w:t>
      </w:r>
      <w:r>
        <w:rPr>
          <w:lang w:val="es-MX"/>
        </w:rPr>
        <w:t>en virtud del A</w:t>
      </w:r>
      <w:r w:rsidRPr="00A602DC">
        <w:rPr>
          <w:lang w:val="es-MX"/>
        </w:rPr>
        <w:t xml:space="preserve">rtículo 7 del </w:t>
      </w:r>
      <w:r>
        <w:rPr>
          <w:lang w:val="es-MX"/>
        </w:rPr>
        <w:t>P</w:t>
      </w:r>
      <w:r w:rsidRPr="00A602DC">
        <w:rPr>
          <w:lang w:val="es-MX"/>
        </w:rPr>
        <w:t xml:space="preserve">rotocolo y el Comité Ejecutivo </w:t>
      </w:r>
      <w:r>
        <w:rPr>
          <w:lang w:val="es-MX"/>
        </w:rPr>
        <w:t xml:space="preserve">aprobó </w:t>
      </w:r>
      <w:r w:rsidRPr="00A602DC">
        <w:rPr>
          <w:lang w:val="es-MX"/>
        </w:rPr>
        <w:t xml:space="preserve">los nuevos formatos </w:t>
      </w:r>
      <w:r>
        <w:rPr>
          <w:lang w:val="es-MX"/>
        </w:rPr>
        <w:t xml:space="preserve">para presentación de </w:t>
      </w:r>
      <w:r w:rsidRPr="00A602DC">
        <w:rPr>
          <w:lang w:val="es-MX"/>
        </w:rPr>
        <w:t>datos del programa de país.</w:t>
      </w:r>
    </w:p>
  </w:footnote>
  <w:footnote w:id="22">
    <w:p w14:paraId="1C511FA6" w14:textId="22C7F8EF" w:rsidR="00F0404B" w:rsidRPr="00A602DC" w:rsidRDefault="00F0404B" w:rsidP="00306314">
      <w:pPr>
        <w:pStyle w:val="FootnoteText"/>
        <w:rPr>
          <w:lang w:val="es-MX"/>
        </w:rPr>
      </w:pPr>
      <w:r>
        <w:rPr>
          <w:rStyle w:val="FootnoteReference"/>
        </w:rPr>
        <w:footnoteRef/>
      </w:r>
      <w:r w:rsidRPr="00A602DC">
        <w:rPr>
          <w:lang w:val="es-MX"/>
        </w:rPr>
        <w:t xml:space="preserve"> La Organización Mundial de Aduanas, a través de su </w:t>
      </w:r>
      <w:r>
        <w:rPr>
          <w:lang w:val="es-MX"/>
        </w:rPr>
        <w:t>S</w:t>
      </w:r>
      <w:r w:rsidRPr="00A602DC">
        <w:rPr>
          <w:lang w:val="es-MX"/>
        </w:rPr>
        <w:t xml:space="preserve">ubcomité </w:t>
      </w:r>
      <w:r>
        <w:rPr>
          <w:lang w:val="es-MX"/>
        </w:rPr>
        <w:t xml:space="preserve">de revisión del sistema </w:t>
      </w:r>
      <w:r w:rsidRPr="00A602DC">
        <w:rPr>
          <w:lang w:val="es-MX"/>
        </w:rPr>
        <w:t xml:space="preserve">armonizado y del </w:t>
      </w:r>
      <w:r>
        <w:rPr>
          <w:lang w:val="es-MX"/>
        </w:rPr>
        <w:t>S</w:t>
      </w:r>
      <w:r w:rsidRPr="00A602DC">
        <w:rPr>
          <w:lang w:val="es-MX"/>
        </w:rPr>
        <w:t>ubcomité científico, consider</w:t>
      </w:r>
      <w:r>
        <w:rPr>
          <w:lang w:val="es-MX"/>
        </w:rPr>
        <w:t>ó</w:t>
      </w:r>
      <w:r w:rsidRPr="00A602DC">
        <w:rPr>
          <w:lang w:val="es-MX"/>
        </w:rPr>
        <w:t xml:space="preserve"> la petición </w:t>
      </w:r>
      <w:r>
        <w:rPr>
          <w:lang w:val="es-MX"/>
        </w:rPr>
        <w:t>de</w:t>
      </w:r>
      <w:r w:rsidRPr="00A602DC">
        <w:rPr>
          <w:lang w:val="es-MX"/>
        </w:rPr>
        <w:t xml:space="preserve"> la decisión XXVI/8 de las Partes en el Protocolo de Montreal de </w:t>
      </w:r>
      <w:r>
        <w:rPr>
          <w:lang w:val="es-MX"/>
        </w:rPr>
        <w:t xml:space="preserve">designar </w:t>
      </w:r>
      <w:r w:rsidRPr="00A602DC">
        <w:rPr>
          <w:lang w:val="es-MX"/>
        </w:rPr>
        <w:t xml:space="preserve">códigos individuales del </w:t>
      </w:r>
      <w:r>
        <w:rPr>
          <w:lang w:val="es-MX"/>
        </w:rPr>
        <w:t xml:space="preserve">sistema armonizado </w:t>
      </w:r>
      <w:r w:rsidRPr="00A602DC">
        <w:rPr>
          <w:lang w:val="es-MX"/>
        </w:rPr>
        <w:t xml:space="preserve">para </w:t>
      </w:r>
      <w:r>
        <w:rPr>
          <w:lang w:val="es-MX"/>
        </w:rPr>
        <w:t>los</w:t>
      </w:r>
      <w:r w:rsidRPr="00A602DC">
        <w:rPr>
          <w:lang w:val="es-MX"/>
        </w:rPr>
        <w:t xml:space="preserve"> HFC</w:t>
      </w:r>
      <w:r>
        <w:rPr>
          <w:lang w:val="es-MX"/>
        </w:rPr>
        <w:t xml:space="preserve"> más comunes</w:t>
      </w:r>
      <w:r w:rsidRPr="00A602DC">
        <w:rPr>
          <w:lang w:val="es-MX"/>
        </w:rPr>
        <w:t xml:space="preserve">. </w:t>
      </w:r>
    </w:p>
  </w:footnote>
  <w:footnote w:id="23">
    <w:p w14:paraId="6F37D3B5" w14:textId="2C76515D" w:rsidR="00F0404B" w:rsidRPr="009F4D4E" w:rsidRDefault="00F0404B" w:rsidP="00306314">
      <w:pPr>
        <w:pStyle w:val="FootnoteText"/>
        <w:rPr>
          <w:lang w:val="es-MX"/>
        </w:rPr>
      </w:pPr>
      <w:r>
        <w:rPr>
          <w:rStyle w:val="FootnoteReference"/>
        </w:rPr>
        <w:footnoteRef/>
      </w:r>
      <w:r w:rsidRPr="009F4D4E">
        <w:rPr>
          <w:lang w:val="es-MX"/>
        </w:rPr>
        <w:t xml:space="preserve"> En su 84</w:t>
      </w:r>
      <w:r>
        <w:rPr>
          <w:lang w:val="es-MX"/>
        </w:rPr>
        <w:t xml:space="preserve">ª </w:t>
      </w:r>
      <w:r w:rsidRPr="009F4D4E">
        <w:rPr>
          <w:lang w:val="es-MX"/>
        </w:rPr>
        <w:t>reunión, el Comité Ejecutivo aprobó</w:t>
      </w:r>
      <w:r>
        <w:rPr>
          <w:lang w:val="es-MX"/>
        </w:rPr>
        <w:t xml:space="preserve">, </w:t>
      </w:r>
      <w:r w:rsidRPr="009F4D4E">
        <w:rPr>
          <w:lang w:val="es-MX"/>
        </w:rPr>
        <w:t>entre otras cosas</w:t>
      </w:r>
      <w:r>
        <w:rPr>
          <w:lang w:val="es-MX"/>
        </w:rPr>
        <w:t>,</w:t>
      </w:r>
      <w:r w:rsidRPr="009F4D4E">
        <w:rPr>
          <w:lang w:val="es-MX"/>
        </w:rPr>
        <w:t xml:space="preserve"> la política operativa </w:t>
      </w:r>
      <w:r>
        <w:rPr>
          <w:lang w:val="es-MX"/>
        </w:rPr>
        <w:t xml:space="preserve">sobre </w:t>
      </w:r>
      <w:r w:rsidRPr="009F4D4E">
        <w:rPr>
          <w:lang w:val="es-MX"/>
        </w:rPr>
        <w:t>la integración de</w:t>
      </w:r>
      <w:r>
        <w:rPr>
          <w:lang w:val="es-MX"/>
        </w:rPr>
        <w:t xml:space="preserve"> la perspectiva de género </w:t>
      </w:r>
      <w:r w:rsidRPr="009F4D4E">
        <w:rPr>
          <w:lang w:val="es-MX"/>
        </w:rPr>
        <w:t xml:space="preserve">para los proyectos </w:t>
      </w:r>
      <w:r>
        <w:rPr>
          <w:lang w:val="es-MX"/>
        </w:rPr>
        <w:t xml:space="preserve">apoyados por el </w:t>
      </w:r>
      <w:r w:rsidRPr="009F4D4E">
        <w:rPr>
          <w:lang w:val="es-MX"/>
        </w:rPr>
        <w:t>Fondo</w:t>
      </w:r>
      <w:r>
        <w:rPr>
          <w:lang w:val="es-MX"/>
        </w:rPr>
        <w:t xml:space="preserve"> M</w:t>
      </w:r>
      <w:r w:rsidRPr="009F4D4E">
        <w:rPr>
          <w:lang w:val="es-MX"/>
        </w:rPr>
        <w:t xml:space="preserve">ultilateral y </w:t>
      </w:r>
      <w:r>
        <w:rPr>
          <w:lang w:val="es-MX"/>
        </w:rPr>
        <w:t>pidió a los o</w:t>
      </w:r>
      <w:r w:rsidRPr="009F4D4E">
        <w:rPr>
          <w:lang w:val="es-MX"/>
        </w:rPr>
        <w:t xml:space="preserve">rganismos de ejecución </w:t>
      </w:r>
      <w:r>
        <w:rPr>
          <w:lang w:val="es-MX"/>
        </w:rPr>
        <w:t xml:space="preserve">y bilaterales que aplicaran dicha </w:t>
      </w:r>
      <w:r w:rsidRPr="009F4D4E">
        <w:rPr>
          <w:lang w:val="es-MX"/>
        </w:rPr>
        <w:t xml:space="preserve">política </w:t>
      </w:r>
      <w:r>
        <w:rPr>
          <w:lang w:val="es-MX"/>
        </w:rPr>
        <w:t>durante todo el ci</w:t>
      </w:r>
      <w:r w:rsidRPr="009F4D4E">
        <w:rPr>
          <w:lang w:val="es-MX"/>
        </w:rPr>
        <w:t>clo del proyecto (decisión 84/92 b)).</w:t>
      </w:r>
    </w:p>
  </w:footnote>
  <w:footnote w:id="24">
    <w:p w14:paraId="4BC1ADA1" w14:textId="6421EBA4" w:rsidR="00F0404B" w:rsidRPr="009F4D4E" w:rsidRDefault="00F0404B" w:rsidP="00306314">
      <w:pPr>
        <w:pStyle w:val="FootnoteText"/>
        <w:rPr>
          <w:lang w:val="es-MX"/>
        </w:rPr>
      </w:pPr>
      <w:r>
        <w:rPr>
          <w:rStyle w:val="FootnoteReference"/>
        </w:rPr>
        <w:footnoteRef/>
      </w:r>
      <w:r w:rsidRPr="009F4D4E">
        <w:rPr>
          <w:lang w:val="es-MX"/>
        </w:rPr>
        <w:t xml:space="preserve"> E</w:t>
      </w:r>
      <w:r>
        <w:rPr>
          <w:lang w:val="es-MX"/>
        </w:rPr>
        <w:t xml:space="preserve">xamen </w:t>
      </w:r>
      <w:r w:rsidRPr="009F4D4E">
        <w:rPr>
          <w:lang w:val="es-MX"/>
        </w:rPr>
        <w:t xml:space="preserve">del </w:t>
      </w:r>
      <w:r>
        <w:rPr>
          <w:lang w:val="es-MX"/>
        </w:rPr>
        <w:t>r</w:t>
      </w:r>
      <w:r w:rsidRPr="009F4D4E">
        <w:rPr>
          <w:lang w:val="es-MX"/>
        </w:rPr>
        <w:t xml:space="preserve">égimen de costos administrativos: </w:t>
      </w:r>
      <w:r>
        <w:rPr>
          <w:lang w:val="es-MX"/>
        </w:rPr>
        <w:t>de</w:t>
      </w:r>
      <w:r w:rsidR="00174D41">
        <w:rPr>
          <w:lang w:val="es-MX"/>
        </w:rPr>
        <w:t xml:space="preserve">beres </w:t>
      </w:r>
      <w:r w:rsidRPr="009F4D4E">
        <w:rPr>
          <w:lang w:val="es-MX"/>
        </w:rPr>
        <w:t>y cost</w:t>
      </w:r>
      <w:r>
        <w:rPr>
          <w:lang w:val="es-MX"/>
        </w:rPr>
        <w:t>o</w:t>
      </w:r>
      <w:r w:rsidRPr="009F4D4E">
        <w:rPr>
          <w:lang w:val="es-MX"/>
        </w:rPr>
        <w:t>s asociados a las oficinas de gestión de proyectos (UNEP/OzL.Pro/ExCom/82/63).</w:t>
      </w:r>
    </w:p>
  </w:footnote>
  <w:footnote w:id="25">
    <w:p w14:paraId="602EE276" w14:textId="2906DD56" w:rsidR="00F0404B" w:rsidRPr="00BF1C5A" w:rsidRDefault="00F0404B" w:rsidP="00306314">
      <w:pPr>
        <w:pStyle w:val="FootnoteText"/>
        <w:rPr>
          <w:lang w:val="es-MX"/>
        </w:rPr>
      </w:pPr>
      <w:r>
        <w:rPr>
          <w:rStyle w:val="FootnoteReference"/>
        </w:rPr>
        <w:footnoteRef/>
      </w:r>
      <w:r w:rsidRPr="00BF1C5A">
        <w:rPr>
          <w:lang w:val="es-MX"/>
        </w:rPr>
        <w:t xml:space="preserve"> E</w:t>
      </w:r>
      <w:r>
        <w:rPr>
          <w:lang w:val="es-MX"/>
        </w:rPr>
        <w:t xml:space="preserve">xamen </w:t>
      </w:r>
      <w:r w:rsidRPr="00BF1C5A">
        <w:rPr>
          <w:lang w:val="es-MX"/>
        </w:rPr>
        <w:t xml:space="preserve">del Régimen de costos administrativos: análisis por país de las oficinas de gestión de proyectos, </w:t>
      </w:r>
      <w:r>
        <w:rPr>
          <w:lang w:val="es-MX"/>
        </w:rPr>
        <w:t>f</w:t>
      </w:r>
      <w:r w:rsidRPr="00BF1C5A">
        <w:rPr>
          <w:lang w:val="es-MX"/>
        </w:rPr>
        <w:t xml:space="preserve">ortalecimiento institucional, y </w:t>
      </w:r>
      <w:r>
        <w:rPr>
          <w:lang w:val="es-MX"/>
        </w:rPr>
        <w:t>o</w:t>
      </w:r>
      <w:r w:rsidRPr="00BF1C5A">
        <w:rPr>
          <w:lang w:val="es-MX"/>
        </w:rPr>
        <w:t xml:space="preserve">rganismos de ejecución, incluyendo actividades y financiación </w:t>
      </w:r>
      <w:r>
        <w:rPr>
          <w:lang w:val="es-MX"/>
        </w:rPr>
        <w:t>bajo e</w:t>
      </w:r>
      <w:r w:rsidRPr="00BF1C5A">
        <w:rPr>
          <w:lang w:val="es-MX"/>
        </w:rPr>
        <w:t xml:space="preserve">l Programa de </w:t>
      </w:r>
      <w:r>
        <w:rPr>
          <w:lang w:val="es-MX"/>
        </w:rPr>
        <w:t>a</w:t>
      </w:r>
      <w:r w:rsidRPr="00BF1C5A">
        <w:rPr>
          <w:lang w:val="es-MX"/>
        </w:rPr>
        <w:t xml:space="preserve">sistencia al </w:t>
      </w:r>
      <w:r>
        <w:rPr>
          <w:lang w:val="es-MX"/>
        </w:rPr>
        <w:t>c</w:t>
      </w:r>
      <w:r w:rsidRPr="00BF1C5A">
        <w:rPr>
          <w:lang w:val="es-MX"/>
        </w:rPr>
        <w:t xml:space="preserve">umplimiento, dependencias básicas y otros elementos del </w:t>
      </w:r>
      <w:r>
        <w:rPr>
          <w:lang w:val="es-MX"/>
        </w:rPr>
        <w:t>r</w:t>
      </w:r>
      <w:r w:rsidRPr="00BF1C5A">
        <w:rPr>
          <w:lang w:val="es-MX"/>
        </w:rPr>
        <w:t xml:space="preserve">égimen de costos administrativos, e información sobre la verificación independiente </w:t>
      </w:r>
      <w:r>
        <w:rPr>
          <w:lang w:val="es-MX"/>
        </w:rPr>
        <w:t>a</w:t>
      </w:r>
      <w:r w:rsidRPr="00BF1C5A">
        <w:rPr>
          <w:lang w:val="es-MX"/>
        </w:rPr>
        <w:t>l nivel nacional (UNEP/OzL.Pro/ExCom/83/39).</w:t>
      </w:r>
    </w:p>
  </w:footnote>
  <w:footnote w:id="26">
    <w:p w14:paraId="01B2B511" w14:textId="66AA5BD2" w:rsidR="00F0404B" w:rsidRPr="00BF1C5A" w:rsidRDefault="00F0404B" w:rsidP="00306314">
      <w:pPr>
        <w:pStyle w:val="FootnoteText"/>
        <w:rPr>
          <w:lang w:val="es-MX"/>
        </w:rPr>
      </w:pPr>
      <w:r>
        <w:rPr>
          <w:rStyle w:val="FootnoteReference"/>
        </w:rPr>
        <w:footnoteRef/>
      </w:r>
      <w:r w:rsidRPr="00BF1C5A">
        <w:rPr>
          <w:lang w:val="es-MX"/>
        </w:rPr>
        <w:t xml:space="preserve"> Por ejemplo, </w:t>
      </w:r>
      <w:r>
        <w:rPr>
          <w:lang w:val="es-MX"/>
        </w:rPr>
        <w:t xml:space="preserve">la obtención de </w:t>
      </w:r>
      <w:r w:rsidRPr="00BF1C5A">
        <w:rPr>
          <w:lang w:val="es-MX"/>
        </w:rPr>
        <w:t xml:space="preserve">la aprobación </w:t>
      </w:r>
      <w:r>
        <w:rPr>
          <w:lang w:val="es-MX"/>
        </w:rPr>
        <w:t>de</w:t>
      </w:r>
      <w:r w:rsidRPr="00BF1C5A">
        <w:rPr>
          <w:lang w:val="es-MX"/>
        </w:rPr>
        <w:t xml:space="preserve"> la autoridad pertinente; la necesidad, </w:t>
      </w:r>
      <w:r>
        <w:rPr>
          <w:lang w:val="es-MX"/>
        </w:rPr>
        <w:t xml:space="preserve">para los </w:t>
      </w:r>
      <w:r w:rsidRPr="00BF1C5A">
        <w:rPr>
          <w:lang w:val="es-MX"/>
        </w:rPr>
        <w:t xml:space="preserve">países no </w:t>
      </w:r>
      <w:r>
        <w:rPr>
          <w:lang w:val="es-MX"/>
        </w:rPr>
        <w:t>que no son de lengua inglesa</w:t>
      </w:r>
      <w:r w:rsidRPr="00BF1C5A">
        <w:rPr>
          <w:lang w:val="es-MX"/>
        </w:rPr>
        <w:t xml:space="preserve">, de traducir </w:t>
      </w:r>
      <w:r>
        <w:rPr>
          <w:lang w:val="es-MX"/>
        </w:rPr>
        <w:t xml:space="preserve">los </w:t>
      </w:r>
      <w:r w:rsidRPr="00BF1C5A">
        <w:rPr>
          <w:lang w:val="es-MX"/>
        </w:rPr>
        <w:t>documentos de renovación, acuerdos legales y otros documentos justificativos antes de su aprobación, y firma del acuerdo; a</w:t>
      </w:r>
      <w:r>
        <w:rPr>
          <w:lang w:val="es-MX"/>
        </w:rPr>
        <w:t>p</w:t>
      </w:r>
      <w:r w:rsidRPr="00BF1C5A">
        <w:rPr>
          <w:lang w:val="es-MX"/>
        </w:rPr>
        <w:t>ertura de nuevas cuentas bancarias donde se requiera</w:t>
      </w:r>
      <w:r>
        <w:rPr>
          <w:lang w:val="es-MX"/>
        </w:rPr>
        <w:t>,</w:t>
      </w:r>
      <w:r w:rsidRPr="00BF1C5A">
        <w:rPr>
          <w:lang w:val="es-MX"/>
        </w:rPr>
        <w:t xml:space="preserve"> debido a regulaciones financieras estrictas (los fondos no pueden transferir</w:t>
      </w:r>
      <w:r>
        <w:rPr>
          <w:lang w:val="es-MX"/>
        </w:rPr>
        <w:t>se</w:t>
      </w:r>
      <w:r w:rsidRPr="00BF1C5A">
        <w:rPr>
          <w:lang w:val="es-MX"/>
        </w:rPr>
        <w:t xml:space="preserve"> hasta</w:t>
      </w:r>
      <w:r>
        <w:rPr>
          <w:lang w:val="es-MX"/>
        </w:rPr>
        <w:t xml:space="preserve"> que no se abra</w:t>
      </w:r>
      <w:r w:rsidRPr="00BF1C5A">
        <w:rPr>
          <w:lang w:val="es-MX"/>
        </w:rPr>
        <w:t xml:space="preserve"> una nueva cuenta bancaria).</w:t>
      </w:r>
    </w:p>
  </w:footnote>
  <w:footnote w:id="27">
    <w:p w14:paraId="3FD90BBE" w14:textId="3C999CD4" w:rsidR="00F0404B" w:rsidRPr="006753DD" w:rsidRDefault="00F0404B" w:rsidP="00306314">
      <w:pPr>
        <w:pStyle w:val="FootnoteText"/>
        <w:rPr>
          <w:lang w:val="es-MX"/>
        </w:rPr>
      </w:pPr>
      <w:r>
        <w:rPr>
          <w:rStyle w:val="FootnoteReference"/>
        </w:rPr>
        <w:footnoteRef/>
      </w:r>
      <w:r w:rsidRPr="006753DD">
        <w:rPr>
          <w:lang w:val="es-MX"/>
        </w:rPr>
        <w:t xml:space="preserve"> </w:t>
      </w:r>
      <w:r w:rsidR="006753DD" w:rsidRPr="006753DD">
        <w:rPr>
          <w:lang w:val="es-MX"/>
        </w:rPr>
        <w:t>En su 74</w:t>
      </w:r>
      <w:r w:rsidR="006753DD">
        <w:rPr>
          <w:lang w:val="es-MX"/>
        </w:rPr>
        <w:t xml:space="preserve">ª </w:t>
      </w:r>
      <w:r w:rsidR="006753DD" w:rsidRPr="006753DD">
        <w:rPr>
          <w:lang w:val="es-MX"/>
        </w:rPr>
        <w:t xml:space="preserve">reunión, el Comité Ejecutivo </w:t>
      </w:r>
      <w:r w:rsidR="006753DD">
        <w:rPr>
          <w:lang w:val="es-MX"/>
        </w:rPr>
        <w:t xml:space="preserve">examinó </w:t>
      </w:r>
      <w:r w:rsidR="006753DD" w:rsidRPr="006753DD">
        <w:rPr>
          <w:lang w:val="es-MX"/>
        </w:rPr>
        <w:t xml:space="preserve">el formato de </w:t>
      </w:r>
      <w:r w:rsidR="006753DD">
        <w:rPr>
          <w:lang w:val="es-MX"/>
        </w:rPr>
        <w:t xml:space="preserve">presentación de informes para las solicitudes de renovación de proyectos de fortalecimiento institucional </w:t>
      </w:r>
      <w:r w:rsidR="006753DD" w:rsidRPr="006753DD">
        <w:rPr>
          <w:lang w:val="es-MX"/>
        </w:rPr>
        <w:t xml:space="preserve">que </w:t>
      </w:r>
      <w:r w:rsidR="006753DD">
        <w:rPr>
          <w:lang w:val="es-MX"/>
        </w:rPr>
        <w:t xml:space="preserve">se habían utilizado </w:t>
      </w:r>
      <w:r w:rsidR="006753DD" w:rsidRPr="006753DD">
        <w:rPr>
          <w:lang w:val="es-MX"/>
        </w:rPr>
        <w:t>desde la 61</w:t>
      </w:r>
      <w:r w:rsidR="006753DD">
        <w:rPr>
          <w:lang w:val="es-MX"/>
        </w:rPr>
        <w:t xml:space="preserve">ª </w:t>
      </w:r>
      <w:r w:rsidR="006753DD" w:rsidRPr="006753DD">
        <w:rPr>
          <w:lang w:val="es-MX"/>
        </w:rPr>
        <w:t>reunión</w:t>
      </w:r>
      <w:r w:rsidRPr="006753DD">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4535" w14:textId="1D39EE8F" w:rsidR="00F0404B" w:rsidRDefault="00F0404B">
    <w:r>
      <w:fldChar w:fldCharType="begin"/>
    </w:r>
    <w:r>
      <w:instrText xml:space="preserve"> DOCPROPERTY "Document number"  \* MERGEFORMAT </w:instrText>
    </w:r>
    <w:r>
      <w:fldChar w:fldCharType="separate"/>
    </w:r>
    <w:r w:rsidR="009F4988">
      <w:t>UNEP/</w:t>
    </w:r>
    <w:proofErr w:type="spellStart"/>
    <w:r w:rsidR="009F4988">
      <w:t>OzL.Pro</w:t>
    </w:r>
    <w:proofErr w:type="spellEnd"/>
    <w:r w:rsidR="009F4988">
      <w:t>/</w:t>
    </w:r>
    <w:proofErr w:type="spellStart"/>
    <w:r w:rsidR="009F4988">
      <w:t>ExCom</w:t>
    </w:r>
    <w:proofErr w:type="spellEnd"/>
    <w:r w:rsidR="009F4988">
      <w:t>/87/42</w:t>
    </w:r>
    <w:r>
      <w:fldChar w:fldCharType="end"/>
    </w:r>
  </w:p>
  <w:p w14:paraId="2CFFA9D1" w14:textId="77777777" w:rsidR="00F0404B" w:rsidRPr="0033525D" w:rsidRDefault="00F0404B" w:rsidP="009E3957"/>
  <w:p w14:paraId="338E8715" w14:textId="77777777" w:rsidR="00F0404B" w:rsidRPr="00422961" w:rsidRDefault="00F0404B" w:rsidP="009E39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25B2" w14:textId="0BDAA17C" w:rsidR="00F0404B" w:rsidRDefault="00F0404B">
    <w:pPr>
      <w:jc w:val="right"/>
    </w:pPr>
    <w:r>
      <w:fldChar w:fldCharType="begin"/>
    </w:r>
    <w:r>
      <w:instrText xml:space="preserve"> DOCPROPERTY "Document number"  \* MERGEFORMAT </w:instrText>
    </w:r>
    <w:r>
      <w:fldChar w:fldCharType="separate"/>
    </w:r>
    <w:r w:rsidR="009F4988">
      <w:t>UNEP/</w:t>
    </w:r>
    <w:proofErr w:type="spellStart"/>
    <w:r w:rsidR="009F4988">
      <w:t>OzL.Pro</w:t>
    </w:r>
    <w:proofErr w:type="spellEnd"/>
    <w:r w:rsidR="009F4988">
      <w:t>/</w:t>
    </w:r>
    <w:proofErr w:type="spellStart"/>
    <w:r w:rsidR="009F4988">
      <w:t>ExCom</w:t>
    </w:r>
    <w:proofErr w:type="spellEnd"/>
    <w:r w:rsidR="009F4988">
      <w:t>/87/42</w:t>
    </w:r>
    <w:r>
      <w:fldChar w:fldCharType="end"/>
    </w:r>
  </w:p>
  <w:p w14:paraId="5822F900" w14:textId="77777777" w:rsidR="00F0404B" w:rsidRPr="0033525D" w:rsidRDefault="00F0404B" w:rsidP="009E3957"/>
  <w:p w14:paraId="50B75EF3" w14:textId="77777777" w:rsidR="00F0404B" w:rsidRPr="0033525D" w:rsidRDefault="00F0404B" w:rsidP="009E39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0C4A" w14:textId="77777777" w:rsidR="00F0404B" w:rsidRDefault="00F0404B" w:rsidP="009E3957">
    <w:pPr>
      <w:pStyle w:val="Header"/>
    </w:pPr>
  </w:p>
  <w:p w14:paraId="4A356094" w14:textId="77777777" w:rsidR="00F0404B" w:rsidRPr="00422961" w:rsidRDefault="00F0404B" w:rsidP="009E395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C1F0" w14:textId="00F67C29" w:rsidR="00F0404B" w:rsidRDefault="00F0404B" w:rsidP="00362D69">
    <w:pPr>
      <w:pStyle w:val="Header"/>
      <w:jc w:val="right"/>
    </w:pPr>
    <w:r>
      <w:rPr>
        <w:lang w:val="es-AR"/>
      </w:rPr>
      <w:t>UNEP/OzL.Pro/ExCom/86/30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713E" w14:textId="4D0D7CFC" w:rsidR="00F0404B" w:rsidRDefault="00F0404B" w:rsidP="00362D69">
    <w:pPr>
      <w:pStyle w:val="Header"/>
      <w:jc w:val="left"/>
    </w:pPr>
    <w:r>
      <w:rPr>
        <w:lang w:val="es-AR"/>
      </w:rPr>
      <w:t>UNEP/OzL.Pro/ExCom/86/30</w:t>
    </w:r>
  </w:p>
  <w:p w14:paraId="773E1EDB" w14:textId="77777777" w:rsidR="00F0404B" w:rsidRDefault="00F0404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6941" w14:textId="77777777" w:rsidR="00F0404B" w:rsidRDefault="00F04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5"/>
    <w:rsid w:val="00001B41"/>
    <w:rsid w:val="00005AC9"/>
    <w:rsid w:val="00024680"/>
    <w:rsid w:val="000903E8"/>
    <w:rsid w:val="00095B59"/>
    <w:rsid w:val="000B2582"/>
    <w:rsid w:val="000D476D"/>
    <w:rsid w:val="000D79F9"/>
    <w:rsid w:val="000E4252"/>
    <w:rsid w:val="00106F6E"/>
    <w:rsid w:val="00114CAA"/>
    <w:rsid w:val="001201BF"/>
    <w:rsid w:val="001311B2"/>
    <w:rsid w:val="00136014"/>
    <w:rsid w:val="00146D09"/>
    <w:rsid w:val="0016366B"/>
    <w:rsid w:val="001640C2"/>
    <w:rsid w:val="001677F2"/>
    <w:rsid w:val="00171208"/>
    <w:rsid w:val="00174D41"/>
    <w:rsid w:val="001768E8"/>
    <w:rsid w:val="0019043F"/>
    <w:rsid w:val="00190842"/>
    <w:rsid w:val="00193AA4"/>
    <w:rsid w:val="001A4418"/>
    <w:rsid w:val="001C0BE7"/>
    <w:rsid w:val="001C2D22"/>
    <w:rsid w:val="001E0683"/>
    <w:rsid w:val="001E2B6F"/>
    <w:rsid w:val="001F4047"/>
    <w:rsid w:val="002043D9"/>
    <w:rsid w:val="00204A38"/>
    <w:rsid w:val="00206558"/>
    <w:rsid w:val="002129A5"/>
    <w:rsid w:val="00221F16"/>
    <w:rsid w:val="00225BE0"/>
    <w:rsid w:val="00227192"/>
    <w:rsid w:val="002340F2"/>
    <w:rsid w:val="00235D4C"/>
    <w:rsid w:val="002366AC"/>
    <w:rsid w:val="0024162E"/>
    <w:rsid w:val="002437AD"/>
    <w:rsid w:val="002467F6"/>
    <w:rsid w:val="00247E29"/>
    <w:rsid w:val="00254FBC"/>
    <w:rsid w:val="00274FC2"/>
    <w:rsid w:val="00287298"/>
    <w:rsid w:val="002875E0"/>
    <w:rsid w:val="002979BE"/>
    <w:rsid w:val="002A5352"/>
    <w:rsid w:val="002A745C"/>
    <w:rsid w:val="002C4BC4"/>
    <w:rsid w:val="002D4029"/>
    <w:rsid w:val="003032B7"/>
    <w:rsid w:val="00306314"/>
    <w:rsid w:val="003132C8"/>
    <w:rsid w:val="003158A9"/>
    <w:rsid w:val="003275DE"/>
    <w:rsid w:val="00346B2A"/>
    <w:rsid w:val="0035363C"/>
    <w:rsid w:val="00353C83"/>
    <w:rsid w:val="0035716D"/>
    <w:rsid w:val="00362D69"/>
    <w:rsid w:val="00364659"/>
    <w:rsid w:val="00371229"/>
    <w:rsid w:val="003748C7"/>
    <w:rsid w:val="00375642"/>
    <w:rsid w:val="003818D8"/>
    <w:rsid w:val="00382E18"/>
    <w:rsid w:val="003863A4"/>
    <w:rsid w:val="003914BD"/>
    <w:rsid w:val="00393B3C"/>
    <w:rsid w:val="003963F6"/>
    <w:rsid w:val="003B4F2D"/>
    <w:rsid w:val="003B7115"/>
    <w:rsid w:val="003C265A"/>
    <w:rsid w:val="003E16B5"/>
    <w:rsid w:val="003E32E0"/>
    <w:rsid w:val="00404197"/>
    <w:rsid w:val="0040627F"/>
    <w:rsid w:val="0041078D"/>
    <w:rsid w:val="004145CA"/>
    <w:rsid w:val="00425E63"/>
    <w:rsid w:val="00436431"/>
    <w:rsid w:val="004469A6"/>
    <w:rsid w:val="00447826"/>
    <w:rsid w:val="00453642"/>
    <w:rsid w:val="0045436C"/>
    <w:rsid w:val="00455352"/>
    <w:rsid w:val="004639F1"/>
    <w:rsid w:val="00464A71"/>
    <w:rsid w:val="0046763A"/>
    <w:rsid w:val="004705B3"/>
    <w:rsid w:val="00476E28"/>
    <w:rsid w:val="00482099"/>
    <w:rsid w:val="00484D01"/>
    <w:rsid w:val="004855CF"/>
    <w:rsid w:val="004A3566"/>
    <w:rsid w:val="004A3A5A"/>
    <w:rsid w:val="004B2B59"/>
    <w:rsid w:val="004B3724"/>
    <w:rsid w:val="004C29E7"/>
    <w:rsid w:val="004C7619"/>
    <w:rsid w:val="004D7546"/>
    <w:rsid w:val="004E3EA3"/>
    <w:rsid w:val="005167BF"/>
    <w:rsid w:val="00520F3C"/>
    <w:rsid w:val="00536113"/>
    <w:rsid w:val="00542D17"/>
    <w:rsid w:val="0054606A"/>
    <w:rsid w:val="00587471"/>
    <w:rsid w:val="005A4254"/>
    <w:rsid w:val="005A6CB8"/>
    <w:rsid w:val="005B36E7"/>
    <w:rsid w:val="005B5379"/>
    <w:rsid w:val="005B6C18"/>
    <w:rsid w:val="005C258F"/>
    <w:rsid w:val="005C33E9"/>
    <w:rsid w:val="005E41B6"/>
    <w:rsid w:val="005F1C3D"/>
    <w:rsid w:val="00614879"/>
    <w:rsid w:val="00615509"/>
    <w:rsid w:val="00626625"/>
    <w:rsid w:val="00674039"/>
    <w:rsid w:val="006753DD"/>
    <w:rsid w:val="00681E6A"/>
    <w:rsid w:val="006915A5"/>
    <w:rsid w:val="00691DD3"/>
    <w:rsid w:val="00695604"/>
    <w:rsid w:val="006A29C6"/>
    <w:rsid w:val="006A6FDB"/>
    <w:rsid w:val="006C7817"/>
    <w:rsid w:val="006D1E48"/>
    <w:rsid w:val="006E1E63"/>
    <w:rsid w:val="006E5C3D"/>
    <w:rsid w:val="006F1B78"/>
    <w:rsid w:val="006F7AAF"/>
    <w:rsid w:val="00710CAF"/>
    <w:rsid w:val="00724159"/>
    <w:rsid w:val="00724650"/>
    <w:rsid w:val="00727DCA"/>
    <w:rsid w:val="007555F9"/>
    <w:rsid w:val="0076410C"/>
    <w:rsid w:val="0076507D"/>
    <w:rsid w:val="0077043C"/>
    <w:rsid w:val="00781354"/>
    <w:rsid w:val="0078200C"/>
    <w:rsid w:val="007830AD"/>
    <w:rsid w:val="00793BC2"/>
    <w:rsid w:val="007964C8"/>
    <w:rsid w:val="007B344A"/>
    <w:rsid w:val="007B7C3B"/>
    <w:rsid w:val="007C092C"/>
    <w:rsid w:val="007C5E79"/>
    <w:rsid w:val="007D009C"/>
    <w:rsid w:val="007E2A6D"/>
    <w:rsid w:val="007E4C2F"/>
    <w:rsid w:val="007E4DF3"/>
    <w:rsid w:val="007E5925"/>
    <w:rsid w:val="007F0870"/>
    <w:rsid w:val="00810B6A"/>
    <w:rsid w:val="00810E68"/>
    <w:rsid w:val="00831BC5"/>
    <w:rsid w:val="00835867"/>
    <w:rsid w:val="00842129"/>
    <w:rsid w:val="008427A6"/>
    <w:rsid w:val="0086036F"/>
    <w:rsid w:val="0086353C"/>
    <w:rsid w:val="0086379D"/>
    <w:rsid w:val="008654AB"/>
    <w:rsid w:val="0087455A"/>
    <w:rsid w:val="00886051"/>
    <w:rsid w:val="008948D6"/>
    <w:rsid w:val="008A2B91"/>
    <w:rsid w:val="008A6061"/>
    <w:rsid w:val="008B5984"/>
    <w:rsid w:val="008C01B6"/>
    <w:rsid w:val="008D04FD"/>
    <w:rsid w:val="008D0C2E"/>
    <w:rsid w:val="008D3147"/>
    <w:rsid w:val="008D5FC1"/>
    <w:rsid w:val="008D74B0"/>
    <w:rsid w:val="008F3A6A"/>
    <w:rsid w:val="0092685B"/>
    <w:rsid w:val="00945381"/>
    <w:rsid w:val="0094753C"/>
    <w:rsid w:val="00953ADA"/>
    <w:rsid w:val="00972C26"/>
    <w:rsid w:val="00985AC8"/>
    <w:rsid w:val="00990BB8"/>
    <w:rsid w:val="009A6731"/>
    <w:rsid w:val="009B1556"/>
    <w:rsid w:val="009B6CC5"/>
    <w:rsid w:val="009D2761"/>
    <w:rsid w:val="009E0229"/>
    <w:rsid w:val="009E1200"/>
    <w:rsid w:val="009E3957"/>
    <w:rsid w:val="009E64B3"/>
    <w:rsid w:val="009F1174"/>
    <w:rsid w:val="009F4988"/>
    <w:rsid w:val="009F4D4E"/>
    <w:rsid w:val="009F7EDD"/>
    <w:rsid w:val="00A01847"/>
    <w:rsid w:val="00A04E18"/>
    <w:rsid w:val="00A127FA"/>
    <w:rsid w:val="00A1309B"/>
    <w:rsid w:val="00A16E42"/>
    <w:rsid w:val="00A24E38"/>
    <w:rsid w:val="00A4671A"/>
    <w:rsid w:val="00A602DC"/>
    <w:rsid w:val="00A632D0"/>
    <w:rsid w:val="00A706ED"/>
    <w:rsid w:val="00A70C96"/>
    <w:rsid w:val="00A82F9B"/>
    <w:rsid w:val="00AA1ED5"/>
    <w:rsid w:val="00AA4124"/>
    <w:rsid w:val="00AB40E7"/>
    <w:rsid w:val="00AB56E5"/>
    <w:rsid w:val="00AC4195"/>
    <w:rsid w:val="00AD3645"/>
    <w:rsid w:val="00AE449C"/>
    <w:rsid w:val="00AE4795"/>
    <w:rsid w:val="00AE7691"/>
    <w:rsid w:val="00B03E72"/>
    <w:rsid w:val="00B04D28"/>
    <w:rsid w:val="00B0649D"/>
    <w:rsid w:val="00B35AA6"/>
    <w:rsid w:val="00B41EBD"/>
    <w:rsid w:val="00B47437"/>
    <w:rsid w:val="00B5130E"/>
    <w:rsid w:val="00B62C00"/>
    <w:rsid w:val="00B63124"/>
    <w:rsid w:val="00B63EAD"/>
    <w:rsid w:val="00B81A01"/>
    <w:rsid w:val="00B83FFA"/>
    <w:rsid w:val="00BA5D1E"/>
    <w:rsid w:val="00BB2867"/>
    <w:rsid w:val="00BB4006"/>
    <w:rsid w:val="00BC29F6"/>
    <w:rsid w:val="00BE1C1A"/>
    <w:rsid w:val="00BF1C5A"/>
    <w:rsid w:val="00BF2AD3"/>
    <w:rsid w:val="00BF40DD"/>
    <w:rsid w:val="00BF6A9A"/>
    <w:rsid w:val="00C066E8"/>
    <w:rsid w:val="00C14E67"/>
    <w:rsid w:val="00C20BB4"/>
    <w:rsid w:val="00C2421B"/>
    <w:rsid w:val="00C27396"/>
    <w:rsid w:val="00C27FC5"/>
    <w:rsid w:val="00C34F00"/>
    <w:rsid w:val="00C40E04"/>
    <w:rsid w:val="00C41839"/>
    <w:rsid w:val="00C42222"/>
    <w:rsid w:val="00C53403"/>
    <w:rsid w:val="00C644E5"/>
    <w:rsid w:val="00C66541"/>
    <w:rsid w:val="00C746C7"/>
    <w:rsid w:val="00C908D4"/>
    <w:rsid w:val="00CC476D"/>
    <w:rsid w:val="00D007B6"/>
    <w:rsid w:val="00D32C66"/>
    <w:rsid w:val="00D41AB4"/>
    <w:rsid w:val="00D55624"/>
    <w:rsid w:val="00D629B8"/>
    <w:rsid w:val="00D6757F"/>
    <w:rsid w:val="00D70774"/>
    <w:rsid w:val="00D806E8"/>
    <w:rsid w:val="00D86349"/>
    <w:rsid w:val="00D912DE"/>
    <w:rsid w:val="00D9416A"/>
    <w:rsid w:val="00DB1DA7"/>
    <w:rsid w:val="00DB5D69"/>
    <w:rsid w:val="00DB795B"/>
    <w:rsid w:val="00DC2AA1"/>
    <w:rsid w:val="00DE24D4"/>
    <w:rsid w:val="00DE3762"/>
    <w:rsid w:val="00DF14AE"/>
    <w:rsid w:val="00E073DE"/>
    <w:rsid w:val="00E13054"/>
    <w:rsid w:val="00E17069"/>
    <w:rsid w:val="00E17F97"/>
    <w:rsid w:val="00E351C1"/>
    <w:rsid w:val="00E36222"/>
    <w:rsid w:val="00E503FC"/>
    <w:rsid w:val="00E61A4B"/>
    <w:rsid w:val="00E6436A"/>
    <w:rsid w:val="00E64613"/>
    <w:rsid w:val="00E719E2"/>
    <w:rsid w:val="00EB4258"/>
    <w:rsid w:val="00EC19A2"/>
    <w:rsid w:val="00EC37CC"/>
    <w:rsid w:val="00ED075B"/>
    <w:rsid w:val="00EF348D"/>
    <w:rsid w:val="00F0404B"/>
    <w:rsid w:val="00F10CD9"/>
    <w:rsid w:val="00F20A65"/>
    <w:rsid w:val="00F25F7C"/>
    <w:rsid w:val="00F278D7"/>
    <w:rsid w:val="00F417A5"/>
    <w:rsid w:val="00F42763"/>
    <w:rsid w:val="00F50375"/>
    <w:rsid w:val="00F82371"/>
    <w:rsid w:val="00F823F2"/>
    <w:rsid w:val="00F84E14"/>
    <w:rsid w:val="00F8571C"/>
    <w:rsid w:val="00FA0837"/>
    <w:rsid w:val="00FA179E"/>
    <w:rsid w:val="00FB7E6F"/>
    <w:rsid w:val="00FC3A8E"/>
    <w:rsid w:val="00FC7B69"/>
    <w:rsid w:val="00FD712E"/>
    <w:rsid w:val="00FD722C"/>
    <w:rsid w:val="00FF31B7"/>
    <w:rsid w:val="00FF7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0DAE08"/>
  <w15:docId w15:val="{BA87D969-68E9-48F2-95F6-C59B4B49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F84E14"/>
    <w:rPr>
      <w:vertAlign w:val="superscript"/>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ußnotentext Char1 Char Char, Char1"/>
    <w:basedOn w:val="Normal"/>
    <w:link w:val="FootnoteTextChar"/>
    <w:uiPriority w:val="99"/>
    <w:unhideWhenUsed/>
    <w:qFormat/>
    <w:rsid w:val="00F84E14"/>
    <w:rPr>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Char1 Char"/>
    <w:basedOn w:val="DefaultParagraphFont"/>
    <w:link w:val="FootnoteText"/>
    <w:uiPriority w:val="99"/>
    <w:rsid w:val="00F84E14"/>
    <w:rPr>
      <w:lang w:val="en-GB"/>
    </w:rPr>
  </w:style>
  <w:style w:type="character" w:customStyle="1" w:styleId="ListParagraphChar">
    <w:name w:val="List Paragraph Char"/>
    <w:basedOn w:val="DefaultParagraphFont"/>
    <w:link w:val="ListParagraph"/>
    <w:uiPriority w:val="34"/>
    <w:locked/>
    <w:rsid w:val="00F84E14"/>
    <w:rPr>
      <w:lang w:val="en-GB"/>
    </w:rPr>
  </w:style>
  <w:style w:type="paragraph" w:styleId="ListParagraph">
    <w:name w:val="List Paragraph"/>
    <w:basedOn w:val="Normal"/>
    <w:link w:val="ListParagraphChar"/>
    <w:uiPriority w:val="34"/>
    <w:qFormat/>
    <w:rsid w:val="00F84E14"/>
    <w:pPr>
      <w:ind w:left="720"/>
      <w:contextualSpacing/>
    </w:pPr>
    <w:rPr>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72C26"/>
    <w:pPr>
      <w:spacing w:after="160" w:line="240" w:lineRule="exact"/>
    </w:pPr>
    <w:rPr>
      <w:sz w:val="20"/>
      <w:szCs w:val="20"/>
      <w:vertAlign w:val="superscript"/>
      <w:lang w:val="en-US"/>
    </w:rPr>
  </w:style>
  <w:style w:type="character" w:customStyle="1" w:styleId="HeaderChar">
    <w:name w:val="Header Char"/>
    <w:basedOn w:val="DefaultParagraphFont"/>
    <w:link w:val="Header"/>
    <w:rsid w:val="00972C26"/>
    <w:rPr>
      <w:sz w:val="22"/>
      <w:szCs w:val="22"/>
      <w:lang w:val="en-GB"/>
    </w:rPr>
  </w:style>
  <w:style w:type="character" w:styleId="Hyperlink">
    <w:name w:val="Hyperlink"/>
    <w:basedOn w:val="DefaultParagraphFont"/>
    <w:uiPriority w:val="99"/>
    <w:unhideWhenUsed/>
    <w:rsid w:val="00972C26"/>
    <w:rPr>
      <w:color w:val="0000FF"/>
      <w:u w:val="single"/>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uiPriority w:val="9"/>
    <w:rsid w:val="00B41EBD"/>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1EBD"/>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B41EBD"/>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B41EBD"/>
    <w:rPr>
      <w:sz w:val="22"/>
      <w:szCs w:val="22"/>
      <w:lang w:val="en-GB"/>
    </w:rPr>
  </w:style>
  <w:style w:type="character" w:customStyle="1" w:styleId="Heading5Char">
    <w:name w:val="Heading 5 Char"/>
    <w:basedOn w:val="DefaultParagraphFont"/>
    <w:link w:val="Heading5"/>
    <w:rsid w:val="00B41EBD"/>
    <w:rPr>
      <w:sz w:val="22"/>
      <w:szCs w:val="22"/>
      <w:lang w:val="en-GB"/>
    </w:rPr>
  </w:style>
  <w:style w:type="character" w:customStyle="1" w:styleId="Heading6Char">
    <w:name w:val="Heading 6 Char"/>
    <w:basedOn w:val="DefaultParagraphFont"/>
    <w:link w:val="Heading6"/>
    <w:rsid w:val="00B41EBD"/>
    <w:rPr>
      <w:rFonts w:ascii="Arial" w:hAnsi="Arial"/>
      <w:i/>
      <w:sz w:val="22"/>
      <w:szCs w:val="22"/>
      <w:lang w:val="en-GB"/>
    </w:rPr>
  </w:style>
  <w:style w:type="character" w:customStyle="1" w:styleId="Heading7Char">
    <w:name w:val="Heading 7 Char"/>
    <w:basedOn w:val="DefaultParagraphFont"/>
    <w:link w:val="Heading7"/>
    <w:rsid w:val="00B41EBD"/>
    <w:rPr>
      <w:rFonts w:ascii="Arial" w:hAnsi="Arial"/>
      <w:sz w:val="22"/>
      <w:szCs w:val="22"/>
      <w:lang w:val="en-GB"/>
    </w:rPr>
  </w:style>
  <w:style w:type="character" w:customStyle="1" w:styleId="Heading8Char">
    <w:name w:val="Heading 8 Char"/>
    <w:basedOn w:val="DefaultParagraphFont"/>
    <w:link w:val="Heading8"/>
    <w:rsid w:val="00B41EBD"/>
    <w:rPr>
      <w:b/>
      <w:sz w:val="22"/>
      <w:szCs w:val="22"/>
      <w:lang w:val="en-GB"/>
    </w:rPr>
  </w:style>
  <w:style w:type="character" w:customStyle="1" w:styleId="Heading9Char">
    <w:name w:val="Heading 9 Char"/>
    <w:basedOn w:val="DefaultParagraphFont"/>
    <w:link w:val="Heading9"/>
    <w:rsid w:val="00B41EBD"/>
    <w:rPr>
      <w:rFonts w:ascii="Arial" w:hAnsi="Arial"/>
      <w:i/>
      <w:sz w:val="18"/>
      <w:szCs w:val="22"/>
      <w:lang w:val="en-GB"/>
    </w:rPr>
  </w:style>
  <w:style w:type="character" w:customStyle="1" w:styleId="BodyText3Char">
    <w:name w:val="Body Text 3 Char"/>
    <w:basedOn w:val="DefaultParagraphFont"/>
    <w:link w:val="BodyText3"/>
    <w:semiHidden/>
    <w:rsid w:val="00B41EBD"/>
    <w:rPr>
      <w:sz w:val="16"/>
      <w:szCs w:val="16"/>
      <w:lang w:val="en-GB"/>
    </w:rPr>
  </w:style>
  <w:style w:type="character" w:customStyle="1" w:styleId="BodyTextIndent3Char">
    <w:name w:val="Body Text Indent 3 Char"/>
    <w:basedOn w:val="DefaultParagraphFont"/>
    <w:link w:val="BodyTextIndent3"/>
    <w:semiHidden/>
    <w:rsid w:val="00B41EBD"/>
    <w:rPr>
      <w:sz w:val="16"/>
      <w:szCs w:val="16"/>
      <w:lang w:val="en-GB"/>
    </w:rPr>
  </w:style>
  <w:style w:type="character" w:customStyle="1" w:styleId="DateChar">
    <w:name w:val="Date Char"/>
    <w:basedOn w:val="DefaultParagraphFont"/>
    <w:link w:val="Date"/>
    <w:rsid w:val="00B41EBD"/>
    <w:rPr>
      <w:sz w:val="22"/>
      <w:szCs w:val="22"/>
      <w:lang w:val="en-GB"/>
    </w:rPr>
  </w:style>
  <w:style w:type="character" w:customStyle="1" w:styleId="PlainTextChar">
    <w:name w:val="Plain Text Char"/>
    <w:basedOn w:val="DefaultParagraphFont"/>
    <w:link w:val="PlainText"/>
    <w:semiHidden/>
    <w:rsid w:val="00B41EBD"/>
    <w:rPr>
      <w:rFonts w:ascii="Courier New" w:hAnsi="Courier New" w:cs="Courier New"/>
      <w:szCs w:val="22"/>
      <w:lang w:val="en-GB"/>
    </w:rPr>
  </w:style>
  <w:style w:type="character" w:customStyle="1" w:styleId="SubtitleChar">
    <w:name w:val="Subtitle Char"/>
    <w:basedOn w:val="DefaultParagraphFont"/>
    <w:link w:val="Subtitle"/>
    <w:rsid w:val="00B41EBD"/>
    <w:rPr>
      <w:rFonts w:ascii="Arial" w:hAnsi="Arial" w:cs="Arial"/>
      <w:sz w:val="22"/>
      <w:szCs w:val="22"/>
      <w:lang w:val="en-GB"/>
    </w:rPr>
  </w:style>
  <w:style w:type="character" w:customStyle="1" w:styleId="TitleChar">
    <w:name w:val="Title Char"/>
    <w:basedOn w:val="DefaultParagraphFont"/>
    <w:link w:val="Title"/>
    <w:rsid w:val="00B41EBD"/>
    <w:rPr>
      <w:rFonts w:ascii="Arial" w:hAnsi="Arial" w:cs="Arial"/>
      <w:b/>
      <w:bCs/>
      <w:kern w:val="28"/>
      <w:sz w:val="22"/>
      <w:szCs w:val="22"/>
      <w:lang w:val="en-GB"/>
    </w:rPr>
  </w:style>
  <w:style w:type="character" w:styleId="PageNumber">
    <w:name w:val="page number"/>
    <w:basedOn w:val="DefaultParagraphFont"/>
    <w:uiPriority w:val="99"/>
    <w:semiHidden/>
    <w:unhideWhenUsed/>
    <w:rsid w:val="00C27FC5"/>
  </w:style>
  <w:style w:type="paragraph" w:customStyle="1" w:styleId="Title2">
    <w:name w:val="Title2"/>
    <w:rsid w:val="002340F2"/>
    <w:pPr>
      <w:jc w:val="center"/>
      <w:outlineLvl w:val="0"/>
    </w:pPr>
    <w:rPr>
      <w:b/>
      <w:caps/>
      <w:sz w:val="22"/>
      <w:szCs w:val="22"/>
      <w:lang w:val="en-GB"/>
    </w:rPr>
  </w:style>
  <w:style w:type="paragraph" w:customStyle="1" w:styleId="subhead">
    <w:name w:val="subhead"/>
    <w:basedOn w:val="Normal"/>
    <w:next w:val="Normal"/>
    <w:uiPriority w:val="99"/>
    <w:rsid w:val="002340F2"/>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573050A\S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UNEP/OzL.Pro/ExCom/87/42</Document_x0020_Number>
  </documentManagement>
</p:properties>
</file>

<file path=customXml/itemProps1.xml><?xml version="1.0" encoding="utf-8"?>
<ds:datastoreItem xmlns:ds="http://schemas.openxmlformats.org/officeDocument/2006/customXml" ds:itemID="{C6A57EB2-140C-4008-88A0-F0CCB226364A}"/>
</file>

<file path=customXml/itemProps2.xml><?xml version="1.0" encoding="utf-8"?>
<ds:datastoreItem xmlns:ds="http://schemas.openxmlformats.org/officeDocument/2006/customXml" ds:itemID="{CEA8DCD6-2A89-417A-AE36-5B61F37C48C8}"/>
</file>

<file path=customXml/itemProps3.xml><?xml version="1.0" encoding="utf-8"?>
<ds:datastoreItem xmlns:ds="http://schemas.openxmlformats.org/officeDocument/2006/customXml" ds:itemID="{6DFFB44C-3E25-44AA-BE01-BCB05C96B995}"/>
</file>

<file path=customXml/itemProps4.xml><?xml version="1.0" encoding="utf-8"?>
<ds:datastoreItem xmlns:ds="http://schemas.openxmlformats.org/officeDocument/2006/customXml" ds:itemID="{BA69C83F-EB53-49B6-A24C-1ECB02BE7684}"/>
</file>

<file path=docProps/app.xml><?xml version="1.0" encoding="utf-8"?>
<Properties xmlns="http://schemas.openxmlformats.org/officeDocument/2006/extended-properties" xmlns:vt="http://schemas.openxmlformats.org/officeDocument/2006/docPropsVTypes">
  <Template>S86-template</Template>
  <TotalTime>24</TotalTime>
  <Pages>15</Pages>
  <Words>6443</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Reseña de los proyectos de fortalecimiento institucional con sus niveles de financiación </vt:lpstr>
    </vt:vector>
  </TitlesOfParts>
  <Company>UNMFS</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de los proyectos de fortalecimiento institucional con sus niveles de financiación </dc:title>
  <dc:creator>User</dc:creator>
  <cp:keywords>Feb 26, 86/84</cp:keywords>
  <cp:lastModifiedBy>HB</cp:lastModifiedBy>
  <cp:revision>16</cp:revision>
  <cp:lastPrinted>2001-05-26T16:40:00Z</cp:lastPrinted>
  <dcterms:created xsi:type="dcterms:W3CDTF">2021-03-04T15:09:00Z</dcterms:created>
  <dcterms:modified xsi:type="dcterms:W3CDTF">2021-09-10T20:45:00Z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UNEP/OzL.Pro/ExCom/87/42</vt:lpwstr>
  </property>
  <property fmtid="{D5CDD505-2E9C-101B-9397-08002B2CF9AE}" pid="3" name="Revision date">
    <vt:lpwstr>7/21/2021</vt:lpwstr>
  </property>
  <property fmtid="{D5CDD505-2E9C-101B-9397-08002B2CF9AE}" pid="4" name="ContentTypeId">
    <vt:lpwstr>0x010100ACD79882E53CBD488ABE60AC614F6D01</vt:lpwstr>
  </property>
</Properties>
</file>