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2D357D" w14:paraId="33C0CCAF" w14:textId="77777777" w:rsidTr="007717BB">
        <w:trPr>
          <w:trHeight w:val="720"/>
        </w:trPr>
        <w:tc>
          <w:tcPr>
            <w:tcW w:w="5490" w:type="dxa"/>
            <w:gridSpan w:val="2"/>
            <w:tcBorders>
              <w:bottom w:val="single" w:sz="18" w:space="0" w:color="auto"/>
            </w:tcBorders>
          </w:tcPr>
          <w:p w14:paraId="1EC85BFA" w14:textId="77777777" w:rsidR="00E3535B" w:rsidRPr="004C7828" w:rsidRDefault="00E3535B" w:rsidP="00E353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4C7828">
              <w:rPr>
                <w:rFonts w:ascii="Univers" w:hAnsi="Univers"/>
                <w:b/>
                <w:sz w:val="28"/>
                <w:szCs w:val="28"/>
                <w:lang w:val="fr-CA"/>
              </w:rPr>
              <w:t>NATIONS</w:t>
            </w:r>
          </w:p>
          <w:p w14:paraId="00ADDBFA" w14:textId="077D4823" w:rsidR="002D357D" w:rsidRPr="0000434E" w:rsidRDefault="00E3535B" w:rsidP="00E353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4C7828">
              <w:rPr>
                <w:rFonts w:ascii="Univers" w:hAnsi="Univers"/>
                <w:b/>
                <w:sz w:val="28"/>
                <w:szCs w:val="28"/>
                <w:lang w:val="fr-CA"/>
              </w:rPr>
              <w:t>UNIES</w:t>
            </w:r>
          </w:p>
        </w:tc>
        <w:tc>
          <w:tcPr>
            <w:tcW w:w="4590" w:type="dxa"/>
            <w:tcBorders>
              <w:bottom w:val="single" w:sz="18" w:space="0" w:color="auto"/>
            </w:tcBorders>
          </w:tcPr>
          <w:p w14:paraId="28DCA55E" w14:textId="77777777" w:rsidR="002D357D" w:rsidRPr="00493D40" w:rsidRDefault="002D357D" w:rsidP="007717BB">
            <w:pPr>
              <w:jc w:val="right"/>
              <w:rPr>
                <w:sz w:val="52"/>
                <w:szCs w:val="52"/>
              </w:rPr>
            </w:pPr>
            <w:r>
              <w:rPr>
                <w:rFonts w:ascii="Univers Bold" w:hAnsi="Univers Bold"/>
                <w:b/>
                <w:sz w:val="72"/>
              </w:rPr>
              <w:t>EP</w:t>
            </w:r>
          </w:p>
        </w:tc>
      </w:tr>
      <w:tr w:rsidR="002D357D" w14:paraId="08166174" w14:textId="77777777" w:rsidTr="0077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6792A22" w14:textId="77777777" w:rsidR="002D357D" w:rsidRDefault="002D357D" w:rsidP="007717BB">
            <w:pPr>
              <w:spacing w:before="120"/>
            </w:pPr>
            <w:r>
              <w:rPr>
                <w:noProof/>
                <w:lang w:val="en-US"/>
              </w:rPr>
              <mc:AlternateContent>
                <mc:Choice Requires="wpg">
                  <w:drawing>
                    <wp:anchor distT="0" distB="0" distL="114300" distR="114300" simplePos="0" relativeHeight="251659264" behindDoc="0" locked="0" layoutInCell="1" allowOverlap="1" wp14:anchorId="52A5532E" wp14:editId="2B74DDC2">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FEC723"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769C94BE" w14:textId="77777777" w:rsidR="00280865" w:rsidRDefault="00280865" w:rsidP="00E353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240E2ACC" w14:textId="65869204" w:rsidR="00E3535B" w:rsidRPr="00212558" w:rsidRDefault="00E3535B" w:rsidP="00E353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sidRPr="00212558">
              <w:rPr>
                <w:rFonts w:ascii="Univers" w:hAnsi="Univers"/>
                <w:b/>
                <w:sz w:val="32"/>
                <w:lang w:val="fr-CA"/>
              </w:rPr>
              <w:t>Programme des</w:t>
            </w:r>
          </w:p>
          <w:p w14:paraId="4E8CA9E7" w14:textId="77777777" w:rsidR="00E3535B" w:rsidRPr="00212558" w:rsidRDefault="00E3535B" w:rsidP="00E3535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sidRPr="00212558">
              <w:rPr>
                <w:rFonts w:ascii="Univers" w:hAnsi="Univers"/>
                <w:b/>
                <w:sz w:val="32"/>
                <w:lang w:val="fr-CA"/>
              </w:rPr>
              <w:t>Nations Unies pour l’environnement</w:t>
            </w:r>
          </w:p>
          <w:p w14:paraId="6A50AA9A" w14:textId="77777777" w:rsidR="002D357D" w:rsidRPr="00E3535B" w:rsidRDefault="002D357D" w:rsidP="007717BB">
            <w:pPr>
              <w:spacing w:before="720"/>
              <w:ind w:left="158"/>
              <w:rPr>
                <w:lang w:val="fr-CA"/>
              </w:rPr>
            </w:pPr>
          </w:p>
        </w:tc>
        <w:tc>
          <w:tcPr>
            <w:tcW w:w="4590" w:type="dxa"/>
            <w:tcBorders>
              <w:top w:val="nil"/>
              <w:left w:val="nil"/>
              <w:bottom w:val="single" w:sz="36" w:space="0" w:color="auto"/>
              <w:right w:val="nil"/>
            </w:tcBorders>
          </w:tcPr>
          <w:p w14:paraId="7DDFB9E6" w14:textId="77777777" w:rsidR="00280865" w:rsidRDefault="00280865" w:rsidP="007717BB">
            <w:pPr>
              <w:rPr>
                <w:lang w:val="fr-CA"/>
              </w:rPr>
            </w:pPr>
          </w:p>
          <w:p w14:paraId="33ADC3F1" w14:textId="2559B775" w:rsidR="002D357D" w:rsidRPr="00E3620A" w:rsidRDefault="002D357D" w:rsidP="007717BB">
            <w:pPr>
              <w:rPr>
                <w:lang w:val="fr-CA"/>
              </w:rPr>
            </w:pPr>
            <w:proofErr w:type="spellStart"/>
            <w:r w:rsidRPr="00E3620A">
              <w:rPr>
                <w:lang w:val="fr-CA"/>
              </w:rPr>
              <w:t>Distr</w:t>
            </w:r>
            <w:proofErr w:type="spellEnd"/>
            <w:r w:rsidRPr="00E3620A">
              <w:rPr>
                <w:lang w:val="fr-CA"/>
              </w:rPr>
              <w:t>.</w:t>
            </w:r>
          </w:p>
          <w:p w14:paraId="2C42C0E7" w14:textId="180BE1A1" w:rsidR="002D357D" w:rsidRPr="00282B18" w:rsidRDefault="00E3535B" w:rsidP="007717BB">
            <w:pPr>
              <w:rPr>
                <w:lang w:val="fr-CA"/>
              </w:rPr>
            </w:pPr>
            <w:r w:rsidRPr="00282B18">
              <w:rPr>
                <w:lang w:val="fr-CA"/>
              </w:rPr>
              <w:t>GÉNÉRALE</w:t>
            </w:r>
          </w:p>
          <w:p w14:paraId="4FC1F912" w14:textId="77777777" w:rsidR="002D357D" w:rsidRPr="00282B18" w:rsidRDefault="002D357D" w:rsidP="007717BB">
            <w:pPr>
              <w:rPr>
                <w:lang w:val="fr-CA"/>
              </w:rPr>
            </w:pPr>
          </w:p>
          <w:p w14:paraId="5F7CFF0E" w14:textId="3105A1CD" w:rsidR="002D357D" w:rsidRPr="00454C15" w:rsidRDefault="00F61EE8" w:rsidP="007717BB">
            <w:pPr>
              <w:rPr>
                <w:lang w:val="en-US"/>
              </w:rPr>
            </w:pPr>
            <w:r>
              <w:fldChar w:fldCharType="begin"/>
            </w:r>
            <w:r w:rsidRPr="00454C15">
              <w:rPr>
                <w:lang w:val="en-US"/>
              </w:rPr>
              <w:instrText xml:space="preserve"> DOCPROPERTY "Document number"  \* MERGEFORMAT </w:instrText>
            </w:r>
            <w:r>
              <w:fldChar w:fldCharType="separate"/>
            </w:r>
            <w:r w:rsidR="00382B1C" w:rsidRPr="00454C15">
              <w:rPr>
                <w:lang w:val="en-US"/>
              </w:rPr>
              <w:t>UNEP/OzL.Pro/ExCom/87/48</w:t>
            </w:r>
            <w:r>
              <w:fldChar w:fldCharType="end"/>
            </w:r>
          </w:p>
          <w:p w14:paraId="59519BEB" w14:textId="06408E18" w:rsidR="002D357D" w:rsidRPr="003F73BA" w:rsidRDefault="001F5501" w:rsidP="00B0343B">
            <w:r>
              <w:fldChar w:fldCharType="begin"/>
            </w:r>
            <w:r>
              <w:instrText xml:space="preserve"> DOCPROPERTY "Revision date" \@ "d MMMM YYYY"  \* MERGEFORMAT </w:instrText>
            </w:r>
            <w:r>
              <w:fldChar w:fldCharType="separate"/>
            </w:r>
            <w:r w:rsidR="00B0343B">
              <w:t xml:space="preserve">21 </w:t>
            </w:r>
            <w:proofErr w:type="spellStart"/>
            <w:r w:rsidR="00B0343B">
              <w:t>juillet</w:t>
            </w:r>
            <w:proofErr w:type="spellEnd"/>
            <w:r w:rsidR="00B0343B">
              <w:t xml:space="preserve"> 2021</w:t>
            </w:r>
            <w:r>
              <w:fldChar w:fldCharType="end"/>
            </w:r>
          </w:p>
          <w:p w14:paraId="2AD76C6D" w14:textId="77777777" w:rsidR="002D357D" w:rsidRPr="00000FED" w:rsidRDefault="002D357D" w:rsidP="007717BB">
            <w:pPr>
              <w:rPr>
                <w:caps/>
              </w:rPr>
            </w:pPr>
          </w:p>
          <w:p w14:paraId="5E15D1C7" w14:textId="77777777" w:rsidR="00E3535B" w:rsidRDefault="00E3535B" w:rsidP="007717BB">
            <w:r>
              <w:t>FRANÇAIS</w:t>
            </w:r>
          </w:p>
          <w:p w14:paraId="25675436" w14:textId="35683789" w:rsidR="002D357D" w:rsidRDefault="002D357D" w:rsidP="00E3535B">
            <w:r w:rsidRPr="0033525D">
              <w:t>ORIGINAL</w:t>
            </w:r>
            <w:r w:rsidR="00E3535B">
              <w:t xml:space="preserve"> </w:t>
            </w:r>
            <w:r w:rsidRPr="0033525D">
              <w:t xml:space="preserve">: </w:t>
            </w:r>
            <w:r w:rsidR="00E3535B">
              <w:t>ANGLAIS</w:t>
            </w:r>
          </w:p>
        </w:tc>
      </w:tr>
    </w:tbl>
    <w:p w14:paraId="5AC2F6F3" w14:textId="77777777" w:rsidR="00027229" w:rsidRDefault="00027229" w:rsidP="00027229">
      <w:pPr>
        <w:jc w:val="left"/>
        <w:rPr>
          <w:lang w:val="fr-CA"/>
        </w:rPr>
      </w:pPr>
      <w:r>
        <w:rPr>
          <w:lang w:val="fr-CA"/>
        </w:rPr>
        <w:t xml:space="preserve">COMITÉ EXÉCUTIF </w:t>
      </w:r>
      <w:r>
        <w:rPr>
          <w:lang w:val="fr-CA"/>
        </w:rPr>
        <w:br/>
        <w:t xml:space="preserve">  DU FONDS MULTILATÉRAL AUX FINS </w:t>
      </w:r>
      <w:r>
        <w:rPr>
          <w:lang w:val="fr-CA"/>
        </w:rPr>
        <w:br/>
        <w:t xml:space="preserve">  D’APPLICATION DU PROTOCOLE DE MONTRÉAL</w:t>
      </w:r>
      <w:r>
        <w:rPr>
          <w:lang w:val="fr-CA"/>
        </w:rPr>
        <w:br/>
        <w:t>Quatre-vingt-septième</w:t>
      </w:r>
      <w:r w:rsidRPr="00FC5578">
        <w:rPr>
          <w:lang w:val="fr-CA"/>
        </w:rPr>
        <w:t xml:space="preserve"> </w:t>
      </w:r>
      <w:r>
        <w:rPr>
          <w:lang w:val="fr-CA"/>
        </w:rPr>
        <w:t>réunion</w:t>
      </w:r>
    </w:p>
    <w:p w14:paraId="0488B4C7" w14:textId="77777777" w:rsidR="00027229" w:rsidRDefault="00027229" w:rsidP="00027229">
      <w:pPr>
        <w:jc w:val="left"/>
        <w:rPr>
          <w:lang w:val="fr-CA"/>
        </w:rPr>
      </w:pPr>
      <w:proofErr w:type="spellStart"/>
      <w:r>
        <w:rPr>
          <w:lang w:val="fr-CA"/>
        </w:rPr>
        <w:t>Montr</w:t>
      </w:r>
      <w:proofErr w:type="spellEnd"/>
      <w:r w:rsidRPr="00454C15">
        <w:rPr>
          <w:lang w:val="fr-CA"/>
        </w:rPr>
        <w:t>é</w:t>
      </w:r>
      <w:r>
        <w:rPr>
          <w:lang w:val="fr-CA"/>
        </w:rPr>
        <w:t>al, 28 juin – 2 juillet 2021</w:t>
      </w:r>
      <w:r>
        <w:rPr>
          <w:rStyle w:val="FootnoteReference"/>
          <w:lang w:val="fr-CA"/>
        </w:rPr>
        <w:footnoteReference w:id="1"/>
      </w:r>
    </w:p>
    <w:p w14:paraId="39F7C25E" w14:textId="77777777" w:rsidR="00787E50" w:rsidRPr="00B82463" w:rsidRDefault="00787E50" w:rsidP="00E3535B">
      <w:pPr>
        <w:jc w:val="left"/>
        <w:rPr>
          <w:lang w:val="fr-CA"/>
        </w:rPr>
      </w:pPr>
    </w:p>
    <w:p w14:paraId="6046D64D" w14:textId="77777777" w:rsidR="002D357D" w:rsidRPr="00B82463" w:rsidRDefault="002D357D" w:rsidP="002D357D">
      <w:pPr>
        <w:pStyle w:val="Title1"/>
        <w:rPr>
          <w:lang w:val="fr-CA"/>
        </w:rPr>
      </w:pPr>
    </w:p>
    <w:p w14:paraId="3980C79B" w14:textId="77777777" w:rsidR="00360AF4" w:rsidRDefault="00360AF4" w:rsidP="00360AF4">
      <w:pPr>
        <w:pStyle w:val="Heading2"/>
        <w:keepNext/>
        <w:widowControl/>
        <w:numPr>
          <w:ilvl w:val="0"/>
          <w:numId w:val="0"/>
        </w:numPr>
        <w:spacing w:after="0"/>
        <w:ind w:left="720"/>
        <w:jc w:val="center"/>
        <w:rPr>
          <w:b/>
          <w:bCs/>
          <w:lang w:val="fr-CA"/>
        </w:rPr>
      </w:pPr>
      <w:r w:rsidRPr="00360AF4">
        <w:rPr>
          <w:b/>
          <w:bCs/>
          <w:lang w:val="fr-CA"/>
        </w:rPr>
        <w:t xml:space="preserve">RAPPORT SOMMAIRE DÉCRIVANT LES MEILLEURES PRATIQUES </w:t>
      </w:r>
    </w:p>
    <w:p w14:paraId="2B720BEF" w14:textId="58F4918E" w:rsidR="00360AF4" w:rsidRPr="00360AF4" w:rsidRDefault="00360AF4" w:rsidP="00360AF4">
      <w:pPr>
        <w:pStyle w:val="Heading2"/>
        <w:keepNext/>
        <w:widowControl/>
        <w:numPr>
          <w:ilvl w:val="0"/>
          <w:numId w:val="0"/>
        </w:numPr>
        <w:ind w:left="720"/>
        <w:jc w:val="center"/>
        <w:rPr>
          <w:b/>
          <w:bCs/>
          <w:lang w:val="fr-CA"/>
        </w:rPr>
      </w:pPr>
      <w:r w:rsidRPr="00360AF4">
        <w:rPr>
          <w:b/>
          <w:bCs/>
          <w:lang w:val="fr-CA"/>
        </w:rPr>
        <w:t>ET MOYENS QUI PERMETTRONT AU COMITÉ EXÉCUTIF D’ENVISAGER L’OPÉRATIONNALISATION DU PARAGRAPHE 24 DE LA DÉCISION XXVIII/2 (DÉCISION 84/87 B))</w:t>
      </w:r>
    </w:p>
    <w:p w14:paraId="415BE3DF" w14:textId="6E6D5B06" w:rsidR="00B32FC5" w:rsidRPr="00E3535B" w:rsidRDefault="00B82463" w:rsidP="002D357D">
      <w:pPr>
        <w:rPr>
          <w:b/>
          <w:lang w:val="fr-CA"/>
        </w:rPr>
      </w:pPr>
      <w:r>
        <w:rPr>
          <w:b/>
          <w:lang w:val="fr-CA"/>
        </w:rPr>
        <w:t>Contexte</w:t>
      </w:r>
    </w:p>
    <w:p w14:paraId="7D41B22E" w14:textId="77777777" w:rsidR="002D357D" w:rsidRPr="00E3535B" w:rsidRDefault="002D357D" w:rsidP="002D357D">
      <w:pPr>
        <w:rPr>
          <w:lang w:val="fr-CA"/>
        </w:rPr>
      </w:pPr>
    </w:p>
    <w:p w14:paraId="5C5D9C8C" w14:textId="0B086C9A" w:rsidR="00B1288A" w:rsidRPr="00E3535B" w:rsidRDefault="00B82463" w:rsidP="00B1288A">
      <w:pPr>
        <w:pStyle w:val="Heading1"/>
        <w:numPr>
          <w:ilvl w:val="0"/>
          <w:numId w:val="21"/>
        </w:numPr>
        <w:rPr>
          <w:lang w:val="fr-CA"/>
        </w:rPr>
      </w:pPr>
      <w:r>
        <w:rPr>
          <w:lang w:val="fr-CA"/>
        </w:rPr>
        <w:t>Le Comité exécutif débat de la question de l’élimination définitive des substances réglementées non désirées depuis sa 78</w:t>
      </w:r>
      <w:r w:rsidRPr="00B82463">
        <w:rPr>
          <w:vertAlign w:val="superscript"/>
          <w:lang w:val="fr-CA"/>
        </w:rPr>
        <w:t>e</w:t>
      </w:r>
      <w:r>
        <w:rPr>
          <w:lang w:val="fr-CA"/>
        </w:rPr>
        <w:t xml:space="preserve"> réunion</w:t>
      </w:r>
      <w:r w:rsidR="00094939">
        <w:rPr>
          <w:lang w:val="fr-CA"/>
        </w:rPr>
        <w:t>, dans le contex</w:t>
      </w:r>
      <w:r>
        <w:rPr>
          <w:lang w:val="fr-CA"/>
        </w:rPr>
        <w:t>te de l’élaboration des lignes directrices sur les coûts de la réduction progressive des HFC</w:t>
      </w:r>
      <w:r w:rsidR="00094939">
        <w:rPr>
          <w:lang w:val="fr-CA"/>
        </w:rPr>
        <w:t>. À la 81</w:t>
      </w:r>
      <w:r w:rsidR="00094939" w:rsidRPr="00094939">
        <w:rPr>
          <w:vertAlign w:val="superscript"/>
          <w:lang w:val="fr-CA"/>
        </w:rPr>
        <w:t>e</w:t>
      </w:r>
      <w:r w:rsidR="00094939">
        <w:rPr>
          <w:lang w:val="fr-CA"/>
        </w:rPr>
        <w:t xml:space="preserve"> réunion, le Comité exécutif a décidé d’aborder la question du financement de la gestion économique des stocks de substances réglementées </w:t>
      </w:r>
      <w:r w:rsidR="00202BC6">
        <w:rPr>
          <w:lang w:val="fr-CA"/>
        </w:rPr>
        <w:t>usées</w:t>
      </w:r>
      <w:r w:rsidR="00094939">
        <w:rPr>
          <w:lang w:val="fr-CA"/>
        </w:rPr>
        <w:t xml:space="preserve"> ou non désirées, notamment leur destruction, à la 82</w:t>
      </w:r>
      <w:r w:rsidR="00094939" w:rsidRPr="00094939">
        <w:rPr>
          <w:vertAlign w:val="superscript"/>
          <w:lang w:val="fr-CA"/>
        </w:rPr>
        <w:t>e</w:t>
      </w:r>
      <w:r w:rsidR="00094939">
        <w:rPr>
          <w:lang w:val="fr-CA"/>
        </w:rPr>
        <w:t xml:space="preserve"> réunion, à la lumière du rapport de synthèse sur l’élimination des SAO préparé par le Secrétariat en réponse à la décision 79/18 e) (décision 81/67 d)).</w:t>
      </w:r>
    </w:p>
    <w:p w14:paraId="0E4BA138" w14:textId="730D3E5B" w:rsidR="00B1288A" w:rsidRPr="00E3535B" w:rsidRDefault="00094939" w:rsidP="005B6FA2">
      <w:pPr>
        <w:pStyle w:val="Heading1"/>
        <w:rPr>
          <w:lang w:val="fr-CA"/>
        </w:rPr>
      </w:pPr>
      <w:r>
        <w:rPr>
          <w:lang w:val="fr-CA"/>
        </w:rPr>
        <w:t>Le Secrétariat a présenté le document UNEP/OzL.Pro/ExCom/82/21 à la 82</w:t>
      </w:r>
      <w:r w:rsidRPr="00094939">
        <w:rPr>
          <w:vertAlign w:val="superscript"/>
          <w:lang w:val="fr-CA"/>
        </w:rPr>
        <w:t>e</w:t>
      </w:r>
      <w:r>
        <w:rPr>
          <w:lang w:val="fr-CA"/>
        </w:rPr>
        <w:t xml:space="preserve"> réunion</w:t>
      </w:r>
      <w:r w:rsidR="00584DDD">
        <w:rPr>
          <w:lang w:val="fr-CA"/>
        </w:rPr>
        <w:t>,</w:t>
      </w:r>
      <w:r>
        <w:rPr>
          <w:lang w:val="fr-CA"/>
        </w:rPr>
        <w:t xml:space="preserve"> en réponse à la décision 8</w:t>
      </w:r>
      <w:r w:rsidR="00584DDD">
        <w:rPr>
          <w:lang w:val="fr-CA"/>
        </w:rPr>
        <w:t>1/67 d). Ce document contient un rapport de synthèse sur la mise en œuvre de 11 projets</w:t>
      </w:r>
      <w:r w:rsidR="00582BC2">
        <w:rPr>
          <w:lang w:val="fr-CA"/>
        </w:rPr>
        <w:t xml:space="preserve"> et</w:t>
      </w:r>
      <w:r w:rsidR="00584DDD">
        <w:rPr>
          <w:lang w:val="fr-CA"/>
        </w:rPr>
        <w:t xml:space="preserve"> aborde des questions </w:t>
      </w:r>
      <w:r w:rsidR="00582BC2">
        <w:rPr>
          <w:lang w:val="fr-CA"/>
        </w:rPr>
        <w:t>telles que</w:t>
      </w:r>
      <w:r w:rsidR="00584DDD">
        <w:rPr>
          <w:lang w:val="fr-CA"/>
        </w:rPr>
        <w:t xml:space="preserve"> la conception du projet, la s</w:t>
      </w:r>
      <w:r w:rsidR="00582BC2">
        <w:rPr>
          <w:lang w:val="fr-CA"/>
        </w:rPr>
        <w:t>ynergie avec d’autres projets, l</w:t>
      </w:r>
      <w:r w:rsidR="00584DDD">
        <w:rPr>
          <w:lang w:val="fr-CA"/>
        </w:rPr>
        <w:t xml:space="preserve">es occasions de mobilisation de ressources, le rapport coût-efficacité et les enseignements tirés. Au cours des échanges, reconnaissant que l’élimination était importante et obligatoire en vertu de la décision XXVIII/2, certains membres ont indiqué qu’à leur avis, </w:t>
      </w:r>
      <w:r w:rsidR="00801B73">
        <w:rPr>
          <w:lang w:val="fr-CA"/>
        </w:rPr>
        <w:t xml:space="preserve">comme </w:t>
      </w:r>
      <w:r w:rsidR="00584DDD">
        <w:rPr>
          <w:lang w:val="fr-CA"/>
        </w:rPr>
        <w:t>l’élimination n’était pas obligatoire aux fins de conformité et qu’elle ne représentait pas un surcoût</w:t>
      </w:r>
      <w:r w:rsidR="00801B73">
        <w:rPr>
          <w:lang w:val="fr-CA"/>
        </w:rPr>
        <w:t>, elle ne devrait pas être abordée dans le cadre des lignes directrices sur les coûts de la réduction progressive des HFC. D’autres membres étaient d’avis que l’élimination était d’une importance fondamentale, surtout dans les pays à faible volume de consommation</w:t>
      </w:r>
      <w:r w:rsidR="00582BC2">
        <w:rPr>
          <w:lang w:val="fr-CA"/>
        </w:rPr>
        <w:t>,</w:t>
      </w:r>
      <w:r w:rsidR="00801B73">
        <w:rPr>
          <w:lang w:val="fr-CA"/>
        </w:rPr>
        <w:t xml:space="preserve"> et e</w:t>
      </w:r>
      <w:r w:rsidR="004E2444">
        <w:rPr>
          <w:lang w:val="fr-CA"/>
        </w:rPr>
        <w:t>stimaient qu’elle faisait partie</w:t>
      </w:r>
      <w:r w:rsidR="00801B73">
        <w:rPr>
          <w:lang w:val="fr-CA"/>
        </w:rPr>
        <w:t xml:space="preserve"> intégrante des lignes directrices sur les coûts. </w:t>
      </w:r>
      <w:r w:rsidR="00465E9F">
        <w:rPr>
          <w:lang w:val="fr-CA"/>
        </w:rPr>
        <w:t>Les membres ont aussi soulevé d’autres questions, telles que la pertinence du rapport de synthèse sur l’élimination des SAO, les lignes directrices provisoires des projets pilotes approuvés après la 58</w:t>
      </w:r>
      <w:r w:rsidR="00465E9F" w:rsidRPr="00465E9F">
        <w:rPr>
          <w:vertAlign w:val="superscript"/>
          <w:lang w:val="fr-CA"/>
        </w:rPr>
        <w:t>e</w:t>
      </w:r>
      <w:r w:rsidR="00465E9F">
        <w:rPr>
          <w:lang w:val="fr-CA"/>
        </w:rPr>
        <w:t xml:space="preserve"> réunion et les politiques sur la gestion des frigorigènes </w:t>
      </w:r>
      <w:r w:rsidR="00582BC2">
        <w:rPr>
          <w:lang w:val="fr-CA"/>
        </w:rPr>
        <w:t>ayant pour but de</w:t>
      </w:r>
      <w:r w:rsidR="00465E9F">
        <w:rPr>
          <w:lang w:val="fr-CA"/>
        </w:rPr>
        <w:t xml:space="preserve"> réduire au minimum les frigorigènes non désirés. Les échanges subséquents sur la question ont été reportés à la 83</w:t>
      </w:r>
      <w:r w:rsidR="00465E9F" w:rsidRPr="00465E9F">
        <w:rPr>
          <w:vertAlign w:val="superscript"/>
          <w:lang w:val="fr-CA"/>
        </w:rPr>
        <w:t>e</w:t>
      </w:r>
      <w:r w:rsidR="00465E9F">
        <w:rPr>
          <w:lang w:val="fr-CA"/>
        </w:rPr>
        <w:t xml:space="preserve"> réunion</w:t>
      </w:r>
      <w:r w:rsidR="00D963CD" w:rsidRPr="00E3535B">
        <w:rPr>
          <w:lang w:val="fr-CA"/>
        </w:rPr>
        <w:t>.</w:t>
      </w:r>
    </w:p>
    <w:p w14:paraId="0674AC93" w14:textId="2F3849D6" w:rsidR="00B1288A" w:rsidRPr="00582BC2" w:rsidRDefault="00465E9F" w:rsidP="006E2C4A">
      <w:pPr>
        <w:pStyle w:val="Heading1"/>
        <w:widowControl w:val="0"/>
        <w:numPr>
          <w:ilvl w:val="0"/>
          <w:numId w:val="21"/>
        </w:numPr>
        <w:rPr>
          <w:lang w:val="fr-CA"/>
        </w:rPr>
      </w:pPr>
      <w:r w:rsidRPr="00582BC2">
        <w:rPr>
          <w:lang w:val="fr-CA"/>
        </w:rPr>
        <w:lastRenderedPageBreak/>
        <w:t>Le Comité exécutif, à sa 83</w:t>
      </w:r>
      <w:r w:rsidRPr="00582BC2">
        <w:rPr>
          <w:vertAlign w:val="superscript"/>
          <w:lang w:val="fr-CA"/>
        </w:rPr>
        <w:t>e</w:t>
      </w:r>
      <w:r w:rsidRPr="00582BC2">
        <w:rPr>
          <w:lang w:val="fr-CA"/>
        </w:rPr>
        <w:t xml:space="preserve"> réunion, est convenu de reconstituer le groupe de contact sur l’élaboration des lignes directrices sur les coûts de la réduction progressive des HFC</w:t>
      </w:r>
      <w:r w:rsidR="006E2C4A" w:rsidRPr="00582BC2">
        <w:rPr>
          <w:lang w:val="fr-CA"/>
        </w:rPr>
        <w:t>, qui a discuté de l’élimination des SAO. Après avoir entendu le rapport du responsable du groupe de contact, le Comité exécutif a décidé que la question de l’élimination définitive des substances réglementées serait examinée à la 84</w:t>
      </w:r>
      <w:r w:rsidR="006E2C4A" w:rsidRPr="00582BC2">
        <w:rPr>
          <w:vertAlign w:val="superscript"/>
          <w:lang w:val="fr-CA"/>
        </w:rPr>
        <w:t>e</w:t>
      </w:r>
      <w:r w:rsidR="006E2C4A" w:rsidRPr="00582BC2">
        <w:rPr>
          <w:lang w:val="fr-CA"/>
        </w:rPr>
        <w:t xml:space="preserve"> réunion, à la lumière du rapport final </w:t>
      </w:r>
      <w:r w:rsidR="00CC5BA0">
        <w:rPr>
          <w:lang w:val="fr-CA"/>
        </w:rPr>
        <w:t>sur</w:t>
      </w:r>
      <w:r w:rsidR="006E2C4A" w:rsidRPr="00582BC2">
        <w:rPr>
          <w:lang w:val="fr-CA"/>
        </w:rPr>
        <w:t xml:space="preserve"> l’évaluation des projets de démonstration pilotes sur l’élimination et la destruction des SAO </w:t>
      </w:r>
      <w:r w:rsidR="00A667FC" w:rsidRPr="00582BC2">
        <w:rPr>
          <w:lang w:val="fr-CA"/>
        </w:rPr>
        <w:t>remis par</w:t>
      </w:r>
      <w:r w:rsidR="006E2C4A" w:rsidRPr="00582BC2">
        <w:rPr>
          <w:lang w:val="fr-CA"/>
        </w:rPr>
        <w:t xml:space="preserve"> l’Administrateur principal, Suivi et évaluation (décision 83/65 c)).</w:t>
      </w:r>
    </w:p>
    <w:p w14:paraId="51518E44" w14:textId="6C8E72F1" w:rsidR="004F5E67" w:rsidRPr="00582BC2" w:rsidRDefault="006E2C4A" w:rsidP="00E3620A">
      <w:pPr>
        <w:pStyle w:val="Heading1"/>
        <w:numPr>
          <w:ilvl w:val="0"/>
          <w:numId w:val="21"/>
        </w:numPr>
        <w:rPr>
          <w:lang w:val="fr-CA"/>
        </w:rPr>
      </w:pPr>
      <w:r w:rsidRPr="00582BC2">
        <w:rPr>
          <w:lang w:val="fr-CA"/>
        </w:rPr>
        <w:t xml:space="preserve">Le Comité exécutif a examiné le rapport final </w:t>
      </w:r>
      <w:r w:rsidR="00CC5BA0">
        <w:rPr>
          <w:lang w:val="fr-CA"/>
        </w:rPr>
        <w:t>sur</w:t>
      </w:r>
      <w:r w:rsidRPr="00582BC2">
        <w:rPr>
          <w:lang w:val="fr-CA"/>
        </w:rPr>
        <w:t xml:space="preserve"> l’évaluation des projets de démonstration pilotes</w:t>
      </w:r>
      <w:r w:rsidR="00282B18" w:rsidRPr="00582BC2">
        <w:rPr>
          <w:lang w:val="fr-CA"/>
        </w:rPr>
        <w:t xml:space="preserve"> su</w:t>
      </w:r>
      <w:r w:rsidRPr="00582BC2">
        <w:rPr>
          <w:lang w:val="fr-CA"/>
        </w:rPr>
        <w:t>r l’élimina</w:t>
      </w:r>
      <w:r w:rsidR="00A667FC" w:rsidRPr="00582BC2">
        <w:rPr>
          <w:lang w:val="fr-CA"/>
        </w:rPr>
        <w:t>ti</w:t>
      </w:r>
      <w:r w:rsidRPr="00582BC2">
        <w:rPr>
          <w:lang w:val="fr-CA"/>
        </w:rPr>
        <w:t>on et la destruction des SAO</w:t>
      </w:r>
      <w:r w:rsidR="00325596" w:rsidRPr="00582BC2">
        <w:rPr>
          <w:rStyle w:val="FootnoteReference"/>
          <w:lang w:val="fr-CA"/>
        </w:rPr>
        <w:footnoteReference w:id="2"/>
      </w:r>
      <w:r w:rsidR="00325596" w:rsidRPr="00582BC2">
        <w:rPr>
          <w:lang w:val="fr-CA"/>
        </w:rPr>
        <w:t xml:space="preserve"> </w:t>
      </w:r>
      <w:r w:rsidR="00A667FC" w:rsidRPr="00582BC2">
        <w:rPr>
          <w:lang w:val="fr-CA"/>
        </w:rPr>
        <w:t xml:space="preserve">proposé par l’Administrateur principal, Suivi et évaluation au </w:t>
      </w:r>
      <w:r w:rsidR="00282B18" w:rsidRPr="00582BC2">
        <w:rPr>
          <w:lang w:val="fr-CA"/>
        </w:rPr>
        <w:t>à la 84</w:t>
      </w:r>
      <w:r w:rsidR="00282B18" w:rsidRPr="00582BC2">
        <w:rPr>
          <w:vertAlign w:val="superscript"/>
          <w:lang w:val="fr-CA"/>
        </w:rPr>
        <w:t>e</w:t>
      </w:r>
      <w:r w:rsidR="00282B18" w:rsidRPr="00582BC2">
        <w:rPr>
          <w:lang w:val="fr-CA"/>
        </w:rPr>
        <w:t xml:space="preserve"> réunion, au </w:t>
      </w:r>
      <w:r w:rsidR="00A667FC" w:rsidRPr="00582BC2">
        <w:rPr>
          <w:lang w:val="fr-CA"/>
        </w:rPr>
        <w:t xml:space="preserve">point 6 de l’ordre du jour. </w:t>
      </w:r>
      <w:r w:rsidR="00282B18" w:rsidRPr="00582BC2">
        <w:rPr>
          <w:lang w:val="fr-CA"/>
        </w:rPr>
        <w:t xml:space="preserve">Les échanges qui ont suivi ont révélé une appréciation générale des conclusions de l’évaluation, qui ont mis en évidence les nombreuses difficultés légales, de logistique et de politique </w:t>
      </w:r>
      <w:r w:rsidR="007868FA">
        <w:rPr>
          <w:lang w:val="fr-CA"/>
        </w:rPr>
        <w:t>liées à</w:t>
      </w:r>
      <w:r w:rsidR="00282B18" w:rsidRPr="00582BC2">
        <w:rPr>
          <w:lang w:val="fr-CA"/>
        </w:rPr>
        <w:t xml:space="preserve"> l’élimination et la destruction des SAO et présenté les enseignements reproductibles qui pourraient aider les pays à élaborer des plans à cet égard. Les membres ont </w:t>
      </w:r>
      <w:r w:rsidR="00D43035" w:rsidRPr="00582BC2">
        <w:rPr>
          <w:lang w:val="fr-CA"/>
        </w:rPr>
        <w:t>émis plusieurs commentaires, notamment sur</w:t>
      </w:r>
      <w:r w:rsidR="00282B18" w:rsidRPr="00582BC2">
        <w:rPr>
          <w:lang w:val="fr-CA"/>
        </w:rPr>
        <w:t xml:space="preserve"> la complexité de la gestion des SAO; le fait que les choix des pays en matière de gestion des stocks de SAO et des stratégies </w:t>
      </w:r>
      <w:r w:rsidR="00DD22D6" w:rsidRPr="00582BC2">
        <w:rPr>
          <w:lang w:val="fr-CA"/>
        </w:rPr>
        <w:t>d’élimi</w:t>
      </w:r>
      <w:r w:rsidR="00F41170" w:rsidRPr="00582BC2">
        <w:rPr>
          <w:lang w:val="fr-CA"/>
        </w:rPr>
        <w:t>nati</w:t>
      </w:r>
      <w:r w:rsidR="00DD22D6" w:rsidRPr="00582BC2">
        <w:rPr>
          <w:lang w:val="fr-CA"/>
        </w:rPr>
        <w:t xml:space="preserve">on </w:t>
      </w:r>
      <w:r w:rsidR="00D43035" w:rsidRPr="00582BC2">
        <w:rPr>
          <w:lang w:val="fr-CA"/>
        </w:rPr>
        <w:t>reposaient surtout sur les</w:t>
      </w:r>
      <w:r w:rsidR="00F41170" w:rsidRPr="00582BC2">
        <w:rPr>
          <w:lang w:val="fr-CA"/>
        </w:rPr>
        <w:t xml:space="preserve"> économies</w:t>
      </w:r>
      <w:r w:rsidR="00DD22D6" w:rsidRPr="00582BC2">
        <w:rPr>
          <w:lang w:val="fr-CA"/>
        </w:rPr>
        <w:t xml:space="preserve"> d’échelle possible</w:t>
      </w:r>
      <w:r w:rsidR="00F41170" w:rsidRPr="00582BC2">
        <w:rPr>
          <w:lang w:val="fr-CA"/>
        </w:rPr>
        <w:t>s</w:t>
      </w:r>
      <w:r w:rsidR="00DD22D6" w:rsidRPr="00582BC2">
        <w:rPr>
          <w:lang w:val="fr-CA"/>
        </w:rPr>
        <w:t xml:space="preserve">; </w:t>
      </w:r>
      <w:r w:rsidR="00F41170" w:rsidRPr="00582BC2">
        <w:rPr>
          <w:lang w:val="fr-CA"/>
        </w:rPr>
        <w:t xml:space="preserve">le fait que </w:t>
      </w:r>
      <w:r w:rsidR="00D43035" w:rsidRPr="00582BC2">
        <w:rPr>
          <w:lang w:val="fr-CA"/>
        </w:rPr>
        <w:t>prioriser la prévention</w:t>
      </w:r>
      <w:r w:rsidR="00DD22D6" w:rsidRPr="00582BC2">
        <w:rPr>
          <w:lang w:val="fr-CA"/>
        </w:rPr>
        <w:t xml:space="preserve"> des résidus représentait la solution la plus économi</w:t>
      </w:r>
      <w:r w:rsidR="007868FA">
        <w:rPr>
          <w:lang w:val="fr-CA"/>
        </w:rPr>
        <w:t>que pour la gestion des résidus;</w:t>
      </w:r>
      <w:r w:rsidR="00DD22D6" w:rsidRPr="00582BC2">
        <w:rPr>
          <w:lang w:val="fr-CA"/>
        </w:rPr>
        <w:t xml:space="preserve"> </w:t>
      </w:r>
      <w:r w:rsidR="00D43035" w:rsidRPr="00582BC2">
        <w:rPr>
          <w:lang w:val="fr-CA"/>
        </w:rPr>
        <w:t xml:space="preserve">le fait que </w:t>
      </w:r>
      <w:r w:rsidR="00DD22D6" w:rsidRPr="00582BC2">
        <w:rPr>
          <w:lang w:val="fr-CA"/>
        </w:rPr>
        <w:t xml:space="preserve">les enseignements tirés pourraient s’appliquer largement aux autres </w:t>
      </w:r>
      <w:r w:rsidR="00D43035" w:rsidRPr="00582BC2">
        <w:rPr>
          <w:lang w:val="fr-CA"/>
        </w:rPr>
        <w:t xml:space="preserve">projets </w:t>
      </w:r>
      <w:r w:rsidR="00DD22D6" w:rsidRPr="00582BC2">
        <w:rPr>
          <w:lang w:val="fr-CA"/>
        </w:rPr>
        <w:t xml:space="preserve">d’élimination des SAO compte tenu </w:t>
      </w:r>
      <w:r w:rsidR="00D43035" w:rsidRPr="00582BC2">
        <w:rPr>
          <w:lang w:val="fr-CA"/>
        </w:rPr>
        <w:t>de la petite taille de</w:t>
      </w:r>
      <w:r w:rsidR="00DD22D6" w:rsidRPr="00582BC2">
        <w:rPr>
          <w:lang w:val="fr-CA"/>
        </w:rPr>
        <w:t xml:space="preserve"> l’</w:t>
      </w:r>
      <w:r w:rsidR="00D43035" w:rsidRPr="00582BC2">
        <w:rPr>
          <w:lang w:val="fr-CA"/>
        </w:rPr>
        <w:t xml:space="preserve">échantillon; </w:t>
      </w:r>
      <w:r w:rsidR="00F63765" w:rsidRPr="00582BC2">
        <w:rPr>
          <w:lang w:val="fr-CA"/>
        </w:rPr>
        <w:t xml:space="preserve">l’utilité ou non </w:t>
      </w:r>
      <w:r w:rsidR="007868FA">
        <w:rPr>
          <w:lang w:val="fr-CA"/>
        </w:rPr>
        <w:t>d’obtenir</w:t>
      </w:r>
      <w:r w:rsidR="00DD22D6" w:rsidRPr="00582BC2">
        <w:rPr>
          <w:lang w:val="fr-CA"/>
        </w:rPr>
        <w:t xml:space="preserve"> de plus am</w:t>
      </w:r>
      <w:r w:rsidR="00F63765" w:rsidRPr="00582BC2">
        <w:rPr>
          <w:lang w:val="fr-CA"/>
        </w:rPr>
        <w:t>ples rensei</w:t>
      </w:r>
      <w:r w:rsidR="00DD22D6" w:rsidRPr="00582BC2">
        <w:rPr>
          <w:lang w:val="fr-CA"/>
        </w:rPr>
        <w:t>gnements sur le rapport coût-efficacité</w:t>
      </w:r>
      <w:r w:rsidR="009909C2" w:rsidRPr="00582BC2">
        <w:rPr>
          <w:lang w:val="fr-CA"/>
        </w:rPr>
        <w:t xml:space="preserve"> à la lumière des d</w:t>
      </w:r>
      <w:r w:rsidR="00F63765" w:rsidRPr="00582BC2">
        <w:rPr>
          <w:lang w:val="fr-CA"/>
        </w:rPr>
        <w:t xml:space="preserve">ifférences entre les quantités </w:t>
      </w:r>
      <w:r w:rsidR="009909C2" w:rsidRPr="00582BC2">
        <w:rPr>
          <w:lang w:val="fr-CA"/>
        </w:rPr>
        <w:t>ciblées de SAO à détruire et les quantités réelles détruites dans</w:t>
      </w:r>
      <w:r w:rsidR="00DD22D6" w:rsidRPr="00582BC2">
        <w:rPr>
          <w:lang w:val="fr-CA"/>
        </w:rPr>
        <w:t xml:space="preserve"> </w:t>
      </w:r>
      <w:r w:rsidR="009909C2" w:rsidRPr="00582BC2">
        <w:rPr>
          <w:lang w:val="fr-CA"/>
        </w:rPr>
        <w:t xml:space="preserve">les projets à l’étude, et </w:t>
      </w:r>
      <w:r w:rsidR="00F63765" w:rsidRPr="00582BC2">
        <w:rPr>
          <w:lang w:val="fr-CA"/>
        </w:rPr>
        <w:t>le fait qu’il faut accorder</w:t>
      </w:r>
      <w:r w:rsidR="009909C2" w:rsidRPr="00582BC2">
        <w:rPr>
          <w:lang w:val="fr-CA"/>
        </w:rPr>
        <w:t xml:space="preserve"> davantage d’attention à la </w:t>
      </w:r>
      <w:r w:rsidR="00F63765" w:rsidRPr="00582BC2">
        <w:rPr>
          <w:lang w:val="fr-CA"/>
        </w:rPr>
        <w:t>quantification</w:t>
      </w:r>
      <w:r w:rsidR="009909C2" w:rsidRPr="00582BC2">
        <w:rPr>
          <w:lang w:val="fr-CA"/>
        </w:rPr>
        <w:t xml:space="preserve"> des niveaux de financement nécessaires pour créer des stocks, surtout </w:t>
      </w:r>
      <w:r w:rsidR="007868FA">
        <w:rPr>
          <w:lang w:val="fr-CA"/>
        </w:rPr>
        <w:t>lorsqu’on tient compte des</w:t>
      </w:r>
      <w:r w:rsidR="009909C2" w:rsidRPr="00582BC2">
        <w:rPr>
          <w:lang w:val="fr-CA"/>
        </w:rPr>
        <w:t xml:space="preserve"> besoins des pays à faible volume de consommation</w:t>
      </w:r>
      <w:r w:rsidR="00325596" w:rsidRPr="00582BC2">
        <w:rPr>
          <w:lang w:val="fr-CA"/>
        </w:rPr>
        <w:t xml:space="preserve">. </w:t>
      </w:r>
    </w:p>
    <w:p w14:paraId="7474035C" w14:textId="64FA379B" w:rsidR="009962FE" w:rsidRPr="00582BC2" w:rsidRDefault="00F63765" w:rsidP="0002410A">
      <w:pPr>
        <w:pStyle w:val="Heading1"/>
        <w:numPr>
          <w:ilvl w:val="0"/>
          <w:numId w:val="21"/>
        </w:numPr>
        <w:rPr>
          <w:lang w:val="fr-CA"/>
        </w:rPr>
      </w:pPr>
      <w:r w:rsidRPr="00582BC2">
        <w:rPr>
          <w:lang w:val="fr-CA"/>
        </w:rPr>
        <w:t xml:space="preserve">À l’issue des échanges, le Comité a pris note du rapport final </w:t>
      </w:r>
      <w:r w:rsidR="00CC5BA0">
        <w:rPr>
          <w:lang w:val="fr-CA"/>
        </w:rPr>
        <w:t>sur</w:t>
      </w:r>
      <w:r w:rsidRPr="00582BC2">
        <w:rPr>
          <w:lang w:val="fr-CA"/>
        </w:rPr>
        <w:t xml:space="preserve"> l’évaluation des projets de démonstration pilotes sur l’élimination et la destruction des SAO</w:t>
      </w:r>
      <w:r w:rsidR="003209FD" w:rsidRPr="00582BC2">
        <w:rPr>
          <w:lang w:val="fr-CA"/>
        </w:rPr>
        <w:t>,</w:t>
      </w:r>
      <w:r w:rsidR="00C94806" w:rsidRPr="00582BC2">
        <w:rPr>
          <w:rStyle w:val="FootnoteReference"/>
          <w:lang w:val="fr-CA"/>
        </w:rPr>
        <w:footnoteReference w:id="3"/>
      </w:r>
      <w:r w:rsidR="009962FE" w:rsidRPr="00582BC2">
        <w:rPr>
          <w:lang w:val="fr-CA"/>
        </w:rPr>
        <w:t xml:space="preserve"> </w:t>
      </w:r>
      <w:r w:rsidRPr="00582BC2">
        <w:rPr>
          <w:lang w:val="fr-CA"/>
        </w:rPr>
        <w:t>et a invité les agences bilatéral</w:t>
      </w:r>
      <w:r w:rsidR="00A14AF7" w:rsidRPr="00582BC2">
        <w:rPr>
          <w:lang w:val="fr-CA"/>
        </w:rPr>
        <w:t>es e</w:t>
      </w:r>
      <w:r w:rsidRPr="00582BC2">
        <w:rPr>
          <w:lang w:val="fr-CA"/>
        </w:rPr>
        <w:t>t d’exécution à app</w:t>
      </w:r>
      <w:r w:rsidR="00A14AF7" w:rsidRPr="00582BC2">
        <w:rPr>
          <w:lang w:val="fr-CA"/>
        </w:rPr>
        <w:t xml:space="preserve">liquer les enseignements tirés des principales </w:t>
      </w:r>
      <w:r w:rsidR="004F6159">
        <w:rPr>
          <w:lang w:val="fr-CA"/>
        </w:rPr>
        <w:t>conclusions</w:t>
      </w:r>
      <w:r w:rsidR="00A14AF7" w:rsidRPr="00582BC2">
        <w:rPr>
          <w:lang w:val="fr-CA"/>
        </w:rPr>
        <w:t xml:space="preserve"> de l’évaluation (décision </w:t>
      </w:r>
      <w:r w:rsidR="009962FE" w:rsidRPr="00582BC2">
        <w:rPr>
          <w:lang w:val="fr-CA"/>
        </w:rPr>
        <w:t>84/9)</w:t>
      </w:r>
      <w:r w:rsidR="003209FD" w:rsidRPr="00582BC2">
        <w:rPr>
          <w:lang w:val="fr-CA"/>
        </w:rPr>
        <w:t>.</w:t>
      </w:r>
    </w:p>
    <w:p w14:paraId="450D44F7" w14:textId="31032768" w:rsidR="002A0C59" w:rsidRPr="00582BC2" w:rsidRDefault="00A14AF7" w:rsidP="0002410A">
      <w:pPr>
        <w:pStyle w:val="Heading1"/>
        <w:numPr>
          <w:ilvl w:val="0"/>
          <w:numId w:val="21"/>
        </w:numPr>
        <w:rPr>
          <w:lang w:val="fr-CA"/>
        </w:rPr>
      </w:pPr>
      <w:r w:rsidRPr="00582BC2">
        <w:rPr>
          <w:lang w:val="fr-CA"/>
        </w:rPr>
        <w:t>Au point 13 a) de l’ordre du jour de la 84</w:t>
      </w:r>
      <w:r w:rsidRPr="00582BC2">
        <w:rPr>
          <w:vertAlign w:val="superscript"/>
          <w:lang w:val="fr-CA"/>
        </w:rPr>
        <w:t>e</w:t>
      </w:r>
      <w:r w:rsidRPr="00582BC2">
        <w:rPr>
          <w:lang w:val="fr-CA"/>
        </w:rPr>
        <w:t xml:space="preserve"> r</w:t>
      </w:r>
      <w:r w:rsidR="00583EAF" w:rsidRPr="00582BC2">
        <w:rPr>
          <w:lang w:val="fr-CA"/>
        </w:rPr>
        <w:t>é</w:t>
      </w:r>
      <w:r w:rsidR="004F6159">
        <w:rPr>
          <w:lang w:val="fr-CA"/>
        </w:rPr>
        <w:t>union sur l’É</w:t>
      </w:r>
      <w:r w:rsidRPr="00582BC2">
        <w:rPr>
          <w:lang w:val="fr-CA"/>
        </w:rPr>
        <w:t>laboration des lignes directrices sur les coûts de la r</w:t>
      </w:r>
      <w:r w:rsidR="00583EAF" w:rsidRPr="00582BC2">
        <w:rPr>
          <w:lang w:val="fr-CA"/>
        </w:rPr>
        <w:t>é</w:t>
      </w:r>
      <w:r w:rsidRPr="00582BC2">
        <w:rPr>
          <w:lang w:val="fr-CA"/>
        </w:rPr>
        <w:t>duction progressive des HFC dans les pays visés à l'article 5 : Critères de financement</w:t>
      </w:r>
      <w:r w:rsidR="00D66C21" w:rsidRPr="00582BC2">
        <w:rPr>
          <w:rStyle w:val="FootnoteReference"/>
          <w:lang w:val="fr-CA"/>
        </w:rPr>
        <w:footnoteReference w:id="4"/>
      </w:r>
      <w:r w:rsidRPr="00582BC2">
        <w:rPr>
          <w:lang w:val="fr-CA"/>
        </w:rPr>
        <w:t xml:space="preserve">, le Comité exécutif a reconstitué le groupe de contact </w:t>
      </w:r>
      <w:r w:rsidR="00583EAF" w:rsidRPr="00582BC2">
        <w:rPr>
          <w:lang w:val="fr-CA"/>
        </w:rPr>
        <w:t>afin de débattre</w:t>
      </w:r>
      <w:r w:rsidRPr="00582BC2">
        <w:rPr>
          <w:lang w:val="fr-CA"/>
        </w:rPr>
        <w:t xml:space="preserve"> de l’</w:t>
      </w:r>
      <w:r w:rsidR="00583EAF" w:rsidRPr="00582BC2">
        <w:rPr>
          <w:lang w:val="fr-CA"/>
        </w:rPr>
        <w:t>éliminati</w:t>
      </w:r>
      <w:r w:rsidRPr="00582BC2">
        <w:rPr>
          <w:lang w:val="fr-CA"/>
        </w:rPr>
        <w:t>on des substances réglementées non désirées</w:t>
      </w:r>
      <w:r w:rsidR="00583EAF" w:rsidRPr="00582BC2">
        <w:rPr>
          <w:lang w:val="fr-CA"/>
        </w:rPr>
        <w:t>, conformément au paragraphe 24 de la décision XXVIII/2</w:t>
      </w:r>
      <w:r w:rsidR="00D66C21" w:rsidRPr="00582BC2">
        <w:rPr>
          <w:rStyle w:val="FootnoteReference"/>
          <w:lang w:val="fr-CA"/>
        </w:rPr>
        <w:footnoteReference w:id="5"/>
      </w:r>
      <w:r w:rsidR="00583EAF" w:rsidRPr="00582BC2">
        <w:rPr>
          <w:lang w:val="fr-CA"/>
        </w:rPr>
        <w:t>. Après avoir entendu le rapport du responsable du groupe de contact, le Comité exécutif a décidé de charger le Secrétariat de préparer</w:t>
      </w:r>
      <w:r w:rsidR="00215004">
        <w:rPr>
          <w:lang w:val="fr-CA"/>
        </w:rPr>
        <w:t>, pour la 85</w:t>
      </w:r>
      <w:r w:rsidR="00215004" w:rsidRPr="00215004">
        <w:rPr>
          <w:vertAlign w:val="superscript"/>
          <w:lang w:val="fr-CA"/>
        </w:rPr>
        <w:t>e</w:t>
      </w:r>
      <w:r w:rsidR="00215004">
        <w:rPr>
          <w:lang w:val="fr-CA"/>
        </w:rPr>
        <w:t xml:space="preserve"> réunion</w:t>
      </w:r>
      <w:r w:rsidR="00215004">
        <w:rPr>
          <w:rStyle w:val="FootnoteReference"/>
          <w:lang w:val="fr-CA"/>
        </w:rPr>
        <w:footnoteReference w:id="6"/>
      </w:r>
      <w:r w:rsidR="00215004">
        <w:rPr>
          <w:lang w:val="fr-CA"/>
        </w:rPr>
        <w:t>,</w:t>
      </w:r>
      <w:r w:rsidR="00583EAF" w:rsidRPr="00582BC2">
        <w:rPr>
          <w:lang w:val="fr-CA"/>
        </w:rPr>
        <w:t xml:space="preserve"> un rapport de synthèse décrivant les meilleures pratiques et moye</w:t>
      </w:r>
      <w:r w:rsidR="001D46D6">
        <w:rPr>
          <w:lang w:val="fr-CA"/>
        </w:rPr>
        <w:t>n</w:t>
      </w:r>
      <w:r w:rsidR="00583EAF" w:rsidRPr="00582BC2">
        <w:rPr>
          <w:lang w:val="fr-CA"/>
        </w:rPr>
        <w:t xml:space="preserve">s par lesquels le Comité </w:t>
      </w:r>
      <w:r w:rsidR="004F6159">
        <w:rPr>
          <w:lang w:val="fr-CA"/>
        </w:rPr>
        <w:t>exécutif</w:t>
      </w:r>
      <w:r w:rsidR="00583EAF" w:rsidRPr="00582BC2">
        <w:rPr>
          <w:lang w:val="fr-CA"/>
        </w:rPr>
        <w:t xml:space="preserve"> pourra</w:t>
      </w:r>
      <w:r w:rsidR="004F6159">
        <w:rPr>
          <w:lang w:val="fr-CA"/>
        </w:rPr>
        <w:t>it</w:t>
      </w:r>
      <w:r w:rsidR="00583EAF" w:rsidRPr="00582BC2">
        <w:rPr>
          <w:lang w:val="fr-CA"/>
        </w:rPr>
        <w:t xml:space="preserve"> opérationnaliser le paragraphe 24 de la décision XXVIII/2, en tenant compte </w:t>
      </w:r>
      <w:r w:rsidR="002A0C59" w:rsidRPr="00582BC2">
        <w:rPr>
          <w:lang w:val="fr-CA"/>
        </w:rPr>
        <w:t>:</w:t>
      </w:r>
    </w:p>
    <w:p w14:paraId="291B8F19" w14:textId="683C1B8F" w:rsidR="002A0C59" w:rsidRPr="00582BC2" w:rsidRDefault="00583EAF" w:rsidP="00583EAF">
      <w:pPr>
        <w:pStyle w:val="Heading2"/>
        <w:numPr>
          <w:ilvl w:val="1"/>
          <w:numId w:val="21"/>
        </w:numPr>
        <w:rPr>
          <w:lang w:val="fr-CA"/>
        </w:rPr>
      </w:pPr>
      <w:r w:rsidRPr="00582BC2">
        <w:rPr>
          <w:lang w:val="fr-CA"/>
        </w:rPr>
        <w:t xml:space="preserve">Du rapport final </w:t>
      </w:r>
      <w:r w:rsidR="00CC5BA0">
        <w:rPr>
          <w:lang w:val="fr-CA"/>
        </w:rPr>
        <w:t>sur</w:t>
      </w:r>
      <w:r w:rsidRPr="00582BC2">
        <w:rPr>
          <w:lang w:val="fr-CA"/>
        </w:rPr>
        <w:t xml:space="preserve"> l’évaluation des projets de démonstration pilotes sur l’élimination et la destruction des SAO présenté dans le document UNEP/OzL.Pro/ExCom/84/11 et du rapport de synthèse sur les projets d’élimination des SAO présenté dans le document</w:t>
      </w:r>
      <w:r w:rsidR="002A0C59" w:rsidRPr="00582BC2">
        <w:rPr>
          <w:lang w:val="fr-CA"/>
        </w:rPr>
        <w:t xml:space="preserve"> </w:t>
      </w:r>
      <w:r w:rsidR="002A0C59" w:rsidRPr="00582BC2">
        <w:rPr>
          <w:lang w:val="fr-CA"/>
        </w:rPr>
        <w:lastRenderedPageBreak/>
        <w:t>UNEP/OzL.Pro/ExCom/82/</w:t>
      </w:r>
      <w:proofErr w:type="gramStart"/>
      <w:r w:rsidR="002A0C59" w:rsidRPr="00582BC2">
        <w:rPr>
          <w:lang w:val="fr-CA"/>
        </w:rPr>
        <w:t>21;</w:t>
      </w:r>
      <w:proofErr w:type="gramEnd"/>
    </w:p>
    <w:p w14:paraId="214D83FB" w14:textId="15ECB66F" w:rsidR="002A0C59" w:rsidRPr="00582BC2" w:rsidRDefault="00583EAF" w:rsidP="002A0C59">
      <w:pPr>
        <w:pStyle w:val="Heading2"/>
        <w:numPr>
          <w:ilvl w:val="1"/>
          <w:numId w:val="21"/>
        </w:numPr>
        <w:rPr>
          <w:lang w:val="fr-CA"/>
        </w:rPr>
      </w:pPr>
      <w:r w:rsidRPr="00582BC2">
        <w:rPr>
          <w:lang w:val="fr-CA"/>
        </w:rPr>
        <w:t xml:space="preserve">D’autres projets pertinents mis en œuvre </w:t>
      </w:r>
      <w:r w:rsidR="00CC5BA0">
        <w:rPr>
          <w:lang w:val="fr-CA"/>
        </w:rPr>
        <w:t>dans les p</w:t>
      </w:r>
      <w:r w:rsidR="008700C4" w:rsidRPr="00582BC2">
        <w:rPr>
          <w:lang w:val="fr-CA"/>
        </w:rPr>
        <w:t>lan</w:t>
      </w:r>
      <w:r w:rsidR="00CC5BA0">
        <w:rPr>
          <w:lang w:val="fr-CA"/>
        </w:rPr>
        <w:t>s</w:t>
      </w:r>
      <w:r w:rsidR="008700C4" w:rsidRPr="00582BC2">
        <w:rPr>
          <w:lang w:val="fr-CA"/>
        </w:rPr>
        <w:t xml:space="preserve"> de gestion de l'élimination des HCFC (PGEH</w:t>
      </w:r>
      <w:proofErr w:type="gramStart"/>
      <w:r w:rsidR="002C230F" w:rsidRPr="00582BC2">
        <w:rPr>
          <w:lang w:val="fr-CA"/>
        </w:rPr>
        <w:t>)</w:t>
      </w:r>
      <w:r w:rsidR="002A0C59" w:rsidRPr="00582BC2">
        <w:rPr>
          <w:lang w:val="fr-CA"/>
        </w:rPr>
        <w:t>;</w:t>
      </w:r>
      <w:proofErr w:type="gramEnd"/>
    </w:p>
    <w:p w14:paraId="35CCFC1E" w14:textId="128B81E1" w:rsidR="002A0C59" w:rsidRPr="00582BC2" w:rsidRDefault="008700C4" w:rsidP="00787E50">
      <w:pPr>
        <w:pStyle w:val="Heading2"/>
        <w:keepNext/>
        <w:keepLines/>
        <w:numPr>
          <w:ilvl w:val="1"/>
          <w:numId w:val="21"/>
        </w:numPr>
        <w:rPr>
          <w:lang w:val="fr-CA"/>
        </w:rPr>
      </w:pPr>
      <w:r w:rsidRPr="00582BC2">
        <w:rPr>
          <w:lang w:val="fr-CA"/>
        </w:rPr>
        <w:t>Des enseignements tirés des infrastructures et politiques existantes</w:t>
      </w:r>
      <w:r w:rsidR="00CC5BA0">
        <w:rPr>
          <w:lang w:val="fr-CA"/>
        </w:rPr>
        <w:t>,</w:t>
      </w:r>
      <w:r w:rsidR="001D46D6">
        <w:rPr>
          <w:lang w:val="fr-CA"/>
        </w:rPr>
        <w:t xml:space="preserve"> qui pourraient être utilisé</w:t>
      </w:r>
      <w:r w:rsidRPr="00582BC2">
        <w:rPr>
          <w:lang w:val="fr-CA"/>
        </w:rPr>
        <w:t xml:space="preserve">s pour mettre en place une gestion économique des stocks de substances réglementées </w:t>
      </w:r>
      <w:r w:rsidR="00202BC6">
        <w:rPr>
          <w:lang w:val="fr-CA"/>
        </w:rPr>
        <w:t>usées</w:t>
      </w:r>
      <w:r w:rsidRPr="00582BC2">
        <w:rPr>
          <w:lang w:val="fr-CA"/>
        </w:rPr>
        <w:t xml:space="preserve"> ou non </w:t>
      </w:r>
      <w:proofErr w:type="gramStart"/>
      <w:r w:rsidRPr="00582BC2">
        <w:rPr>
          <w:lang w:val="fr-CA"/>
        </w:rPr>
        <w:t>désirées;</w:t>
      </w:r>
      <w:proofErr w:type="gramEnd"/>
    </w:p>
    <w:p w14:paraId="13F0CCC3" w14:textId="4B64497C" w:rsidR="002A0C59" w:rsidRPr="00582BC2" w:rsidRDefault="008700C4" w:rsidP="002A0C59">
      <w:pPr>
        <w:pStyle w:val="Heading2"/>
        <w:numPr>
          <w:ilvl w:val="1"/>
          <w:numId w:val="21"/>
        </w:numPr>
        <w:rPr>
          <w:lang w:val="fr-CA"/>
        </w:rPr>
      </w:pPr>
      <w:r w:rsidRPr="00582BC2">
        <w:rPr>
          <w:lang w:val="fr-CA"/>
        </w:rPr>
        <w:t>Des occasions de financement extérieur et des programmes et partenariats d’élimination existants (décision </w:t>
      </w:r>
      <w:r w:rsidR="002A0C59" w:rsidRPr="00582BC2">
        <w:rPr>
          <w:lang w:val="fr-CA"/>
        </w:rPr>
        <w:t>84/87(b)).</w:t>
      </w:r>
    </w:p>
    <w:p w14:paraId="17EC21B8" w14:textId="6CDFEF6A" w:rsidR="002A0C59" w:rsidRPr="00582BC2" w:rsidRDefault="00E3620A" w:rsidP="003F1C5E">
      <w:pPr>
        <w:keepNext/>
        <w:keepLines/>
        <w:widowControl w:val="0"/>
        <w:spacing w:after="240"/>
        <w:rPr>
          <w:u w:val="single"/>
          <w:lang w:val="fr-CA"/>
        </w:rPr>
      </w:pPr>
      <w:r w:rsidRPr="00582BC2">
        <w:rPr>
          <w:u w:val="single"/>
          <w:lang w:val="fr-CA"/>
        </w:rPr>
        <w:t>Organisation du</w:t>
      </w:r>
      <w:r w:rsidR="002A0C59" w:rsidRPr="00582BC2">
        <w:rPr>
          <w:u w:val="single"/>
          <w:lang w:val="fr-CA"/>
        </w:rPr>
        <w:t xml:space="preserve"> document</w:t>
      </w:r>
    </w:p>
    <w:p w14:paraId="58D65141" w14:textId="2D3EDA02" w:rsidR="002A0C59" w:rsidRPr="00582BC2" w:rsidRDefault="00D66C21" w:rsidP="00B72952">
      <w:pPr>
        <w:pStyle w:val="Heading1"/>
        <w:keepNext/>
        <w:keepLines/>
        <w:widowControl w:val="0"/>
        <w:rPr>
          <w:lang w:val="fr-CA"/>
        </w:rPr>
      </w:pPr>
      <w:r w:rsidRPr="00582BC2">
        <w:rPr>
          <w:lang w:val="fr-CA"/>
        </w:rPr>
        <w:t>Le Secrétariat a préparé le présent document en réponse à la décision 84/87 b)</w:t>
      </w:r>
      <w:r w:rsidR="002A0C59" w:rsidRPr="00582BC2">
        <w:rPr>
          <w:lang w:val="fr-CA"/>
        </w:rPr>
        <w:t>.</w:t>
      </w:r>
      <w:r w:rsidR="00D036F8" w:rsidRPr="00582BC2">
        <w:rPr>
          <w:rStyle w:val="FootnoteReference"/>
          <w:lang w:val="fr-CA"/>
        </w:rPr>
        <w:footnoteReference w:id="7"/>
      </w:r>
    </w:p>
    <w:p w14:paraId="13C69C1A" w14:textId="0D024F56" w:rsidR="000C5AD6" w:rsidRPr="00582BC2" w:rsidRDefault="00D66C21" w:rsidP="00396BDB">
      <w:pPr>
        <w:pStyle w:val="Heading1"/>
        <w:rPr>
          <w:lang w:val="fr-CA"/>
        </w:rPr>
      </w:pPr>
      <w:r w:rsidRPr="00582BC2">
        <w:rPr>
          <w:lang w:val="fr-CA"/>
        </w:rPr>
        <w:t xml:space="preserve">Ce document a pour objet d’offrir une orientation sur la gestion économique des stocks de SAO et autres substances réglementées </w:t>
      </w:r>
      <w:r w:rsidR="00202BC6">
        <w:rPr>
          <w:lang w:val="fr-CA"/>
        </w:rPr>
        <w:t>usées</w:t>
      </w:r>
      <w:r w:rsidRPr="00582BC2">
        <w:rPr>
          <w:lang w:val="fr-CA"/>
        </w:rPr>
        <w:t xml:space="preserve"> ou non désiré</w:t>
      </w:r>
      <w:r w:rsidR="001D46D6">
        <w:rPr>
          <w:lang w:val="fr-CA"/>
        </w:rPr>
        <w:t>e</w:t>
      </w:r>
      <w:r w:rsidRPr="00582BC2">
        <w:rPr>
          <w:lang w:val="fr-CA"/>
        </w:rPr>
        <w:t>s</w:t>
      </w:r>
      <w:r w:rsidR="00F10C17" w:rsidRPr="00582BC2">
        <w:rPr>
          <w:shd w:val="clear" w:color="auto" w:fill="FFFFFF"/>
          <w:lang w:val="fr-CA"/>
        </w:rPr>
        <w:t>,</w:t>
      </w:r>
      <w:r w:rsidR="000C5AD6" w:rsidRPr="00582BC2">
        <w:rPr>
          <w:rStyle w:val="FootnoteReference"/>
          <w:shd w:val="clear" w:color="auto" w:fill="FFFFFF"/>
          <w:lang w:val="fr-CA"/>
        </w:rPr>
        <w:footnoteReference w:id="8"/>
      </w:r>
      <w:r w:rsidR="00F10C17" w:rsidRPr="00582BC2">
        <w:rPr>
          <w:shd w:val="clear" w:color="auto" w:fill="FFFFFF"/>
          <w:lang w:val="fr-CA"/>
        </w:rPr>
        <w:t xml:space="preserve"> </w:t>
      </w:r>
      <w:r w:rsidRPr="00582BC2">
        <w:rPr>
          <w:shd w:val="clear" w:color="auto" w:fill="FFFFFF"/>
          <w:lang w:val="fr-CA"/>
        </w:rPr>
        <w:t xml:space="preserve">en tenant compte des politiques et des meilleures pratiques de réglementation, des questions </w:t>
      </w:r>
      <w:r w:rsidR="00202BC6">
        <w:rPr>
          <w:shd w:val="clear" w:color="auto" w:fill="FFFFFF"/>
          <w:lang w:val="fr-CA"/>
        </w:rPr>
        <w:t>liées à</w:t>
      </w:r>
      <w:r w:rsidRPr="00582BC2">
        <w:rPr>
          <w:shd w:val="clear" w:color="auto" w:fill="FFFFFF"/>
          <w:lang w:val="fr-CA"/>
        </w:rPr>
        <w:t xml:space="preserve"> la synergie avec d’autres projets, des occasions de mobilisation des ressources et des modalités de financement</w:t>
      </w:r>
      <w:r w:rsidR="00F10C17" w:rsidRPr="00582BC2">
        <w:rPr>
          <w:lang w:val="fr-CA"/>
        </w:rPr>
        <w:t xml:space="preserve">. </w:t>
      </w:r>
    </w:p>
    <w:p w14:paraId="30FCE1EB" w14:textId="647A4EE7" w:rsidR="00DF1FCB" w:rsidRPr="00582BC2" w:rsidRDefault="00B12F6D" w:rsidP="00396BDB">
      <w:pPr>
        <w:pStyle w:val="Heading1"/>
        <w:rPr>
          <w:lang w:val="fr-CA"/>
        </w:rPr>
      </w:pPr>
      <w:r w:rsidRPr="00582BC2">
        <w:rPr>
          <w:lang w:val="fr-CA"/>
        </w:rPr>
        <w:t xml:space="preserve">Au cours de la préparation, le Secrétariat a pris en considération les informations (dont l’analyse et les enseignements tirés) présentées dans le rapport </w:t>
      </w:r>
      <w:r w:rsidR="00202BC6">
        <w:rPr>
          <w:lang w:val="fr-CA"/>
        </w:rPr>
        <w:t>sur l</w:t>
      </w:r>
      <w:r w:rsidRPr="00582BC2">
        <w:rPr>
          <w:lang w:val="fr-CA"/>
        </w:rPr>
        <w:t>’évaluation des projets de démonstration pilotes sur l’élimination et la</w:t>
      </w:r>
      <w:r w:rsidR="006962BB" w:rsidRPr="00582BC2">
        <w:rPr>
          <w:lang w:val="fr-CA"/>
        </w:rPr>
        <w:t xml:space="preserve"> destruction des SAO et le rapp</w:t>
      </w:r>
      <w:r w:rsidRPr="00582BC2">
        <w:rPr>
          <w:lang w:val="fr-CA"/>
        </w:rPr>
        <w:t>ort de synthèse sur les proje</w:t>
      </w:r>
      <w:r w:rsidR="006962BB" w:rsidRPr="00582BC2">
        <w:rPr>
          <w:lang w:val="fr-CA"/>
        </w:rPr>
        <w:t>t</w:t>
      </w:r>
      <w:r w:rsidRPr="00582BC2">
        <w:rPr>
          <w:lang w:val="fr-CA"/>
        </w:rPr>
        <w:t>s de démonstration pilotes qui s’appliqueraient à toutes les substances réglementées en accordant une attention particulière aux occasions connexes d’élimination de substances réglementées dans le cadre de la gestion et de l’élimination définitive des déchets électroniques et éle</w:t>
      </w:r>
      <w:r w:rsidR="00F044CF">
        <w:rPr>
          <w:lang w:val="fr-CA"/>
        </w:rPr>
        <w:t>ctriques,</w:t>
      </w:r>
      <w:r w:rsidRPr="00582BC2">
        <w:rPr>
          <w:lang w:val="fr-CA"/>
        </w:rPr>
        <w:t xml:space="preserve"> et a examiné les plans de gestion de l'élimination des HCFC </w:t>
      </w:r>
      <w:r w:rsidR="006962BB" w:rsidRPr="00582BC2">
        <w:rPr>
          <w:lang w:val="fr-CA"/>
        </w:rPr>
        <w:t>(PGEH) dont la stratégie globale comprenait certains éléments sur l’élimination des substances réglementées</w:t>
      </w:r>
      <w:r w:rsidR="002C230F" w:rsidRPr="00582BC2">
        <w:rPr>
          <w:lang w:val="fr-CA"/>
        </w:rPr>
        <w:t>.</w:t>
      </w:r>
    </w:p>
    <w:p w14:paraId="23311C85" w14:textId="4331D88C" w:rsidR="009804DA" w:rsidRPr="00582BC2" w:rsidRDefault="006962BB" w:rsidP="002C230F">
      <w:pPr>
        <w:pStyle w:val="Heading1"/>
        <w:rPr>
          <w:lang w:val="fr-CA"/>
        </w:rPr>
      </w:pPr>
      <w:r w:rsidRPr="00582BC2">
        <w:rPr>
          <w:lang w:val="fr-CA"/>
        </w:rPr>
        <w:t xml:space="preserve">Reconnaissant que la prise en compte des résidus de substances réglementées est étroitement liée au secteur de l’entretien de l’équipement de réfrigération dans la plupart des pays visés à l'article 5, surtout dans le cadre des programmes de récupération et de recyclage au titre du Fonds multilatéral, le Secrétariat a aussi pris en compte les renseignements contenus dans le document préliminaire sur tous les aspects en lien avec le secteur de l’entretien de l’équipement de réfrigération qui soutiennent la réduction progressive des HFC </w:t>
      </w:r>
      <w:r w:rsidR="005125E7" w:rsidRPr="00582BC2">
        <w:rPr>
          <w:lang w:val="fr-CA"/>
        </w:rPr>
        <w:t>(d</w:t>
      </w:r>
      <w:r w:rsidRPr="00582BC2">
        <w:rPr>
          <w:lang w:val="fr-CA"/>
        </w:rPr>
        <w:t xml:space="preserve">écision 80/76 </w:t>
      </w:r>
      <w:r w:rsidR="005125E7" w:rsidRPr="00582BC2">
        <w:rPr>
          <w:lang w:val="fr-CA"/>
        </w:rPr>
        <w:t>c)),</w:t>
      </w:r>
      <w:r w:rsidR="009804DA" w:rsidRPr="00582BC2">
        <w:rPr>
          <w:rStyle w:val="FootnoteReference"/>
          <w:lang w:val="fr-CA"/>
        </w:rPr>
        <w:footnoteReference w:id="9"/>
      </w:r>
      <w:r w:rsidR="002C230F" w:rsidRPr="00582BC2">
        <w:rPr>
          <w:lang w:val="fr-CA"/>
        </w:rPr>
        <w:t xml:space="preserve"> </w:t>
      </w:r>
      <w:r w:rsidR="00A8535A" w:rsidRPr="00582BC2">
        <w:rPr>
          <w:lang w:val="fr-CA"/>
        </w:rPr>
        <w:t>et dans l’analyse du niveau et des modalités de financement de la réduction progressive des HFC dans le secteur de l’entretien de l’équipement de réfrigération</w:t>
      </w:r>
      <w:r w:rsidR="00F044CF">
        <w:rPr>
          <w:lang w:val="fr-CA"/>
        </w:rPr>
        <w:t>,</w:t>
      </w:r>
      <w:r w:rsidR="00A8535A" w:rsidRPr="00582BC2">
        <w:rPr>
          <w:lang w:val="fr-CA"/>
        </w:rPr>
        <w:t xml:space="preserve"> demandée dans les décisions</w:t>
      </w:r>
      <w:r w:rsidR="002C230F" w:rsidRPr="00582BC2">
        <w:rPr>
          <w:lang w:val="fr-CA"/>
        </w:rPr>
        <w:t xml:space="preserve"> 83/65</w:t>
      </w:r>
      <w:r w:rsidR="00A8535A" w:rsidRPr="00582BC2">
        <w:rPr>
          <w:lang w:val="fr-CA"/>
        </w:rPr>
        <w:t xml:space="preserve"> </w:t>
      </w:r>
      <w:r w:rsidR="005125E7" w:rsidRPr="00582BC2">
        <w:rPr>
          <w:lang w:val="fr-CA"/>
        </w:rPr>
        <w:t xml:space="preserve">b) </w:t>
      </w:r>
      <w:r w:rsidR="00A8535A" w:rsidRPr="00582BC2">
        <w:rPr>
          <w:lang w:val="fr-CA"/>
        </w:rPr>
        <w:t>et</w:t>
      </w:r>
      <w:r w:rsidR="00013A32" w:rsidRPr="00582BC2">
        <w:rPr>
          <w:lang w:val="fr-CA"/>
        </w:rPr>
        <w:t xml:space="preserve"> </w:t>
      </w:r>
      <w:r w:rsidR="00A8535A" w:rsidRPr="00582BC2">
        <w:rPr>
          <w:lang w:val="fr-CA"/>
        </w:rPr>
        <w:t>84/86 b</w:t>
      </w:r>
      <w:r w:rsidR="002C230F" w:rsidRPr="00582BC2">
        <w:rPr>
          <w:lang w:val="fr-CA"/>
        </w:rPr>
        <w:t>)</w:t>
      </w:r>
      <w:r w:rsidR="00A8535A" w:rsidRPr="00582BC2">
        <w:rPr>
          <w:lang w:val="fr-CA"/>
        </w:rPr>
        <w:t xml:space="preserve"> </w:t>
      </w:r>
      <w:r w:rsidR="002C230F" w:rsidRPr="00582BC2">
        <w:rPr>
          <w:lang w:val="fr-CA"/>
        </w:rPr>
        <w:t>ii))</w:t>
      </w:r>
      <w:r w:rsidR="008A475C" w:rsidRPr="00582BC2">
        <w:rPr>
          <w:lang w:val="fr-CA"/>
        </w:rPr>
        <w:t>.</w:t>
      </w:r>
      <w:r w:rsidR="008A475C" w:rsidRPr="00582BC2">
        <w:rPr>
          <w:rStyle w:val="FootnoteReference"/>
          <w:lang w:val="fr-CA"/>
        </w:rPr>
        <w:footnoteReference w:id="10"/>
      </w:r>
    </w:p>
    <w:p w14:paraId="2E1FD7FC" w14:textId="04B56152" w:rsidR="00164DA3" w:rsidRPr="00582BC2" w:rsidRDefault="00A8535A" w:rsidP="00B3704A">
      <w:pPr>
        <w:pStyle w:val="Heading1"/>
        <w:rPr>
          <w:lang w:val="fr-CA"/>
        </w:rPr>
      </w:pPr>
      <w:r w:rsidRPr="00582BC2">
        <w:rPr>
          <w:lang w:val="fr-CA"/>
        </w:rPr>
        <w:t xml:space="preserve">Le document comprend les parties suivantes </w:t>
      </w:r>
      <w:r w:rsidR="00164DA3" w:rsidRPr="00582BC2">
        <w:rPr>
          <w:lang w:val="fr-CA"/>
        </w:rPr>
        <w:t>:</w:t>
      </w:r>
    </w:p>
    <w:p w14:paraId="16ADA4D5" w14:textId="51B27F9C" w:rsidR="00164DA3" w:rsidRPr="00582BC2" w:rsidRDefault="00A8535A" w:rsidP="00164DA3">
      <w:pPr>
        <w:pStyle w:val="Heading2"/>
        <w:rPr>
          <w:lang w:val="fr-CA"/>
        </w:rPr>
      </w:pPr>
      <w:r w:rsidRPr="00582BC2">
        <w:rPr>
          <w:lang w:val="fr-CA"/>
        </w:rPr>
        <w:t xml:space="preserve">Analyse des enseignements tirés des projets pilotes d’élimination des </w:t>
      </w:r>
      <w:proofErr w:type="gramStart"/>
      <w:r w:rsidRPr="00582BC2">
        <w:rPr>
          <w:lang w:val="fr-CA"/>
        </w:rPr>
        <w:t>SAO</w:t>
      </w:r>
      <w:r w:rsidR="00396BDB" w:rsidRPr="00582BC2">
        <w:rPr>
          <w:lang w:val="fr-CA"/>
        </w:rPr>
        <w:t>;</w:t>
      </w:r>
      <w:proofErr w:type="gramEnd"/>
    </w:p>
    <w:p w14:paraId="1E994165" w14:textId="78173820" w:rsidR="009D6B08" w:rsidRPr="00582BC2" w:rsidRDefault="00A8535A" w:rsidP="009D6B08">
      <w:pPr>
        <w:pStyle w:val="Heading2"/>
        <w:rPr>
          <w:lang w:val="fr-CA"/>
        </w:rPr>
      </w:pPr>
      <w:r w:rsidRPr="00582BC2">
        <w:rPr>
          <w:lang w:val="fr-CA"/>
        </w:rPr>
        <w:t xml:space="preserve">Éléments à examiner pour l’opérationnalisation du paragraphe 24 de la décision </w:t>
      </w:r>
      <w:r w:rsidR="009804DA" w:rsidRPr="00582BC2">
        <w:rPr>
          <w:lang w:val="fr-CA"/>
        </w:rPr>
        <w:t>XXVIII/</w:t>
      </w:r>
      <w:proofErr w:type="gramStart"/>
      <w:r w:rsidR="009804DA" w:rsidRPr="00582BC2">
        <w:rPr>
          <w:lang w:val="fr-CA"/>
        </w:rPr>
        <w:t>2</w:t>
      </w:r>
      <w:r w:rsidR="00396BDB" w:rsidRPr="00582BC2">
        <w:rPr>
          <w:lang w:val="fr-CA"/>
        </w:rPr>
        <w:t>;</w:t>
      </w:r>
      <w:proofErr w:type="gramEnd"/>
    </w:p>
    <w:p w14:paraId="786E7423" w14:textId="7E69706A" w:rsidR="002D3274" w:rsidRPr="00582BC2" w:rsidRDefault="00A8535A" w:rsidP="00090E3C">
      <w:pPr>
        <w:pStyle w:val="Heading2"/>
        <w:keepNext/>
        <w:keepLines/>
        <w:rPr>
          <w:lang w:val="fr-CA"/>
        </w:rPr>
      </w:pPr>
      <w:r w:rsidRPr="00582BC2">
        <w:rPr>
          <w:lang w:val="fr-CA"/>
        </w:rPr>
        <w:lastRenderedPageBreak/>
        <w:t xml:space="preserve">Scénarios à examiner lors du financement de la saine gestion des résidus de SAO et autres substances </w:t>
      </w:r>
      <w:proofErr w:type="gramStart"/>
      <w:r w:rsidRPr="00582BC2">
        <w:rPr>
          <w:lang w:val="fr-CA"/>
        </w:rPr>
        <w:t>réglementées;</w:t>
      </w:r>
      <w:proofErr w:type="gramEnd"/>
      <w:r w:rsidRPr="00582BC2">
        <w:rPr>
          <w:lang w:val="fr-CA"/>
        </w:rPr>
        <w:t xml:space="preserve"> </w:t>
      </w:r>
    </w:p>
    <w:p w14:paraId="406A689D" w14:textId="63C8632C" w:rsidR="009804DA" w:rsidRPr="00582BC2" w:rsidRDefault="003F2433" w:rsidP="009804DA">
      <w:pPr>
        <w:pStyle w:val="Heading2"/>
        <w:rPr>
          <w:lang w:val="fr-CA"/>
        </w:rPr>
      </w:pPr>
      <w:r w:rsidRPr="00582BC2">
        <w:rPr>
          <w:lang w:val="fr-CA"/>
        </w:rPr>
        <w:t>R</w:t>
      </w:r>
      <w:r w:rsidR="00C4532B" w:rsidRPr="00582BC2">
        <w:rPr>
          <w:lang w:val="fr-CA"/>
        </w:rPr>
        <w:t>ecomm</w:t>
      </w:r>
      <w:r w:rsidR="00A8535A" w:rsidRPr="00582BC2">
        <w:rPr>
          <w:lang w:val="fr-CA"/>
        </w:rPr>
        <w:t>a</w:t>
      </w:r>
      <w:r w:rsidR="00C4532B" w:rsidRPr="00582BC2">
        <w:rPr>
          <w:lang w:val="fr-CA"/>
        </w:rPr>
        <w:t>ndations</w:t>
      </w:r>
      <w:r w:rsidR="00C16EE4" w:rsidRPr="00582BC2">
        <w:rPr>
          <w:lang w:val="fr-CA"/>
        </w:rPr>
        <w:t>.</w:t>
      </w:r>
    </w:p>
    <w:p w14:paraId="57C08434" w14:textId="4FF020D6" w:rsidR="00396BDB" w:rsidRPr="00582BC2" w:rsidRDefault="004E12FB" w:rsidP="00396BDB">
      <w:pPr>
        <w:pStyle w:val="Heading1"/>
        <w:rPr>
          <w:lang w:val="fr-CA"/>
        </w:rPr>
      </w:pPr>
      <w:r w:rsidRPr="00582BC2">
        <w:rPr>
          <w:lang w:val="fr-CA"/>
        </w:rPr>
        <w:t>Le document contient également une annexe qui offre un aperçu par pays des projets pilotes d’élimination des SAO achevés</w:t>
      </w:r>
      <w:r w:rsidR="00187472" w:rsidRPr="00582BC2">
        <w:rPr>
          <w:lang w:val="fr-CA"/>
        </w:rPr>
        <w:t>.</w:t>
      </w:r>
    </w:p>
    <w:p w14:paraId="0C34D0D3" w14:textId="0717FAB0" w:rsidR="009D6B08" w:rsidRPr="00582BC2" w:rsidRDefault="00DE5E44" w:rsidP="003F1C5E">
      <w:pPr>
        <w:keepNext/>
        <w:keepLines/>
        <w:rPr>
          <w:rFonts w:eastAsia="Calibri"/>
          <w:b/>
          <w:lang w:val="fr-CA"/>
        </w:rPr>
      </w:pPr>
      <w:r w:rsidRPr="00582BC2">
        <w:rPr>
          <w:rFonts w:eastAsia="Calibri"/>
          <w:b/>
          <w:lang w:val="fr-CA"/>
        </w:rPr>
        <w:t>Analyse des résultats et enseignements tirés des projets pilotes d’élimination des SAO</w:t>
      </w:r>
    </w:p>
    <w:p w14:paraId="613BEFD7" w14:textId="13DAD474" w:rsidR="009D6B08" w:rsidRPr="00582BC2" w:rsidRDefault="009D6B08" w:rsidP="003F1C5E">
      <w:pPr>
        <w:keepNext/>
        <w:keepLines/>
        <w:widowControl w:val="0"/>
        <w:rPr>
          <w:rFonts w:eastAsia="Calibri"/>
          <w:lang w:val="fr-CA"/>
        </w:rPr>
      </w:pPr>
    </w:p>
    <w:p w14:paraId="4DC2C35A" w14:textId="3B23B11E" w:rsidR="009804DA" w:rsidRPr="00582BC2" w:rsidRDefault="00DE5E44" w:rsidP="003F1C5E">
      <w:pPr>
        <w:pStyle w:val="Heading1"/>
        <w:keepNext/>
        <w:keepLines/>
        <w:widowControl w:val="0"/>
        <w:rPr>
          <w:lang w:val="fr-CA"/>
        </w:rPr>
      </w:pPr>
      <w:r w:rsidRPr="00582BC2">
        <w:rPr>
          <w:lang w:val="fr-CA"/>
        </w:rPr>
        <w:t xml:space="preserve">Les principaux enseignements tirés de la mise en œuvre des projets d’élimination des SAO résumés ci-dessous doivent être pris en considération lors de l’élaboration de stratégies pour une gestion écologique des résidus de substances réglementées </w:t>
      </w:r>
      <w:r w:rsidR="009804DA" w:rsidRPr="00582BC2">
        <w:rPr>
          <w:lang w:val="fr-CA"/>
        </w:rPr>
        <w:t>:</w:t>
      </w:r>
    </w:p>
    <w:p w14:paraId="28D7BB6F" w14:textId="40EE6978" w:rsidR="003854AA" w:rsidRPr="00582BC2" w:rsidRDefault="00DE5E44" w:rsidP="003F1C5E">
      <w:pPr>
        <w:pStyle w:val="Heading2"/>
        <w:widowControl/>
        <w:rPr>
          <w:lang w:val="fr-CA"/>
        </w:rPr>
      </w:pPr>
      <w:r w:rsidRPr="00582BC2">
        <w:rPr>
          <w:lang w:val="fr-CA"/>
        </w:rPr>
        <w:t xml:space="preserve">Les différences entre les stocks estimatifs de substances réglementées non désirées </w:t>
      </w:r>
      <w:r w:rsidR="00953DBF">
        <w:rPr>
          <w:lang w:val="fr-CA"/>
        </w:rPr>
        <w:t>connues</w:t>
      </w:r>
      <w:r w:rsidRPr="00582BC2">
        <w:rPr>
          <w:lang w:val="fr-CA"/>
        </w:rPr>
        <w:t xml:space="preserve"> grâce aux</w:t>
      </w:r>
      <w:r w:rsidR="003E2D14" w:rsidRPr="00582BC2">
        <w:rPr>
          <w:lang w:val="fr-CA"/>
        </w:rPr>
        <w:t xml:space="preserve"> </w:t>
      </w:r>
      <w:r w:rsidR="00695E3E">
        <w:rPr>
          <w:lang w:val="fr-CA"/>
        </w:rPr>
        <w:t>inventaire</w:t>
      </w:r>
      <w:r w:rsidR="0036114F">
        <w:rPr>
          <w:lang w:val="fr-CA"/>
        </w:rPr>
        <w:t>s</w:t>
      </w:r>
      <w:r w:rsidR="003E2D14" w:rsidRPr="00582BC2">
        <w:rPr>
          <w:lang w:val="fr-CA"/>
        </w:rPr>
        <w:t xml:space="preserve"> nationaux et les quantités réelles détruites mettent en évidence l’absence de capacités de collecte des résidus dans les pays visés à l'article 5 bénéficiaires, surtout les pays à faible volume de consommation, et ont démontré que les activités de récupération et de recyclage prévues dans les plans nationaux approuvés pour le secteur de l’entretien, nécessitent davantage d’orientation</w:t>
      </w:r>
      <w:r w:rsidR="003854AA" w:rsidRPr="00582BC2">
        <w:rPr>
          <w:lang w:val="fr-CA"/>
        </w:rPr>
        <w:t xml:space="preserve">; </w:t>
      </w:r>
    </w:p>
    <w:p w14:paraId="43CD272A" w14:textId="03352800" w:rsidR="009804DA" w:rsidRPr="00582BC2" w:rsidRDefault="003E2D14" w:rsidP="009804DA">
      <w:pPr>
        <w:pStyle w:val="Heading2"/>
        <w:rPr>
          <w:lang w:val="fr-CA"/>
        </w:rPr>
      </w:pPr>
      <w:r w:rsidRPr="00582BC2">
        <w:rPr>
          <w:lang w:val="fr-CA"/>
        </w:rPr>
        <w:t>La collecte systématique de résidus de SAO réalisée grâce à des efforts coordonnés et synchronisés entre le remplacement des appareils et de l’équipement et les programmes de récupération et de recyclage,</w:t>
      </w:r>
      <w:r w:rsidR="004E2CE7" w:rsidRPr="00582BC2">
        <w:rPr>
          <w:lang w:val="fr-CA"/>
        </w:rPr>
        <w:t xml:space="preserve"> </w:t>
      </w:r>
      <w:r w:rsidR="00482459">
        <w:rPr>
          <w:lang w:val="fr-CA"/>
        </w:rPr>
        <w:t>et comprenant des</w:t>
      </w:r>
      <w:r w:rsidR="004E2CE7" w:rsidRPr="00582BC2">
        <w:rPr>
          <w:lang w:val="fr-CA"/>
        </w:rPr>
        <w:t xml:space="preserve"> mesures </w:t>
      </w:r>
      <w:r w:rsidR="00482459">
        <w:rPr>
          <w:lang w:val="fr-CA"/>
        </w:rPr>
        <w:t>pour encourager</w:t>
      </w:r>
      <w:r w:rsidR="004E2CE7" w:rsidRPr="00582BC2">
        <w:rPr>
          <w:lang w:val="fr-CA"/>
        </w:rPr>
        <w:t xml:space="preserve"> la collecte, a besoin de soutien réglementaire pour </w:t>
      </w:r>
      <w:proofErr w:type="gramStart"/>
      <w:r w:rsidR="004E2CE7" w:rsidRPr="00582BC2">
        <w:rPr>
          <w:lang w:val="fr-CA"/>
        </w:rPr>
        <w:t>réussir</w:t>
      </w:r>
      <w:r w:rsidR="009804DA" w:rsidRPr="00582BC2">
        <w:rPr>
          <w:lang w:val="fr-CA"/>
        </w:rPr>
        <w:t>;</w:t>
      </w:r>
      <w:proofErr w:type="gramEnd"/>
    </w:p>
    <w:p w14:paraId="156149BD" w14:textId="5E26BE25" w:rsidR="009804DA" w:rsidRPr="00582BC2" w:rsidRDefault="004E2CE7" w:rsidP="009804DA">
      <w:pPr>
        <w:pStyle w:val="Heading2"/>
        <w:rPr>
          <w:lang w:val="fr-CA"/>
        </w:rPr>
      </w:pPr>
      <w:r w:rsidRPr="00582BC2">
        <w:rPr>
          <w:lang w:val="fr-CA"/>
        </w:rPr>
        <w:t>La se</w:t>
      </w:r>
      <w:r w:rsidR="00482459">
        <w:rPr>
          <w:lang w:val="fr-CA"/>
        </w:rPr>
        <w:t>nsibilisation à l’importance d’</w:t>
      </w:r>
      <w:r w:rsidRPr="00582BC2">
        <w:rPr>
          <w:lang w:val="fr-CA"/>
        </w:rPr>
        <w:t xml:space="preserve">élaborer des procédures concrètes pour la gestion et l’élimination des résidus de SAO doit être </w:t>
      </w:r>
      <w:r w:rsidR="00482459">
        <w:rPr>
          <w:lang w:val="fr-CA"/>
        </w:rPr>
        <w:t>accrue</w:t>
      </w:r>
      <w:r w:rsidRPr="00582BC2">
        <w:rPr>
          <w:lang w:val="fr-CA"/>
        </w:rPr>
        <w:t xml:space="preserve"> chez les </w:t>
      </w:r>
      <w:r w:rsidR="00591E5B" w:rsidRPr="00582BC2">
        <w:rPr>
          <w:lang w:val="fr-CA"/>
        </w:rPr>
        <w:t xml:space="preserve">responsables de la gestion des résidus dans les pays, qu’il s’agisse des gouvernements ou des chefs </w:t>
      </w:r>
      <w:proofErr w:type="gramStart"/>
      <w:r w:rsidR="00591E5B" w:rsidRPr="00582BC2">
        <w:rPr>
          <w:lang w:val="fr-CA"/>
        </w:rPr>
        <w:t>d’entreprise</w:t>
      </w:r>
      <w:r w:rsidR="009804DA" w:rsidRPr="00582BC2">
        <w:rPr>
          <w:lang w:val="fr-CA"/>
        </w:rPr>
        <w:t>;</w:t>
      </w:r>
      <w:proofErr w:type="gramEnd"/>
    </w:p>
    <w:p w14:paraId="580AB258" w14:textId="5BE6E58D" w:rsidR="00DF22FF" w:rsidRPr="00582BC2" w:rsidRDefault="00591E5B" w:rsidP="00585FF1">
      <w:pPr>
        <w:pStyle w:val="Heading2"/>
        <w:rPr>
          <w:lang w:val="fr-CA"/>
        </w:rPr>
      </w:pPr>
      <w:r w:rsidRPr="00582BC2">
        <w:rPr>
          <w:lang w:val="fr-CA"/>
        </w:rPr>
        <w:t xml:space="preserve">La mise en place d’un modèle </w:t>
      </w:r>
      <w:r w:rsidR="00734458">
        <w:rPr>
          <w:lang w:val="fr-CA"/>
        </w:rPr>
        <w:t>de gestion</w:t>
      </w:r>
      <w:r w:rsidRPr="00582BC2">
        <w:rPr>
          <w:lang w:val="fr-CA"/>
        </w:rPr>
        <w:t xml:space="preserve"> durable exige une coordination complexe avec plusieurs parties prenantes, ainsi que l’engagement et la participation du secteur privé afin que les programmes soient un succès. La responsabilité à long terme du producteur en appui au développement et à la mise en œuvre d’un modèle </w:t>
      </w:r>
      <w:r w:rsidR="00734458">
        <w:rPr>
          <w:lang w:val="fr-CA"/>
        </w:rPr>
        <w:t>de gestion</w:t>
      </w:r>
      <w:r w:rsidRPr="00582BC2">
        <w:rPr>
          <w:lang w:val="fr-CA"/>
        </w:rPr>
        <w:t xml:space="preserve"> durable est </w:t>
      </w:r>
      <w:proofErr w:type="gramStart"/>
      <w:r w:rsidRPr="00582BC2">
        <w:rPr>
          <w:lang w:val="fr-CA"/>
        </w:rPr>
        <w:t>importante;</w:t>
      </w:r>
      <w:proofErr w:type="gramEnd"/>
      <w:r w:rsidRPr="00582BC2">
        <w:rPr>
          <w:lang w:val="fr-CA"/>
        </w:rPr>
        <w:t xml:space="preserve"> </w:t>
      </w:r>
      <w:r w:rsidR="00330449" w:rsidRPr="00582BC2">
        <w:rPr>
          <w:lang w:val="fr-CA"/>
        </w:rPr>
        <w:t>les politiques de responsabilit</w:t>
      </w:r>
      <w:r w:rsidR="00695E3E">
        <w:rPr>
          <w:lang w:val="fr-CA"/>
        </w:rPr>
        <w:t>é à long terme des producteurs ont</w:t>
      </w:r>
      <w:r w:rsidR="00330449" w:rsidRPr="00582BC2">
        <w:rPr>
          <w:lang w:val="fr-CA"/>
        </w:rPr>
        <w:t xml:space="preserve"> connu plus de succès dans le contexte de l’équipement fabriqué au pa</w:t>
      </w:r>
      <w:r w:rsidR="00734458">
        <w:rPr>
          <w:lang w:val="fr-CA"/>
        </w:rPr>
        <w:t>ys que d</w:t>
      </w:r>
      <w:r w:rsidR="00330449" w:rsidRPr="00582BC2">
        <w:rPr>
          <w:lang w:val="fr-CA"/>
        </w:rPr>
        <w:t>e l’équipement importé;</w:t>
      </w:r>
    </w:p>
    <w:p w14:paraId="7099AEE6" w14:textId="07B875A6" w:rsidR="003854AA" w:rsidRPr="00582BC2" w:rsidRDefault="00330449" w:rsidP="00585FF1">
      <w:pPr>
        <w:pStyle w:val="Heading2"/>
        <w:rPr>
          <w:lang w:val="fr-CA"/>
        </w:rPr>
      </w:pPr>
      <w:r w:rsidRPr="00582BC2">
        <w:rPr>
          <w:lang w:val="fr-CA"/>
        </w:rPr>
        <w:t>La pérennité de la gestion des résidus de SAO demeure difficile sans l’engagement</w:t>
      </w:r>
      <w:r w:rsidR="00734458">
        <w:rPr>
          <w:lang w:val="fr-CA"/>
        </w:rPr>
        <w:t>,</w:t>
      </w:r>
      <w:r w:rsidRPr="00582BC2">
        <w:rPr>
          <w:lang w:val="fr-CA"/>
        </w:rPr>
        <w:t xml:space="preserve"> la coopération et la particip</w:t>
      </w:r>
      <w:r w:rsidR="000C5965" w:rsidRPr="00582BC2">
        <w:rPr>
          <w:lang w:val="fr-CA"/>
        </w:rPr>
        <w:t>a</w:t>
      </w:r>
      <w:r w:rsidRPr="00582BC2">
        <w:rPr>
          <w:lang w:val="fr-CA"/>
        </w:rPr>
        <w:t>tion accrues des centres de collecte</w:t>
      </w:r>
      <w:r w:rsidR="00734458">
        <w:rPr>
          <w:lang w:val="fr-CA"/>
        </w:rPr>
        <w:t>,</w:t>
      </w:r>
      <w:r w:rsidRPr="00582BC2">
        <w:rPr>
          <w:lang w:val="fr-CA"/>
        </w:rPr>
        <w:t xml:space="preserve"> </w:t>
      </w:r>
      <w:r w:rsidR="00734458">
        <w:rPr>
          <w:lang w:val="fr-CA"/>
        </w:rPr>
        <w:t xml:space="preserve">ainsi que </w:t>
      </w:r>
      <w:r w:rsidRPr="00582BC2">
        <w:rPr>
          <w:lang w:val="fr-CA"/>
        </w:rPr>
        <w:t>le soutien institutionne</w:t>
      </w:r>
      <w:r w:rsidR="000C5965" w:rsidRPr="00582BC2">
        <w:rPr>
          <w:lang w:val="fr-CA"/>
        </w:rPr>
        <w:t xml:space="preserve">l, </w:t>
      </w:r>
      <w:r w:rsidR="00734458">
        <w:rPr>
          <w:lang w:val="fr-CA"/>
        </w:rPr>
        <w:t>y compris</w:t>
      </w:r>
      <w:r w:rsidR="000C5965" w:rsidRPr="00582BC2">
        <w:rPr>
          <w:lang w:val="fr-CA"/>
        </w:rPr>
        <w:t xml:space="preserve"> les politiques de destru</w:t>
      </w:r>
      <w:r w:rsidRPr="00582BC2">
        <w:rPr>
          <w:lang w:val="fr-CA"/>
        </w:rPr>
        <w:t>ction</w:t>
      </w:r>
      <w:r w:rsidR="00734458">
        <w:rPr>
          <w:lang w:val="fr-CA"/>
        </w:rPr>
        <w:t xml:space="preserve">, </w:t>
      </w:r>
      <w:r w:rsidRPr="00582BC2">
        <w:rPr>
          <w:lang w:val="fr-CA"/>
        </w:rPr>
        <w:t xml:space="preserve">et l’intégration à la gestion des déchets dangereux. </w:t>
      </w:r>
      <w:r w:rsidR="00F26596">
        <w:rPr>
          <w:lang w:val="fr-CA"/>
        </w:rPr>
        <w:t>La</w:t>
      </w:r>
      <w:r w:rsidR="000C5965" w:rsidRPr="00582BC2">
        <w:rPr>
          <w:lang w:val="fr-CA"/>
        </w:rPr>
        <w:t xml:space="preserve"> stratégie de gestion écologique des résidus de substances réglementées faisant partie d’un plan d’élimination complète doit exister dès le départ et non entrer en ligne de compte qu’à la </w:t>
      </w:r>
      <w:proofErr w:type="gramStart"/>
      <w:r w:rsidR="000C5965" w:rsidRPr="00582BC2">
        <w:rPr>
          <w:lang w:val="fr-CA"/>
        </w:rPr>
        <w:t>fin;</w:t>
      </w:r>
      <w:proofErr w:type="gramEnd"/>
    </w:p>
    <w:p w14:paraId="5056860A" w14:textId="164ADDA6" w:rsidR="009804DA" w:rsidRPr="00582BC2" w:rsidRDefault="000C5965" w:rsidP="009804DA">
      <w:pPr>
        <w:pStyle w:val="Heading2"/>
        <w:rPr>
          <w:lang w:val="fr-CA"/>
        </w:rPr>
      </w:pPr>
      <w:r w:rsidRPr="00582BC2">
        <w:rPr>
          <w:lang w:val="fr-CA"/>
        </w:rPr>
        <w:t xml:space="preserve">La possibilité de cofinancement a été plus élevée dans les pays où la gestion écologique des déchets </w:t>
      </w:r>
      <w:r w:rsidR="00860B90" w:rsidRPr="00582BC2">
        <w:rPr>
          <w:lang w:val="fr-CA"/>
        </w:rPr>
        <w:t>était</w:t>
      </w:r>
      <w:r w:rsidRPr="00582BC2">
        <w:rPr>
          <w:lang w:val="fr-CA"/>
        </w:rPr>
        <w:t xml:space="preserve"> institutionnalisée et appuyé</w:t>
      </w:r>
      <w:r w:rsidR="00860B90" w:rsidRPr="00582BC2">
        <w:rPr>
          <w:lang w:val="fr-CA"/>
        </w:rPr>
        <w:t>e</w:t>
      </w:r>
      <w:r w:rsidR="00F26596">
        <w:rPr>
          <w:lang w:val="fr-CA"/>
        </w:rPr>
        <w:t xml:space="preserve"> par d</w:t>
      </w:r>
      <w:r w:rsidRPr="00582BC2">
        <w:rPr>
          <w:lang w:val="fr-CA"/>
        </w:rPr>
        <w:t xml:space="preserve">es mesures de réglementation et de politique. </w:t>
      </w:r>
      <w:r w:rsidR="00860B90" w:rsidRPr="00582BC2">
        <w:rPr>
          <w:lang w:val="fr-CA"/>
        </w:rPr>
        <w:t>Cependant, le faible prix des crédits de carbone et le ralentissement des marchés du carbone ont compliqué la recherche de cofinancement des solutions qui favoriseraient l’élimination durable des résidus de substances réglementées au cours de la mise en œuvre des projets pilotes d’élimination des SAO de 2012 à 2016</w:t>
      </w:r>
      <w:r w:rsidR="00083480" w:rsidRPr="00582BC2">
        <w:rPr>
          <w:lang w:val="fr-CA"/>
        </w:rPr>
        <w:t>.</w:t>
      </w:r>
    </w:p>
    <w:p w14:paraId="2452984F" w14:textId="1484CC05" w:rsidR="00396BDB" w:rsidRPr="00582BC2" w:rsidRDefault="00F1585A" w:rsidP="00396BDB">
      <w:pPr>
        <w:pStyle w:val="Heading1"/>
        <w:rPr>
          <w:lang w:val="fr-CA"/>
        </w:rPr>
      </w:pPr>
      <w:r w:rsidRPr="00582BC2">
        <w:rPr>
          <w:rFonts w:eastAsia="Calibri"/>
          <w:lang w:val="fr-CA"/>
        </w:rPr>
        <w:t xml:space="preserve">La gestion écologique des substances réglementées appuyée par des politiques comprenant le rôle </w:t>
      </w:r>
      <w:r w:rsidR="00F26596">
        <w:rPr>
          <w:rFonts w:eastAsia="Calibri"/>
          <w:lang w:val="fr-CA"/>
        </w:rPr>
        <w:t>que joue</w:t>
      </w:r>
      <w:r w:rsidRPr="00582BC2">
        <w:rPr>
          <w:rFonts w:eastAsia="Calibri"/>
          <w:lang w:val="fr-CA"/>
        </w:rPr>
        <w:t xml:space="preserve"> la prévention des résidus a été très importante dans les pays </w:t>
      </w:r>
      <w:r w:rsidRPr="00582BC2">
        <w:rPr>
          <w:lang w:val="fr-CA"/>
        </w:rPr>
        <w:t>visés à l'article 5</w:t>
      </w:r>
      <w:r w:rsidRPr="00582BC2">
        <w:rPr>
          <w:rFonts w:eastAsia="Calibri"/>
          <w:lang w:val="fr-CA"/>
        </w:rPr>
        <w:t xml:space="preserve"> ne créant que de </w:t>
      </w:r>
      <w:r w:rsidRPr="00582BC2">
        <w:rPr>
          <w:rFonts w:eastAsia="Calibri"/>
          <w:lang w:val="fr-CA"/>
        </w:rPr>
        <w:lastRenderedPageBreak/>
        <w:t xml:space="preserve">petites quantités de </w:t>
      </w:r>
      <w:r w:rsidR="00F26596">
        <w:rPr>
          <w:rFonts w:eastAsia="Calibri"/>
          <w:lang w:val="fr-CA"/>
        </w:rPr>
        <w:t>résidus de frigorigènes</w:t>
      </w:r>
      <w:r w:rsidRPr="00582BC2">
        <w:rPr>
          <w:rFonts w:eastAsia="Calibri"/>
          <w:lang w:val="fr-CA"/>
        </w:rPr>
        <w:t xml:space="preserve">. Par exemple, la mise en place d’un programme de </w:t>
      </w:r>
      <w:r w:rsidR="00C65839" w:rsidRPr="00582BC2">
        <w:rPr>
          <w:rFonts w:eastAsia="Calibri"/>
          <w:lang w:val="fr-CA"/>
        </w:rPr>
        <w:t>ré</w:t>
      </w:r>
      <w:r w:rsidRPr="00582BC2">
        <w:rPr>
          <w:rFonts w:eastAsia="Calibri"/>
          <w:lang w:val="fr-CA"/>
        </w:rPr>
        <w:t>cup</w:t>
      </w:r>
      <w:r w:rsidR="00C65839" w:rsidRPr="00582BC2">
        <w:rPr>
          <w:rFonts w:eastAsia="Calibri"/>
          <w:lang w:val="fr-CA"/>
        </w:rPr>
        <w:t>é</w:t>
      </w:r>
      <w:r w:rsidRPr="00582BC2">
        <w:rPr>
          <w:rFonts w:eastAsia="Calibri"/>
          <w:lang w:val="fr-CA"/>
        </w:rPr>
        <w:t>ration et de recyclage (et de rég</w:t>
      </w:r>
      <w:r w:rsidR="00C65839" w:rsidRPr="00582BC2">
        <w:rPr>
          <w:rFonts w:eastAsia="Calibri"/>
          <w:lang w:val="fr-CA"/>
        </w:rPr>
        <w:t>é</w:t>
      </w:r>
      <w:r w:rsidRPr="00582BC2">
        <w:rPr>
          <w:rFonts w:eastAsia="Calibri"/>
          <w:lang w:val="fr-CA"/>
        </w:rPr>
        <w:t>n</w:t>
      </w:r>
      <w:r w:rsidR="00C65839" w:rsidRPr="00582BC2">
        <w:rPr>
          <w:rFonts w:eastAsia="Calibri"/>
          <w:lang w:val="fr-CA"/>
        </w:rPr>
        <w:t>ération, si</w:t>
      </w:r>
      <w:r w:rsidRPr="00582BC2">
        <w:rPr>
          <w:rFonts w:eastAsia="Calibri"/>
          <w:lang w:val="fr-CA"/>
        </w:rPr>
        <w:t xml:space="preserve"> poss</w:t>
      </w:r>
      <w:r w:rsidR="00C65839" w:rsidRPr="00582BC2">
        <w:rPr>
          <w:rFonts w:eastAsia="Calibri"/>
          <w:lang w:val="fr-CA"/>
        </w:rPr>
        <w:t>i</w:t>
      </w:r>
      <w:r w:rsidRPr="00582BC2">
        <w:rPr>
          <w:rFonts w:eastAsia="Calibri"/>
          <w:lang w:val="fr-CA"/>
        </w:rPr>
        <w:t>ble)</w:t>
      </w:r>
      <w:r w:rsidR="000F0A4C" w:rsidRPr="00582BC2">
        <w:rPr>
          <w:rStyle w:val="FootnoteReference"/>
          <w:rFonts w:eastAsia="Calibri"/>
          <w:lang w:val="fr-CA"/>
        </w:rPr>
        <w:footnoteReference w:id="11"/>
      </w:r>
      <w:r w:rsidR="00396BDB" w:rsidRPr="00582BC2">
        <w:rPr>
          <w:rFonts w:eastAsia="Calibri"/>
          <w:lang w:val="fr-CA"/>
        </w:rPr>
        <w:t xml:space="preserve"> </w:t>
      </w:r>
      <w:r w:rsidR="00C65839" w:rsidRPr="00582BC2">
        <w:rPr>
          <w:rFonts w:eastAsia="Calibri"/>
          <w:lang w:val="fr-CA"/>
        </w:rPr>
        <w:t>fonctionnel et bien établi, jumelé à des activités d’élimination et de destruction des substances réglementées, a donné de meilleurs résultats</w:t>
      </w:r>
      <w:r w:rsidR="00396BDB" w:rsidRPr="00582BC2">
        <w:rPr>
          <w:rFonts w:eastAsia="Calibri"/>
          <w:lang w:val="fr-CA"/>
        </w:rPr>
        <w:t xml:space="preserve">. </w:t>
      </w:r>
    </w:p>
    <w:p w14:paraId="20C071F1" w14:textId="220C95C9" w:rsidR="00B32FC5" w:rsidRPr="00582BC2" w:rsidRDefault="00C65839" w:rsidP="003F1C5E">
      <w:pPr>
        <w:keepNext/>
        <w:tabs>
          <w:tab w:val="left" w:pos="1440"/>
          <w:tab w:val="left" w:pos="5760"/>
        </w:tabs>
        <w:spacing w:after="240"/>
        <w:rPr>
          <w:b/>
          <w:lang w:val="fr-CA"/>
        </w:rPr>
      </w:pPr>
      <w:r w:rsidRPr="00582BC2">
        <w:rPr>
          <w:b/>
          <w:lang w:val="fr-CA"/>
        </w:rPr>
        <w:t>Éléments nécessaires à l’opérationnalisation du paragraphe 24 de la décision</w:t>
      </w:r>
      <w:r w:rsidR="00B32FC5" w:rsidRPr="00582BC2">
        <w:rPr>
          <w:b/>
          <w:lang w:val="fr-CA"/>
        </w:rPr>
        <w:t xml:space="preserve"> XXVIII/2</w:t>
      </w:r>
    </w:p>
    <w:p w14:paraId="11DFF170" w14:textId="2E75F070" w:rsidR="006F0937" w:rsidRPr="00582BC2" w:rsidRDefault="009D5E4E" w:rsidP="00462F03">
      <w:pPr>
        <w:pStyle w:val="Heading1"/>
        <w:rPr>
          <w:lang w:val="fr-CA"/>
        </w:rPr>
      </w:pPr>
      <w:r w:rsidRPr="00582BC2">
        <w:rPr>
          <w:lang w:val="fr-CA"/>
        </w:rPr>
        <w:t xml:space="preserve">L’analyse des projets pilotes d’élimination des SAO, </w:t>
      </w:r>
      <w:r w:rsidR="00F34772" w:rsidRPr="00582BC2">
        <w:rPr>
          <w:lang w:val="fr-CA"/>
        </w:rPr>
        <w:t>les conclusions du rapport de synthèse sur les projets pilotes d’éliminatio</w:t>
      </w:r>
      <w:r w:rsidR="00F26596">
        <w:rPr>
          <w:lang w:val="fr-CA"/>
        </w:rPr>
        <w:t>n des SAO et le rapport final sur l’</w:t>
      </w:r>
      <w:r w:rsidR="00F34772" w:rsidRPr="00582BC2">
        <w:rPr>
          <w:lang w:val="fr-CA"/>
        </w:rPr>
        <w:t>évaluation des projets de démonstration pilotes sur l’élimination et</w:t>
      </w:r>
      <w:r w:rsidR="006F76C6">
        <w:rPr>
          <w:lang w:val="fr-CA"/>
        </w:rPr>
        <w:t xml:space="preserve"> la destruction des SAO démontre</w:t>
      </w:r>
      <w:r w:rsidR="00F34772" w:rsidRPr="00582BC2">
        <w:rPr>
          <w:lang w:val="fr-CA"/>
        </w:rPr>
        <w:t>nt que la gestion des SAO u</w:t>
      </w:r>
      <w:r w:rsidR="00202BC6">
        <w:rPr>
          <w:lang w:val="fr-CA"/>
        </w:rPr>
        <w:t>s</w:t>
      </w:r>
      <w:r w:rsidR="00F34772" w:rsidRPr="00582BC2">
        <w:rPr>
          <w:lang w:val="fr-CA"/>
        </w:rPr>
        <w:t xml:space="preserve">ées/non désirées en est encore aux premières étapes de son développement dans plusieurs pays visés à l'article 5, </w:t>
      </w:r>
      <w:r w:rsidR="007032D1">
        <w:rPr>
          <w:lang w:val="fr-CA"/>
        </w:rPr>
        <w:t>en dépit de</w:t>
      </w:r>
      <w:r w:rsidR="00F34772" w:rsidRPr="00582BC2">
        <w:rPr>
          <w:lang w:val="fr-CA"/>
        </w:rPr>
        <w:t xml:space="preserve"> l’assistance du Fonds multilatéral. Malgré la mise en œuvre de pratiques de récupération/recyclage (et de régénération dans quelques pays) dans le secteur de l’entretien de l’équipement de réfrigération</w:t>
      </w:r>
      <w:r w:rsidR="0014205B" w:rsidRPr="00582BC2">
        <w:rPr>
          <w:lang w:val="fr-CA"/>
        </w:rPr>
        <w:t xml:space="preserve"> de certains pays, il </w:t>
      </w:r>
      <w:r w:rsidR="006F76C6">
        <w:rPr>
          <w:lang w:val="fr-CA"/>
        </w:rPr>
        <w:t>faut</w:t>
      </w:r>
      <w:r w:rsidR="0014205B" w:rsidRPr="00582BC2">
        <w:rPr>
          <w:lang w:val="fr-CA"/>
        </w:rPr>
        <w:t xml:space="preserve"> encore à mettre en place des mesures de collecte, de régénération, de stockage et d’élimination définitive (dont la destruction) des substances réglementées non désirées</w:t>
      </w:r>
      <w:r w:rsidR="00CE115B" w:rsidRPr="00582BC2">
        <w:rPr>
          <w:lang w:val="fr-CA"/>
        </w:rPr>
        <w:t>.</w:t>
      </w:r>
    </w:p>
    <w:p w14:paraId="3EA3F630" w14:textId="55A2C675" w:rsidR="007C04ED" w:rsidRPr="00582BC2" w:rsidRDefault="0014205B" w:rsidP="003F1C5E">
      <w:pPr>
        <w:pStyle w:val="Heading1"/>
        <w:keepNext/>
        <w:rPr>
          <w:lang w:val="fr-CA"/>
        </w:rPr>
      </w:pPr>
      <w:r w:rsidRPr="00582BC2">
        <w:rPr>
          <w:lang w:val="fr-CA"/>
        </w:rPr>
        <w:t xml:space="preserve">La majorité des activités mises en œuvre dans le secteur de l’entretien de l’équipement de réfrigération dans </w:t>
      </w:r>
      <w:proofErr w:type="gramStart"/>
      <w:r w:rsidRPr="00582BC2">
        <w:rPr>
          <w:lang w:val="fr-CA"/>
        </w:rPr>
        <w:t>le cades</w:t>
      </w:r>
      <w:proofErr w:type="gramEnd"/>
      <w:r w:rsidRPr="00582BC2">
        <w:rPr>
          <w:lang w:val="fr-CA"/>
        </w:rPr>
        <w:t xml:space="preserve"> des PGEH de pays visés à l'article 5 donne l’occasion d’examiner la possib</w:t>
      </w:r>
      <w:r w:rsidR="00047B3A" w:rsidRPr="00582BC2">
        <w:rPr>
          <w:lang w:val="fr-CA"/>
        </w:rPr>
        <w:t>i</w:t>
      </w:r>
      <w:r w:rsidRPr="00582BC2">
        <w:rPr>
          <w:lang w:val="fr-CA"/>
        </w:rPr>
        <w:t xml:space="preserve">lité d’intégrer la gestion économique des </w:t>
      </w:r>
      <w:r w:rsidR="006F76C6">
        <w:rPr>
          <w:lang w:val="fr-CA"/>
        </w:rPr>
        <w:t xml:space="preserve">résidus de </w:t>
      </w:r>
      <w:r w:rsidRPr="00582BC2">
        <w:rPr>
          <w:lang w:val="fr-CA"/>
        </w:rPr>
        <w:t xml:space="preserve">substances réglementées aux stratégies nationales sur les déchets dangereux. </w:t>
      </w:r>
      <w:r w:rsidR="00047B3A" w:rsidRPr="00582BC2">
        <w:rPr>
          <w:lang w:val="fr-CA"/>
        </w:rPr>
        <w:t xml:space="preserve">Il est pertinent qu’au titre des plans du secteur de l’entretien de l’équipement de réfrigération, les pays visés à l'article 5 </w:t>
      </w:r>
      <w:r w:rsidR="007C04ED" w:rsidRPr="00582BC2">
        <w:rPr>
          <w:lang w:val="fr-CA"/>
        </w:rPr>
        <w:t>:</w:t>
      </w:r>
    </w:p>
    <w:p w14:paraId="00FB2D0E" w14:textId="3974E888" w:rsidR="00535AD4" w:rsidRPr="00582BC2" w:rsidRDefault="00047B3A" w:rsidP="00535AD4">
      <w:pPr>
        <w:pStyle w:val="Heading2"/>
        <w:rPr>
          <w:lang w:val="fr-CA"/>
        </w:rPr>
      </w:pPr>
      <w:r w:rsidRPr="00582BC2">
        <w:rPr>
          <w:lang w:val="fr-CA"/>
        </w:rPr>
        <w:t xml:space="preserve">Développent une approche qui garantirait que les programmes de récupération, de recyclage et de régénération (si possible) des frigorigènes représentent un point d’entrée pour la conception des sites de collecte, en appui à une stratégie de gestion des </w:t>
      </w:r>
      <w:proofErr w:type="gramStart"/>
      <w:r w:rsidRPr="00582BC2">
        <w:rPr>
          <w:lang w:val="fr-CA"/>
        </w:rPr>
        <w:t>résidus</w:t>
      </w:r>
      <w:r w:rsidR="00535AD4" w:rsidRPr="00582BC2">
        <w:rPr>
          <w:lang w:val="fr-CA"/>
        </w:rPr>
        <w:t>;</w:t>
      </w:r>
      <w:proofErr w:type="gramEnd"/>
    </w:p>
    <w:p w14:paraId="55A5F5EA" w14:textId="0E6FDC35" w:rsidR="007C04ED" w:rsidRPr="00582BC2" w:rsidRDefault="00047B3A" w:rsidP="007935C1">
      <w:pPr>
        <w:pStyle w:val="Heading2"/>
        <w:rPr>
          <w:lang w:val="fr-CA"/>
        </w:rPr>
      </w:pPr>
      <w:r w:rsidRPr="00582BC2">
        <w:rPr>
          <w:lang w:val="fr-CA"/>
        </w:rPr>
        <w:t>Mettent en place un cadre de réglementation qui interdirait le dégagement de substances réglementées lors de l’installation, du fonctionnement, de l’entretien et de la mise hors service de l’équipement de</w:t>
      </w:r>
      <w:r w:rsidR="001D37B8" w:rsidRPr="00582BC2">
        <w:rPr>
          <w:lang w:val="fr-CA"/>
        </w:rPr>
        <w:t xml:space="preserve"> réfrigération et de climatisati</w:t>
      </w:r>
      <w:r w:rsidRPr="00582BC2">
        <w:rPr>
          <w:lang w:val="fr-CA"/>
        </w:rPr>
        <w:t>on, et qui encoura</w:t>
      </w:r>
      <w:r w:rsidR="001D37B8" w:rsidRPr="00582BC2">
        <w:rPr>
          <w:lang w:val="fr-CA"/>
        </w:rPr>
        <w:t>ge</w:t>
      </w:r>
      <w:r w:rsidR="006F76C6">
        <w:rPr>
          <w:lang w:val="fr-CA"/>
        </w:rPr>
        <w:t>rait</w:t>
      </w:r>
      <w:r w:rsidR="001D37B8" w:rsidRPr="00582BC2">
        <w:rPr>
          <w:lang w:val="fr-CA"/>
        </w:rPr>
        <w:t xml:space="preserve"> la réutilisation des substance</w:t>
      </w:r>
      <w:r w:rsidRPr="00582BC2">
        <w:rPr>
          <w:lang w:val="fr-CA"/>
        </w:rPr>
        <w:t xml:space="preserve">s réglementées recueillies, lorsque c’est faisable sur le plan technique et viable sur le plan économique, </w:t>
      </w:r>
      <w:r w:rsidR="006F76C6">
        <w:rPr>
          <w:lang w:val="fr-CA"/>
        </w:rPr>
        <w:t>qui tiendrait</w:t>
      </w:r>
      <w:r w:rsidRPr="00582BC2">
        <w:rPr>
          <w:lang w:val="fr-CA"/>
        </w:rPr>
        <w:t xml:space="preserve"> compte des mesures d’</w:t>
      </w:r>
      <w:r w:rsidR="001D37B8" w:rsidRPr="00582BC2">
        <w:rPr>
          <w:lang w:val="fr-CA"/>
        </w:rPr>
        <w:t>encouragement économique</w:t>
      </w:r>
      <w:r w:rsidR="006F76C6">
        <w:rPr>
          <w:lang w:val="fr-CA"/>
        </w:rPr>
        <w:t>s</w:t>
      </w:r>
      <w:r w:rsidR="001D37B8" w:rsidRPr="00582BC2">
        <w:rPr>
          <w:lang w:val="fr-CA"/>
        </w:rPr>
        <w:t xml:space="preserve"> du</w:t>
      </w:r>
      <w:r w:rsidRPr="00582BC2">
        <w:rPr>
          <w:lang w:val="fr-CA"/>
        </w:rPr>
        <w:t xml:space="preserve"> retour des </w:t>
      </w:r>
      <w:r w:rsidR="006F76C6">
        <w:rPr>
          <w:lang w:val="fr-CA"/>
        </w:rPr>
        <w:t xml:space="preserve">résidus de </w:t>
      </w:r>
      <w:r w:rsidRPr="00582BC2">
        <w:rPr>
          <w:lang w:val="fr-CA"/>
        </w:rPr>
        <w:t>su</w:t>
      </w:r>
      <w:r w:rsidR="006F76C6">
        <w:rPr>
          <w:lang w:val="fr-CA"/>
        </w:rPr>
        <w:t>bstances réglementées</w:t>
      </w:r>
      <w:r w:rsidR="00021A4C">
        <w:rPr>
          <w:lang w:val="fr-CA"/>
        </w:rPr>
        <w:t xml:space="preserve"> et </w:t>
      </w:r>
      <w:r w:rsidR="006F76C6">
        <w:rPr>
          <w:lang w:val="fr-CA"/>
        </w:rPr>
        <w:t>tiendrait</w:t>
      </w:r>
      <w:r w:rsidRPr="00582BC2">
        <w:rPr>
          <w:lang w:val="fr-CA"/>
        </w:rPr>
        <w:t xml:space="preserve"> compte </w:t>
      </w:r>
      <w:r w:rsidR="00021A4C">
        <w:rPr>
          <w:lang w:val="fr-CA"/>
        </w:rPr>
        <w:t xml:space="preserve">également </w:t>
      </w:r>
      <w:r w:rsidRPr="00582BC2">
        <w:rPr>
          <w:lang w:val="fr-CA"/>
        </w:rPr>
        <w:t>des conventions internationales sur les déplacements de tels résidus dangereux</w:t>
      </w:r>
      <w:r w:rsidR="00462F03" w:rsidRPr="00582BC2">
        <w:rPr>
          <w:lang w:val="fr-CA"/>
        </w:rPr>
        <w:t>;</w:t>
      </w:r>
      <w:r w:rsidR="00E7073F" w:rsidRPr="00582BC2">
        <w:rPr>
          <w:rStyle w:val="FootnoteReference"/>
          <w:lang w:val="fr-CA"/>
        </w:rPr>
        <w:footnoteReference w:id="12"/>
      </w:r>
    </w:p>
    <w:p w14:paraId="6B8747FB" w14:textId="46626475" w:rsidR="00BE3EC7" w:rsidRPr="00582BC2" w:rsidRDefault="001D37B8" w:rsidP="00B32FC5">
      <w:pPr>
        <w:pStyle w:val="Heading2"/>
        <w:rPr>
          <w:lang w:val="fr-CA"/>
        </w:rPr>
      </w:pPr>
      <w:r w:rsidRPr="00582BC2">
        <w:rPr>
          <w:lang w:val="fr-CA"/>
        </w:rPr>
        <w:t xml:space="preserve">Recensent l’équipement et les mesures de logistiques nécessaires afin d’assurer la gestion des substances réglementées non désirées et incluent ces besoins dans l’approche </w:t>
      </w:r>
      <w:proofErr w:type="gramStart"/>
      <w:r w:rsidRPr="00582BC2">
        <w:rPr>
          <w:lang w:val="fr-CA"/>
        </w:rPr>
        <w:t>globale;</w:t>
      </w:r>
      <w:proofErr w:type="gramEnd"/>
    </w:p>
    <w:p w14:paraId="3FE161B8" w14:textId="19939C82" w:rsidR="00D41F6C" w:rsidRPr="00582BC2" w:rsidRDefault="001D37B8" w:rsidP="00090E3C">
      <w:pPr>
        <w:pStyle w:val="Heading2"/>
        <w:rPr>
          <w:lang w:val="fr-CA"/>
        </w:rPr>
      </w:pPr>
      <w:r w:rsidRPr="00582BC2">
        <w:rPr>
          <w:lang w:val="fr-CA"/>
        </w:rPr>
        <w:t xml:space="preserve">Élaborent des plans </w:t>
      </w:r>
      <w:r w:rsidR="00C43B03">
        <w:rPr>
          <w:lang w:val="fr-CA"/>
        </w:rPr>
        <w:t>de gestion</w:t>
      </w:r>
      <w:r w:rsidRPr="00582BC2">
        <w:rPr>
          <w:lang w:val="fr-CA"/>
        </w:rPr>
        <w:t xml:space="preserve"> pour la création de programmes de récupération, recyclage et régénération des substances réglementées, et d’élimination définitive, dont la destruction</w:t>
      </w:r>
      <w:r w:rsidR="00276FCA" w:rsidRPr="00582BC2">
        <w:rPr>
          <w:lang w:val="fr-CA"/>
        </w:rPr>
        <w:t>,</w:t>
      </w:r>
      <w:r w:rsidR="00E7073F" w:rsidRPr="00582BC2">
        <w:rPr>
          <w:rStyle w:val="FootnoteReference"/>
          <w:lang w:val="fr-CA"/>
        </w:rPr>
        <w:footnoteReference w:id="13"/>
      </w:r>
      <w:r w:rsidR="00276FCA" w:rsidRPr="00582BC2">
        <w:rPr>
          <w:lang w:val="fr-CA"/>
        </w:rPr>
        <w:t xml:space="preserve"> </w:t>
      </w:r>
      <w:r w:rsidRPr="00582BC2">
        <w:rPr>
          <w:lang w:val="fr-CA"/>
        </w:rPr>
        <w:t xml:space="preserve">de </w:t>
      </w:r>
      <w:r w:rsidR="00C43B03">
        <w:rPr>
          <w:lang w:val="fr-CA"/>
        </w:rPr>
        <w:t xml:space="preserve">résidus de </w:t>
      </w:r>
      <w:r w:rsidRPr="00582BC2">
        <w:rPr>
          <w:lang w:val="fr-CA"/>
        </w:rPr>
        <w:t xml:space="preserve">substances </w:t>
      </w:r>
      <w:r w:rsidR="00C43B03">
        <w:rPr>
          <w:lang w:val="fr-CA"/>
        </w:rPr>
        <w:t>réglementées</w:t>
      </w:r>
      <w:r w:rsidRPr="00582BC2">
        <w:rPr>
          <w:lang w:val="fr-CA"/>
        </w:rPr>
        <w:t>, en précisant les responsables financiers et les meilleures solutions possibles</w:t>
      </w:r>
      <w:r w:rsidR="009B629B" w:rsidRPr="00582BC2">
        <w:rPr>
          <w:lang w:val="fr-CA"/>
        </w:rPr>
        <w:t>.</w:t>
      </w:r>
    </w:p>
    <w:p w14:paraId="62488913" w14:textId="598B6179" w:rsidR="00627875" w:rsidRPr="00582BC2" w:rsidRDefault="000E5C41" w:rsidP="00090E3C">
      <w:pPr>
        <w:pStyle w:val="Heading1"/>
        <w:rPr>
          <w:lang w:val="fr-CA"/>
        </w:rPr>
      </w:pPr>
      <w:r w:rsidRPr="00582BC2">
        <w:rPr>
          <w:lang w:val="fr-CA"/>
        </w:rPr>
        <w:lastRenderedPageBreak/>
        <w:t>L’approche intégrée des activités dans le secteur de l’entretien de l’équipement de réfrigération est abordée dans le document sur les stratégies, mesures de politique et engagement</w:t>
      </w:r>
      <w:r w:rsidR="00EF31AE" w:rsidRPr="00582BC2">
        <w:rPr>
          <w:lang w:val="fr-CA"/>
        </w:rPr>
        <w:t>s</w:t>
      </w:r>
      <w:r w:rsidRPr="00582BC2">
        <w:rPr>
          <w:lang w:val="fr-CA"/>
        </w:rPr>
        <w:t xml:space="preserve"> possibles, </w:t>
      </w:r>
      <w:r w:rsidR="00C43B03">
        <w:rPr>
          <w:lang w:val="fr-CA"/>
        </w:rPr>
        <w:t>tout comme</w:t>
      </w:r>
      <w:r w:rsidRPr="00582BC2">
        <w:rPr>
          <w:lang w:val="fr-CA"/>
        </w:rPr>
        <w:t xml:space="preserve"> les projets et activités qui pourraient être intégrés à la phase I des plans de réduction progressive des HFC</w:t>
      </w:r>
      <w:r w:rsidR="00EF31AE" w:rsidRPr="00582BC2">
        <w:rPr>
          <w:lang w:val="fr-CA"/>
        </w:rPr>
        <w:t xml:space="preserve"> d</w:t>
      </w:r>
      <w:r w:rsidRPr="00582BC2">
        <w:rPr>
          <w:lang w:val="fr-CA"/>
        </w:rPr>
        <w:t>ans les pays visés à l'article 5 (décision</w:t>
      </w:r>
      <w:r w:rsidR="009F36F8" w:rsidRPr="00582BC2">
        <w:rPr>
          <w:lang w:val="fr-CA"/>
        </w:rPr>
        <w:t xml:space="preserve"> 84/54</w:t>
      </w:r>
      <w:r w:rsidRPr="00582BC2">
        <w:rPr>
          <w:lang w:val="fr-CA"/>
        </w:rPr>
        <w:t xml:space="preserve"> </w:t>
      </w:r>
      <w:r w:rsidR="009F36F8" w:rsidRPr="00582BC2">
        <w:rPr>
          <w:lang w:val="fr-CA"/>
        </w:rPr>
        <w:t>b))</w:t>
      </w:r>
      <w:r w:rsidR="00556638" w:rsidRPr="00582BC2">
        <w:rPr>
          <w:lang w:val="fr-CA"/>
        </w:rPr>
        <w:t>.</w:t>
      </w:r>
      <w:r w:rsidR="009B629B" w:rsidRPr="00582BC2">
        <w:rPr>
          <w:rStyle w:val="FootnoteReference"/>
          <w:lang w:val="fr-CA"/>
        </w:rPr>
        <w:footnoteReference w:id="14"/>
      </w:r>
      <w:r w:rsidR="00556638" w:rsidRPr="00582BC2">
        <w:rPr>
          <w:lang w:val="fr-CA"/>
        </w:rPr>
        <w:t xml:space="preserve"> </w:t>
      </w:r>
      <w:r w:rsidR="00EF31AE" w:rsidRPr="00582BC2">
        <w:rPr>
          <w:lang w:val="fr-CA"/>
        </w:rPr>
        <w:t xml:space="preserve">L’intégration d’une stratégie de gestion écologique des </w:t>
      </w:r>
      <w:r w:rsidR="0036114F">
        <w:rPr>
          <w:lang w:val="fr-CA"/>
        </w:rPr>
        <w:t xml:space="preserve">résidus de </w:t>
      </w:r>
      <w:r w:rsidR="00EF31AE" w:rsidRPr="00582BC2">
        <w:rPr>
          <w:lang w:val="fr-CA"/>
        </w:rPr>
        <w:t>substances réglementées soutien</w:t>
      </w:r>
      <w:r w:rsidR="004F00F0">
        <w:rPr>
          <w:lang w:val="fr-CA"/>
        </w:rPr>
        <w:t>t cette proposition et garantit</w:t>
      </w:r>
      <w:r w:rsidR="00EF31AE" w:rsidRPr="00582BC2">
        <w:rPr>
          <w:lang w:val="fr-CA"/>
        </w:rPr>
        <w:t xml:space="preserve"> que tous les aspects de la gestion des frigorigènes </w:t>
      </w:r>
      <w:r w:rsidR="004F00F0">
        <w:rPr>
          <w:lang w:val="fr-CA"/>
        </w:rPr>
        <w:t>seront</w:t>
      </w:r>
      <w:r w:rsidR="00EF31AE" w:rsidRPr="00582BC2">
        <w:rPr>
          <w:lang w:val="fr-CA"/>
        </w:rPr>
        <w:t xml:space="preserve"> pris en compte à part entière</w:t>
      </w:r>
      <w:r w:rsidR="004F00F0">
        <w:rPr>
          <w:lang w:val="fr-CA"/>
        </w:rPr>
        <w:t>, jusqu’à leur destruction</w:t>
      </w:r>
      <w:r w:rsidR="00AC13D3" w:rsidRPr="00582BC2">
        <w:rPr>
          <w:lang w:val="fr-CA"/>
        </w:rPr>
        <w:t>.</w:t>
      </w:r>
    </w:p>
    <w:p w14:paraId="13BF8F46" w14:textId="4357976E" w:rsidR="00535AD4" w:rsidRPr="00582BC2" w:rsidRDefault="00BD5633" w:rsidP="001A29A5">
      <w:pPr>
        <w:keepNext/>
        <w:tabs>
          <w:tab w:val="left" w:pos="2880"/>
          <w:tab w:val="left" w:pos="5760"/>
        </w:tabs>
        <w:spacing w:after="240"/>
        <w:rPr>
          <w:b/>
          <w:lang w:val="fr-CA"/>
        </w:rPr>
      </w:pPr>
      <w:r w:rsidRPr="00582BC2">
        <w:rPr>
          <w:b/>
          <w:lang w:val="fr-CA"/>
        </w:rPr>
        <w:t xml:space="preserve">Solutions </w:t>
      </w:r>
      <w:r w:rsidR="0036114F">
        <w:rPr>
          <w:b/>
          <w:lang w:val="fr-CA"/>
        </w:rPr>
        <w:t>concernant le</w:t>
      </w:r>
      <w:r w:rsidRPr="00582BC2">
        <w:rPr>
          <w:b/>
          <w:lang w:val="fr-CA"/>
        </w:rPr>
        <w:t xml:space="preserve"> financement de la gestion écologique des </w:t>
      </w:r>
      <w:r w:rsidR="0036114F">
        <w:rPr>
          <w:b/>
          <w:lang w:val="fr-CA"/>
        </w:rPr>
        <w:t xml:space="preserve">résidus de </w:t>
      </w:r>
      <w:r w:rsidRPr="00582BC2">
        <w:rPr>
          <w:b/>
          <w:lang w:val="fr-CA"/>
        </w:rPr>
        <w:t xml:space="preserve">substances réglementées </w:t>
      </w:r>
    </w:p>
    <w:p w14:paraId="36E81D16" w14:textId="2789AFC0" w:rsidR="00C12643" w:rsidRPr="00582BC2" w:rsidRDefault="00BD5633" w:rsidP="001A29A5">
      <w:pPr>
        <w:pStyle w:val="Heading1"/>
        <w:keepNext/>
        <w:rPr>
          <w:lang w:val="fr-CA"/>
        </w:rPr>
      </w:pPr>
      <w:r w:rsidRPr="00582BC2">
        <w:rPr>
          <w:lang w:val="fr-CA"/>
        </w:rPr>
        <w:t xml:space="preserve">Cette partie </w:t>
      </w:r>
      <w:r w:rsidR="0036114F">
        <w:rPr>
          <w:lang w:val="fr-CA"/>
        </w:rPr>
        <w:t xml:space="preserve">du document </w:t>
      </w:r>
      <w:r w:rsidRPr="00582BC2">
        <w:rPr>
          <w:lang w:val="fr-CA"/>
        </w:rPr>
        <w:t xml:space="preserve">porte sur les moyens économiques de financer la saine gestion des </w:t>
      </w:r>
      <w:r w:rsidR="0036114F">
        <w:rPr>
          <w:lang w:val="fr-CA"/>
        </w:rPr>
        <w:t>résidus de substances réglementées</w:t>
      </w:r>
      <w:r w:rsidRPr="00582BC2">
        <w:rPr>
          <w:lang w:val="fr-CA"/>
        </w:rPr>
        <w:t xml:space="preserve"> à partir des enseignements tirés des projets de démonstration pilotes sur l’élimination des SAO ayant reçu un soutien financier</w:t>
      </w:r>
      <w:r w:rsidR="002D3274" w:rsidRPr="00582BC2">
        <w:rPr>
          <w:lang w:val="fr-CA"/>
        </w:rPr>
        <w:t>.</w:t>
      </w:r>
    </w:p>
    <w:p w14:paraId="01B0B8BA" w14:textId="7618DCA2" w:rsidR="007546A4" w:rsidRPr="00582BC2" w:rsidRDefault="0036114F" w:rsidP="002D3274">
      <w:pPr>
        <w:rPr>
          <w:u w:val="single"/>
          <w:lang w:val="fr-CA"/>
        </w:rPr>
      </w:pPr>
      <w:r>
        <w:rPr>
          <w:u w:val="single"/>
          <w:lang w:val="fr-CA"/>
        </w:rPr>
        <w:t>Inventaire</w:t>
      </w:r>
      <w:r w:rsidR="00BD5633" w:rsidRPr="00582BC2">
        <w:rPr>
          <w:u w:val="single"/>
          <w:lang w:val="fr-CA"/>
        </w:rPr>
        <w:t xml:space="preserve"> des banques de substances réglementées</w:t>
      </w:r>
    </w:p>
    <w:p w14:paraId="73AB61FA" w14:textId="77777777" w:rsidR="007546A4" w:rsidRPr="00582BC2" w:rsidRDefault="007546A4" w:rsidP="002D3274">
      <w:pPr>
        <w:rPr>
          <w:u w:val="single"/>
          <w:lang w:val="fr-CA"/>
        </w:rPr>
      </w:pPr>
    </w:p>
    <w:p w14:paraId="10DAACAF" w14:textId="5A7FE2BD" w:rsidR="007546A4" w:rsidRPr="00582BC2" w:rsidRDefault="00D97A94" w:rsidP="001378D2">
      <w:pPr>
        <w:pStyle w:val="Heading1"/>
        <w:rPr>
          <w:lang w:val="fr-CA"/>
        </w:rPr>
      </w:pPr>
      <w:r w:rsidRPr="00582BC2">
        <w:rPr>
          <w:lang w:val="fr-CA"/>
        </w:rPr>
        <w:t>Les différences entre les quantités estimatives de</w:t>
      </w:r>
      <w:r w:rsidR="008C7297">
        <w:rPr>
          <w:lang w:val="fr-CA"/>
        </w:rPr>
        <w:t xml:space="preserve"> résidus de</w:t>
      </w:r>
      <w:r w:rsidRPr="00582BC2">
        <w:rPr>
          <w:lang w:val="fr-CA"/>
        </w:rPr>
        <w:t xml:space="preserve"> substances </w:t>
      </w:r>
      <w:r w:rsidR="008C7297">
        <w:rPr>
          <w:lang w:val="fr-CA"/>
        </w:rPr>
        <w:t>réglementées</w:t>
      </w:r>
      <w:r w:rsidRPr="00582BC2">
        <w:rPr>
          <w:lang w:val="fr-CA"/>
        </w:rPr>
        <w:t xml:space="preserve"> dans les propositions de projets et les quantités réelles recue</w:t>
      </w:r>
      <w:r w:rsidR="00485988" w:rsidRPr="00582BC2">
        <w:rPr>
          <w:lang w:val="fr-CA"/>
        </w:rPr>
        <w:t>i</w:t>
      </w:r>
      <w:r w:rsidRPr="00582BC2">
        <w:rPr>
          <w:lang w:val="fr-CA"/>
        </w:rPr>
        <w:t xml:space="preserve">llies et détruites sont attribuables à </w:t>
      </w:r>
      <w:proofErr w:type="gramStart"/>
      <w:r w:rsidRPr="00582BC2">
        <w:rPr>
          <w:lang w:val="fr-CA"/>
        </w:rPr>
        <w:t>une faible connaissances</w:t>
      </w:r>
      <w:proofErr w:type="gramEnd"/>
      <w:r w:rsidRPr="00582BC2">
        <w:rPr>
          <w:lang w:val="fr-CA"/>
        </w:rPr>
        <w:t xml:space="preserve"> des lieux où les </w:t>
      </w:r>
      <w:r w:rsidR="008C7297">
        <w:rPr>
          <w:lang w:val="fr-CA"/>
        </w:rPr>
        <w:t xml:space="preserve">résidus de </w:t>
      </w:r>
      <w:r w:rsidRPr="00582BC2">
        <w:rPr>
          <w:lang w:val="fr-CA"/>
        </w:rPr>
        <w:t xml:space="preserve">substances </w:t>
      </w:r>
      <w:r w:rsidR="00485988" w:rsidRPr="00582BC2">
        <w:rPr>
          <w:lang w:val="fr-CA"/>
        </w:rPr>
        <w:t>sont</w:t>
      </w:r>
      <w:r w:rsidR="008C7297">
        <w:rPr>
          <w:lang w:val="fr-CA"/>
        </w:rPr>
        <w:t xml:space="preserve"> stocké</w:t>
      </w:r>
      <w:r w:rsidRPr="00582BC2">
        <w:rPr>
          <w:lang w:val="fr-CA"/>
        </w:rPr>
        <w:t xml:space="preserve">s et de la façon dont </w:t>
      </w:r>
      <w:r w:rsidR="008C7297">
        <w:rPr>
          <w:lang w:val="fr-CA"/>
        </w:rPr>
        <w:t>ils sont recueilli</w:t>
      </w:r>
      <w:r w:rsidRPr="00582BC2">
        <w:rPr>
          <w:lang w:val="fr-CA"/>
        </w:rPr>
        <w:t>s. Afin d’éviter de telles situat</w:t>
      </w:r>
      <w:r w:rsidR="00485988" w:rsidRPr="00582BC2">
        <w:rPr>
          <w:lang w:val="fr-CA"/>
        </w:rPr>
        <w:t>ions, il faudrait accorder la p</w:t>
      </w:r>
      <w:r w:rsidRPr="00582BC2">
        <w:rPr>
          <w:lang w:val="fr-CA"/>
        </w:rPr>
        <w:t xml:space="preserve">riorité à la </w:t>
      </w:r>
      <w:r w:rsidR="00485988" w:rsidRPr="00582BC2">
        <w:rPr>
          <w:lang w:val="fr-CA"/>
        </w:rPr>
        <w:t>réalisation</w:t>
      </w:r>
      <w:r w:rsidRPr="00582BC2">
        <w:rPr>
          <w:lang w:val="fr-CA"/>
        </w:rPr>
        <w:t xml:space="preserve"> d’un inventaire des banques de substances réglementées</w:t>
      </w:r>
      <w:r w:rsidR="005B612E" w:rsidRPr="00582BC2">
        <w:rPr>
          <w:lang w:val="fr-CA"/>
        </w:rPr>
        <w:t>,</w:t>
      </w:r>
      <w:r w:rsidR="005B612E" w:rsidRPr="00582BC2">
        <w:rPr>
          <w:rStyle w:val="FootnoteReference"/>
          <w:lang w:val="fr-CA"/>
        </w:rPr>
        <w:footnoteReference w:id="15"/>
      </w:r>
      <w:r w:rsidR="005B612E" w:rsidRPr="00582BC2">
        <w:rPr>
          <w:lang w:val="fr-CA"/>
        </w:rPr>
        <w:t xml:space="preserve"> </w:t>
      </w:r>
      <w:r w:rsidRPr="00582BC2">
        <w:rPr>
          <w:lang w:val="fr-CA"/>
        </w:rPr>
        <w:t>la détermination de leur empl</w:t>
      </w:r>
      <w:r w:rsidR="00485988" w:rsidRPr="00582BC2">
        <w:rPr>
          <w:lang w:val="fr-CA"/>
        </w:rPr>
        <w:t>acement, l’estimation des quanti</w:t>
      </w:r>
      <w:r w:rsidRPr="00582BC2">
        <w:rPr>
          <w:lang w:val="fr-CA"/>
        </w:rPr>
        <w:t>tés stockées dans les banques et la défin</w:t>
      </w:r>
      <w:r w:rsidR="00485988" w:rsidRPr="00582BC2">
        <w:rPr>
          <w:lang w:val="fr-CA"/>
        </w:rPr>
        <w:t>ition des mesures réalisab</w:t>
      </w:r>
      <w:r w:rsidRPr="00582BC2">
        <w:rPr>
          <w:lang w:val="fr-CA"/>
        </w:rPr>
        <w:t>les requises pour leur saine gestion. Il est aussi important d’évaluer les secteurs dans lesquels les substances réglementées sont utilisées</w:t>
      </w:r>
      <w:r w:rsidR="00485988" w:rsidRPr="00582BC2">
        <w:rPr>
          <w:lang w:val="fr-CA"/>
        </w:rPr>
        <w:t>,</w:t>
      </w:r>
      <w:r w:rsidRPr="00582BC2">
        <w:rPr>
          <w:lang w:val="fr-CA"/>
        </w:rPr>
        <w:t xml:space="preserve"> afin de déterminer l’envergure du problème (p. ex., frigorigènes chargés et </w:t>
      </w:r>
      <w:r w:rsidR="00485988" w:rsidRPr="00582BC2">
        <w:rPr>
          <w:lang w:val="fr-CA"/>
        </w:rPr>
        <w:t>mousse isolante contenue dans l’équipement de réfrigération à éliminer) et les secteurs à cibler de manière économique, car les activités ne sont pas toutes financièrement viables dans tous les secteurs</w:t>
      </w:r>
      <w:r w:rsidR="001378D2" w:rsidRPr="00582BC2">
        <w:rPr>
          <w:lang w:val="fr-CA"/>
        </w:rPr>
        <w:t>.</w:t>
      </w:r>
    </w:p>
    <w:p w14:paraId="4C4DB668" w14:textId="5246D1CC" w:rsidR="00AD6390" w:rsidRPr="00582BC2" w:rsidRDefault="00485988" w:rsidP="00AD6390">
      <w:pPr>
        <w:pStyle w:val="Heading1"/>
        <w:rPr>
          <w:lang w:val="fr-CA"/>
        </w:rPr>
      </w:pPr>
      <w:r w:rsidRPr="00582BC2">
        <w:rPr>
          <w:lang w:val="fr-CA"/>
        </w:rPr>
        <w:t xml:space="preserve">Une fois l’inventaire réalisé, </w:t>
      </w:r>
      <w:r w:rsidR="00802972" w:rsidRPr="00582BC2">
        <w:rPr>
          <w:lang w:val="fr-CA"/>
        </w:rPr>
        <w:t xml:space="preserve">il faudrait ensuite définir, élaborer et établir le coût des activités et des politiques requises pour gérer les </w:t>
      </w:r>
      <w:r w:rsidR="008C7297">
        <w:rPr>
          <w:lang w:val="fr-CA"/>
        </w:rPr>
        <w:t xml:space="preserve">résidus de </w:t>
      </w:r>
      <w:r w:rsidR="00802972" w:rsidRPr="00582BC2">
        <w:rPr>
          <w:lang w:val="fr-CA"/>
        </w:rPr>
        <w:t>substances réglementées (p. ex., détruits au pays o</w:t>
      </w:r>
      <w:r w:rsidR="008C7297">
        <w:rPr>
          <w:lang w:val="fr-CA"/>
        </w:rPr>
        <w:t>u exporté</w:t>
      </w:r>
      <w:r w:rsidR="00802972" w:rsidRPr="00582BC2">
        <w:rPr>
          <w:lang w:val="fr-CA"/>
        </w:rPr>
        <w:t>s aux fins de destruction)</w:t>
      </w:r>
      <w:r w:rsidR="00AD6390" w:rsidRPr="00582BC2">
        <w:rPr>
          <w:lang w:val="fr-CA"/>
        </w:rPr>
        <w:t>.</w:t>
      </w:r>
      <w:r w:rsidR="00802972" w:rsidRPr="00582BC2">
        <w:rPr>
          <w:lang w:val="fr-CA"/>
        </w:rPr>
        <w:t xml:space="preserve"> Dans l’éventualité où l’exportation des </w:t>
      </w:r>
      <w:r w:rsidR="008C7297">
        <w:rPr>
          <w:lang w:val="fr-CA"/>
        </w:rPr>
        <w:t xml:space="preserve">résidus de </w:t>
      </w:r>
      <w:r w:rsidR="00802972" w:rsidRPr="00582BC2">
        <w:rPr>
          <w:lang w:val="fr-CA"/>
        </w:rPr>
        <w:t xml:space="preserve">substances réglementées est économiquement viable, les pays devront tenir compte des réglementations nationales et internationales </w:t>
      </w:r>
      <w:r w:rsidR="008C7297">
        <w:rPr>
          <w:lang w:val="fr-CA"/>
        </w:rPr>
        <w:t>sur l’exportation de ces résidus.</w:t>
      </w:r>
    </w:p>
    <w:p w14:paraId="301F7F88" w14:textId="400D4DED" w:rsidR="002D3274" w:rsidRPr="00582BC2" w:rsidRDefault="00802972" w:rsidP="00E466AC">
      <w:pPr>
        <w:keepNext/>
        <w:rPr>
          <w:u w:val="single"/>
          <w:lang w:val="fr-CA"/>
        </w:rPr>
      </w:pPr>
      <w:r w:rsidRPr="00582BC2">
        <w:rPr>
          <w:u w:val="single"/>
          <w:lang w:val="fr-CA"/>
        </w:rPr>
        <w:t xml:space="preserve">Élaboration de stratégies de gestion écologique </w:t>
      </w:r>
      <w:r w:rsidR="008C7297">
        <w:rPr>
          <w:u w:val="single"/>
          <w:lang w:val="fr-CA"/>
        </w:rPr>
        <w:t xml:space="preserve">des résidus </w:t>
      </w:r>
      <w:r w:rsidRPr="00582BC2">
        <w:rPr>
          <w:u w:val="single"/>
          <w:lang w:val="fr-CA"/>
        </w:rPr>
        <w:t xml:space="preserve">de substances réglementées </w:t>
      </w:r>
    </w:p>
    <w:p w14:paraId="436C4299" w14:textId="77777777" w:rsidR="002D3274" w:rsidRPr="00582BC2" w:rsidRDefault="002D3274" w:rsidP="00E466AC">
      <w:pPr>
        <w:keepNext/>
        <w:rPr>
          <w:lang w:val="fr-CA"/>
        </w:rPr>
      </w:pPr>
    </w:p>
    <w:p w14:paraId="2B43B848" w14:textId="6DFBC16B" w:rsidR="00B14D9B" w:rsidRPr="00582BC2" w:rsidRDefault="00A8235A" w:rsidP="00D01FAE">
      <w:pPr>
        <w:pStyle w:val="Heading1"/>
        <w:rPr>
          <w:lang w:val="fr-CA"/>
        </w:rPr>
      </w:pPr>
      <w:r w:rsidRPr="00582BC2">
        <w:rPr>
          <w:lang w:val="fr-CA"/>
        </w:rPr>
        <w:t>Les pays doivent tenir compte des c</w:t>
      </w:r>
      <w:r w:rsidR="00DF4A99" w:rsidRPr="00582BC2">
        <w:rPr>
          <w:lang w:val="fr-CA"/>
        </w:rPr>
        <w:t>irconstances et des capa</w:t>
      </w:r>
      <w:r w:rsidRPr="00582BC2">
        <w:rPr>
          <w:lang w:val="fr-CA"/>
        </w:rPr>
        <w:t>c</w:t>
      </w:r>
      <w:r w:rsidR="00DF4A99" w:rsidRPr="00582BC2">
        <w:rPr>
          <w:lang w:val="fr-CA"/>
        </w:rPr>
        <w:t xml:space="preserve">ités actuelles avant de s’engager dans la gestion des </w:t>
      </w:r>
      <w:r w:rsidR="008C7297">
        <w:rPr>
          <w:lang w:val="fr-CA"/>
        </w:rPr>
        <w:t>résidus de substances réglementées</w:t>
      </w:r>
      <w:r w:rsidR="00DF4A99" w:rsidRPr="00582BC2">
        <w:rPr>
          <w:lang w:val="fr-CA"/>
        </w:rPr>
        <w:t xml:space="preserve">. Une fois l’inventaire des banques de substances réglementées achevé et évalué, il faudra </w:t>
      </w:r>
      <w:r w:rsidR="006B3D3B">
        <w:rPr>
          <w:lang w:val="fr-CA"/>
        </w:rPr>
        <w:t>mettre en place</w:t>
      </w:r>
      <w:r w:rsidR="00DF4A99" w:rsidRPr="00582BC2">
        <w:rPr>
          <w:lang w:val="fr-CA"/>
        </w:rPr>
        <w:t xml:space="preserve"> la réglementation de soutien</w:t>
      </w:r>
      <w:r w:rsidR="006B3D3B">
        <w:rPr>
          <w:lang w:val="fr-CA"/>
        </w:rPr>
        <w:t xml:space="preserve"> et</w:t>
      </w:r>
      <w:r w:rsidR="00DF4A99" w:rsidRPr="00582BC2">
        <w:rPr>
          <w:lang w:val="fr-CA"/>
        </w:rPr>
        <w:t xml:space="preserve"> les installations de récupération/recyclag</w:t>
      </w:r>
      <w:r w:rsidRPr="00582BC2">
        <w:rPr>
          <w:lang w:val="fr-CA"/>
        </w:rPr>
        <w:t>e</w:t>
      </w:r>
      <w:r w:rsidR="00DF4A99" w:rsidRPr="00582BC2">
        <w:rPr>
          <w:lang w:val="fr-CA"/>
        </w:rPr>
        <w:t xml:space="preserve"> requises</w:t>
      </w:r>
      <w:r w:rsidR="006B3D3B">
        <w:rPr>
          <w:lang w:val="fr-CA"/>
        </w:rPr>
        <w:t>,</w:t>
      </w:r>
      <w:r w:rsidR="00DF4A99" w:rsidRPr="00582BC2">
        <w:rPr>
          <w:lang w:val="fr-CA"/>
        </w:rPr>
        <w:t xml:space="preserve"> </w:t>
      </w:r>
      <w:r w:rsidR="006B3D3B">
        <w:rPr>
          <w:lang w:val="fr-CA"/>
        </w:rPr>
        <w:t>décrire l</w:t>
      </w:r>
      <w:r w:rsidR="00DF4A99" w:rsidRPr="00582BC2">
        <w:rPr>
          <w:lang w:val="fr-CA"/>
        </w:rPr>
        <w:t>es activités de mise hors service de l’équip</w:t>
      </w:r>
      <w:r w:rsidR="006B3D3B">
        <w:rPr>
          <w:lang w:val="fr-CA"/>
        </w:rPr>
        <w:t xml:space="preserve">ement de réfrigération, dont </w:t>
      </w:r>
      <w:r w:rsidR="00FD5149">
        <w:rPr>
          <w:lang w:val="fr-CA"/>
        </w:rPr>
        <w:t>la</w:t>
      </w:r>
      <w:r w:rsidR="00DF4A99" w:rsidRPr="00582BC2">
        <w:rPr>
          <w:lang w:val="fr-CA"/>
        </w:rPr>
        <w:t xml:space="preserve"> collecte des </w:t>
      </w:r>
      <w:r w:rsidR="006B3D3B">
        <w:rPr>
          <w:lang w:val="fr-CA"/>
        </w:rPr>
        <w:t xml:space="preserve">résidus de </w:t>
      </w:r>
      <w:r w:rsidR="00DF4A99" w:rsidRPr="00582BC2">
        <w:rPr>
          <w:lang w:val="fr-CA"/>
        </w:rPr>
        <w:t>substances réglementées (c.-</w:t>
      </w:r>
      <w:r w:rsidRPr="00582BC2">
        <w:rPr>
          <w:lang w:val="fr-CA"/>
        </w:rPr>
        <w:t>à-</w:t>
      </w:r>
      <w:r w:rsidR="00DF4A99" w:rsidRPr="00582BC2">
        <w:rPr>
          <w:lang w:val="fr-CA"/>
        </w:rPr>
        <w:t>d</w:t>
      </w:r>
      <w:r w:rsidRPr="00582BC2">
        <w:rPr>
          <w:lang w:val="fr-CA"/>
        </w:rPr>
        <w:t>.</w:t>
      </w:r>
      <w:r w:rsidR="00DF4A99" w:rsidRPr="00582BC2">
        <w:rPr>
          <w:lang w:val="fr-CA"/>
        </w:rPr>
        <w:t xml:space="preserve">, les </w:t>
      </w:r>
      <w:r w:rsidR="003E578C" w:rsidRPr="00582BC2">
        <w:rPr>
          <w:lang w:val="fr-CA"/>
        </w:rPr>
        <w:t>frigorigènes et la</w:t>
      </w:r>
      <w:r w:rsidR="00DF4A99" w:rsidRPr="00582BC2">
        <w:rPr>
          <w:lang w:val="fr-CA"/>
        </w:rPr>
        <w:t xml:space="preserve"> mousse</w:t>
      </w:r>
      <w:r w:rsidR="003E578C" w:rsidRPr="00582BC2">
        <w:rPr>
          <w:lang w:val="fr-CA"/>
        </w:rPr>
        <w:t xml:space="preserve"> isolante) et le recycl</w:t>
      </w:r>
      <w:r w:rsidR="00DF4A99" w:rsidRPr="00582BC2">
        <w:rPr>
          <w:lang w:val="fr-CA"/>
        </w:rPr>
        <w:t xml:space="preserve">age (p. ex., compresseurs, moteurs, composants électroniques, </w:t>
      </w:r>
      <w:r w:rsidR="006B3D3B">
        <w:rPr>
          <w:lang w:val="fr-CA"/>
        </w:rPr>
        <w:t>résidus métalliques et huiles), et décrire l</w:t>
      </w:r>
      <w:r w:rsidRPr="00582BC2">
        <w:rPr>
          <w:lang w:val="fr-CA"/>
        </w:rPr>
        <w:t xml:space="preserve">es installations de destruction possibles, s’il y a lieu, </w:t>
      </w:r>
      <w:r w:rsidR="003E578C" w:rsidRPr="00582BC2">
        <w:rPr>
          <w:lang w:val="fr-CA"/>
        </w:rPr>
        <w:t xml:space="preserve">pouvant détruire les </w:t>
      </w:r>
      <w:r w:rsidR="006B3D3B">
        <w:rPr>
          <w:lang w:val="fr-CA"/>
        </w:rPr>
        <w:t xml:space="preserve">résidus de </w:t>
      </w:r>
      <w:r w:rsidR="003E578C" w:rsidRPr="00582BC2">
        <w:rPr>
          <w:lang w:val="fr-CA"/>
        </w:rPr>
        <w:t>subs</w:t>
      </w:r>
      <w:r w:rsidRPr="00582BC2">
        <w:rPr>
          <w:lang w:val="fr-CA"/>
        </w:rPr>
        <w:t>ta</w:t>
      </w:r>
      <w:r w:rsidR="003E578C" w:rsidRPr="00582BC2">
        <w:rPr>
          <w:lang w:val="fr-CA"/>
        </w:rPr>
        <w:t>n</w:t>
      </w:r>
      <w:r w:rsidRPr="00582BC2">
        <w:rPr>
          <w:lang w:val="fr-CA"/>
        </w:rPr>
        <w:t>ces réglementées selon les normes d’</w:t>
      </w:r>
      <w:r w:rsidR="003E578C" w:rsidRPr="00582BC2">
        <w:rPr>
          <w:lang w:val="fr-CA"/>
        </w:rPr>
        <w:t>efficacité étab</w:t>
      </w:r>
      <w:r w:rsidRPr="00582BC2">
        <w:rPr>
          <w:lang w:val="fr-CA"/>
        </w:rPr>
        <w:t>lies par les Parties au Protocole de Montréal</w:t>
      </w:r>
      <w:r w:rsidR="007546A4" w:rsidRPr="00582BC2">
        <w:rPr>
          <w:lang w:val="fr-CA"/>
        </w:rPr>
        <w:t>.</w:t>
      </w:r>
      <w:r w:rsidR="00B14D9B" w:rsidRPr="00582BC2">
        <w:rPr>
          <w:lang w:val="fr-CA"/>
        </w:rPr>
        <w:t xml:space="preserve"> </w:t>
      </w:r>
    </w:p>
    <w:p w14:paraId="074229FA" w14:textId="292572D5" w:rsidR="00143978" w:rsidRPr="00582BC2" w:rsidRDefault="003E578C" w:rsidP="00B32FC5">
      <w:pPr>
        <w:keepNext/>
        <w:tabs>
          <w:tab w:val="left" w:pos="2880"/>
          <w:tab w:val="left" w:pos="5760"/>
        </w:tabs>
        <w:spacing w:after="240"/>
        <w:rPr>
          <w:u w:val="single"/>
          <w:lang w:val="fr-CA"/>
        </w:rPr>
      </w:pPr>
      <w:r w:rsidRPr="00582BC2">
        <w:rPr>
          <w:u w:val="single"/>
          <w:lang w:val="fr-CA"/>
        </w:rPr>
        <w:t xml:space="preserve">Intégration des </w:t>
      </w:r>
      <w:r w:rsidR="006B3D3B">
        <w:rPr>
          <w:u w:val="single"/>
          <w:lang w:val="fr-CA"/>
        </w:rPr>
        <w:t xml:space="preserve">résidus de </w:t>
      </w:r>
      <w:r w:rsidRPr="00582BC2">
        <w:rPr>
          <w:u w:val="single"/>
          <w:lang w:val="fr-CA"/>
        </w:rPr>
        <w:t>substances réglementées aux programmes nationaux de déchets dangereux</w:t>
      </w:r>
    </w:p>
    <w:p w14:paraId="105108DB" w14:textId="1AE76069" w:rsidR="004D3631" w:rsidRPr="00582BC2" w:rsidRDefault="003E578C" w:rsidP="004D3631">
      <w:pPr>
        <w:pStyle w:val="Heading1"/>
        <w:rPr>
          <w:lang w:val="fr-CA"/>
        </w:rPr>
      </w:pPr>
      <w:r w:rsidRPr="00582BC2">
        <w:rPr>
          <w:lang w:val="fr-CA"/>
        </w:rPr>
        <w:t xml:space="preserve">Les </w:t>
      </w:r>
      <w:r w:rsidR="003A0A91">
        <w:rPr>
          <w:lang w:val="fr-CA"/>
        </w:rPr>
        <w:t xml:space="preserve">résidus de </w:t>
      </w:r>
      <w:r w:rsidRPr="00582BC2">
        <w:rPr>
          <w:lang w:val="fr-CA"/>
        </w:rPr>
        <w:t xml:space="preserve">substances réglementées devraient être inclus dans les programmes de gestion des déchets dangereux du pays et ce, dans la plupart des pays visés à l'article 5. </w:t>
      </w:r>
      <w:r w:rsidR="00CF3D1D" w:rsidRPr="00582BC2">
        <w:rPr>
          <w:lang w:val="fr-CA"/>
        </w:rPr>
        <w:t xml:space="preserve">Par contre, comme les substances réglementées sont </w:t>
      </w:r>
      <w:r w:rsidR="003A0A91">
        <w:rPr>
          <w:lang w:val="fr-CA"/>
        </w:rPr>
        <w:t>réglementées</w:t>
      </w:r>
      <w:r w:rsidR="00CF3D1D" w:rsidRPr="00582BC2">
        <w:rPr>
          <w:lang w:val="fr-CA"/>
        </w:rPr>
        <w:t xml:space="preserve"> au titre du Protocole de Montréal et éliminées grâce au soutien financier </w:t>
      </w:r>
      <w:r w:rsidR="00CF3D1D" w:rsidRPr="00582BC2">
        <w:rPr>
          <w:lang w:val="fr-CA"/>
        </w:rPr>
        <w:lastRenderedPageBreak/>
        <w:t xml:space="preserve">du Fonds multilatéral, les politiques nationales sur les déchets dangereux de plusieurs pays </w:t>
      </w:r>
      <w:r w:rsidR="00023FB5">
        <w:rPr>
          <w:lang w:val="fr-CA"/>
        </w:rPr>
        <w:t>ne s’appliquent pas aux</w:t>
      </w:r>
      <w:r w:rsidR="00CF3D1D" w:rsidRPr="00582BC2">
        <w:rPr>
          <w:lang w:val="fr-CA"/>
        </w:rPr>
        <w:t xml:space="preserve"> substances visées par le Protocole de Montréal</w:t>
      </w:r>
      <w:r w:rsidR="004D3631" w:rsidRPr="00582BC2">
        <w:rPr>
          <w:lang w:val="fr-CA"/>
        </w:rPr>
        <w:t xml:space="preserve">. </w:t>
      </w:r>
    </w:p>
    <w:p w14:paraId="0FCD7368" w14:textId="40DBDD25" w:rsidR="00143978" w:rsidRPr="00582BC2" w:rsidRDefault="00CF3D1D" w:rsidP="004D3631">
      <w:pPr>
        <w:pStyle w:val="Heading1"/>
        <w:rPr>
          <w:lang w:val="fr-CA"/>
        </w:rPr>
      </w:pPr>
      <w:r w:rsidRPr="00582BC2">
        <w:rPr>
          <w:lang w:val="fr-CA"/>
        </w:rPr>
        <w:t xml:space="preserve">Les projets pilotes d’élimination des SAO </w:t>
      </w:r>
      <w:r w:rsidR="005C1D41">
        <w:rPr>
          <w:lang w:val="fr-CA"/>
        </w:rPr>
        <w:t>offrant</w:t>
      </w:r>
      <w:r w:rsidRPr="00582BC2">
        <w:rPr>
          <w:lang w:val="fr-CA"/>
        </w:rPr>
        <w:t xml:space="preserve"> une durabilité à long terme ont été mis en œuvre de concert avec les programmes nationa</w:t>
      </w:r>
      <w:r w:rsidR="008927B5" w:rsidRPr="00582BC2">
        <w:rPr>
          <w:lang w:val="fr-CA"/>
        </w:rPr>
        <w:t>ux de gestion des déchets dange</w:t>
      </w:r>
      <w:r w:rsidRPr="00582BC2">
        <w:rPr>
          <w:lang w:val="fr-CA"/>
        </w:rPr>
        <w:t xml:space="preserve">reux et d’efficacité énergétique, </w:t>
      </w:r>
      <w:r w:rsidR="005C1D41">
        <w:rPr>
          <w:lang w:val="fr-CA"/>
        </w:rPr>
        <w:t>parallèlement aux</w:t>
      </w:r>
      <w:r w:rsidRPr="00582BC2">
        <w:rPr>
          <w:lang w:val="fr-CA"/>
        </w:rPr>
        <w:t xml:space="preserve"> activités d’</w:t>
      </w:r>
      <w:r w:rsidR="008927B5" w:rsidRPr="00582BC2">
        <w:rPr>
          <w:lang w:val="fr-CA"/>
        </w:rPr>
        <w:t>éliminati</w:t>
      </w:r>
      <w:r w:rsidRPr="00582BC2">
        <w:rPr>
          <w:lang w:val="fr-CA"/>
        </w:rPr>
        <w:t>on des substances réglementées au titre du Protocole de Montréal.</w:t>
      </w:r>
      <w:r w:rsidR="008927B5" w:rsidRPr="00582BC2">
        <w:rPr>
          <w:lang w:val="fr-CA"/>
        </w:rPr>
        <w:t xml:space="preserve"> Par conséquent, l’élimination des </w:t>
      </w:r>
      <w:r w:rsidR="005C1D41">
        <w:rPr>
          <w:lang w:val="fr-CA"/>
        </w:rPr>
        <w:t>substances réglementées devrai</w:t>
      </w:r>
      <w:r w:rsidR="008927B5" w:rsidRPr="00582BC2">
        <w:rPr>
          <w:lang w:val="fr-CA"/>
        </w:rPr>
        <w:t>t être examiné</w:t>
      </w:r>
      <w:r w:rsidR="00023FB5">
        <w:rPr>
          <w:lang w:val="fr-CA"/>
        </w:rPr>
        <w:t>e</w:t>
      </w:r>
      <w:r w:rsidR="008927B5" w:rsidRPr="00582BC2">
        <w:rPr>
          <w:lang w:val="fr-CA"/>
        </w:rPr>
        <w:t xml:space="preserve"> à part entière par rapport à d’autres programmes nationaux existants</w:t>
      </w:r>
      <w:r w:rsidR="00E466AC" w:rsidRPr="00582BC2">
        <w:rPr>
          <w:lang w:val="fr-CA"/>
        </w:rPr>
        <w:t>.</w:t>
      </w:r>
    </w:p>
    <w:p w14:paraId="57D118F3" w14:textId="10319784" w:rsidR="00D41F6C" w:rsidRPr="00582BC2" w:rsidRDefault="008927B5" w:rsidP="00036048">
      <w:pPr>
        <w:widowControl w:val="0"/>
        <w:tabs>
          <w:tab w:val="left" w:pos="2880"/>
          <w:tab w:val="left" w:pos="5760"/>
        </w:tabs>
        <w:spacing w:after="240"/>
        <w:rPr>
          <w:u w:val="single"/>
          <w:lang w:val="fr-CA"/>
        </w:rPr>
      </w:pPr>
      <w:r w:rsidRPr="00582BC2">
        <w:rPr>
          <w:u w:val="single"/>
          <w:lang w:val="fr-CA"/>
        </w:rPr>
        <w:t xml:space="preserve">Élaboration d’un modèle </w:t>
      </w:r>
      <w:r w:rsidR="00734458">
        <w:rPr>
          <w:u w:val="single"/>
          <w:lang w:val="fr-CA"/>
        </w:rPr>
        <w:t>de gestion</w:t>
      </w:r>
      <w:r w:rsidRPr="00582BC2">
        <w:rPr>
          <w:u w:val="single"/>
          <w:lang w:val="fr-CA"/>
        </w:rPr>
        <w:t xml:space="preserve"> et cofinancement de la gestion des </w:t>
      </w:r>
      <w:r w:rsidR="005C1D41">
        <w:rPr>
          <w:u w:val="single"/>
          <w:lang w:val="fr-CA"/>
        </w:rPr>
        <w:t xml:space="preserve">résidus de </w:t>
      </w:r>
      <w:r w:rsidRPr="00582BC2">
        <w:rPr>
          <w:u w:val="single"/>
          <w:lang w:val="fr-CA"/>
        </w:rPr>
        <w:t xml:space="preserve">substances réglementées </w:t>
      </w:r>
    </w:p>
    <w:p w14:paraId="0BB6F6A6" w14:textId="58AE05F8" w:rsidR="00143978" w:rsidRPr="00582BC2" w:rsidRDefault="00A91C0C" w:rsidP="00C92251">
      <w:pPr>
        <w:pStyle w:val="Heading1"/>
        <w:widowControl w:val="0"/>
        <w:rPr>
          <w:lang w:val="fr-CA"/>
        </w:rPr>
      </w:pPr>
      <w:r w:rsidRPr="00582BC2">
        <w:rPr>
          <w:lang w:val="fr-CA"/>
        </w:rPr>
        <w:t xml:space="preserve">L’élaboration d’un modèle </w:t>
      </w:r>
      <w:r w:rsidR="00734458">
        <w:rPr>
          <w:lang w:val="fr-CA"/>
        </w:rPr>
        <w:t>de gestion</w:t>
      </w:r>
      <w:r w:rsidRPr="00582BC2">
        <w:rPr>
          <w:lang w:val="fr-CA"/>
        </w:rPr>
        <w:t xml:space="preserve"> solide </w:t>
      </w:r>
      <w:r w:rsidR="000137CD" w:rsidRPr="00582BC2">
        <w:rPr>
          <w:lang w:val="fr-CA"/>
        </w:rPr>
        <w:t>faisant partie du plan du secteur de l’entretien de l’équi</w:t>
      </w:r>
      <w:r w:rsidR="005C1D41">
        <w:rPr>
          <w:lang w:val="fr-CA"/>
        </w:rPr>
        <w:t xml:space="preserve">pement de réfrigération est un </w:t>
      </w:r>
      <w:r w:rsidR="00D7650F">
        <w:rPr>
          <w:lang w:val="fr-CA"/>
        </w:rPr>
        <w:t>volet</w:t>
      </w:r>
      <w:r w:rsidR="005C1D41">
        <w:rPr>
          <w:lang w:val="fr-CA"/>
        </w:rPr>
        <w:t xml:space="preserve"> </w:t>
      </w:r>
      <w:r w:rsidR="000137CD" w:rsidRPr="00582BC2">
        <w:rPr>
          <w:lang w:val="fr-CA"/>
        </w:rPr>
        <w:t xml:space="preserve">important de la gestion durable des </w:t>
      </w:r>
      <w:r w:rsidR="005C1D41">
        <w:rPr>
          <w:lang w:val="fr-CA"/>
        </w:rPr>
        <w:t>résidus de substances réglementées</w:t>
      </w:r>
      <w:r w:rsidR="000137CD" w:rsidRPr="00582BC2">
        <w:rPr>
          <w:lang w:val="fr-CA"/>
        </w:rPr>
        <w:t xml:space="preserve">. Ce modèle </w:t>
      </w:r>
      <w:r w:rsidR="00734458">
        <w:rPr>
          <w:lang w:val="fr-CA"/>
        </w:rPr>
        <w:t>de gestion</w:t>
      </w:r>
      <w:r w:rsidR="000137CD" w:rsidRPr="00582BC2">
        <w:rPr>
          <w:lang w:val="fr-CA"/>
        </w:rPr>
        <w:t xml:space="preserve"> doit comprendre </w:t>
      </w:r>
      <w:r w:rsidR="000F2C79" w:rsidRPr="00582BC2">
        <w:rPr>
          <w:lang w:val="fr-CA"/>
        </w:rPr>
        <w:t>:</w:t>
      </w:r>
    </w:p>
    <w:p w14:paraId="3C16CEF0" w14:textId="791ED12D" w:rsidR="00036048" w:rsidRPr="00582BC2" w:rsidRDefault="000137CD" w:rsidP="000F2C79">
      <w:pPr>
        <w:pStyle w:val="Heading2"/>
        <w:rPr>
          <w:lang w:val="fr-CA"/>
        </w:rPr>
      </w:pPr>
      <w:r w:rsidRPr="00582BC2">
        <w:rPr>
          <w:lang w:val="fr-CA"/>
        </w:rPr>
        <w:t>La mise en place d’un cadre de réglementation interdisant le dégagement intentionnel de substances réglementées pen</w:t>
      </w:r>
      <w:r w:rsidR="00153EF5" w:rsidRPr="00582BC2">
        <w:rPr>
          <w:lang w:val="fr-CA"/>
        </w:rPr>
        <w:t>dant le foncti</w:t>
      </w:r>
      <w:r w:rsidRPr="00582BC2">
        <w:rPr>
          <w:lang w:val="fr-CA"/>
        </w:rPr>
        <w:t>onnement, l’en</w:t>
      </w:r>
      <w:r w:rsidR="00153EF5" w:rsidRPr="00582BC2">
        <w:rPr>
          <w:lang w:val="fr-CA"/>
        </w:rPr>
        <w:t>t</w:t>
      </w:r>
      <w:r w:rsidRPr="00582BC2">
        <w:rPr>
          <w:lang w:val="fr-CA"/>
        </w:rPr>
        <w:t>retien et la mise hors service de l’équipement de</w:t>
      </w:r>
      <w:r w:rsidR="00153EF5" w:rsidRPr="00582BC2">
        <w:rPr>
          <w:lang w:val="fr-CA"/>
        </w:rPr>
        <w:t xml:space="preserve"> réfrigération et de climatisati</w:t>
      </w:r>
      <w:r w:rsidR="0039558F">
        <w:rPr>
          <w:lang w:val="fr-CA"/>
        </w:rPr>
        <w:t>on,</w:t>
      </w:r>
      <w:r w:rsidRPr="00582BC2">
        <w:rPr>
          <w:lang w:val="fr-CA"/>
        </w:rPr>
        <w:t xml:space="preserve"> l</w:t>
      </w:r>
      <w:r w:rsidR="00153EF5" w:rsidRPr="00582BC2">
        <w:rPr>
          <w:lang w:val="fr-CA"/>
        </w:rPr>
        <w:t>a vérificati</w:t>
      </w:r>
      <w:r w:rsidRPr="00582BC2">
        <w:rPr>
          <w:lang w:val="fr-CA"/>
        </w:rPr>
        <w:t>on obligatoire des fuites sur l’éq</w:t>
      </w:r>
      <w:r w:rsidR="00153EF5" w:rsidRPr="00582BC2">
        <w:rPr>
          <w:lang w:val="fr-CA"/>
        </w:rPr>
        <w:t>uipement de plus grande taille (</w:t>
      </w:r>
      <w:r w:rsidRPr="00582BC2">
        <w:rPr>
          <w:lang w:val="fr-CA"/>
        </w:rPr>
        <w:t>p. ex</w:t>
      </w:r>
      <w:r w:rsidR="00D7650F">
        <w:rPr>
          <w:lang w:val="fr-CA"/>
        </w:rPr>
        <w:t>., plus de 3 kg de frigorigène)</w:t>
      </w:r>
      <w:r w:rsidRPr="00582BC2">
        <w:rPr>
          <w:lang w:val="fr-CA"/>
        </w:rPr>
        <w:t xml:space="preserve"> </w:t>
      </w:r>
      <w:r w:rsidR="0039558F">
        <w:rPr>
          <w:lang w:val="fr-CA"/>
        </w:rPr>
        <w:t>et</w:t>
      </w:r>
      <w:r w:rsidRPr="00582BC2">
        <w:rPr>
          <w:lang w:val="fr-CA"/>
        </w:rPr>
        <w:t xml:space="preserve"> la récupération obligatoire des substances dans les conteneurs et</w:t>
      </w:r>
      <w:r w:rsidR="0039558F">
        <w:rPr>
          <w:lang w:val="fr-CA"/>
        </w:rPr>
        <w:t xml:space="preserve"> </w:t>
      </w:r>
      <w:r w:rsidRPr="00582BC2">
        <w:rPr>
          <w:lang w:val="fr-CA"/>
        </w:rPr>
        <w:t>l’équipement à la fin</w:t>
      </w:r>
      <w:r w:rsidR="00153EF5" w:rsidRPr="00582BC2">
        <w:rPr>
          <w:lang w:val="fr-CA"/>
        </w:rPr>
        <w:t xml:space="preserve"> </w:t>
      </w:r>
      <w:r w:rsidRPr="00582BC2">
        <w:rPr>
          <w:lang w:val="fr-CA"/>
        </w:rPr>
        <w:t>d</w:t>
      </w:r>
      <w:r w:rsidR="00153EF5" w:rsidRPr="00582BC2">
        <w:rPr>
          <w:lang w:val="fr-CA"/>
        </w:rPr>
        <w:t xml:space="preserve">e </w:t>
      </w:r>
      <w:r w:rsidR="0039558F">
        <w:rPr>
          <w:lang w:val="fr-CA"/>
        </w:rPr>
        <w:t>leur</w:t>
      </w:r>
      <w:r w:rsidRPr="00582BC2">
        <w:rPr>
          <w:lang w:val="fr-CA"/>
        </w:rPr>
        <w:t xml:space="preserve"> vie </w:t>
      </w:r>
      <w:proofErr w:type="gramStart"/>
      <w:r w:rsidRPr="00582BC2">
        <w:rPr>
          <w:lang w:val="fr-CA"/>
        </w:rPr>
        <w:t>utile</w:t>
      </w:r>
      <w:r w:rsidR="00036048" w:rsidRPr="00582BC2">
        <w:rPr>
          <w:lang w:val="fr-CA"/>
        </w:rPr>
        <w:t>;</w:t>
      </w:r>
      <w:proofErr w:type="gramEnd"/>
    </w:p>
    <w:p w14:paraId="407C074B" w14:textId="0A5090D3" w:rsidR="00707889" w:rsidRPr="00582BC2" w:rsidRDefault="00153EF5" w:rsidP="000F2C79">
      <w:pPr>
        <w:pStyle w:val="Heading2"/>
        <w:rPr>
          <w:lang w:val="fr-CA"/>
        </w:rPr>
      </w:pPr>
      <w:r w:rsidRPr="00582BC2">
        <w:rPr>
          <w:lang w:val="fr-CA"/>
        </w:rPr>
        <w:t xml:space="preserve">La mise en place d’une responsabilité à long terme du producteur dans les cadres nationaux de réglementation et de politique sur la gestion des déchets </w:t>
      </w:r>
      <w:proofErr w:type="gramStart"/>
      <w:r w:rsidRPr="00582BC2">
        <w:rPr>
          <w:lang w:val="fr-CA"/>
        </w:rPr>
        <w:t>électroniques</w:t>
      </w:r>
      <w:r w:rsidR="00707889" w:rsidRPr="00582BC2">
        <w:rPr>
          <w:lang w:val="fr-CA"/>
        </w:rPr>
        <w:t>;</w:t>
      </w:r>
      <w:proofErr w:type="gramEnd"/>
      <w:r w:rsidR="00707889" w:rsidRPr="00582BC2">
        <w:rPr>
          <w:lang w:val="fr-CA"/>
        </w:rPr>
        <w:t xml:space="preserve"> </w:t>
      </w:r>
    </w:p>
    <w:p w14:paraId="05210604" w14:textId="02AD51F0" w:rsidR="000F2C79" w:rsidRPr="00582BC2" w:rsidRDefault="00153EF5" w:rsidP="00153EF5">
      <w:pPr>
        <w:pStyle w:val="Heading2"/>
        <w:rPr>
          <w:lang w:val="fr-CA"/>
        </w:rPr>
      </w:pPr>
      <w:r w:rsidRPr="00582BC2">
        <w:rPr>
          <w:lang w:val="fr-CA"/>
        </w:rPr>
        <w:t xml:space="preserve">Le développement d’un programme de financement par </w:t>
      </w:r>
      <w:r w:rsidR="0039558F">
        <w:rPr>
          <w:lang w:val="fr-CA"/>
        </w:rPr>
        <w:t>l’entremise</w:t>
      </w:r>
      <w:r w:rsidRPr="00582BC2">
        <w:rPr>
          <w:lang w:val="fr-CA"/>
        </w:rPr>
        <w:t xml:space="preserve"> d’associations de réfrigération, </w:t>
      </w:r>
      <w:r w:rsidR="0039558F">
        <w:rPr>
          <w:lang w:val="fr-CA"/>
        </w:rPr>
        <w:t>de</w:t>
      </w:r>
      <w:r w:rsidRPr="00582BC2">
        <w:rPr>
          <w:lang w:val="fr-CA"/>
        </w:rPr>
        <w:t xml:space="preserve"> droits pour les importateurs/utilisateurs de frigorigènes, de mesures fiscales pour encourager l’application de meilleures pratiques d’entretien de l’équipement de réfrigération, de droits pour la mise au rebut de l’équipement de réfrigération à la fin de sa vie utile et de subventions spéciales pour la collecte et l’élimination de </w:t>
      </w:r>
      <w:r w:rsidR="0039558F">
        <w:rPr>
          <w:lang w:val="fr-CA"/>
        </w:rPr>
        <w:t xml:space="preserve">résidus de </w:t>
      </w:r>
      <w:r w:rsidRPr="00582BC2">
        <w:rPr>
          <w:lang w:val="fr-CA"/>
        </w:rPr>
        <w:t xml:space="preserve">substances réglementées </w:t>
      </w:r>
      <w:r w:rsidR="0039558F">
        <w:rPr>
          <w:lang w:val="fr-CA"/>
        </w:rPr>
        <w:t>conformément</w:t>
      </w:r>
      <w:r w:rsidRPr="00582BC2">
        <w:rPr>
          <w:lang w:val="fr-CA"/>
        </w:rPr>
        <w:t xml:space="preserve"> aux réglementations du pays sur la manipulation des déchets dangereux</w:t>
      </w:r>
      <w:r w:rsidR="000F2C79" w:rsidRPr="00582BC2">
        <w:rPr>
          <w:lang w:val="fr-CA"/>
        </w:rPr>
        <w:t xml:space="preserve">; </w:t>
      </w:r>
    </w:p>
    <w:p w14:paraId="0A3271F9" w14:textId="02D2F8A3" w:rsidR="00E6026F" w:rsidRPr="00582BC2" w:rsidRDefault="00153EF5" w:rsidP="00E6026F">
      <w:pPr>
        <w:pStyle w:val="Heading2"/>
        <w:rPr>
          <w:lang w:val="fr-CA"/>
        </w:rPr>
      </w:pPr>
      <w:r w:rsidRPr="00582BC2">
        <w:rPr>
          <w:lang w:val="fr-CA"/>
        </w:rPr>
        <w:t>Le recensement d’occasions possibles de financement extérieur pour la gestion des</w:t>
      </w:r>
      <w:r w:rsidR="0039558F">
        <w:rPr>
          <w:lang w:val="fr-CA"/>
        </w:rPr>
        <w:t xml:space="preserve"> résidus de substances </w:t>
      </w:r>
      <w:proofErr w:type="gramStart"/>
      <w:r w:rsidR="0039558F">
        <w:rPr>
          <w:lang w:val="fr-CA"/>
        </w:rPr>
        <w:t>réglementées</w:t>
      </w:r>
      <w:r w:rsidR="00E6026F" w:rsidRPr="00582BC2">
        <w:rPr>
          <w:lang w:val="fr-CA"/>
        </w:rPr>
        <w:t>;</w:t>
      </w:r>
      <w:proofErr w:type="gramEnd"/>
      <w:r w:rsidR="00E6026F" w:rsidRPr="00582BC2">
        <w:rPr>
          <w:lang w:val="fr-CA"/>
        </w:rPr>
        <w:t xml:space="preserve"> </w:t>
      </w:r>
    </w:p>
    <w:p w14:paraId="07FF57EA" w14:textId="32F1EF17" w:rsidR="00707889" w:rsidRPr="00582BC2" w:rsidRDefault="00153EF5" w:rsidP="00707889">
      <w:pPr>
        <w:pStyle w:val="Heading2"/>
        <w:rPr>
          <w:lang w:val="fr-CA"/>
        </w:rPr>
      </w:pPr>
      <w:r w:rsidRPr="00582BC2">
        <w:rPr>
          <w:lang w:val="fr-CA"/>
        </w:rPr>
        <w:t>L’encouragement de la participation du secteur privé à la gestion de la collecte et de l’élimination de l’équipement de réfrigération mis au</w:t>
      </w:r>
      <w:r w:rsidR="00776B36">
        <w:rPr>
          <w:lang w:val="fr-CA"/>
        </w:rPr>
        <w:t>x</w:t>
      </w:r>
      <w:r w:rsidRPr="00582BC2">
        <w:rPr>
          <w:lang w:val="fr-CA"/>
        </w:rPr>
        <w:t xml:space="preserve"> rebuts, dont </w:t>
      </w:r>
      <w:r w:rsidR="00776B36">
        <w:rPr>
          <w:lang w:val="fr-CA"/>
        </w:rPr>
        <w:t>la collecte</w:t>
      </w:r>
      <w:r w:rsidRPr="00582BC2">
        <w:rPr>
          <w:lang w:val="fr-CA"/>
        </w:rPr>
        <w:t xml:space="preserve"> économique des</w:t>
      </w:r>
      <w:r w:rsidR="00776B36">
        <w:rPr>
          <w:lang w:val="fr-CA"/>
        </w:rPr>
        <w:t xml:space="preserve"> résidus de </w:t>
      </w:r>
      <w:r w:rsidRPr="00582BC2">
        <w:rPr>
          <w:lang w:val="fr-CA"/>
        </w:rPr>
        <w:t>substa</w:t>
      </w:r>
      <w:r w:rsidR="00776B36">
        <w:rPr>
          <w:lang w:val="fr-CA"/>
        </w:rPr>
        <w:t xml:space="preserve">nces </w:t>
      </w:r>
      <w:proofErr w:type="gramStart"/>
      <w:r w:rsidR="00776B36">
        <w:rPr>
          <w:lang w:val="fr-CA"/>
        </w:rPr>
        <w:t>réglementées</w:t>
      </w:r>
      <w:r w:rsidRPr="00582BC2">
        <w:rPr>
          <w:lang w:val="fr-CA"/>
        </w:rPr>
        <w:t>;</w:t>
      </w:r>
      <w:proofErr w:type="gramEnd"/>
    </w:p>
    <w:p w14:paraId="6C24509B" w14:textId="2276EA9E" w:rsidR="000F2C79" w:rsidRPr="00582BC2" w:rsidRDefault="00153EF5" w:rsidP="000F2C79">
      <w:pPr>
        <w:pStyle w:val="Heading2"/>
        <w:rPr>
          <w:lang w:val="fr-CA"/>
        </w:rPr>
      </w:pPr>
      <w:r w:rsidRPr="00582BC2">
        <w:rPr>
          <w:lang w:val="fr-CA"/>
        </w:rPr>
        <w:t>Le recensement des installations existantes (p. ex., incinérateurs à déchets, four</w:t>
      </w:r>
      <w:r w:rsidR="00D7650F">
        <w:rPr>
          <w:lang w:val="fr-CA"/>
        </w:rPr>
        <w:t>s</w:t>
      </w:r>
      <w:r w:rsidRPr="00582BC2">
        <w:rPr>
          <w:lang w:val="fr-CA"/>
        </w:rPr>
        <w:t xml:space="preserve"> </w:t>
      </w:r>
      <w:r w:rsidR="00A0423C" w:rsidRPr="00582BC2">
        <w:rPr>
          <w:lang w:val="fr-CA"/>
        </w:rPr>
        <w:t>à cim</w:t>
      </w:r>
      <w:r w:rsidRPr="00582BC2">
        <w:rPr>
          <w:lang w:val="fr-CA"/>
        </w:rPr>
        <w:t xml:space="preserve">ent ou </w:t>
      </w:r>
      <w:r w:rsidR="00D7650F">
        <w:rPr>
          <w:lang w:val="fr-CA"/>
        </w:rPr>
        <w:t xml:space="preserve">le </w:t>
      </w:r>
      <w:r w:rsidR="00A0423C" w:rsidRPr="00582BC2">
        <w:rPr>
          <w:lang w:val="fr-CA"/>
        </w:rPr>
        <w:t>regroupement des déchets) pour la destruction de</w:t>
      </w:r>
      <w:r w:rsidR="00776B36">
        <w:rPr>
          <w:lang w:val="fr-CA"/>
        </w:rPr>
        <w:t xml:space="preserve">s résidus de </w:t>
      </w:r>
      <w:r w:rsidR="00A0423C" w:rsidRPr="00582BC2">
        <w:rPr>
          <w:lang w:val="fr-CA"/>
        </w:rPr>
        <w:t>substances réglementées ou l’évaluation de la création de petites installations mobiles pour détruire de petites quantités de résidus</w:t>
      </w:r>
      <w:r w:rsidR="00FB4D4A" w:rsidRPr="00582BC2">
        <w:rPr>
          <w:lang w:val="fr-CA"/>
        </w:rPr>
        <w:t>.</w:t>
      </w:r>
    </w:p>
    <w:p w14:paraId="04351E3D" w14:textId="4BAA369A" w:rsidR="00B32FC5" w:rsidRPr="00582BC2" w:rsidRDefault="00D856F7" w:rsidP="00B32FC5">
      <w:pPr>
        <w:keepNext/>
        <w:tabs>
          <w:tab w:val="left" w:pos="2880"/>
          <w:tab w:val="left" w:pos="5760"/>
        </w:tabs>
        <w:spacing w:after="240"/>
        <w:rPr>
          <w:b/>
          <w:lang w:val="fr-CA"/>
        </w:rPr>
      </w:pPr>
      <w:r w:rsidRPr="00582BC2">
        <w:rPr>
          <w:b/>
          <w:lang w:val="fr-CA"/>
        </w:rPr>
        <w:t>R</w:t>
      </w:r>
      <w:r w:rsidR="00A0423C" w:rsidRPr="00582BC2">
        <w:rPr>
          <w:b/>
          <w:lang w:val="fr-CA"/>
        </w:rPr>
        <w:t>ecomma</w:t>
      </w:r>
      <w:r w:rsidR="00B32FC5" w:rsidRPr="00582BC2">
        <w:rPr>
          <w:b/>
          <w:lang w:val="fr-CA"/>
        </w:rPr>
        <w:t>ndations</w:t>
      </w:r>
    </w:p>
    <w:p w14:paraId="04D5BDF1" w14:textId="4E4E48BF" w:rsidR="00D856F7" w:rsidRPr="00582BC2" w:rsidRDefault="00A0423C" w:rsidP="00D856F7">
      <w:pPr>
        <w:pStyle w:val="Heading1"/>
        <w:rPr>
          <w:lang w:val="fr-CA"/>
        </w:rPr>
      </w:pPr>
      <w:r w:rsidRPr="00582BC2">
        <w:rPr>
          <w:lang w:val="fr-CA"/>
        </w:rPr>
        <w:t xml:space="preserve">Le Comité exécutif pourrait souhaiter </w:t>
      </w:r>
      <w:r w:rsidR="00D856F7" w:rsidRPr="00582BC2">
        <w:rPr>
          <w:lang w:val="fr-CA"/>
        </w:rPr>
        <w:t>:</w:t>
      </w:r>
    </w:p>
    <w:p w14:paraId="70B45B64" w14:textId="33DC63D1" w:rsidR="00685CE4" w:rsidRPr="00582BC2" w:rsidRDefault="00A0423C" w:rsidP="00E80DCA">
      <w:pPr>
        <w:pStyle w:val="Heading2"/>
        <w:rPr>
          <w:b/>
          <w:lang w:val="fr-CA"/>
        </w:rPr>
      </w:pPr>
      <w:r w:rsidRPr="00582BC2">
        <w:rPr>
          <w:lang w:val="fr-CA"/>
        </w:rPr>
        <w:t xml:space="preserve">Prendre note du rapport de synthèse décrivant les meilleures pratiques et moyens </w:t>
      </w:r>
      <w:r w:rsidR="00880623" w:rsidRPr="00582BC2">
        <w:rPr>
          <w:lang w:val="fr-CA"/>
        </w:rPr>
        <w:t xml:space="preserve">par lesquels </w:t>
      </w:r>
      <w:r w:rsidRPr="00582BC2">
        <w:rPr>
          <w:lang w:val="fr-CA"/>
        </w:rPr>
        <w:t xml:space="preserve">le Comité exécutif </w:t>
      </w:r>
      <w:r w:rsidR="00880623" w:rsidRPr="00582BC2">
        <w:rPr>
          <w:lang w:val="fr-CA"/>
        </w:rPr>
        <w:t>pourrait opérationnaliser le paragraphe 24 de la décision XXVIII/2 présenté dans le document</w:t>
      </w:r>
      <w:r w:rsidR="00685CE4" w:rsidRPr="00582BC2">
        <w:rPr>
          <w:lang w:val="fr-CA"/>
        </w:rPr>
        <w:t xml:space="preserve"> UNEP/</w:t>
      </w:r>
      <w:proofErr w:type="spellStart"/>
      <w:r w:rsidR="00685CE4" w:rsidRPr="00582BC2">
        <w:rPr>
          <w:lang w:val="fr-CA"/>
        </w:rPr>
        <w:t>OzL.Pro</w:t>
      </w:r>
      <w:proofErr w:type="spellEnd"/>
      <w:r w:rsidR="00685CE4" w:rsidRPr="00582BC2">
        <w:rPr>
          <w:lang w:val="fr-CA"/>
        </w:rPr>
        <w:t>/</w:t>
      </w:r>
      <w:proofErr w:type="spellStart"/>
      <w:r w:rsidR="00685CE4" w:rsidRPr="00582BC2">
        <w:rPr>
          <w:lang w:val="fr-CA"/>
        </w:rPr>
        <w:t>ExCom</w:t>
      </w:r>
      <w:proofErr w:type="spellEnd"/>
      <w:r w:rsidR="00685CE4" w:rsidRPr="00582BC2">
        <w:rPr>
          <w:lang w:val="fr-CA"/>
        </w:rPr>
        <w:t>/8</w:t>
      </w:r>
      <w:r w:rsidR="00E80DCA">
        <w:rPr>
          <w:lang w:val="fr-CA"/>
        </w:rPr>
        <w:t>7</w:t>
      </w:r>
      <w:r w:rsidR="00685CE4" w:rsidRPr="00582BC2">
        <w:rPr>
          <w:lang w:val="fr-CA"/>
        </w:rPr>
        <w:t>/</w:t>
      </w:r>
      <w:proofErr w:type="gramStart"/>
      <w:r w:rsidR="00E80DCA">
        <w:rPr>
          <w:lang w:val="fr-CA"/>
        </w:rPr>
        <w:t>48</w:t>
      </w:r>
      <w:r w:rsidR="00D856F7" w:rsidRPr="00582BC2">
        <w:rPr>
          <w:lang w:val="fr-CA"/>
        </w:rPr>
        <w:t>;</w:t>
      </w:r>
      <w:proofErr w:type="gramEnd"/>
      <w:r w:rsidR="00104C89" w:rsidRPr="00582BC2">
        <w:rPr>
          <w:lang w:val="fr-CA"/>
        </w:rPr>
        <w:t xml:space="preserve"> </w:t>
      </w:r>
    </w:p>
    <w:p w14:paraId="535E706B" w14:textId="6254142F" w:rsidR="000F2C79" w:rsidRPr="00582BC2" w:rsidRDefault="00880623" w:rsidP="00090E3C">
      <w:pPr>
        <w:pStyle w:val="Heading2"/>
        <w:keepNext/>
        <w:keepLines/>
        <w:rPr>
          <w:lang w:val="fr-CA"/>
        </w:rPr>
      </w:pPr>
      <w:r w:rsidRPr="00582BC2">
        <w:rPr>
          <w:lang w:val="fr-CA"/>
        </w:rPr>
        <w:lastRenderedPageBreak/>
        <w:t xml:space="preserve">Demander aux agences bilatérales et d’exécution d’aider les pays visés à l'article 5 souhaitant élaborer une stratégie de gestion écologique des </w:t>
      </w:r>
      <w:r w:rsidR="00776B36">
        <w:rPr>
          <w:lang w:val="fr-CA"/>
        </w:rPr>
        <w:t xml:space="preserve">résidus de </w:t>
      </w:r>
      <w:r w:rsidRPr="00582BC2">
        <w:rPr>
          <w:lang w:val="fr-CA"/>
        </w:rPr>
        <w:t xml:space="preserve">substances réglementées </w:t>
      </w:r>
      <w:r w:rsidR="00776B36">
        <w:rPr>
          <w:lang w:val="fr-CA"/>
        </w:rPr>
        <w:t>de l’</w:t>
      </w:r>
      <w:r w:rsidRPr="00582BC2">
        <w:rPr>
          <w:lang w:val="fr-CA"/>
        </w:rPr>
        <w:t xml:space="preserve">intégrer dans leurs plans du secteur de l’équipement de réfrigération en cours de mise en </w:t>
      </w:r>
      <w:proofErr w:type="gramStart"/>
      <w:r w:rsidRPr="00582BC2">
        <w:rPr>
          <w:lang w:val="fr-CA"/>
        </w:rPr>
        <w:t>œuvre;</w:t>
      </w:r>
      <w:proofErr w:type="gramEnd"/>
    </w:p>
    <w:p w14:paraId="5610CF0C" w14:textId="1FD950A9" w:rsidR="00685CE4" w:rsidRPr="00582BC2" w:rsidRDefault="00880623" w:rsidP="00090E3C">
      <w:pPr>
        <w:pStyle w:val="Heading2"/>
        <w:keepNext/>
        <w:keepLines/>
        <w:rPr>
          <w:b/>
          <w:lang w:val="fr-CA"/>
        </w:rPr>
      </w:pPr>
      <w:r w:rsidRPr="00582BC2">
        <w:rPr>
          <w:lang w:val="fr-CA"/>
        </w:rPr>
        <w:t>Poursuivre les échanges sur l’opérationnalisation du paragraphe 24 de la décision XXVIII/2 dans le contexte des échanges sur les lignes directrices sur les coûts de la réduction progressive des HFC dans les pays visés à l'article 5 à la lumière du document</w:t>
      </w:r>
      <w:r w:rsidR="00E80DCA">
        <w:rPr>
          <w:lang w:val="fr-CA"/>
        </w:rPr>
        <w:t xml:space="preserve"> UNEP/</w:t>
      </w:r>
      <w:proofErr w:type="spellStart"/>
      <w:r w:rsidR="00E80DCA">
        <w:rPr>
          <w:lang w:val="fr-CA"/>
        </w:rPr>
        <w:t>OzL.Pro</w:t>
      </w:r>
      <w:proofErr w:type="spellEnd"/>
      <w:r w:rsidR="00E80DCA">
        <w:rPr>
          <w:lang w:val="fr-CA"/>
        </w:rPr>
        <w:t>/</w:t>
      </w:r>
      <w:proofErr w:type="spellStart"/>
      <w:r w:rsidR="00E80DCA">
        <w:rPr>
          <w:lang w:val="fr-CA"/>
        </w:rPr>
        <w:t>ExCom</w:t>
      </w:r>
      <w:proofErr w:type="spellEnd"/>
      <w:r w:rsidR="00E80DCA">
        <w:rPr>
          <w:lang w:val="fr-CA"/>
        </w:rPr>
        <w:t>/87</w:t>
      </w:r>
      <w:r w:rsidR="000F2C79" w:rsidRPr="00582BC2">
        <w:rPr>
          <w:lang w:val="fr-CA"/>
        </w:rPr>
        <w:t>/</w:t>
      </w:r>
      <w:r w:rsidR="00E80DCA">
        <w:rPr>
          <w:lang w:val="fr-CA"/>
        </w:rPr>
        <w:t>44</w:t>
      </w:r>
      <w:r w:rsidR="000F2C79" w:rsidRPr="00582BC2">
        <w:rPr>
          <w:lang w:val="fr-CA"/>
        </w:rPr>
        <w:t>.</w:t>
      </w:r>
    </w:p>
    <w:p w14:paraId="7A84133F" w14:textId="77777777" w:rsidR="006F4ADC" w:rsidRPr="00582BC2" w:rsidRDefault="006F4ADC">
      <w:pPr>
        <w:jc w:val="left"/>
        <w:rPr>
          <w:lang w:val="fr-CA"/>
        </w:rPr>
      </w:pPr>
      <w:r w:rsidRPr="00582BC2">
        <w:rPr>
          <w:lang w:val="fr-CA"/>
        </w:rPr>
        <w:br w:type="page"/>
      </w:r>
    </w:p>
    <w:p w14:paraId="37E34489" w14:textId="77777777" w:rsidR="006F4ADC" w:rsidRPr="00582BC2" w:rsidRDefault="006F4ADC" w:rsidP="006F4ADC">
      <w:pPr>
        <w:rPr>
          <w:lang w:val="fr-CA"/>
        </w:rPr>
        <w:sectPr w:rsidR="006F4ADC" w:rsidRPr="00582BC2" w:rsidSect="00896234">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720" w:right="1440" w:bottom="864" w:left="1440" w:header="720" w:footer="475" w:gutter="0"/>
          <w:cols w:space="720"/>
          <w:titlePg/>
        </w:sectPr>
      </w:pPr>
    </w:p>
    <w:p w14:paraId="3923FAE9" w14:textId="1DFE70D9" w:rsidR="007717BB" w:rsidRPr="00582BC2" w:rsidRDefault="007717BB" w:rsidP="007717BB">
      <w:pPr>
        <w:widowControl w:val="0"/>
        <w:jc w:val="center"/>
        <w:rPr>
          <w:lang w:val="fr-CA"/>
        </w:rPr>
      </w:pPr>
      <w:r w:rsidRPr="00582BC2">
        <w:rPr>
          <w:b/>
          <w:lang w:val="fr-CA"/>
        </w:rPr>
        <w:lastRenderedPageBreak/>
        <w:t>Annex</w:t>
      </w:r>
      <w:r w:rsidR="002635FE" w:rsidRPr="00582BC2">
        <w:rPr>
          <w:b/>
          <w:lang w:val="fr-CA"/>
        </w:rPr>
        <w:t>e</w:t>
      </w:r>
      <w:r w:rsidRPr="00582BC2">
        <w:rPr>
          <w:b/>
          <w:lang w:val="fr-CA"/>
        </w:rPr>
        <w:t xml:space="preserve"> I</w:t>
      </w:r>
    </w:p>
    <w:p w14:paraId="345D8793" w14:textId="77777777" w:rsidR="007717BB" w:rsidRPr="00582BC2" w:rsidRDefault="007717BB" w:rsidP="007717BB">
      <w:pPr>
        <w:widowControl w:val="0"/>
        <w:jc w:val="center"/>
        <w:rPr>
          <w:lang w:val="fr-CA"/>
        </w:rPr>
      </w:pPr>
    </w:p>
    <w:p w14:paraId="0326DE75" w14:textId="29FE0D5E" w:rsidR="007717BB" w:rsidRDefault="00E76315" w:rsidP="007717BB">
      <w:pPr>
        <w:widowControl w:val="0"/>
        <w:jc w:val="center"/>
        <w:rPr>
          <w:b/>
          <w:lang w:val="fr-CA"/>
        </w:rPr>
      </w:pPr>
      <w:r w:rsidRPr="00582BC2">
        <w:rPr>
          <w:b/>
          <w:lang w:val="fr-CA"/>
        </w:rPr>
        <w:t>APERÇU DES PROJETS DE DÉMONSTRATION PILOTES SUR L’ÉLIMINATION DES SAO</w:t>
      </w:r>
      <w:r w:rsidR="007717BB" w:rsidRPr="00582BC2">
        <w:rPr>
          <w:b/>
          <w:lang w:val="fr-CA"/>
        </w:rPr>
        <w:t xml:space="preserve"> </w:t>
      </w:r>
    </w:p>
    <w:p w14:paraId="12539D87" w14:textId="77777777" w:rsidR="00787E50" w:rsidRPr="00582BC2" w:rsidRDefault="00787E50" w:rsidP="007717BB">
      <w:pPr>
        <w:widowControl w:val="0"/>
        <w:jc w:val="center"/>
        <w:rPr>
          <w:b/>
          <w:lang w:val="fr-CA"/>
        </w:rPr>
      </w:pPr>
    </w:p>
    <w:p w14:paraId="0530EFFF" w14:textId="77777777" w:rsidR="007717BB" w:rsidRPr="00582BC2" w:rsidRDefault="007717BB" w:rsidP="007717BB">
      <w:pPr>
        <w:widowControl w:val="0"/>
        <w:jc w:val="left"/>
        <w:rPr>
          <w:lang w:val="fr-CA"/>
        </w:rPr>
      </w:pPr>
    </w:p>
    <w:p w14:paraId="4173B3AD" w14:textId="5A34E484" w:rsidR="00C36444" w:rsidRPr="00582BC2" w:rsidRDefault="00E76315" w:rsidP="00BB2DA9">
      <w:pPr>
        <w:pStyle w:val="Heading1"/>
        <w:numPr>
          <w:ilvl w:val="0"/>
          <w:numId w:val="27"/>
        </w:numPr>
        <w:rPr>
          <w:rFonts w:eastAsia="Calibri"/>
          <w:lang w:val="fr-CA"/>
        </w:rPr>
      </w:pPr>
      <w:r w:rsidRPr="00582BC2">
        <w:rPr>
          <w:rFonts w:eastAsia="Calibri"/>
          <w:lang w:val="fr-CA"/>
        </w:rPr>
        <w:t>Le Comité exécutif, à sa 57</w:t>
      </w:r>
      <w:r w:rsidRPr="00582BC2">
        <w:rPr>
          <w:rFonts w:eastAsia="Calibri"/>
          <w:vertAlign w:val="superscript"/>
          <w:lang w:val="fr-CA"/>
        </w:rPr>
        <w:t>e</w:t>
      </w:r>
      <w:r w:rsidRPr="00582BC2">
        <w:rPr>
          <w:rFonts w:eastAsia="Calibri"/>
          <w:lang w:val="fr-CA"/>
        </w:rPr>
        <w:t xml:space="preserve"> réunion, a décidé</w:t>
      </w:r>
      <w:r w:rsidR="00C36444" w:rsidRPr="00582BC2">
        <w:rPr>
          <w:rFonts w:eastAsia="Calibri"/>
          <w:lang w:val="fr-CA"/>
        </w:rPr>
        <w:t xml:space="preserve"> </w:t>
      </w:r>
      <w:r w:rsidR="005D7B2E">
        <w:rPr>
          <w:rFonts w:eastAsia="Calibri"/>
          <w:lang w:val="fr-CA"/>
        </w:rPr>
        <w:t xml:space="preserve">de se pencher sur </w:t>
      </w:r>
      <w:r w:rsidRPr="00582BC2">
        <w:rPr>
          <w:rFonts w:eastAsia="Calibri"/>
          <w:lang w:val="fr-CA"/>
        </w:rPr>
        <w:t xml:space="preserve">des projets pilotes d’élimination des SAO conformes à la décision </w:t>
      </w:r>
      <w:r w:rsidR="00C36444" w:rsidRPr="00582BC2">
        <w:rPr>
          <w:rFonts w:eastAsia="Calibri"/>
          <w:lang w:val="fr-CA"/>
        </w:rPr>
        <w:t>XX/7</w:t>
      </w:r>
      <w:r w:rsidR="00C36444" w:rsidRPr="00582BC2">
        <w:rPr>
          <w:rStyle w:val="FootnoteReference"/>
          <w:rFonts w:eastAsia="Calibri"/>
          <w:lang w:val="fr-CA"/>
        </w:rPr>
        <w:footnoteReference w:id="16"/>
      </w:r>
      <w:r w:rsidR="00C36444" w:rsidRPr="00582BC2">
        <w:rPr>
          <w:rFonts w:eastAsia="Calibri"/>
          <w:lang w:val="fr-CA"/>
        </w:rPr>
        <w:t xml:space="preserve"> </w:t>
      </w:r>
      <w:r w:rsidRPr="00582BC2">
        <w:rPr>
          <w:rFonts w:eastAsia="Calibri"/>
          <w:lang w:val="fr-CA"/>
        </w:rPr>
        <w:t>de la réunion des Parties</w:t>
      </w:r>
      <w:r w:rsidR="005D7B2E">
        <w:rPr>
          <w:rFonts w:eastAsia="Calibri"/>
          <w:lang w:val="fr-CA"/>
        </w:rPr>
        <w:t>,</w:t>
      </w:r>
      <w:r w:rsidRPr="00582BC2">
        <w:rPr>
          <w:rFonts w:eastAsia="Calibri"/>
          <w:lang w:val="fr-CA"/>
        </w:rPr>
        <w:t xml:space="preserve"> qui précise que les projets pilotes doivent englober la collecte, le transport, le stockage et la destruction des </w:t>
      </w:r>
      <w:r w:rsidR="00F06BE3" w:rsidRPr="00582BC2">
        <w:rPr>
          <w:rFonts w:eastAsia="Calibri"/>
          <w:lang w:val="fr-CA"/>
        </w:rPr>
        <w:t>S</w:t>
      </w:r>
      <w:r w:rsidRPr="00582BC2">
        <w:rPr>
          <w:rFonts w:eastAsia="Calibri"/>
          <w:lang w:val="fr-CA"/>
        </w:rPr>
        <w:t xml:space="preserve">AO, en mettant l’accent sur les stocks </w:t>
      </w:r>
      <w:r w:rsidR="0064012C" w:rsidRPr="00582BC2">
        <w:rPr>
          <w:rFonts w:eastAsia="Calibri"/>
          <w:lang w:val="fr-CA"/>
        </w:rPr>
        <w:t>déjà constitués</w:t>
      </w:r>
      <w:r w:rsidR="00F06BE3" w:rsidRPr="00582BC2">
        <w:rPr>
          <w:rFonts w:eastAsia="Calibri"/>
          <w:lang w:val="fr-CA"/>
        </w:rPr>
        <w:t xml:space="preserve"> présentant un fort potentiel de réchauffement de la planète (PRG) dans un échantillon représentatif de pays </w:t>
      </w:r>
      <w:r w:rsidR="00F06BE3" w:rsidRPr="00582BC2">
        <w:rPr>
          <w:lang w:val="fr-CA"/>
        </w:rPr>
        <w:t>visés à l'article 5</w:t>
      </w:r>
      <w:r w:rsidR="00F06BE3" w:rsidRPr="00582BC2">
        <w:rPr>
          <w:rFonts w:eastAsia="Calibri"/>
          <w:lang w:val="fr-CA"/>
        </w:rPr>
        <w:t xml:space="preserve"> offrant une diversité régionale. La décision précisait également que les projets de démonstration sur l’élimination des SAO devaient être réalisables et inclure des moyens </w:t>
      </w:r>
      <w:r w:rsidR="0064012C" w:rsidRPr="00582BC2">
        <w:rPr>
          <w:rFonts w:eastAsia="Calibri"/>
          <w:lang w:val="fr-CA"/>
        </w:rPr>
        <w:t>de mobiliser</w:t>
      </w:r>
      <w:r w:rsidR="00F06BE3" w:rsidRPr="00582BC2">
        <w:rPr>
          <w:rFonts w:eastAsia="Calibri"/>
          <w:lang w:val="fr-CA"/>
        </w:rPr>
        <w:t xml:space="preserve"> du cofinancement</w:t>
      </w:r>
      <w:r w:rsidR="00C36444" w:rsidRPr="00582BC2">
        <w:rPr>
          <w:rFonts w:eastAsia="Calibri"/>
          <w:lang w:val="fr-CA"/>
        </w:rPr>
        <w:t xml:space="preserve"> (d</w:t>
      </w:r>
      <w:r w:rsidR="00F06BE3" w:rsidRPr="00582BC2">
        <w:rPr>
          <w:rFonts w:eastAsia="Calibri"/>
          <w:lang w:val="fr-CA"/>
        </w:rPr>
        <w:t>é</w:t>
      </w:r>
      <w:r w:rsidR="00C36444" w:rsidRPr="00582BC2">
        <w:rPr>
          <w:rFonts w:eastAsia="Calibri"/>
          <w:lang w:val="fr-CA"/>
        </w:rPr>
        <w:t>cision 57/6).</w:t>
      </w:r>
    </w:p>
    <w:p w14:paraId="0EC0BA80" w14:textId="3922E785" w:rsidR="00C36444" w:rsidRPr="00582BC2" w:rsidRDefault="006C77F0" w:rsidP="00C36444">
      <w:pPr>
        <w:pStyle w:val="Heading1"/>
        <w:numPr>
          <w:ilvl w:val="0"/>
          <w:numId w:val="21"/>
        </w:numPr>
        <w:rPr>
          <w:rFonts w:eastAsia="Calibri"/>
          <w:lang w:val="fr-CA"/>
        </w:rPr>
      </w:pPr>
      <w:r w:rsidRPr="00582BC2">
        <w:rPr>
          <w:rFonts w:eastAsia="Calibri"/>
          <w:lang w:val="fr-CA"/>
        </w:rPr>
        <w:t>Le Comité exécutif, à sa 58</w:t>
      </w:r>
      <w:r w:rsidRPr="00582BC2">
        <w:rPr>
          <w:rFonts w:eastAsia="Calibri"/>
          <w:vertAlign w:val="superscript"/>
          <w:lang w:val="fr-CA"/>
        </w:rPr>
        <w:t>e</w:t>
      </w:r>
      <w:r w:rsidRPr="00582BC2">
        <w:rPr>
          <w:rFonts w:eastAsia="Calibri"/>
          <w:lang w:val="fr-CA"/>
        </w:rPr>
        <w:t xml:space="preserve"> réunion, a adopté les lignes directrices provisoires sur le financement des projets de démonstration sur l’élimination des SAO (décision 58/19). Le financement de la préparation des projets pilotes </w:t>
      </w:r>
      <w:r w:rsidR="005D7B2E">
        <w:rPr>
          <w:rFonts w:eastAsia="Calibri"/>
          <w:lang w:val="fr-CA"/>
        </w:rPr>
        <w:t>sur la destruction des SAO était</w:t>
      </w:r>
      <w:r w:rsidRPr="00582BC2">
        <w:rPr>
          <w:rFonts w:eastAsia="Calibri"/>
          <w:lang w:val="fr-CA"/>
        </w:rPr>
        <w:t xml:space="preserve"> approuvé depuis la 54</w:t>
      </w:r>
      <w:r w:rsidRPr="00582BC2">
        <w:rPr>
          <w:rFonts w:eastAsia="Calibri"/>
          <w:vertAlign w:val="superscript"/>
          <w:lang w:val="fr-CA"/>
        </w:rPr>
        <w:t>e</w:t>
      </w:r>
      <w:r w:rsidRPr="00582BC2">
        <w:rPr>
          <w:rFonts w:eastAsia="Calibri"/>
          <w:lang w:val="fr-CA"/>
        </w:rPr>
        <w:t xml:space="preserve"> réunion. Par la suite, le Comité exécutif, à sa 63</w:t>
      </w:r>
      <w:r w:rsidRPr="00582BC2">
        <w:rPr>
          <w:rFonts w:eastAsia="Calibri"/>
          <w:vertAlign w:val="superscript"/>
          <w:lang w:val="fr-CA"/>
        </w:rPr>
        <w:t>e</w:t>
      </w:r>
      <w:r w:rsidRPr="00582BC2">
        <w:rPr>
          <w:rFonts w:eastAsia="Calibri"/>
          <w:lang w:val="fr-CA"/>
        </w:rPr>
        <w:t xml:space="preserve"> réunion, a décidé de définir une fenêtre de financement pour la destruction des SAO dans les pays à faible volume</w:t>
      </w:r>
      <w:r w:rsidR="005D7B2E">
        <w:rPr>
          <w:rFonts w:eastAsia="Calibri"/>
          <w:lang w:val="fr-CA"/>
        </w:rPr>
        <w:t xml:space="preserve"> de consommation, conformément </w:t>
      </w:r>
      <w:r w:rsidRPr="00582BC2">
        <w:rPr>
          <w:rFonts w:eastAsia="Calibri"/>
          <w:lang w:val="fr-CA"/>
        </w:rPr>
        <w:t xml:space="preserve">à la décision XXI/2 </w:t>
      </w:r>
      <w:r w:rsidR="00C36444" w:rsidRPr="00582BC2">
        <w:rPr>
          <w:rFonts w:eastAsia="Calibri"/>
          <w:lang w:val="fr-CA"/>
        </w:rPr>
        <w:t xml:space="preserve"> (d</w:t>
      </w:r>
      <w:r w:rsidRPr="00582BC2">
        <w:rPr>
          <w:rFonts w:eastAsia="Calibri"/>
          <w:lang w:val="fr-CA"/>
        </w:rPr>
        <w:t>é</w:t>
      </w:r>
      <w:r w:rsidR="00C36444" w:rsidRPr="00582BC2">
        <w:rPr>
          <w:rFonts w:eastAsia="Calibri"/>
          <w:lang w:val="fr-CA"/>
        </w:rPr>
        <w:t>cision 63/5(c)</w:t>
      </w:r>
      <w:r w:rsidR="005D7B2E">
        <w:rPr>
          <w:rFonts w:eastAsia="Calibri"/>
          <w:lang w:val="fr-CA"/>
        </w:rPr>
        <w:t>)</w:t>
      </w:r>
      <w:r w:rsidR="00C36444" w:rsidRPr="00582BC2">
        <w:rPr>
          <w:rStyle w:val="FootnoteReference"/>
          <w:rFonts w:eastAsia="Calibri"/>
          <w:lang w:val="fr-CA"/>
        </w:rPr>
        <w:footnoteReference w:id="17"/>
      </w:r>
      <w:r w:rsidR="00C36444" w:rsidRPr="00582BC2">
        <w:rPr>
          <w:rFonts w:eastAsia="Calibri"/>
          <w:lang w:val="fr-CA"/>
        </w:rPr>
        <w:t>.</w:t>
      </w:r>
    </w:p>
    <w:p w14:paraId="12BF6FB5" w14:textId="1F136DFC" w:rsidR="00C36444" w:rsidRPr="00582BC2" w:rsidRDefault="006C77F0" w:rsidP="00C36444">
      <w:pPr>
        <w:pStyle w:val="Heading1"/>
        <w:widowControl w:val="0"/>
        <w:numPr>
          <w:ilvl w:val="0"/>
          <w:numId w:val="21"/>
        </w:numPr>
        <w:rPr>
          <w:lang w:val="fr-CA"/>
        </w:rPr>
      </w:pPr>
      <w:r w:rsidRPr="00582BC2">
        <w:rPr>
          <w:lang w:val="fr-CA"/>
        </w:rPr>
        <w:t xml:space="preserve">Le Comité exécutif a approuvé </w:t>
      </w:r>
      <w:r w:rsidR="00032CB9" w:rsidRPr="00582BC2">
        <w:rPr>
          <w:lang w:val="fr-CA"/>
        </w:rPr>
        <w:t xml:space="preserve">le financement pour la préparation de </w:t>
      </w:r>
      <w:r w:rsidRPr="00582BC2">
        <w:rPr>
          <w:lang w:val="fr-CA"/>
        </w:rPr>
        <w:t xml:space="preserve">16 projets </w:t>
      </w:r>
      <w:r w:rsidR="00032CB9" w:rsidRPr="00582BC2">
        <w:rPr>
          <w:lang w:val="fr-CA"/>
        </w:rPr>
        <w:t>de la 54</w:t>
      </w:r>
      <w:r w:rsidR="00032CB9" w:rsidRPr="00582BC2">
        <w:rPr>
          <w:vertAlign w:val="superscript"/>
          <w:lang w:val="fr-CA"/>
        </w:rPr>
        <w:t>e</w:t>
      </w:r>
      <w:r w:rsidR="00032CB9" w:rsidRPr="00582BC2">
        <w:rPr>
          <w:lang w:val="fr-CA"/>
        </w:rPr>
        <w:t xml:space="preserve"> à la 73</w:t>
      </w:r>
      <w:r w:rsidR="00032CB9" w:rsidRPr="00582BC2">
        <w:rPr>
          <w:vertAlign w:val="superscript"/>
          <w:lang w:val="fr-CA"/>
        </w:rPr>
        <w:t>e</w:t>
      </w:r>
      <w:r w:rsidR="005D7B2E">
        <w:rPr>
          <w:lang w:val="fr-CA"/>
        </w:rPr>
        <w:t> </w:t>
      </w:r>
      <w:r w:rsidR="00032CB9" w:rsidRPr="00582BC2">
        <w:rPr>
          <w:lang w:val="fr-CA"/>
        </w:rPr>
        <w:t xml:space="preserve">réunions, ce qui a mené à des projets de démonstration pilotes complets sur la gestion des </w:t>
      </w:r>
      <w:r w:rsidR="001465C1" w:rsidRPr="00582BC2">
        <w:rPr>
          <w:lang w:val="fr-CA"/>
        </w:rPr>
        <w:t>résidus de SAO</w:t>
      </w:r>
      <w:r w:rsidR="00032CB9" w:rsidRPr="00582BC2">
        <w:rPr>
          <w:lang w:val="fr-CA"/>
        </w:rPr>
        <w:t xml:space="preserve"> dans 11 pays, deux projets régionaux et un projet d’assistance technique, pour une somme totale de 11 528 052 $US. Ces projets comprenaient deux projets de démonstration régionaux sur l’élimination des SAO pour l’Asie et le Pacifique et pour l’Europe centrale et l’Asie. Le financement pour la préparation</w:t>
      </w:r>
      <w:r w:rsidR="0025296C" w:rsidRPr="00582BC2">
        <w:rPr>
          <w:lang w:val="fr-CA"/>
        </w:rPr>
        <w:t xml:space="preserve"> offert pour un pays et une région n’a pas mené au développement de projets complets et les projets ont été annulés</w:t>
      </w:r>
      <w:r w:rsidR="00C36444" w:rsidRPr="00582BC2">
        <w:rPr>
          <w:lang w:val="fr-CA"/>
        </w:rPr>
        <w:t>.</w:t>
      </w:r>
      <w:r w:rsidR="00C36444" w:rsidRPr="00582BC2">
        <w:rPr>
          <w:rStyle w:val="FootnoteReference"/>
          <w:lang w:val="fr-CA"/>
        </w:rPr>
        <w:footnoteReference w:id="18"/>
      </w:r>
      <w:r w:rsidR="00C36444" w:rsidRPr="00582BC2">
        <w:rPr>
          <w:lang w:val="fr-CA"/>
        </w:rPr>
        <w:t xml:space="preserve"> </w:t>
      </w:r>
      <w:r w:rsidR="0025296C" w:rsidRPr="00582BC2">
        <w:rPr>
          <w:lang w:val="fr-CA"/>
        </w:rPr>
        <w:t>Le Comité exécutif a aussi approuvé trois programme</w:t>
      </w:r>
      <w:r w:rsidR="002F109A">
        <w:rPr>
          <w:lang w:val="fr-CA"/>
        </w:rPr>
        <w:t>s d’assistance technique (Népal, s</w:t>
      </w:r>
      <w:r w:rsidR="0025296C" w:rsidRPr="00582BC2">
        <w:rPr>
          <w:lang w:val="fr-CA"/>
        </w:rPr>
        <w:t>tratégie régionale de l’Afrique</w:t>
      </w:r>
      <w:r w:rsidR="00C36444" w:rsidRPr="00582BC2">
        <w:rPr>
          <w:rStyle w:val="FootnoteReference"/>
          <w:lang w:val="fr-CA"/>
        </w:rPr>
        <w:footnoteReference w:id="19"/>
      </w:r>
      <w:r w:rsidR="00C36444" w:rsidRPr="00582BC2">
        <w:rPr>
          <w:lang w:val="fr-CA"/>
        </w:rPr>
        <w:t xml:space="preserve"> </w:t>
      </w:r>
      <w:r w:rsidR="0025296C" w:rsidRPr="00582BC2">
        <w:rPr>
          <w:lang w:val="fr-CA"/>
        </w:rPr>
        <w:t>et un projet mondial</w:t>
      </w:r>
      <w:r w:rsidR="00C36444" w:rsidRPr="00582BC2">
        <w:rPr>
          <w:rStyle w:val="FootnoteReference"/>
          <w:lang w:val="fr-CA"/>
        </w:rPr>
        <w:footnoteReference w:id="20"/>
      </w:r>
      <w:r w:rsidR="00C36444" w:rsidRPr="00582BC2">
        <w:rPr>
          <w:lang w:val="fr-CA"/>
        </w:rPr>
        <w:t xml:space="preserve">), </w:t>
      </w:r>
      <w:r w:rsidR="0025296C" w:rsidRPr="00582BC2">
        <w:rPr>
          <w:lang w:val="fr-CA"/>
        </w:rPr>
        <w:t xml:space="preserve">pour un total de 12 projets approuvés, comme indiqué dans le tableau 1. Ces projets ont été approuvés conformément à la décision 58/19, lignes directrices provisoires pour les projets d’élimination des </w:t>
      </w:r>
      <w:r w:rsidR="001465C1" w:rsidRPr="00582BC2">
        <w:rPr>
          <w:lang w:val="fr-CA"/>
        </w:rPr>
        <w:t>résidus de SAO</w:t>
      </w:r>
      <w:r w:rsidR="00C36444" w:rsidRPr="00582BC2">
        <w:rPr>
          <w:lang w:val="fr-CA"/>
        </w:rPr>
        <w:t xml:space="preserve">. </w:t>
      </w:r>
    </w:p>
    <w:p w14:paraId="59D0C7A0" w14:textId="77777777" w:rsidR="00E71F34" w:rsidRPr="00582BC2" w:rsidRDefault="00E71F34">
      <w:pPr>
        <w:jc w:val="left"/>
        <w:rPr>
          <w:b/>
          <w:lang w:val="fr-CA"/>
        </w:rPr>
      </w:pPr>
      <w:r w:rsidRPr="00582BC2">
        <w:rPr>
          <w:b/>
          <w:lang w:val="fr-CA"/>
        </w:rPr>
        <w:br w:type="page"/>
      </w:r>
    </w:p>
    <w:p w14:paraId="552D36DD" w14:textId="44DC7DBE" w:rsidR="007717BB" w:rsidRPr="00582BC2" w:rsidRDefault="007717BB" w:rsidP="007717BB">
      <w:pPr>
        <w:widowControl w:val="0"/>
        <w:rPr>
          <w:b/>
          <w:lang w:val="fr-CA"/>
        </w:rPr>
      </w:pPr>
      <w:r w:rsidRPr="00582BC2">
        <w:rPr>
          <w:b/>
          <w:lang w:val="fr-CA"/>
        </w:rPr>
        <w:lastRenderedPageBreak/>
        <w:t>Table</w:t>
      </w:r>
      <w:r w:rsidR="0025296C" w:rsidRPr="00582BC2">
        <w:rPr>
          <w:b/>
          <w:lang w:val="fr-CA"/>
        </w:rPr>
        <w:t>au</w:t>
      </w:r>
      <w:r w:rsidRPr="00582BC2">
        <w:rPr>
          <w:b/>
          <w:lang w:val="fr-CA"/>
        </w:rPr>
        <w:t xml:space="preserve"> 1. </w:t>
      </w:r>
      <w:r w:rsidR="0025296C" w:rsidRPr="00582BC2">
        <w:rPr>
          <w:b/>
          <w:lang w:val="fr-CA"/>
        </w:rPr>
        <w:t>Projets pilotes d’élimination des SAO approuvés</w:t>
      </w:r>
    </w:p>
    <w:tbl>
      <w:tblPr>
        <w:tblStyle w:val="TableGrid"/>
        <w:tblW w:w="5000" w:type="pct"/>
        <w:tblLook w:val="04A0" w:firstRow="1" w:lastRow="0" w:firstColumn="1" w:lastColumn="0" w:noHBand="0" w:noVBand="1"/>
      </w:tblPr>
      <w:tblGrid>
        <w:gridCol w:w="1685"/>
        <w:gridCol w:w="2201"/>
        <w:gridCol w:w="2195"/>
        <w:gridCol w:w="1582"/>
        <w:gridCol w:w="1687"/>
      </w:tblGrid>
      <w:tr w:rsidR="007717BB" w:rsidRPr="00582BC2" w14:paraId="48F1564C" w14:textId="77777777" w:rsidTr="007717BB">
        <w:trPr>
          <w:tblHeader/>
        </w:trPr>
        <w:tc>
          <w:tcPr>
            <w:tcW w:w="901" w:type="pct"/>
          </w:tcPr>
          <w:p w14:paraId="429E9A65" w14:textId="62F9BEC0" w:rsidR="007717BB" w:rsidRPr="00582BC2" w:rsidRDefault="00E71F34" w:rsidP="007717BB">
            <w:pPr>
              <w:widowControl w:val="0"/>
              <w:jc w:val="left"/>
              <w:rPr>
                <w:b/>
                <w:sz w:val="21"/>
                <w:szCs w:val="21"/>
                <w:lang w:val="fr-CA"/>
              </w:rPr>
            </w:pPr>
            <w:r w:rsidRPr="00582BC2">
              <w:rPr>
                <w:b/>
                <w:sz w:val="21"/>
                <w:szCs w:val="21"/>
                <w:lang w:val="fr-CA"/>
              </w:rPr>
              <w:t>Pays</w:t>
            </w:r>
          </w:p>
        </w:tc>
        <w:tc>
          <w:tcPr>
            <w:tcW w:w="1177" w:type="pct"/>
          </w:tcPr>
          <w:p w14:paraId="5995F3ED" w14:textId="7C84BB80" w:rsidR="007717BB" w:rsidRPr="00582BC2" w:rsidRDefault="00E71F34" w:rsidP="007717BB">
            <w:pPr>
              <w:widowControl w:val="0"/>
              <w:jc w:val="center"/>
              <w:rPr>
                <w:b/>
                <w:sz w:val="21"/>
                <w:szCs w:val="21"/>
                <w:lang w:val="fr-CA"/>
              </w:rPr>
            </w:pPr>
            <w:r w:rsidRPr="00582BC2">
              <w:rPr>
                <w:b/>
                <w:sz w:val="21"/>
                <w:szCs w:val="21"/>
                <w:lang w:val="fr-CA"/>
              </w:rPr>
              <w:t>Région</w:t>
            </w:r>
          </w:p>
        </w:tc>
        <w:tc>
          <w:tcPr>
            <w:tcW w:w="1174" w:type="pct"/>
          </w:tcPr>
          <w:p w14:paraId="68BB9FC4" w14:textId="25587A84" w:rsidR="007717BB" w:rsidRPr="00582BC2" w:rsidRDefault="00E71F34" w:rsidP="007717BB">
            <w:pPr>
              <w:widowControl w:val="0"/>
              <w:jc w:val="center"/>
              <w:rPr>
                <w:b/>
                <w:sz w:val="21"/>
                <w:szCs w:val="21"/>
                <w:lang w:val="fr-CA"/>
              </w:rPr>
            </w:pPr>
            <w:r w:rsidRPr="00582BC2">
              <w:rPr>
                <w:b/>
                <w:sz w:val="21"/>
                <w:szCs w:val="21"/>
                <w:lang w:val="fr-CA"/>
              </w:rPr>
              <w:t>Agence</w:t>
            </w:r>
          </w:p>
        </w:tc>
        <w:tc>
          <w:tcPr>
            <w:tcW w:w="846" w:type="pct"/>
          </w:tcPr>
          <w:p w14:paraId="00ED05C9" w14:textId="678EC733" w:rsidR="007717BB" w:rsidRPr="00582BC2" w:rsidRDefault="00E71F34" w:rsidP="007717BB">
            <w:pPr>
              <w:widowControl w:val="0"/>
              <w:jc w:val="center"/>
              <w:rPr>
                <w:b/>
                <w:sz w:val="21"/>
                <w:szCs w:val="21"/>
                <w:lang w:val="fr-CA"/>
              </w:rPr>
            </w:pPr>
            <w:r w:rsidRPr="00582BC2">
              <w:rPr>
                <w:b/>
                <w:sz w:val="21"/>
                <w:szCs w:val="21"/>
                <w:lang w:val="fr-CA"/>
              </w:rPr>
              <w:t>Réunion</w:t>
            </w:r>
          </w:p>
        </w:tc>
        <w:tc>
          <w:tcPr>
            <w:tcW w:w="901" w:type="pct"/>
          </w:tcPr>
          <w:p w14:paraId="2003B2DC" w14:textId="32A19959" w:rsidR="007717BB" w:rsidRPr="00582BC2" w:rsidRDefault="00E71F34" w:rsidP="007717BB">
            <w:pPr>
              <w:widowControl w:val="0"/>
              <w:jc w:val="center"/>
              <w:rPr>
                <w:b/>
                <w:sz w:val="21"/>
                <w:szCs w:val="21"/>
                <w:lang w:val="fr-CA"/>
              </w:rPr>
            </w:pPr>
            <w:r w:rsidRPr="00582BC2">
              <w:rPr>
                <w:b/>
                <w:sz w:val="21"/>
                <w:szCs w:val="21"/>
                <w:lang w:val="fr-CA"/>
              </w:rPr>
              <w:t>Financement ($US)</w:t>
            </w:r>
          </w:p>
        </w:tc>
      </w:tr>
      <w:tr w:rsidR="007717BB" w:rsidRPr="00454C15" w14:paraId="297D1AC3" w14:textId="77777777" w:rsidTr="007717BB">
        <w:tc>
          <w:tcPr>
            <w:tcW w:w="5000" w:type="pct"/>
            <w:gridSpan w:val="5"/>
          </w:tcPr>
          <w:p w14:paraId="6D8885AC" w14:textId="5F0F94A5" w:rsidR="007717BB" w:rsidRPr="00582BC2" w:rsidRDefault="00E71F34" w:rsidP="00F90F14">
            <w:pPr>
              <w:widowControl w:val="0"/>
              <w:jc w:val="left"/>
              <w:rPr>
                <w:i/>
                <w:sz w:val="21"/>
                <w:szCs w:val="21"/>
                <w:lang w:val="fr-CA"/>
              </w:rPr>
            </w:pPr>
            <w:r w:rsidRPr="00582BC2">
              <w:rPr>
                <w:i/>
                <w:sz w:val="21"/>
                <w:szCs w:val="21"/>
                <w:lang w:val="fr-CA"/>
              </w:rPr>
              <w:t>Approbations de</w:t>
            </w:r>
            <w:r w:rsidR="00192D49">
              <w:rPr>
                <w:i/>
                <w:sz w:val="21"/>
                <w:szCs w:val="21"/>
                <w:lang w:val="fr-CA"/>
              </w:rPr>
              <w:t xml:space="preserve"> la préparation de projet</w:t>
            </w:r>
            <w:r w:rsidR="00F90F14" w:rsidRPr="00582BC2">
              <w:rPr>
                <w:i/>
                <w:sz w:val="21"/>
                <w:szCs w:val="21"/>
                <w:lang w:val="fr-CA"/>
              </w:rPr>
              <w:t xml:space="preserve"> pour les projets de démonstration sur l’élimination des SAO</w:t>
            </w:r>
          </w:p>
        </w:tc>
      </w:tr>
      <w:tr w:rsidR="007717BB" w:rsidRPr="00582BC2" w14:paraId="210C1EC5" w14:textId="77777777" w:rsidTr="00D01FAE">
        <w:tc>
          <w:tcPr>
            <w:tcW w:w="901" w:type="pct"/>
          </w:tcPr>
          <w:p w14:paraId="3F78674F" w14:textId="4EBA1970" w:rsidR="007717BB" w:rsidRPr="00582BC2" w:rsidRDefault="00F90F14" w:rsidP="007717BB">
            <w:pPr>
              <w:widowControl w:val="0"/>
              <w:rPr>
                <w:sz w:val="21"/>
                <w:szCs w:val="21"/>
                <w:lang w:val="fr-CA"/>
              </w:rPr>
            </w:pPr>
            <w:r w:rsidRPr="00582BC2">
              <w:rPr>
                <w:sz w:val="21"/>
                <w:szCs w:val="21"/>
                <w:lang w:val="fr-CA"/>
              </w:rPr>
              <w:t>Algérie</w:t>
            </w:r>
          </w:p>
        </w:tc>
        <w:tc>
          <w:tcPr>
            <w:tcW w:w="1177" w:type="pct"/>
          </w:tcPr>
          <w:p w14:paraId="09200B95" w14:textId="10677BEC" w:rsidR="007717BB" w:rsidRPr="00582BC2" w:rsidRDefault="00F90F14" w:rsidP="007717BB">
            <w:pPr>
              <w:widowControl w:val="0"/>
              <w:jc w:val="left"/>
              <w:rPr>
                <w:sz w:val="21"/>
                <w:szCs w:val="21"/>
                <w:lang w:val="fr-CA"/>
              </w:rPr>
            </w:pPr>
            <w:r w:rsidRPr="00582BC2">
              <w:rPr>
                <w:sz w:val="21"/>
                <w:szCs w:val="21"/>
                <w:lang w:val="fr-CA"/>
              </w:rPr>
              <w:t>Afrique</w:t>
            </w:r>
          </w:p>
        </w:tc>
        <w:tc>
          <w:tcPr>
            <w:tcW w:w="1174" w:type="pct"/>
          </w:tcPr>
          <w:p w14:paraId="2D690A5A" w14:textId="3B688560" w:rsidR="007717BB" w:rsidRPr="00582BC2" w:rsidRDefault="00F90F14" w:rsidP="007717BB">
            <w:pPr>
              <w:widowControl w:val="0"/>
              <w:jc w:val="left"/>
              <w:rPr>
                <w:sz w:val="21"/>
                <w:szCs w:val="21"/>
                <w:lang w:val="fr-CA"/>
              </w:rPr>
            </w:pPr>
            <w:r w:rsidRPr="00582BC2">
              <w:rPr>
                <w:sz w:val="21"/>
                <w:szCs w:val="21"/>
                <w:lang w:val="fr-CA"/>
              </w:rPr>
              <w:t>ONUDI</w:t>
            </w:r>
          </w:p>
        </w:tc>
        <w:tc>
          <w:tcPr>
            <w:tcW w:w="846" w:type="pct"/>
            <w:vAlign w:val="center"/>
          </w:tcPr>
          <w:p w14:paraId="31BEF384" w14:textId="77777777" w:rsidR="007717BB" w:rsidRPr="00582BC2" w:rsidRDefault="007717BB" w:rsidP="00D01FAE">
            <w:pPr>
              <w:widowControl w:val="0"/>
              <w:jc w:val="center"/>
              <w:rPr>
                <w:sz w:val="21"/>
                <w:szCs w:val="21"/>
                <w:lang w:val="fr-CA"/>
              </w:rPr>
            </w:pPr>
            <w:r w:rsidRPr="00582BC2">
              <w:rPr>
                <w:sz w:val="21"/>
                <w:szCs w:val="21"/>
                <w:lang w:val="fr-CA"/>
              </w:rPr>
              <w:t>59</w:t>
            </w:r>
          </w:p>
        </w:tc>
        <w:tc>
          <w:tcPr>
            <w:tcW w:w="901" w:type="pct"/>
          </w:tcPr>
          <w:p w14:paraId="0590DA1C" w14:textId="29E62BE1" w:rsidR="007717BB" w:rsidRPr="00582BC2" w:rsidRDefault="007717BB" w:rsidP="00F90F14">
            <w:pPr>
              <w:widowControl w:val="0"/>
              <w:ind w:right="68"/>
              <w:jc w:val="right"/>
              <w:rPr>
                <w:sz w:val="21"/>
                <w:szCs w:val="21"/>
                <w:lang w:val="fr-CA"/>
              </w:rPr>
            </w:pPr>
            <w:r w:rsidRPr="00582BC2">
              <w:rPr>
                <w:sz w:val="21"/>
                <w:szCs w:val="21"/>
                <w:lang w:val="fr-CA"/>
              </w:rPr>
              <w:t>85</w:t>
            </w:r>
            <w:r w:rsidR="00F90F14" w:rsidRPr="00582BC2">
              <w:rPr>
                <w:sz w:val="21"/>
                <w:szCs w:val="21"/>
                <w:lang w:val="fr-CA"/>
              </w:rPr>
              <w:t xml:space="preserve"> </w:t>
            </w:r>
            <w:r w:rsidRPr="00582BC2">
              <w:rPr>
                <w:sz w:val="21"/>
                <w:szCs w:val="21"/>
                <w:lang w:val="fr-CA"/>
              </w:rPr>
              <w:t>000</w:t>
            </w:r>
          </w:p>
        </w:tc>
      </w:tr>
      <w:tr w:rsidR="007717BB" w:rsidRPr="00582BC2" w14:paraId="772F45DE" w14:textId="77777777" w:rsidTr="00D01FAE">
        <w:tc>
          <w:tcPr>
            <w:tcW w:w="901" w:type="pct"/>
          </w:tcPr>
          <w:p w14:paraId="690520B0" w14:textId="149FA4C9" w:rsidR="007717BB" w:rsidRPr="00582BC2" w:rsidRDefault="00F90F14" w:rsidP="00F90F14">
            <w:pPr>
              <w:widowControl w:val="0"/>
              <w:rPr>
                <w:sz w:val="21"/>
                <w:szCs w:val="21"/>
                <w:lang w:val="fr-CA"/>
              </w:rPr>
            </w:pPr>
            <w:r w:rsidRPr="00582BC2">
              <w:rPr>
                <w:sz w:val="21"/>
                <w:szCs w:val="21"/>
                <w:lang w:val="fr-CA"/>
              </w:rPr>
              <w:t xml:space="preserve">Région </w:t>
            </w:r>
            <w:r w:rsidR="007717BB" w:rsidRPr="00582BC2">
              <w:rPr>
                <w:sz w:val="21"/>
                <w:szCs w:val="21"/>
                <w:lang w:val="fr-CA"/>
              </w:rPr>
              <w:t>: A</w:t>
            </w:r>
            <w:r w:rsidRPr="00582BC2">
              <w:rPr>
                <w:sz w:val="21"/>
                <w:szCs w:val="21"/>
                <w:lang w:val="fr-CA"/>
              </w:rPr>
              <w:t>sie-Pacifique</w:t>
            </w:r>
          </w:p>
        </w:tc>
        <w:tc>
          <w:tcPr>
            <w:tcW w:w="1177" w:type="pct"/>
          </w:tcPr>
          <w:p w14:paraId="04C3F7D4" w14:textId="73C675E6" w:rsidR="007717BB" w:rsidRPr="00582BC2" w:rsidRDefault="00F90F14" w:rsidP="00192D49">
            <w:pPr>
              <w:widowControl w:val="0"/>
              <w:jc w:val="left"/>
              <w:rPr>
                <w:sz w:val="21"/>
                <w:szCs w:val="21"/>
                <w:lang w:val="fr-CA"/>
              </w:rPr>
            </w:pPr>
            <w:r w:rsidRPr="00582BC2">
              <w:rPr>
                <w:sz w:val="21"/>
                <w:szCs w:val="21"/>
                <w:lang w:val="fr-CA"/>
              </w:rPr>
              <w:t>Asie et Pacifique</w:t>
            </w:r>
          </w:p>
        </w:tc>
        <w:tc>
          <w:tcPr>
            <w:tcW w:w="1174" w:type="pct"/>
          </w:tcPr>
          <w:p w14:paraId="6D07251A" w14:textId="41F4BD64" w:rsidR="007717BB" w:rsidRPr="00582BC2" w:rsidRDefault="00F90F14" w:rsidP="007717BB">
            <w:pPr>
              <w:widowControl w:val="0"/>
              <w:jc w:val="left"/>
              <w:rPr>
                <w:sz w:val="21"/>
                <w:szCs w:val="21"/>
                <w:lang w:val="fr-CA"/>
              </w:rPr>
            </w:pPr>
            <w:r w:rsidRPr="00582BC2">
              <w:rPr>
                <w:sz w:val="21"/>
                <w:szCs w:val="21"/>
                <w:lang w:val="fr-CA"/>
              </w:rPr>
              <w:t>Japon</w:t>
            </w:r>
          </w:p>
        </w:tc>
        <w:tc>
          <w:tcPr>
            <w:tcW w:w="846" w:type="pct"/>
            <w:vAlign w:val="center"/>
          </w:tcPr>
          <w:p w14:paraId="46275347" w14:textId="77777777" w:rsidR="007717BB" w:rsidRPr="00582BC2" w:rsidRDefault="007717BB" w:rsidP="00D01FAE">
            <w:pPr>
              <w:widowControl w:val="0"/>
              <w:jc w:val="center"/>
              <w:rPr>
                <w:sz w:val="21"/>
                <w:szCs w:val="21"/>
                <w:lang w:val="fr-CA"/>
              </w:rPr>
            </w:pPr>
            <w:r w:rsidRPr="00582BC2">
              <w:rPr>
                <w:sz w:val="21"/>
                <w:szCs w:val="21"/>
                <w:lang w:val="fr-CA"/>
              </w:rPr>
              <w:t>54</w:t>
            </w:r>
          </w:p>
        </w:tc>
        <w:tc>
          <w:tcPr>
            <w:tcW w:w="901" w:type="pct"/>
          </w:tcPr>
          <w:p w14:paraId="6DB295F2" w14:textId="4819A857" w:rsidR="007717BB" w:rsidRPr="00582BC2" w:rsidRDefault="00F90F14" w:rsidP="00D01FAE">
            <w:pPr>
              <w:widowControl w:val="0"/>
              <w:ind w:right="68"/>
              <w:jc w:val="right"/>
              <w:rPr>
                <w:sz w:val="21"/>
                <w:szCs w:val="21"/>
                <w:lang w:val="fr-CA"/>
              </w:rPr>
            </w:pPr>
            <w:r w:rsidRPr="00582BC2">
              <w:rPr>
                <w:sz w:val="21"/>
                <w:szCs w:val="21"/>
                <w:lang w:val="fr-CA"/>
              </w:rPr>
              <w:t xml:space="preserve">30 </w:t>
            </w:r>
            <w:r w:rsidR="007717BB" w:rsidRPr="00582BC2">
              <w:rPr>
                <w:sz w:val="21"/>
                <w:szCs w:val="21"/>
                <w:lang w:val="fr-CA"/>
              </w:rPr>
              <w:t>000</w:t>
            </w:r>
          </w:p>
        </w:tc>
      </w:tr>
      <w:tr w:rsidR="007717BB" w:rsidRPr="00582BC2" w14:paraId="6024B4E4" w14:textId="77777777" w:rsidTr="00D01FAE">
        <w:tc>
          <w:tcPr>
            <w:tcW w:w="901" w:type="pct"/>
          </w:tcPr>
          <w:p w14:paraId="6B9857A6" w14:textId="4AAA0669" w:rsidR="007717BB" w:rsidRPr="00582BC2" w:rsidRDefault="00F90F14" w:rsidP="007717BB">
            <w:pPr>
              <w:widowControl w:val="0"/>
              <w:rPr>
                <w:sz w:val="21"/>
                <w:szCs w:val="21"/>
                <w:lang w:val="fr-CA"/>
              </w:rPr>
            </w:pPr>
            <w:r w:rsidRPr="00582BC2">
              <w:rPr>
                <w:sz w:val="21"/>
                <w:szCs w:val="21"/>
                <w:lang w:val="fr-CA"/>
              </w:rPr>
              <w:t>Brésil</w:t>
            </w:r>
          </w:p>
        </w:tc>
        <w:tc>
          <w:tcPr>
            <w:tcW w:w="1177" w:type="pct"/>
          </w:tcPr>
          <w:p w14:paraId="4E675AD6" w14:textId="3CC455AD" w:rsidR="007717BB" w:rsidRPr="00582BC2" w:rsidRDefault="00F90F14" w:rsidP="007717BB">
            <w:pPr>
              <w:widowControl w:val="0"/>
              <w:jc w:val="left"/>
              <w:rPr>
                <w:sz w:val="21"/>
                <w:szCs w:val="21"/>
                <w:lang w:val="fr-CA"/>
              </w:rPr>
            </w:pPr>
            <w:r w:rsidRPr="00582BC2">
              <w:rPr>
                <w:sz w:val="21"/>
                <w:szCs w:val="21"/>
                <w:lang w:val="fr-CA"/>
              </w:rPr>
              <w:t>Amérique latine</w:t>
            </w:r>
          </w:p>
        </w:tc>
        <w:tc>
          <w:tcPr>
            <w:tcW w:w="1174" w:type="pct"/>
          </w:tcPr>
          <w:p w14:paraId="6E14B45B" w14:textId="7176C97E" w:rsidR="007717BB" w:rsidRPr="00582BC2" w:rsidRDefault="00F90F14" w:rsidP="007717BB">
            <w:pPr>
              <w:widowControl w:val="0"/>
              <w:jc w:val="left"/>
              <w:rPr>
                <w:sz w:val="21"/>
                <w:szCs w:val="21"/>
                <w:lang w:val="fr-CA"/>
              </w:rPr>
            </w:pPr>
            <w:r w:rsidRPr="00582BC2">
              <w:rPr>
                <w:sz w:val="21"/>
                <w:szCs w:val="21"/>
                <w:lang w:val="fr-CA"/>
              </w:rPr>
              <w:t>PNUD</w:t>
            </w:r>
          </w:p>
        </w:tc>
        <w:tc>
          <w:tcPr>
            <w:tcW w:w="846" w:type="pct"/>
            <w:vAlign w:val="center"/>
          </w:tcPr>
          <w:p w14:paraId="2B58077D" w14:textId="77777777" w:rsidR="007717BB" w:rsidRPr="00582BC2" w:rsidRDefault="007717BB" w:rsidP="00D01FAE">
            <w:pPr>
              <w:widowControl w:val="0"/>
              <w:jc w:val="center"/>
              <w:rPr>
                <w:sz w:val="21"/>
                <w:szCs w:val="21"/>
                <w:lang w:val="fr-CA"/>
              </w:rPr>
            </w:pPr>
            <w:r w:rsidRPr="00582BC2">
              <w:rPr>
                <w:sz w:val="21"/>
                <w:szCs w:val="21"/>
                <w:lang w:val="fr-CA"/>
              </w:rPr>
              <w:t>57</w:t>
            </w:r>
          </w:p>
        </w:tc>
        <w:tc>
          <w:tcPr>
            <w:tcW w:w="901" w:type="pct"/>
          </w:tcPr>
          <w:p w14:paraId="6B2406C5" w14:textId="31DFB504" w:rsidR="007717BB" w:rsidRPr="00582BC2" w:rsidRDefault="00F90F14" w:rsidP="00D01FAE">
            <w:pPr>
              <w:widowControl w:val="0"/>
              <w:ind w:right="68"/>
              <w:jc w:val="right"/>
              <w:rPr>
                <w:sz w:val="21"/>
                <w:szCs w:val="21"/>
                <w:lang w:val="fr-CA"/>
              </w:rPr>
            </w:pPr>
            <w:r w:rsidRPr="00582BC2">
              <w:rPr>
                <w:sz w:val="21"/>
                <w:szCs w:val="21"/>
                <w:lang w:val="fr-CA"/>
              </w:rPr>
              <w:t xml:space="preserve">40 </w:t>
            </w:r>
            <w:r w:rsidR="007717BB" w:rsidRPr="00582BC2">
              <w:rPr>
                <w:sz w:val="21"/>
                <w:szCs w:val="21"/>
                <w:lang w:val="fr-CA"/>
              </w:rPr>
              <w:t>000</w:t>
            </w:r>
          </w:p>
        </w:tc>
      </w:tr>
      <w:tr w:rsidR="007717BB" w:rsidRPr="00582BC2" w14:paraId="106E0F06" w14:textId="77777777" w:rsidTr="00D01FAE">
        <w:tc>
          <w:tcPr>
            <w:tcW w:w="901" w:type="pct"/>
          </w:tcPr>
          <w:p w14:paraId="7B3C7C72" w14:textId="0A7F3C26" w:rsidR="007717BB" w:rsidRPr="00582BC2" w:rsidRDefault="00F90F14" w:rsidP="007717BB">
            <w:pPr>
              <w:widowControl w:val="0"/>
              <w:rPr>
                <w:sz w:val="21"/>
                <w:szCs w:val="21"/>
                <w:lang w:val="fr-CA"/>
              </w:rPr>
            </w:pPr>
            <w:r w:rsidRPr="00582BC2">
              <w:rPr>
                <w:sz w:val="21"/>
                <w:szCs w:val="21"/>
                <w:lang w:val="fr-CA"/>
              </w:rPr>
              <w:t>Colombie</w:t>
            </w:r>
          </w:p>
        </w:tc>
        <w:tc>
          <w:tcPr>
            <w:tcW w:w="1177" w:type="pct"/>
          </w:tcPr>
          <w:p w14:paraId="5A7F17A6" w14:textId="2691EFBF" w:rsidR="007717BB" w:rsidRPr="00582BC2" w:rsidRDefault="00F90F14" w:rsidP="007717BB">
            <w:pPr>
              <w:widowControl w:val="0"/>
              <w:jc w:val="left"/>
              <w:rPr>
                <w:sz w:val="21"/>
                <w:szCs w:val="21"/>
                <w:lang w:val="fr-CA"/>
              </w:rPr>
            </w:pPr>
            <w:r w:rsidRPr="00582BC2">
              <w:rPr>
                <w:sz w:val="21"/>
                <w:szCs w:val="21"/>
                <w:lang w:val="fr-CA"/>
              </w:rPr>
              <w:t>Amérique latine</w:t>
            </w:r>
          </w:p>
        </w:tc>
        <w:tc>
          <w:tcPr>
            <w:tcW w:w="1174" w:type="pct"/>
          </w:tcPr>
          <w:p w14:paraId="58BB2D6B" w14:textId="6C410B54" w:rsidR="007717BB" w:rsidRPr="00582BC2" w:rsidRDefault="00F90F14" w:rsidP="007717BB">
            <w:pPr>
              <w:widowControl w:val="0"/>
              <w:jc w:val="left"/>
              <w:rPr>
                <w:sz w:val="21"/>
                <w:szCs w:val="21"/>
                <w:lang w:val="fr-CA"/>
              </w:rPr>
            </w:pPr>
            <w:r w:rsidRPr="00582BC2">
              <w:rPr>
                <w:sz w:val="21"/>
                <w:szCs w:val="21"/>
                <w:lang w:val="fr-CA"/>
              </w:rPr>
              <w:t>PNUD</w:t>
            </w:r>
          </w:p>
        </w:tc>
        <w:tc>
          <w:tcPr>
            <w:tcW w:w="846" w:type="pct"/>
            <w:vAlign w:val="center"/>
          </w:tcPr>
          <w:p w14:paraId="1FCA5437" w14:textId="77777777" w:rsidR="007717BB" w:rsidRPr="00582BC2" w:rsidRDefault="007717BB" w:rsidP="00D01FAE">
            <w:pPr>
              <w:widowControl w:val="0"/>
              <w:jc w:val="center"/>
              <w:rPr>
                <w:sz w:val="21"/>
                <w:szCs w:val="21"/>
                <w:lang w:val="fr-CA"/>
              </w:rPr>
            </w:pPr>
            <w:r w:rsidRPr="00582BC2">
              <w:rPr>
                <w:sz w:val="21"/>
                <w:szCs w:val="21"/>
                <w:lang w:val="fr-CA"/>
              </w:rPr>
              <w:t>59</w:t>
            </w:r>
          </w:p>
        </w:tc>
        <w:tc>
          <w:tcPr>
            <w:tcW w:w="901" w:type="pct"/>
          </w:tcPr>
          <w:p w14:paraId="300D7C80" w14:textId="49393F97" w:rsidR="007717BB" w:rsidRPr="00582BC2" w:rsidRDefault="00F90F14" w:rsidP="00D01FAE">
            <w:pPr>
              <w:widowControl w:val="0"/>
              <w:ind w:right="68"/>
              <w:jc w:val="right"/>
              <w:rPr>
                <w:sz w:val="21"/>
                <w:szCs w:val="21"/>
                <w:lang w:val="fr-CA"/>
              </w:rPr>
            </w:pPr>
            <w:r w:rsidRPr="00582BC2">
              <w:rPr>
                <w:sz w:val="21"/>
                <w:szCs w:val="21"/>
                <w:lang w:val="fr-CA"/>
              </w:rPr>
              <w:t xml:space="preserve">40 </w:t>
            </w:r>
            <w:r w:rsidR="007717BB" w:rsidRPr="00582BC2">
              <w:rPr>
                <w:sz w:val="21"/>
                <w:szCs w:val="21"/>
                <w:lang w:val="fr-CA"/>
              </w:rPr>
              <w:t>000</w:t>
            </w:r>
          </w:p>
        </w:tc>
      </w:tr>
      <w:tr w:rsidR="007717BB" w:rsidRPr="00582BC2" w14:paraId="798B69C6" w14:textId="77777777" w:rsidTr="00D01FAE">
        <w:tc>
          <w:tcPr>
            <w:tcW w:w="901" w:type="pct"/>
          </w:tcPr>
          <w:p w14:paraId="69430875" w14:textId="21259214" w:rsidR="007717BB" w:rsidRPr="00582BC2" w:rsidRDefault="00F90F14" w:rsidP="007717BB">
            <w:pPr>
              <w:widowControl w:val="0"/>
              <w:rPr>
                <w:sz w:val="21"/>
                <w:szCs w:val="21"/>
                <w:lang w:val="fr-CA"/>
              </w:rPr>
            </w:pPr>
            <w:r w:rsidRPr="00582BC2">
              <w:rPr>
                <w:sz w:val="21"/>
                <w:szCs w:val="21"/>
                <w:lang w:val="fr-CA"/>
              </w:rPr>
              <w:t>Chine</w:t>
            </w:r>
          </w:p>
        </w:tc>
        <w:tc>
          <w:tcPr>
            <w:tcW w:w="1177" w:type="pct"/>
          </w:tcPr>
          <w:p w14:paraId="4BA861F2" w14:textId="0B93FF60" w:rsidR="007717BB" w:rsidRPr="00582BC2" w:rsidRDefault="00F90F14" w:rsidP="007717BB">
            <w:pPr>
              <w:widowControl w:val="0"/>
              <w:jc w:val="left"/>
              <w:rPr>
                <w:sz w:val="21"/>
                <w:szCs w:val="21"/>
                <w:lang w:val="fr-CA"/>
              </w:rPr>
            </w:pPr>
            <w:r w:rsidRPr="00582BC2">
              <w:rPr>
                <w:sz w:val="21"/>
                <w:szCs w:val="21"/>
                <w:lang w:val="fr-CA"/>
              </w:rPr>
              <w:t>Asie du Sud</w:t>
            </w:r>
          </w:p>
        </w:tc>
        <w:tc>
          <w:tcPr>
            <w:tcW w:w="1174" w:type="pct"/>
          </w:tcPr>
          <w:p w14:paraId="15C25AE8" w14:textId="06061BE2" w:rsidR="007717BB" w:rsidRPr="00582BC2" w:rsidRDefault="00F90F14" w:rsidP="007717BB">
            <w:pPr>
              <w:widowControl w:val="0"/>
              <w:jc w:val="left"/>
              <w:rPr>
                <w:sz w:val="21"/>
                <w:szCs w:val="21"/>
                <w:lang w:val="fr-CA"/>
              </w:rPr>
            </w:pPr>
            <w:r w:rsidRPr="00582BC2">
              <w:rPr>
                <w:sz w:val="21"/>
                <w:szCs w:val="21"/>
                <w:lang w:val="fr-CA"/>
              </w:rPr>
              <w:t>ONUDI</w:t>
            </w:r>
          </w:p>
        </w:tc>
        <w:tc>
          <w:tcPr>
            <w:tcW w:w="846" w:type="pct"/>
            <w:vAlign w:val="center"/>
          </w:tcPr>
          <w:p w14:paraId="5C262F86" w14:textId="77777777" w:rsidR="007717BB" w:rsidRPr="00582BC2" w:rsidRDefault="007717BB" w:rsidP="00D01FAE">
            <w:pPr>
              <w:widowControl w:val="0"/>
              <w:jc w:val="center"/>
              <w:rPr>
                <w:sz w:val="21"/>
                <w:szCs w:val="21"/>
                <w:lang w:val="fr-CA"/>
              </w:rPr>
            </w:pPr>
            <w:r w:rsidRPr="00582BC2">
              <w:rPr>
                <w:sz w:val="21"/>
                <w:szCs w:val="21"/>
                <w:lang w:val="fr-CA"/>
              </w:rPr>
              <w:t>59</w:t>
            </w:r>
          </w:p>
        </w:tc>
        <w:tc>
          <w:tcPr>
            <w:tcW w:w="901" w:type="pct"/>
          </w:tcPr>
          <w:p w14:paraId="3FFA1F31" w14:textId="00932533" w:rsidR="007717BB" w:rsidRPr="00582BC2" w:rsidRDefault="00F90F14" w:rsidP="00D01FAE">
            <w:pPr>
              <w:widowControl w:val="0"/>
              <w:ind w:right="68"/>
              <w:jc w:val="right"/>
              <w:rPr>
                <w:sz w:val="21"/>
                <w:szCs w:val="21"/>
                <w:lang w:val="fr-CA"/>
              </w:rPr>
            </w:pPr>
            <w:r w:rsidRPr="00582BC2">
              <w:rPr>
                <w:sz w:val="21"/>
                <w:szCs w:val="21"/>
                <w:lang w:val="fr-CA"/>
              </w:rPr>
              <w:t xml:space="preserve">85 </w:t>
            </w:r>
            <w:r w:rsidR="007717BB" w:rsidRPr="00582BC2">
              <w:rPr>
                <w:sz w:val="21"/>
                <w:szCs w:val="21"/>
                <w:lang w:val="fr-CA"/>
              </w:rPr>
              <w:t>000</w:t>
            </w:r>
          </w:p>
        </w:tc>
      </w:tr>
      <w:tr w:rsidR="007717BB" w:rsidRPr="00582BC2" w14:paraId="63DD6753" w14:textId="77777777" w:rsidTr="00D01FAE">
        <w:tc>
          <w:tcPr>
            <w:tcW w:w="901" w:type="pct"/>
          </w:tcPr>
          <w:p w14:paraId="7465BC00" w14:textId="77777777" w:rsidR="007717BB" w:rsidRPr="00582BC2" w:rsidRDefault="007717BB" w:rsidP="007717BB">
            <w:pPr>
              <w:widowControl w:val="0"/>
              <w:rPr>
                <w:sz w:val="21"/>
                <w:szCs w:val="21"/>
                <w:lang w:val="fr-CA"/>
              </w:rPr>
            </w:pPr>
            <w:r w:rsidRPr="00582BC2">
              <w:rPr>
                <w:sz w:val="21"/>
                <w:szCs w:val="21"/>
                <w:lang w:val="fr-CA"/>
              </w:rPr>
              <w:t>Cuba</w:t>
            </w:r>
          </w:p>
        </w:tc>
        <w:tc>
          <w:tcPr>
            <w:tcW w:w="1177" w:type="pct"/>
          </w:tcPr>
          <w:p w14:paraId="7DEA3B91" w14:textId="0B4C7A4C" w:rsidR="007717BB" w:rsidRPr="00582BC2" w:rsidRDefault="00B813B4" w:rsidP="007717BB">
            <w:pPr>
              <w:widowControl w:val="0"/>
              <w:jc w:val="left"/>
              <w:rPr>
                <w:sz w:val="21"/>
                <w:szCs w:val="21"/>
                <w:lang w:val="fr-CA"/>
              </w:rPr>
            </w:pPr>
            <w:r w:rsidRPr="00582BC2">
              <w:rPr>
                <w:sz w:val="21"/>
                <w:szCs w:val="21"/>
                <w:lang w:val="fr-CA"/>
              </w:rPr>
              <w:t>Caraïbes</w:t>
            </w:r>
          </w:p>
        </w:tc>
        <w:tc>
          <w:tcPr>
            <w:tcW w:w="1174" w:type="pct"/>
          </w:tcPr>
          <w:p w14:paraId="1DFC155A" w14:textId="78E88596" w:rsidR="007717BB" w:rsidRPr="00582BC2" w:rsidRDefault="00F90F14" w:rsidP="007717BB">
            <w:pPr>
              <w:widowControl w:val="0"/>
              <w:jc w:val="left"/>
              <w:rPr>
                <w:sz w:val="21"/>
                <w:szCs w:val="21"/>
                <w:lang w:val="fr-CA"/>
              </w:rPr>
            </w:pPr>
            <w:r w:rsidRPr="00582BC2">
              <w:rPr>
                <w:sz w:val="21"/>
                <w:szCs w:val="21"/>
                <w:lang w:val="fr-CA"/>
              </w:rPr>
              <w:t>PNUD</w:t>
            </w:r>
          </w:p>
        </w:tc>
        <w:tc>
          <w:tcPr>
            <w:tcW w:w="846" w:type="pct"/>
            <w:vAlign w:val="center"/>
          </w:tcPr>
          <w:p w14:paraId="6ACBD1EB" w14:textId="77777777" w:rsidR="007717BB" w:rsidRPr="00582BC2" w:rsidRDefault="007717BB" w:rsidP="00D01FAE">
            <w:pPr>
              <w:widowControl w:val="0"/>
              <w:jc w:val="center"/>
              <w:rPr>
                <w:sz w:val="21"/>
                <w:szCs w:val="21"/>
                <w:lang w:val="fr-CA"/>
              </w:rPr>
            </w:pPr>
            <w:r w:rsidRPr="00582BC2">
              <w:rPr>
                <w:sz w:val="21"/>
                <w:szCs w:val="21"/>
                <w:lang w:val="fr-CA"/>
              </w:rPr>
              <w:t>59</w:t>
            </w:r>
          </w:p>
        </w:tc>
        <w:tc>
          <w:tcPr>
            <w:tcW w:w="901" w:type="pct"/>
          </w:tcPr>
          <w:p w14:paraId="2841155D" w14:textId="2537D59C" w:rsidR="007717BB" w:rsidRPr="00582BC2" w:rsidRDefault="00F90F14" w:rsidP="00D01FAE">
            <w:pPr>
              <w:widowControl w:val="0"/>
              <w:ind w:right="68"/>
              <w:jc w:val="right"/>
              <w:rPr>
                <w:sz w:val="21"/>
                <w:szCs w:val="21"/>
                <w:lang w:val="fr-CA"/>
              </w:rPr>
            </w:pPr>
            <w:r w:rsidRPr="00582BC2">
              <w:rPr>
                <w:sz w:val="21"/>
                <w:szCs w:val="21"/>
                <w:lang w:val="fr-CA"/>
              </w:rPr>
              <w:t xml:space="preserve">40 </w:t>
            </w:r>
            <w:r w:rsidR="007717BB" w:rsidRPr="00582BC2">
              <w:rPr>
                <w:sz w:val="21"/>
                <w:szCs w:val="21"/>
                <w:lang w:val="fr-CA"/>
              </w:rPr>
              <w:t>000</w:t>
            </w:r>
          </w:p>
        </w:tc>
      </w:tr>
      <w:tr w:rsidR="007717BB" w:rsidRPr="00582BC2" w14:paraId="10A36B14" w14:textId="77777777" w:rsidTr="00D01FAE">
        <w:tc>
          <w:tcPr>
            <w:tcW w:w="901" w:type="pct"/>
            <w:vMerge w:val="restart"/>
          </w:tcPr>
          <w:p w14:paraId="3FD1D37D" w14:textId="2D66951C" w:rsidR="007717BB" w:rsidRPr="00582BC2" w:rsidRDefault="00B813B4" w:rsidP="007717BB">
            <w:pPr>
              <w:widowControl w:val="0"/>
              <w:rPr>
                <w:sz w:val="21"/>
                <w:szCs w:val="21"/>
                <w:lang w:val="fr-CA"/>
              </w:rPr>
            </w:pPr>
            <w:r w:rsidRPr="00582BC2">
              <w:rPr>
                <w:sz w:val="21"/>
                <w:szCs w:val="21"/>
                <w:lang w:val="fr-CA"/>
              </w:rPr>
              <w:t>Région : Europe</w:t>
            </w:r>
          </w:p>
        </w:tc>
        <w:tc>
          <w:tcPr>
            <w:tcW w:w="1177" w:type="pct"/>
            <w:vMerge w:val="restart"/>
          </w:tcPr>
          <w:p w14:paraId="6FAB314F" w14:textId="77777777" w:rsidR="007717BB" w:rsidRPr="00582BC2" w:rsidRDefault="007717BB" w:rsidP="007717BB">
            <w:pPr>
              <w:widowControl w:val="0"/>
              <w:rPr>
                <w:sz w:val="21"/>
                <w:szCs w:val="21"/>
                <w:lang w:val="fr-CA"/>
              </w:rPr>
            </w:pPr>
            <w:r w:rsidRPr="00582BC2">
              <w:rPr>
                <w:sz w:val="21"/>
                <w:szCs w:val="21"/>
                <w:lang w:val="fr-CA"/>
              </w:rPr>
              <w:t>Europe</w:t>
            </w:r>
          </w:p>
        </w:tc>
        <w:tc>
          <w:tcPr>
            <w:tcW w:w="1174" w:type="pct"/>
          </w:tcPr>
          <w:p w14:paraId="158F87CE" w14:textId="7F633230" w:rsidR="007717BB" w:rsidRPr="00582BC2" w:rsidRDefault="00B813B4" w:rsidP="007717BB">
            <w:pPr>
              <w:widowControl w:val="0"/>
              <w:rPr>
                <w:sz w:val="21"/>
                <w:szCs w:val="21"/>
                <w:lang w:val="fr-CA"/>
              </w:rPr>
            </w:pPr>
            <w:r w:rsidRPr="00582BC2">
              <w:rPr>
                <w:sz w:val="21"/>
                <w:szCs w:val="21"/>
                <w:lang w:val="fr-CA"/>
              </w:rPr>
              <w:t>République tchèque</w:t>
            </w:r>
          </w:p>
        </w:tc>
        <w:tc>
          <w:tcPr>
            <w:tcW w:w="846" w:type="pct"/>
            <w:vAlign w:val="center"/>
          </w:tcPr>
          <w:p w14:paraId="3E59B716" w14:textId="77777777" w:rsidR="007717BB" w:rsidRPr="00582BC2" w:rsidRDefault="007717BB" w:rsidP="00D01FAE">
            <w:pPr>
              <w:widowControl w:val="0"/>
              <w:jc w:val="center"/>
              <w:rPr>
                <w:sz w:val="21"/>
                <w:szCs w:val="21"/>
                <w:lang w:val="fr-CA"/>
              </w:rPr>
            </w:pPr>
            <w:r w:rsidRPr="00582BC2">
              <w:rPr>
                <w:sz w:val="21"/>
                <w:szCs w:val="21"/>
                <w:lang w:val="fr-CA"/>
              </w:rPr>
              <w:t>65</w:t>
            </w:r>
          </w:p>
        </w:tc>
        <w:tc>
          <w:tcPr>
            <w:tcW w:w="901" w:type="pct"/>
          </w:tcPr>
          <w:p w14:paraId="12D1AB40" w14:textId="3240A63E" w:rsidR="007717BB" w:rsidRPr="00582BC2" w:rsidRDefault="00F90F14" w:rsidP="00D01FAE">
            <w:pPr>
              <w:widowControl w:val="0"/>
              <w:ind w:right="68"/>
              <w:jc w:val="right"/>
              <w:rPr>
                <w:sz w:val="21"/>
                <w:szCs w:val="21"/>
                <w:lang w:val="fr-CA"/>
              </w:rPr>
            </w:pPr>
            <w:r w:rsidRPr="00582BC2">
              <w:rPr>
                <w:sz w:val="21"/>
                <w:szCs w:val="21"/>
                <w:lang w:val="fr-CA"/>
              </w:rPr>
              <w:t xml:space="preserve">35 </w:t>
            </w:r>
            <w:r w:rsidR="007717BB" w:rsidRPr="00582BC2">
              <w:rPr>
                <w:sz w:val="21"/>
                <w:szCs w:val="21"/>
                <w:lang w:val="fr-CA"/>
              </w:rPr>
              <w:t>000</w:t>
            </w:r>
          </w:p>
        </w:tc>
      </w:tr>
      <w:tr w:rsidR="007717BB" w:rsidRPr="00582BC2" w14:paraId="5EC9DE22" w14:textId="77777777" w:rsidTr="00D01FAE">
        <w:tc>
          <w:tcPr>
            <w:tcW w:w="901" w:type="pct"/>
            <w:vMerge/>
          </w:tcPr>
          <w:p w14:paraId="684F93EA" w14:textId="77777777" w:rsidR="007717BB" w:rsidRPr="00582BC2" w:rsidRDefault="007717BB" w:rsidP="007717BB">
            <w:pPr>
              <w:widowControl w:val="0"/>
              <w:rPr>
                <w:sz w:val="21"/>
                <w:szCs w:val="21"/>
                <w:lang w:val="fr-CA"/>
              </w:rPr>
            </w:pPr>
          </w:p>
        </w:tc>
        <w:tc>
          <w:tcPr>
            <w:tcW w:w="1177" w:type="pct"/>
            <w:vMerge/>
          </w:tcPr>
          <w:p w14:paraId="4FEA53F2" w14:textId="77777777" w:rsidR="007717BB" w:rsidRPr="00582BC2" w:rsidRDefault="007717BB" w:rsidP="007717BB">
            <w:pPr>
              <w:widowControl w:val="0"/>
              <w:rPr>
                <w:sz w:val="21"/>
                <w:szCs w:val="21"/>
                <w:lang w:val="fr-CA"/>
              </w:rPr>
            </w:pPr>
          </w:p>
        </w:tc>
        <w:tc>
          <w:tcPr>
            <w:tcW w:w="1174" w:type="pct"/>
          </w:tcPr>
          <w:p w14:paraId="6BA33FE1" w14:textId="4927FE97" w:rsidR="007717BB" w:rsidRPr="00582BC2" w:rsidRDefault="00F90F14" w:rsidP="007717BB">
            <w:pPr>
              <w:widowControl w:val="0"/>
              <w:rPr>
                <w:sz w:val="21"/>
                <w:szCs w:val="21"/>
                <w:lang w:val="fr-CA"/>
              </w:rPr>
            </w:pPr>
            <w:r w:rsidRPr="00582BC2">
              <w:rPr>
                <w:sz w:val="21"/>
                <w:szCs w:val="21"/>
                <w:lang w:val="fr-CA"/>
              </w:rPr>
              <w:t>ONUDI</w:t>
            </w:r>
          </w:p>
        </w:tc>
        <w:tc>
          <w:tcPr>
            <w:tcW w:w="846" w:type="pct"/>
            <w:vAlign w:val="center"/>
          </w:tcPr>
          <w:p w14:paraId="70D69A30" w14:textId="77777777" w:rsidR="007717BB" w:rsidRPr="00582BC2" w:rsidRDefault="007717BB" w:rsidP="00D01FAE">
            <w:pPr>
              <w:widowControl w:val="0"/>
              <w:jc w:val="center"/>
              <w:rPr>
                <w:sz w:val="21"/>
                <w:szCs w:val="21"/>
                <w:lang w:val="fr-CA"/>
              </w:rPr>
            </w:pPr>
            <w:r w:rsidRPr="00582BC2">
              <w:rPr>
                <w:sz w:val="21"/>
                <w:szCs w:val="21"/>
                <w:lang w:val="fr-CA"/>
              </w:rPr>
              <w:t>65</w:t>
            </w:r>
          </w:p>
        </w:tc>
        <w:tc>
          <w:tcPr>
            <w:tcW w:w="901" w:type="pct"/>
          </w:tcPr>
          <w:p w14:paraId="73E62297" w14:textId="4549C5E5" w:rsidR="007717BB" w:rsidRPr="00582BC2" w:rsidRDefault="00F90F14" w:rsidP="00D01FAE">
            <w:pPr>
              <w:widowControl w:val="0"/>
              <w:ind w:right="68"/>
              <w:jc w:val="right"/>
              <w:rPr>
                <w:sz w:val="21"/>
                <w:szCs w:val="21"/>
                <w:lang w:val="fr-CA"/>
              </w:rPr>
            </w:pPr>
            <w:r w:rsidRPr="00582BC2">
              <w:rPr>
                <w:sz w:val="21"/>
                <w:szCs w:val="21"/>
                <w:lang w:val="fr-CA"/>
              </w:rPr>
              <w:t xml:space="preserve">35 </w:t>
            </w:r>
            <w:r w:rsidR="007717BB" w:rsidRPr="00582BC2">
              <w:rPr>
                <w:sz w:val="21"/>
                <w:szCs w:val="21"/>
                <w:lang w:val="fr-CA"/>
              </w:rPr>
              <w:t>000</w:t>
            </w:r>
          </w:p>
        </w:tc>
      </w:tr>
      <w:tr w:rsidR="007717BB" w:rsidRPr="00582BC2" w14:paraId="07858D46" w14:textId="77777777" w:rsidTr="00D01FAE">
        <w:tc>
          <w:tcPr>
            <w:tcW w:w="901" w:type="pct"/>
          </w:tcPr>
          <w:p w14:paraId="015BB21F" w14:textId="2FDD3FB7" w:rsidR="007717BB" w:rsidRPr="00582BC2" w:rsidRDefault="00B813B4" w:rsidP="007717BB">
            <w:pPr>
              <w:widowControl w:val="0"/>
              <w:rPr>
                <w:sz w:val="21"/>
                <w:szCs w:val="21"/>
                <w:lang w:val="fr-CA"/>
              </w:rPr>
            </w:pPr>
            <w:r w:rsidRPr="00582BC2">
              <w:rPr>
                <w:sz w:val="21"/>
                <w:szCs w:val="21"/>
                <w:lang w:val="fr-CA"/>
              </w:rPr>
              <w:t>Géorgie</w:t>
            </w:r>
          </w:p>
        </w:tc>
        <w:tc>
          <w:tcPr>
            <w:tcW w:w="1177" w:type="pct"/>
          </w:tcPr>
          <w:p w14:paraId="35CCF4BA" w14:textId="77777777" w:rsidR="007717BB" w:rsidRPr="00582BC2" w:rsidRDefault="007717BB" w:rsidP="007717BB">
            <w:pPr>
              <w:widowControl w:val="0"/>
              <w:jc w:val="left"/>
              <w:rPr>
                <w:sz w:val="21"/>
                <w:szCs w:val="21"/>
                <w:lang w:val="fr-CA"/>
              </w:rPr>
            </w:pPr>
            <w:r w:rsidRPr="00582BC2">
              <w:rPr>
                <w:sz w:val="21"/>
                <w:szCs w:val="21"/>
                <w:lang w:val="fr-CA"/>
              </w:rPr>
              <w:t>Europe</w:t>
            </w:r>
          </w:p>
        </w:tc>
        <w:tc>
          <w:tcPr>
            <w:tcW w:w="1174" w:type="pct"/>
          </w:tcPr>
          <w:p w14:paraId="12D55685" w14:textId="0FE2523D" w:rsidR="007717BB" w:rsidRPr="00582BC2" w:rsidRDefault="00F90F14" w:rsidP="007717BB">
            <w:pPr>
              <w:widowControl w:val="0"/>
              <w:jc w:val="left"/>
              <w:rPr>
                <w:sz w:val="21"/>
                <w:szCs w:val="21"/>
                <w:lang w:val="fr-CA"/>
              </w:rPr>
            </w:pPr>
            <w:r w:rsidRPr="00582BC2">
              <w:rPr>
                <w:sz w:val="21"/>
                <w:szCs w:val="21"/>
                <w:lang w:val="fr-CA"/>
              </w:rPr>
              <w:t>PNUD</w:t>
            </w:r>
          </w:p>
        </w:tc>
        <w:tc>
          <w:tcPr>
            <w:tcW w:w="846" w:type="pct"/>
            <w:vAlign w:val="center"/>
          </w:tcPr>
          <w:p w14:paraId="1D64EE2E" w14:textId="77777777" w:rsidR="007717BB" w:rsidRPr="00582BC2" w:rsidRDefault="007717BB" w:rsidP="00D01FAE">
            <w:pPr>
              <w:widowControl w:val="0"/>
              <w:jc w:val="center"/>
              <w:rPr>
                <w:sz w:val="21"/>
                <w:szCs w:val="21"/>
                <w:lang w:val="fr-CA"/>
              </w:rPr>
            </w:pPr>
            <w:r w:rsidRPr="00582BC2">
              <w:rPr>
                <w:sz w:val="21"/>
                <w:szCs w:val="21"/>
                <w:lang w:val="fr-CA"/>
              </w:rPr>
              <w:t>65</w:t>
            </w:r>
          </w:p>
        </w:tc>
        <w:tc>
          <w:tcPr>
            <w:tcW w:w="901" w:type="pct"/>
          </w:tcPr>
          <w:p w14:paraId="44122796" w14:textId="56117801" w:rsidR="007717BB" w:rsidRPr="00582BC2" w:rsidRDefault="00F90F14" w:rsidP="00D01FAE">
            <w:pPr>
              <w:widowControl w:val="0"/>
              <w:ind w:right="68"/>
              <w:jc w:val="right"/>
              <w:rPr>
                <w:sz w:val="21"/>
                <w:szCs w:val="21"/>
                <w:lang w:val="fr-CA"/>
              </w:rPr>
            </w:pPr>
            <w:r w:rsidRPr="00582BC2">
              <w:rPr>
                <w:sz w:val="21"/>
                <w:szCs w:val="21"/>
                <w:lang w:val="fr-CA"/>
              </w:rPr>
              <w:t xml:space="preserve">30 </w:t>
            </w:r>
            <w:r w:rsidR="007717BB" w:rsidRPr="00582BC2">
              <w:rPr>
                <w:sz w:val="21"/>
                <w:szCs w:val="21"/>
                <w:lang w:val="fr-CA"/>
              </w:rPr>
              <w:t>000</w:t>
            </w:r>
          </w:p>
        </w:tc>
      </w:tr>
      <w:tr w:rsidR="007717BB" w:rsidRPr="00582BC2" w14:paraId="2F8E2447" w14:textId="77777777" w:rsidTr="00D01FAE">
        <w:tc>
          <w:tcPr>
            <w:tcW w:w="901" w:type="pct"/>
          </w:tcPr>
          <w:p w14:paraId="2989597F" w14:textId="77777777" w:rsidR="007717BB" w:rsidRPr="00582BC2" w:rsidRDefault="007717BB" w:rsidP="007717BB">
            <w:pPr>
              <w:widowControl w:val="0"/>
              <w:rPr>
                <w:sz w:val="21"/>
                <w:szCs w:val="21"/>
                <w:lang w:val="fr-CA"/>
              </w:rPr>
            </w:pPr>
            <w:r w:rsidRPr="00582BC2">
              <w:rPr>
                <w:sz w:val="21"/>
                <w:szCs w:val="21"/>
                <w:lang w:val="fr-CA"/>
              </w:rPr>
              <w:t>Ghana</w:t>
            </w:r>
          </w:p>
        </w:tc>
        <w:tc>
          <w:tcPr>
            <w:tcW w:w="1177" w:type="pct"/>
          </w:tcPr>
          <w:p w14:paraId="153B3747" w14:textId="0BAF5E62" w:rsidR="007717BB" w:rsidRPr="00582BC2" w:rsidRDefault="00B813B4" w:rsidP="007717BB">
            <w:pPr>
              <w:widowControl w:val="0"/>
              <w:jc w:val="left"/>
              <w:rPr>
                <w:sz w:val="21"/>
                <w:szCs w:val="21"/>
                <w:lang w:val="fr-CA"/>
              </w:rPr>
            </w:pPr>
            <w:r w:rsidRPr="00582BC2">
              <w:rPr>
                <w:sz w:val="21"/>
                <w:szCs w:val="21"/>
                <w:lang w:val="fr-CA"/>
              </w:rPr>
              <w:t>Afrique</w:t>
            </w:r>
          </w:p>
        </w:tc>
        <w:tc>
          <w:tcPr>
            <w:tcW w:w="1174" w:type="pct"/>
          </w:tcPr>
          <w:p w14:paraId="1BC465FA" w14:textId="6D435B7F" w:rsidR="007717BB" w:rsidRPr="00582BC2" w:rsidRDefault="00F90F14" w:rsidP="007717BB">
            <w:pPr>
              <w:widowControl w:val="0"/>
              <w:jc w:val="left"/>
              <w:rPr>
                <w:sz w:val="21"/>
                <w:szCs w:val="21"/>
                <w:lang w:val="fr-CA"/>
              </w:rPr>
            </w:pPr>
            <w:r w:rsidRPr="00582BC2">
              <w:rPr>
                <w:sz w:val="21"/>
                <w:szCs w:val="21"/>
                <w:lang w:val="fr-CA"/>
              </w:rPr>
              <w:t>PNUD</w:t>
            </w:r>
          </w:p>
        </w:tc>
        <w:tc>
          <w:tcPr>
            <w:tcW w:w="846" w:type="pct"/>
            <w:vAlign w:val="center"/>
          </w:tcPr>
          <w:p w14:paraId="5888F0B9" w14:textId="77777777" w:rsidR="007717BB" w:rsidRPr="00582BC2" w:rsidRDefault="007717BB" w:rsidP="00D01FAE">
            <w:pPr>
              <w:widowControl w:val="0"/>
              <w:jc w:val="center"/>
              <w:rPr>
                <w:sz w:val="21"/>
                <w:szCs w:val="21"/>
                <w:lang w:val="fr-CA"/>
              </w:rPr>
            </w:pPr>
            <w:r w:rsidRPr="00582BC2">
              <w:rPr>
                <w:sz w:val="21"/>
                <w:szCs w:val="21"/>
                <w:lang w:val="fr-CA"/>
              </w:rPr>
              <w:t>65</w:t>
            </w:r>
          </w:p>
        </w:tc>
        <w:tc>
          <w:tcPr>
            <w:tcW w:w="901" w:type="pct"/>
          </w:tcPr>
          <w:p w14:paraId="1887DF4C" w14:textId="616FAE48" w:rsidR="007717BB" w:rsidRPr="00582BC2" w:rsidRDefault="00F90F14" w:rsidP="00D01FAE">
            <w:pPr>
              <w:widowControl w:val="0"/>
              <w:ind w:right="68"/>
              <w:jc w:val="right"/>
              <w:rPr>
                <w:sz w:val="21"/>
                <w:szCs w:val="21"/>
                <w:lang w:val="fr-CA"/>
              </w:rPr>
            </w:pPr>
            <w:r w:rsidRPr="00582BC2">
              <w:rPr>
                <w:sz w:val="21"/>
                <w:szCs w:val="21"/>
                <w:lang w:val="fr-CA"/>
              </w:rPr>
              <w:t xml:space="preserve">30 </w:t>
            </w:r>
            <w:r w:rsidR="007717BB" w:rsidRPr="00582BC2">
              <w:rPr>
                <w:sz w:val="21"/>
                <w:szCs w:val="21"/>
                <w:lang w:val="fr-CA"/>
              </w:rPr>
              <w:t>000</w:t>
            </w:r>
          </w:p>
        </w:tc>
      </w:tr>
      <w:tr w:rsidR="007717BB" w:rsidRPr="00582BC2" w14:paraId="41A5D99B" w14:textId="77777777" w:rsidTr="00D01FAE">
        <w:tc>
          <w:tcPr>
            <w:tcW w:w="901" w:type="pct"/>
          </w:tcPr>
          <w:p w14:paraId="7B127E13" w14:textId="0771CB29" w:rsidR="007717BB" w:rsidRPr="00582BC2" w:rsidRDefault="00B813B4" w:rsidP="007717BB">
            <w:pPr>
              <w:widowControl w:val="0"/>
              <w:rPr>
                <w:sz w:val="21"/>
                <w:szCs w:val="21"/>
                <w:lang w:val="fr-CA"/>
              </w:rPr>
            </w:pPr>
            <w:r w:rsidRPr="00582BC2">
              <w:rPr>
                <w:sz w:val="21"/>
                <w:szCs w:val="21"/>
                <w:lang w:val="fr-CA"/>
              </w:rPr>
              <w:t>Indonésie</w:t>
            </w:r>
          </w:p>
        </w:tc>
        <w:tc>
          <w:tcPr>
            <w:tcW w:w="1177" w:type="pct"/>
          </w:tcPr>
          <w:p w14:paraId="0F7B8748" w14:textId="3B53AC51" w:rsidR="007717BB" w:rsidRPr="00582BC2" w:rsidRDefault="00B813B4" w:rsidP="007717BB">
            <w:pPr>
              <w:widowControl w:val="0"/>
              <w:jc w:val="left"/>
              <w:rPr>
                <w:sz w:val="21"/>
                <w:szCs w:val="21"/>
                <w:lang w:val="fr-CA"/>
              </w:rPr>
            </w:pPr>
            <w:r w:rsidRPr="00582BC2">
              <w:rPr>
                <w:sz w:val="21"/>
                <w:szCs w:val="21"/>
                <w:lang w:val="fr-CA"/>
              </w:rPr>
              <w:t>Asie du Sud-Est</w:t>
            </w:r>
          </w:p>
        </w:tc>
        <w:tc>
          <w:tcPr>
            <w:tcW w:w="1174" w:type="pct"/>
          </w:tcPr>
          <w:p w14:paraId="110189AF" w14:textId="2632F870" w:rsidR="007717BB" w:rsidRPr="00582BC2" w:rsidRDefault="00B813B4" w:rsidP="007717BB">
            <w:pPr>
              <w:widowControl w:val="0"/>
              <w:jc w:val="left"/>
              <w:rPr>
                <w:sz w:val="21"/>
                <w:szCs w:val="21"/>
                <w:lang w:val="fr-CA"/>
              </w:rPr>
            </w:pPr>
            <w:r w:rsidRPr="00582BC2">
              <w:rPr>
                <w:sz w:val="21"/>
                <w:szCs w:val="21"/>
                <w:lang w:val="fr-CA"/>
              </w:rPr>
              <w:t>Banque mondiale</w:t>
            </w:r>
          </w:p>
        </w:tc>
        <w:tc>
          <w:tcPr>
            <w:tcW w:w="846" w:type="pct"/>
            <w:vAlign w:val="center"/>
          </w:tcPr>
          <w:p w14:paraId="030BBEB8" w14:textId="77777777" w:rsidR="007717BB" w:rsidRPr="00582BC2" w:rsidRDefault="007717BB" w:rsidP="00D01FAE">
            <w:pPr>
              <w:widowControl w:val="0"/>
              <w:jc w:val="center"/>
              <w:rPr>
                <w:sz w:val="21"/>
                <w:szCs w:val="21"/>
                <w:lang w:val="fr-CA"/>
              </w:rPr>
            </w:pPr>
            <w:r w:rsidRPr="00582BC2">
              <w:rPr>
                <w:sz w:val="21"/>
                <w:szCs w:val="21"/>
                <w:lang w:val="fr-CA"/>
              </w:rPr>
              <w:t>64</w:t>
            </w:r>
          </w:p>
        </w:tc>
        <w:tc>
          <w:tcPr>
            <w:tcW w:w="901" w:type="pct"/>
          </w:tcPr>
          <w:p w14:paraId="74A03889" w14:textId="3C405060" w:rsidR="007717BB" w:rsidRPr="00582BC2" w:rsidRDefault="00F90F14" w:rsidP="00D01FAE">
            <w:pPr>
              <w:widowControl w:val="0"/>
              <w:ind w:right="68"/>
              <w:jc w:val="right"/>
              <w:rPr>
                <w:sz w:val="21"/>
                <w:szCs w:val="21"/>
                <w:lang w:val="fr-CA"/>
              </w:rPr>
            </w:pPr>
            <w:r w:rsidRPr="00582BC2">
              <w:rPr>
                <w:sz w:val="21"/>
                <w:szCs w:val="21"/>
                <w:lang w:val="fr-CA"/>
              </w:rPr>
              <w:t xml:space="preserve">50 </w:t>
            </w:r>
            <w:r w:rsidR="007717BB" w:rsidRPr="00582BC2">
              <w:rPr>
                <w:sz w:val="21"/>
                <w:szCs w:val="21"/>
                <w:lang w:val="fr-CA"/>
              </w:rPr>
              <w:t>000</w:t>
            </w:r>
          </w:p>
        </w:tc>
      </w:tr>
      <w:tr w:rsidR="007717BB" w:rsidRPr="00582BC2" w14:paraId="6081E99D" w14:textId="77777777" w:rsidTr="00D01FAE">
        <w:tc>
          <w:tcPr>
            <w:tcW w:w="901" w:type="pct"/>
          </w:tcPr>
          <w:p w14:paraId="1299E734" w14:textId="250A94AC" w:rsidR="007717BB" w:rsidRPr="00582BC2" w:rsidRDefault="00B813B4" w:rsidP="007717BB">
            <w:pPr>
              <w:widowControl w:val="0"/>
              <w:rPr>
                <w:sz w:val="21"/>
                <w:szCs w:val="21"/>
                <w:lang w:val="fr-CA"/>
              </w:rPr>
            </w:pPr>
            <w:r w:rsidRPr="00582BC2">
              <w:rPr>
                <w:sz w:val="21"/>
                <w:szCs w:val="21"/>
                <w:lang w:val="fr-CA"/>
              </w:rPr>
              <w:t>Inde</w:t>
            </w:r>
          </w:p>
        </w:tc>
        <w:tc>
          <w:tcPr>
            <w:tcW w:w="1177" w:type="pct"/>
          </w:tcPr>
          <w:p w14:paraId="35476BD7" w14:textId="0CD2C9F2" w:rsidR="007717BB" w:rsidRPr="00582BC2" w:rsidRDefault="00B813B4" w:rsidP="007717BB">
            <w:pPr>
              <w:widowControl w:val="0"/>
              <w:jc w:val="left"/>
              <w:rPr>
                <w:sz w:val="21"/>
                <w:szCs w:val="21"/>
                <w:lang w:val="fr-CA"/>
              </w:rPr>
            </w:pPr>
            <w:r w:rsidRPr="00582BC2">
              <w:rPr>
                <w:sz w:val="21"/>
                <w:szCs w:val="21"/>
                <w:lang w:val="fr-CA"/>
              </w:rPr>
              <w:t>Asie du Sud</w:t>
            </w:r>
          </w:p>
        </w:tc>
        <w:tc>
          <w:tcPr>
            <w:tcW w:w="1174" w:type="pct"/>
          </w:tcPr>
          <w:p w14:paraId="1000E88E" w14:textId="1E158C57" w:rsidR="007717BB" w:rsidRPr="00582BC2" w:rsidRDefault="00F90F14" w:rsidP="007717BB">
            <w:pPr>
              <w:widowControl w:val="0"/>
              <w:jc w:val="left"/>
              <w:rPr>
                <w:sz w:val="21"/>
                <w:szCs w:val="21"/>
                <w:lang w:val="fr-CA"/>
              </w:rPr>
            </w:pPr>
            <w:r w:rsidRPr="00582BC2">
              <w:rPr>
                <w:sz w:val="21"/>
                <w:szCs w:val="21"/>
                <w:lang w:val="fr-CA"/>
              </w:rPr>
              <w:t>PNUD</w:t>
            </w:r>
          </w:p>
        </w:tc>
        <w:tc>
          <w:tcPr>
            <w:tcW w:w="846" w:type="pct"/>
            <w:vAlign w:val="center"/>
          </w:tcPr>
          <w:p w14:paraId="0DE65413" w14:textId="77777777" w:rsidR="007717BB" w:rsidRPr="00582BC2" w:rsidRDefault="007717BB" w:rsidP="00D01FAE">
            <w:pPr>
              <w:widowControl w:val="0"/>
              <w:jc w:val="center"/>
              <w:rPr>
                <w:sz w:val="21"/>
                <w:szCs w:val="21"/>
                <w:lang w:val="fr-CA"/>
              </w:rPr>
            </w:pPr>
            <w:r w:rsidRPr="00582BC2">
              <w:rPr>
                <w:sz w:val="21"/>
                <w:szCs w:val="21"/>
                <w:lang w:val="fr-CA"/>
              </w:rPr>
              <w:t>57</w:t>
            </w:r>
          </w:p>
        </w:tc>
        <w:tc>
          <w:tcPr>
            <w:tcW w:w="901" w:type="pct"/>
          </w:tcPr>
          <w:p w14:paraId="58341120" w14:textId="79EE09DB" w:rsidR="007717BB" w:rsidRPr="00582BC2" w:rsidRDefault="00F90F14" w:rsidP="00D01FAE">
            <w:pPr>
              <w:widowControl w:val="0"/>
              <w:ind w:right="68"/>
              <w:jc w:val="right"/>
              <w:rPr>
                <w:sz w:val="21"/>
                <w:szCs w:val="21"/>
                <w:lang w:val="fr-CA"/>
              </w:rPr>
            </w:pPr>
            <w:r w:rsidRPr="00582BC2">
              <w:rPr>
                <w:sz w:val="21"/>
                <w:szCs w:val="21"/>
                <w:lang w:val="fr-CA"/>
              </w:rPr>
              <w:t xml:space="preserve">80 </w:t>
            </w:r>
            <w:r w:rsidR="007717BB" w:rsidRPr="00582BC2">
              <w:rPr>
                <w:sz w:val="21"/>
                <w:szCs w:val="21"/>
                <w:lang w:val="fr-CA"/>
              </w:rPr>
              <w:t>000</w:t>
            </w:r>
          </w:p>
        </w:tc>
      </w:tr>
      <w:tr w:rsidR="007717BB" w:rsidRPr="00582BC2" w14:paraId="55F8D600" w14:textId="77777777" w:rsidTr="00D01FAE">
        <w:tc>
          <w:tcPr>
            <w:tcW w:w="901" w:type="pct"/>
          </w:tcPr>
          <w:p w14:paraId="72EC28F0" w14:textId="27DD0F35" w:rsidR="007717BB" w:rsidRPr="00582BC2" w:rsidRDefault="00B813B4" w:rsidP="007717BB">
            <w:pPr>
              <w:widowControl w:val="0"/>
              <w:rPr>
                <w:sz w:val="21"/>
                <w:szCs w:val="21"/>
                <w:lang w:val="fr-CA"/>
              </w:rPr>
            </w:pPr>
            <w:r w:rsidRPr="00582BC2">
              <w:rPr>
                <w:sz w:val="21"/>
                <w:szCs w:val="21"/>
                <w:lang w:val="fr-CA"/>
              </w:rPr>
              <w:t>Liban</w:t>
            </w:r>
          </w:p>
        </w:tc>
        <w:tc>
          <w:tcPr>
            <w:tcW w:w="1177" w:type="pct"/>
          </w:tcPr>
          <w:p w14:paraId="68EB7785" w14:textId="06733142" w:rsidR="007717BB" w:rsidRPr="00582BC2" w:rsidRDefault="00B813B4" w:rsidP="007717BB">
            <w:pPr>
              <w:widowControl w:val="0"/>
              <w:jc w:val="left"/>
              <w:rPr>
                <w:sz w:val="21"/>
                <w:szCs w:val="21"/>
                <w:lang w:val="fr-CA"/>
              </w:rPr>
            </w:pPr>
            <w:r w:rsidRPr="00582BC2">
              <w:rPr>
                <w:sz w:val="21"/>
                <w:szCs w:val="21"/>
                <w:lang w:val="fr-CA"/>
              </w:rPr>
              <w:t>Asie de l’Ouest</w:t>
            </w:r>
          </w:p>
        </w:tc>
        <w:tc>
          <w:tcPr>
            <w:tcW w:w="1174" w:type="pct"/>
          </w:tcPr>
          <w:p w14:paraId="2C551EBB" w14:textId="325E51FF" w:rsidR="007717BB" w:rsidRPr="00582BC2" w:rsidRDefault="00F90F14" w:rsidP="007717BB">
            <w:pPr>
              <w:widowControl w:val="0"/>
              <w:jc w:val="left"/>
              <w:rPr>
                <w:sz w:val="21"/>
                <w:szCs w:val="21"/>
                <w:lang w:val="fr-CA"/>
              </w:rPr>
            </w:pPr>
            <w:r w:rsidRPr="00582BC2">
              <w:rPr>
                <w:sz w:val="21"/>
                <w:szCs w:val="21"/>
                <w:lang w:val="fr-CA"/>
              </w:rPr>
              <w:t>ONUDI</w:t>
            </w:r>
          </w:p>
        </w:tc>
        <w:tc>
          <w:tcPr>
            <w:tcW w:w="846" w:type="pct"/>
            <w:vAlign w:val="center"/>
          </w:tcPr>
          <w:p w14:paraId="5888B79C" w14:textId="77777777" w:rsidR="007717BB" w:rsidRPr="00582BC2" w:rsidRDefault="007717BB" w:rsidP="00D01FAE">
            <w:pPr>
              <w:widowControl w:val="0"/>
              <w:jc w:val="center"/>
              <w:rPr>
                <w:sz w:val="21"/>
                <w:szCs w:val="21"/>
                <w:lang w:val="fr-CA"/>
              </w:rPr>
            </w:pPr>
            <w:r w:rsidRPr="00582BC2">
              <w:rPr>
                <w:sz w:val="21"/>
                <w:szCs w:val="21"/>
                <w:lang w:val="fr-CA"/>
              </w:rPr>
              <w:t>57</w:t>
            </w:r>
          </w:p>
        </w:tc>
        <w:tc>
          <w:tcPr>
            <w:tcW w:w="901" w:type="pct"/>
          </w:tcPr>
          <w:p w14:paraId="0FF8C70C" w14:textId="743A2CCC" w:rsidR="007717BB" w:rsidRPr="00582BC2" w:rsidRDefault="00F90F14" w:rsidP="00D01FAE">
            <w:pPr>
              <w:widowControl w:val="0"/>
              <w:ind w:right="68"/>
              <w:jc w:val="right"/>
              <w:rPr>
                <w:sz w:val="21"/>
                <w:szCs w:val="21"/>
                <w:lang w:val="fr-CA"/>
              </w:rPr>
            </w:pPr>
            <w:r w:rsidRPr="00582BC2">
              <w:rPr>
                <w:sz w:val="21"/>
                <w:szCs w:val="21"/>
                <w:lang w:val="fr-CA"/>
              </w:rPr>
              <w:t xml:space="preserve">85 </w:t>
            </w:r>
            <w:r w:rsidR="007717BB" w:rsidRPr="00582BC2">
              <w:rPr>
                <w:sz w:val="21"/>
                <w:szCs w:val="21"/>
                <w:lang w:val="fr-CA"/>
              </w:rPr>
              <w:t>000</w:t>
            </w:r>
          </w:p>
        </w:tc>
      </w:tr>
      <w:tr w:rsidR="007717BB" w:rsidRPr="00582BC2" w14:paraId="422E8E29" w14:textId="77777777" w:rsidTr="00D01FAE">
        <w:tc>
          <w:tcPr>
            <w:tcW w:w="901" w:type="pct"/>
            <w:vMerge w:val="restart"/>
          </w:tcPr>
          <w:p w14:paraId="46369225" w14:textId="12C16EDB" w:rsidR="007717BB" w:rsidRPr="00582BC2" w:rsidRDefault="00B813B4" w:rsidP="007717BB">
            <w:pPr>
              <w:widowControl w:val="0"/>
              <w:rPr>
                <w:sz w:val="21"/>
                <w:szCs w:val="21"/>
                <w:lang w:val="fr-CA"/>
              </w:rPr>
            </w:pPr>
            <w:r w:rsidRPr="00582BC2">
              <w:rPr>
                <w:sz w:val="21"/>
                <w:szCs w:val="21"/>
                <w:lang w:val="fr-CA"/>
              </w:rPr>
              <w:t>Mexique</w:t>
            </w:r>
          </w:p>
        </w:tc>
        <w:tc>
          <w:tcPr>
            <w:tcW w:w="1177" w:type="pct"/>
            <w:vMerge w:val="restart"/>
          </w:tcPr>
          <w:p w14:paraId="36916E9B" w14:textId="61EC7821" w:rsidR="007717BB" w:rsidRPr="00582BC2" w:rsidRDefault="00B813B4" w:rsidP="007717BB">
            <w:pPr>
              <w:widowControl w:val="0"/>
              <w:jc w:val="left"/>
              <w:rPr>
                <w:sz w:val="21"/>
                <w:szCs w:val="21"/>
                <w:lang w:val="fr-CA"/>
              </w:rPr>
            </w:pPr>
            <w:r w:rsidRPr="00582BC2">
              <w:rPr>
                <w:sz w:val="21"/>
                <w:szCs w:val="21"/>
                <w:lang w:val="fr-CA"/>
              </w:rPr>
              <w:t>Amérique latine</w:t>
            </w:r>
          </w:p>
        </w:tc>
        <w:tc>
          <w:tcPr>
            <w:tcW w:w="1174" w:type="pct"/>
          </w:tcPr>
          <w:p w14:paraId="044D0FFF" w14:textId="29F87042" w:rsidR="007717BB" w:rsidRPr="00582BC2" w:rsidRDefault="00F90F14" w:rsidP="007717BB">
            <w:pPr>
              <w:widowControl w:val="0"/>
              <w:jc w:val="left"/>
              <w:rPr>
                <w:sz w:val="21"/>
                <w:szCs w:val="21"/>
                <w:lang w:val="fr-CA"/>
              </w:rPr>
            </w:pPr>
            <w:r w:rsidRPr="00582BC2">
              <w:rPr>
                <w:sz w:val="21"/>
                <w:szCs w:val="21"/>
                <w:lang w:val="fr-CA"/>
              </w:rPr>
              <w:t>ONUDI</w:t>
            </w:r>
          </w:p>
        </w:tc>
        <w:tc>
          <w:tcPr>
            <w:tcW w:w="846" w:type="pct"/>
            <w:vAlign w:val="center"/>
          </w:tcPr>
          <w:p w14:paraId="1B6B5B64" w14:textId="77777777" w:rsidR="007717BB" w:rsidRPr="00582BC2" w:rsidRDefault="007717BB" w:rsidP="00D01FAE">
            <w:pPr>
              <w:widowControl w:val="0"/>
              <w:jc w:val="center"/>
              <w:rPr>
                <w:sz w:val="21"/>
                <w:szCs w:val="21"/>
                <w:lang w:val="fr-CA"/>
              </w:rPr>
            </w:pPr>
            <w:r w:rsidRPr="00582BC2">
              <w:rPr>
                <w:sz w:val="21"/>
                <w:szCs w:val="21"/>
                <w:lang w:val="fr-CA"/>
              </w:rPr>
              <w:t>61</w:t>
            </w:r>
          </w:p>
        </w:tc>
        <w:tc>
          <w:tcPr>
            <w:tcW w:w="901" w:type="pct"/>
          </w:tcPr>
          <w:p w14:paraId="009DD630" w14:textId="756EB6AC" w:rsidR="007717BB" w:rsidRPr="00582BC2" w:rsidRDefault="00F90F14" w:rsidP="00D01FAE">
            <w:pPr>
              <w:widowControl w:val="0"/>
              <w:ind w:right="68"/>
              <w:jc w:val="right"/>
              <w:rPr>
                <w:sz w:val="21"/>
                <w:szCs w:val="21"/>
                <w:lang w:val="fr-CA"/>
              </w:rPr>
            </w:pPr>
            <w:r w:rsidRPr="00582BC2">
              <w:rPr>
                <w:sz w:val="21"/>
                <w:szCs w:val="21"/>
                <w:lang w:val="fr-CA"/>
              </w:rPr>
              <w:t xml:space="preserve">50 </w:t>
            </w:r>
            <w:r w:rsidR="007717BB" w:rsidRPr="00582BC2">
              <w:rPr>
                <w:sz w:val="21"/>
                <w:szCs w:val="21"/>
                <w:lang w:val="fr-CA"/>
              </w:rPr>
              <w:t>000</w:t>
            </w:r>
          </w:p>
        </w:tc>
      </w:tr>
      <w:tr w:rsidR="007717BB" w:rsidRPr="00582BC2" w14:paraId="6AFDDDC4" w14:textId="77777777" w:rsidTr="00D01FAE">
        <w:tc>
          <w:tcPr>
            <w:tcW w:w="901" w:type="pct"/>
            <w:vMerge/>
          </w:tcPr>
          <w:p w14:paraId="0F108082" w14:textId="77777777" w:rsidR="007717BB" w:rsidRPr="00582BC2" w:rsidRDefault="007717BB" w:rsidP="007717BB">
            <w:pPr>
              <w:widowControl w:val="0"/>
              <w:rPr>
                <w:sz w:val="21"/>
                <w:szCs w:val="21"/>
                <w:lang w:val="fr-CA"/>
              </w:rPr>
            </w:pPr>
          </w:p>
        </w:tc>
        <w:tc>
          <w:tcPr>
            <w:tcW w:w="1177" w:type="pct"/>
            <w:vMerge/>
          </w:tcPr>
          <w:p w14:paraId="071EB05B" w14:textId="77777777" w:rsidR="007717BB" w:rsidRPr="00582BC2" w:rsidRDefault="007717BB" w:rsidP="007717BB">
            <w:pPr>
              <w:widowControl w:val="0"/>
              <w:jc w:val="left"/>
              <w:rPr>
                <w:sz w:val="21"/>
                <w:szCs w:val="21"/>
                <w:lang w:val="fr-CA"/>
              </w:rPr>
            </w:pPr>
          </w:p>
        </w:tc>
        <w:tc>
          <w:tcPr>
            <w:tcW w:w="1174" w:type="pct"/>
          </w:tcPr>
          <w:p w14:paraId="3F603E38" w14:textId="58B8B23B" w:rsidR="007717BB" w:rsidRPr="00582BC2" w:rsidRDefault="00B813B4" w:rsidP="007717BB">
            <w:pPr>
              <w:widowControl w:val="0"/>
              <w:jc w:val="left"/>
              <w:rPr>
                <w:sz w:val="21"/>
                <w:szCs w:val="21"/>
                <w:lang w:val="fr-CA"/>
              </w:rPr>
            </w:pPr>
            <w:r w:rsidRPr="00582BC2">
              <w:rPr>
                <w:sz w:val="21"/>
                <w:szCs w:val="21"/>
                <w:lang w:val="fr-CA"/>
              </w:rPr>
              <w:t>Banque mondiale</w:t>
            </w:r>
          </w:p>
        </w:tc>
        <w:tc>
          <w:tcPr>
            <w:tcW w:w="846" w:type="pct"/>
            <w:vAlign w:val="center"/>
          </w:tcPr>
          <w:p w14:paraId="6A3FB5CB" w14:textId="77777777" w:rsidR="007717BB" w:rsidRPr="00582BC2" w:rsidRDefault="007717BB" w:rsidP="00D01FAE">
            <w:pPr>
              <w:widowControl w:val="0"/>
              <w:jc w:val="center"/>
              <w:rPr>
                <w:sz w:val="21"/>
                <w:szCs w:val="21"/>
                <w:lang w:val="fr-CA"/>
              </w:rPr>
            </w:pPr>
            <w:r w:rsidRPr="00582BC2">
              <w:rPr>
                <w:sz w:val="21"/>
                <w:szCs w:val="21"/>
                <w:lang w:val="fr-CA"/>
              </w:rPr>
              <w:t>61</w:t>
            </w:r>
          </w:p>
        </w:tc>
        <w:tc>
          <w:tcPr>
            <w:tcW w:w="901" w:type="pct"/>
          </w:tcPr>
          <w:p w14:paraId="292E2994" w14:textId="724298D2" w:rsidR="007717BB" w:rsidRPr="00582BC2" w:rsidRDefault="00F90F14" w:rsidP="00D01FAE">
            <w:pPr>
              <w:widowControl w:val="0"/>
              <w:ind w:right="68"/>
              <w:jc w:val="right"/>
              <w:rPr>
                <w:sz w:val="21"/>
                <w:szCs w:val="21"/>
                <w:lang w:val="fr-CA"/>
              </w:rPr>
            </w:pPr>
            <w:r w:rsidRPr="00582BC2">
              <w:rPr>
                <w:sz w:val="21"/>
                <w:szCs w:val="21"/>
                <w:lang w:val="fr-CA"/>
              </w:rPr>
              <w:t xml:space="preserve">50 </w:t>
            </w:r>
            <w:r w:rsidR="007717BB" w:rsidRPr="00582BC2">
              <w:rPr>
                <w:sz w:val="21"/>
                <w:szCs w:val="21"/>
                <w:lang w:val="fr-CA"/>
              </w:rPr>
              <w:t>000</w:t>
            </w:r>
          </w:p>
        </w:tc>
      </w:tr>
      <w:tr w:rsidR="007717BB" w:rsidRPr="00582BC2" w14:paraId="2D5774CD" w14:textId="77777777" w:rsidTr="00D01FAE">
        <w:tc>
          <w:tcPr>
            <w:tcW w:w="901" w:type="pct"/>
          </w:tcPr>
          <w:p w14:paraId="2831A197" w14:textId="77777777" w:rsidR="007717BB" w:rsidRPr="00582BC2" w:rsidRDefault="007717BB" w:rsidP="007717BB">
            <w:pPr>
              <w:widowControl w:val="0"/>
              <w:rPr>
                <w:sz w:val="21"/>
                <w:szCs w:val="21"/>
                <w:lang w:val="fr-CA"/>
              </w:rPr>
            </w:pPr>
            <w:r w:rsidRPr="00582BC2">
              <w:rPr>
                <w:sz w:val="21"/>
                <w:szCs w:val="21"/>
                <w:lang w:val="fr-CA"/>
              </w:rPr>
              <w:t>Nigeria</w:t>
            </w:r>
          </w:p>
        </w:tc>
        <w:tc>
          <w:tcPr>
            <w:tcW w:w="1177" w:type="pct"/>
          </w:tcPr>
          <w:p w14:paraId="1310DB3A" w14:textId="47FFAF40" w:rsidR="007717BB" w:rsidRPr="00582BC2" w:rsidRDefault="00B813B4" w:rsidP="007717BB">
            <w:pPr>
              <w:widowControl w:val="0"/>
              <w:jc w:val="left"/>
              <w:rPr>
                <w:sz w:val="21"/>
                <w:szCs w:val="21"/>
                <w:lang w:val="fr-CA"/>
              </w:rPr>
            </w:pPr>
            <w:r w:rsidRPr="00582BC2">
              <w:rPr>
                <w:sz w:val="21"/>
                <w:szCs w:val="21"/>
                <w:lang w:val="fr-CA"/>
              </w:rPr>
              <w:t>Afrique</w:t>
            </w:r>
          </w:p>
        </w:tc>
        <w:tc>
          <w:tcPr>
            <w:tcW w:w="1174" w:type="pct"/>
          </w:tcPr>
          <w:p w14:paraId="08B6EA7C" w14:textId="3EDB5804" w:rsidR="007717BB" w:rsidRPr="00582BC2" w:rsidRDefault="00F90F14" w:rsidP="007717BB">
            <w:pPr>
              <w:widowControl w:val="0"/>
              <w:jc w:val="left"/>
              <w:rPr>
                <w:sz w:val="21"/>
                <w:szCs w:val="21"/>
                <w:lang w:val="fr-CA"/>
              </w:rPr>
            </w:pPr>
            <w:r w:rsidRPr="00582BC2">
              <w:rPr>
                <w:sz w:val="21"/>
                <w:szCs w:val="21"/>
                <w:lang w:val="fr-CA"/>
              </w:rPr>
              <w:t>ONUDI</w:t>
            </w:r>
          </w:p>
        </w:tc>
        <w:tc>
          <w:tcPr>
            <w:tcW w:w="846" w:type="pct"/>
            <w:vAlign w:val="center"/>
          </w:tcPr>
          <w:p w14:paraId="6C4E432D" w14:textId="77777777" w:rsidR="007717BB" w:rsidRPr="00582BC2" w:rsidRDefault="007717BB" w:rsidP="00D01FAE">
            <w:pPr>
              <w:widowControl w:val="0"/>
              <w:jc w:val="center"/>
              <w:rPr>
                <w:sz w:val="21"/>
                <w:szCs w:val="21"/>
                <w:lang w:val="fr-CA"/>
              </w:rPr>
            </w:pPr>
            <w:r w:rsidRPr="00582BC2">
              <w:rPr>
                <w:sz w:val="21"/>
                <w:szCs w:val="21"/>
                <w:lang w:val="fr-CA"/>
              </w:rPr>
              <w:t>57</w:t>
            </w:r>
          </w:p>
        </w:tc>
        <w:tc>
          <w:tcPr>
            <w:tcW w:w="901" w:type="pct"/>
          </w:tcPr>
          <w:p w14:paraId="11741507" w14:textId="5CFD3F11" w:rsidR="007717BB" w:rsidRPr="00582BC2" w:rsidRDefault="00F90F14" w:rsidP="00D01FAE">
            <w:pPr>
              <w:widowControl w:val="0"/>
              <w:ind w:right="68"/>
              <w:jc w:val="right"/>
              <w:rPr>
                <w:sz w:val="21"/>
                <w:szCs w:val="21"/>
                <w:lang w:val="fr-CA"/>
              </w:rPr>
            </w:pPr>
            <w:r w:rsidRPr="00582BC2">
              <w:rPr>
                <w:sz w:val="21"/>
                <w:szCs w:val="21"/>
                <w:lang w:val="fr-CA"/>
              </w:rPr>
              <w:t xml:space="preserve">60 </w:t>
            </w:r>
            <w:r w:rsidR="007717BB" w:rsidRPr="00582BC2">
              <w:rPr>
                <w:sz w:val="21"/>
                <w:szCs w:val="21"/>
                <w:lang w:val="fr-CA"/>
              </w:rPr>
              <w:t>000</w:t>
            </w:r>
          </w:p>
        </w:tc>
      </w:tr>
      <w:tr w:rsidR="007717BB" w:rsidRPr="00582BC2" w14:paraId="692EBA82" w14:textId="77777777" w:rsidTr="00D01FAE">
        <w:tc>
          <w:tcPr>
            <w:tcW w:w="901" w:type="pct"/>
          </w:tcPr>
          <w:p w14:paraId="0F28AC59" w14:textId="23D9B910" w:rsidR="007717BB" w:rsidRPr="00582BC2" w:rsidRDefault="00B813B4" w:rsidP="007717BB">
            <w:pPr>
              <w:widowControl w:val="0"/>
              <w:rPr>
                <w:sz w:val="21"/>
                <w:szCs w:val="21"/>
                <w:lang w:val="fr-CA"/>
              </w:rPr>
            </w:pPr>
            <w:r w:rsidRPr="00582BC2">
              <w:rPr>
                <w:sz w:val="21"/>
                <w:szCs w:val="21"/>
                <w:lang w:val="fr-CA"/>
              </w:rPr>
              <w:t>Philippines</w:t>
            </w:r>
          </w:p>
        </w:tc>
        <w:tc>
          <w:tcPr>
            <w:tcW w:w="1177" w:type="pct"/>
          </w:tcPr>
          <w:p w14:paraId="26689DF0" w14:textId="44B92B86" w:rsidR="007717BB" w:rsidRPr="00582BC2" w:rsidRDefault="00B813B4" w:rsidP="007717BB">
            <w:pPr>
              <w:widowControl w:val="0"/>
              <w:jc w:val="left"/>
              <w:rPr>
                <w:sz w:val="21"/>
                <w:szCs w:val="21"/>
                <w:lang w:val="fr-CA"/>
              </w:rPr>
            </w:pPr>
            <w:r w:rsidRPr="00582BC2">
              <w:rPr>
                <w:sz w:val="21"/>
                <w:szCs w:val="21"/>
                <w:lang w:val="fr-CA"/>
              </w:rPr>
              <w:t>Asie du Sud-Est</w:t>
            </w:r>
          </w:p>
        </w:tc>
        <w:tc>
          <w:tcPr>
            <w:tcW w:w="1174" w:type="pct"/>
          </w:tcPr>
          <w:p w14:paraId="167FBE3B" w14:textId="3C2534E9" w:rsidR="007717BB" w:rsidRPr="00582BC2" w:rsidRDefault="00B813B4" w:rsidP="007717BB">
            <w:pPr>
              <w:widowControl w:val="0"/>
              <w:jc w:val="left"/>
              <w:rPr>
                <w:sz w:val="21"/>
                <w:szCs w:val="21"/>
                <w:lang w:val="fr-CA"/>
              </w:rPr>
            </w:pPr>
            <w:r w:rsidRPr="00582BC2">
              <w:rPr>
                <w:sz w:val="21"/>
                <w:szCs w:val="21"/>
                <w:lang w:val="fr-CA"/>
              </w:rPr>
              <w:t>Banque mondiale</w:t>
            </w:r>
          </w:p>
        </w:tc>
        <w:tc>
          <w:tcPr>
            <w:tcW w:w="846" w:type="pct"/>
            <w:vAlign w:val="center"/>
          </w:tcPr>
          <w:p w14:paraId="3DB1A032" w14:textId="77777777" w:rsidR="007717BB" w:rsidRPr="00582BC2" w:rsidRDefault="007717BB" w:rsidP="00D01FAE">
            <w:pPr>
              <w:widowControl w:val="0"/>
              <w:jc w:val="center"/>
              <w:rPr>
                <w:sz w:val="21"/>
                <w:szCs w:val="21"/>
                <w:lang w:val="fr-CA"/>
              </w:rPr>
            </w:pPr>
            <w:r w:rsidRPr="00582BC2">
              <w:rPr>
                <w:sz w:val="21"/>
                <w:szCs w:val="21"/>
                <w:lang w:val="fr-CA"/>
              </w:rPr>
              <w:t>58</w:t>
            </w:r>
          </w:p>
        </w:tc>
        <w:tc>
          <w:tcPr>
            <w:tcW w:w="901" w:type="pct"/>
          </w:tcPr>
          <w:p w14:paraId="625B71EF" w14:textId="378CC8D0" w:rsidR="007717BB" w:rsidRPr="00582BC2" w:rsidRDefault="00F90F14" w:rsidP="00D01FAE">
            <w:pPr>
              <w:widowControl w:val="0"/>
              <w:ind w:right="68"/>
              <w:jc w:val="right"/>
              <w:rPr>
                <w:sz w:val="21"/>
                <w:szCs w:val="21"/>
                <w:lang w:val="fr-CA"/>
              </w:rPr>
            </w:pPr>
            <w:r w:rsidRPr="00582BC2">
              <w:rPr>
                <w:sz w:val="21"/>
                <w:szCs w:val="21"/>
                <w:lang w:val="fr-CA"/>
              </w:rPr>
              <w:t xml:space="preserve">50 </w:t>
            </w:r>
            <w:r w:rsidR="007717BB" w:rsidRPr="00582BC2">
              <w:rPr>
                <w:sz w:val="21"/>
                <w:szCs w:val="21"/>
                <w:lang w:val="fr-CA"/>
              </w:rPr>
              <w:t>000</w:t>
            </w:r>
          </w:p>
        </w:tc>
      </w:tr>
      <w:tr w:rsidR="007717BB" w:rsidRPr="00582BC2" w14:paraId="0F039DB9" w14:textId="77777777" w:rsidTr="00D01FAE">
        <w:tc>
          <w:tcPr>
            <w:tcW w:w="901" w:type="pct"/>
          </w:tcPr>
          <w:p w14:paraId="40B60184" w14:textId="383F055F" w:rsidR="007717BB" w:rsidRPr="00582BC2" w:rsidRDefault="00B813B4" w:rsidP="007717BB">
            <w:pPr>
              <w:widowControl w:val="0"/>
              <w:rPr>
                <w:sz w:val="21"/>
                <w:szCs w:val="21"/>
                <w:lang w:val="fr-CA"/>
              </w:rPr>
            </w:pPr>
            <w:r w:rsidRPr="00582BC2">
              <w:rPr>
                <w:sz w:val="21"/>
                <w:szCs w:val="21"/>
                <w:lang w:val="fr-CA"/>
              </w:rPr>
              <w:t>Turquie</w:t>
            </w:r>
          </w:p>
        </w:tc>
        <w:tc>
          <w:tcPr>
            <w:tcW w:w="1177" w:type="pct"/>
          </w:tcPr>
          <w:p w14:paraId="2164FB33" w14:textId="77777777" w:rsidR="007717BB" w:rsidRPr="00582BC2" w:rsidRDefault="007717BB" w:rsidP="007717BB">
            <w:pPr>
              <w:widowControl w:val="0"/>
              <w:jc w:val="left"/>
              <w:rPr>
                <w:sz w:val="21"/>
                <w:szCs w:val="21"/>
                <w:lang w:val="fr-CA"/>
              </w:rPr>
            </w:pPr>
            <w:r w:rsidRPr="00582BC2">
              <w:rPr>
                <w:sz w:val="21"/>
                <w:szCs w:val="21"/>
                <w:lang w:val="fr-CA"/>
              </w:rPr>
              <w:t>Europe</w:t>
            </w:r>
          </w:p>
        </w:tc>
        <w:tc>
          <w:tcPr>
            <w:tcW w:w="1174" w:type="pct"/>
          </w:tcPr>
          <w:p w14:paraId="3A0589A0" w14:textId="5EDE3DB2" w:rsidR="007717BB" w:rsidRPr="00582BC2" w:rsidRDefault="00F90F14" w:rsidP="007717BB">
            <w:pPr>
              <w:widowControl w:val="0"/>
              <w:jc w:val="left"/>
              <w:rPr>
                <w:sz w:val="21"/>
                <w:szCs w:val="21"/>
                <w:lang w:val="fr-CA"/>
              </w:rPr>
            </w:pPr>
            <w:r w:rsidRPr="00582BC2">
              <w:rPr>
                <w:sz w:val="21"/>
                <w:szCs w:val="21"/>
                <w:lang w:val="fr-CA"/>
              </w:rPr>
              <w:t>ONUDI</w:t>
            </w:r>
          </w:p>
        </w:tc>
        <w:tc>
          <w:tcPr>
            <w:tcW w:w="846" w:type="pct"/>
            <w:vAlign w:val="center"/>
          </w:tcPr>
          <w:p w14:paraId="017D9E83" w14:textId="77777777" w:rsidR="007717BB" w:rsidRPr="00582BC2" w:rsidRDefault="007717BB" w:rsidP="00D01FAE">
            <w:pPr>
              <w:widowControl w:val="0"/>
              <w:jc w:val="center"/>
              <w:rPr>
                <w:sz w:val="21"/>
                <w:szCs w:val="21"/>
                <w:lang w:val="fr-CA"/>
              </w:rPr>
            </w:pPr>
            <w:r w:rsidRPr="00582BC2">
              <w:rPr>
                <w:sz w:val="21"/>
                <w:szCs w:val="21"/>
                <w:lang w:val="fr-CA"/>
              </w:rPr>
              <w:t>60</w:t>
            </w:r>
          </w:p>
        </w:tc>
        <w:tc>
          <w:tcPr>
            <w:tcW w:w="901" w:type="pct"/>
          </w:tcPr>
          <w:p w14:paraId="4B36C3D5" w14:textId="08B2C5B6" w:rsidR="007717BB" w:rsidRPr="00582BC2" w:rsidRDefault="00F90F14" w:rsidP="00D01FAE">
            <w:pPr>
              <w:widowControl w:val="0"/>
              <w:ind w:right="68"/>
              <w:jc w:val="right"/>
              <w:rPr>
                <w:sz w:val="21"/>
                <w:szCs w:val="21"/>
                <w:lang w:val="fr-CA"/>
              </w:rPr>
            </w:pPr>
            <w:r w:rsidRPr="00582BC2">
              <w:rPr>
                <w:sz w:val="21"/>
                <w:szCs w:val="21"/>
                <w:lang w:val="fr-CA"/>
              </w:rPr>
              <w:t xml:space="preserve">60 </w:t>
            </w:r>
            <w:r w:rsidR="007717BB" w:rsidRPr="00582BC2">
              <w:rPr>
                <w:sz w:val="21"/>
                <w:szCs w:val="21"/>
                <w:lang w:val="fr-CA"/>
              </w:rPr>
              <w:t>000</w:t>
            </w:r>
          </w:p>
        </w:tc>
      </w:tr>
      <w:tr w:rsidR="007717BB" w:rsidRPr="00454C15" w14:paraId="0EFF9EDF" w14:textId="77777777" w:rsidTr="00D01FAE">
        <w:tc>
          <w:tcPr>
            <w:tcW w:w="5000" w:type="pct"/>
            <w:gridSpan w:val="5"/>
            <w:vAlign w:val="center"/>
          </w:tcPr>
          <w:p w14:paraId="18C66AE5" w14:textId="1B42E945" w:rsidR="007717BB" w:rsidRPr="00582BC2" w:rsidRDefault="00B813B4" w:rsidP="00D01FAE">
            <w:pPr>
              <w:widowControl w:val="0"/>
              <w:ind w:right="68"/>
              <w:jc w:val="center"/>
              <w:rPr>
                <w:i/>
                <w:sz w:val="21"/>
                <w:szCs w:val="21"/>
                <w:lang w:val="fr-CA"/>
              </w:rPr>
            </w:pPr>
            <w:r w:rsidRPr="00582BC2">
              <w:rPr>
                <w:i/>
                <w:sz w:val="21"/>
                <w:szCs w:val="21"/>
                <w:lang w:val="fr-CA"/>
              </w:rPr>
              <w:t>Approbations de la mise en œuvre des projets de démonstration sur l’élimination des SAO</w:t>
            </w:r>
          </w:p>
        </w:tc>
      </w:tr>
      <w:tr w:rsidR="007717BB" w:rsidRPr="00582BC2" w14:paraId="463D5093" w14:textId="77777777" w:rsidTr="00D01FAE">
        <w:tc>
          <w:tcPr>
            <w:tcW w:w="901" w:type="pct"/>
          </w:tcPr>
          <w:p w14:paraId="7F7E9604" w14:textId="629105F1" w:rsidR="007717BB" w:rsidRPr="00582BC2" w:rsidRDefault="00B813B4" w:rsidP="007717BB">
            <w:pPr>
              <w:widowControl w:val="0"/>
              <w:rPr>
                <w:sz w:val="21"/>
                <w:szCs w:val="21"/>
                <w:lang w:val="fr-CA"/>
              </w:rPr>
            </w:pPr>
            <w:r w:rsidRPr="00582BC2">
              <w:rPr>
                <w:sz w:val="21"/>
                <w:szCs w:val="21"/>
                <w:lang w:val="fr-CA"/>
              </w:rPr>
              <w:t>Région : Afrique</w:t>
            </w:r>
            <w:r w:rsidR="007717BB" w:rsidRPr="00582BC2">
              <w:rPr>
                <w:sz w:val="21"/>
                <w:szCs w:val="21"/>
                <w:lang w:val="fr-CA"/>
              </w:rPr>
              <w:t>*</w:t>
            </w:r>
          </w:p>
        </w:tc>
        <w:tc>
          <w:tcPr>
            <w:tcW w:w="1177" w:type="pct"/>
          </w:tcPr>
          <w:p w14:paraId="364E22D2" w14:textId="03C6A03C" w:rsidR="007717BB" w:rsidRPr="00582BC2" w:rsidRDefault="00B813B4" w:rsidP="007717BB">
            <w:pPr>
              <w:widowControl w:val="0"/>
              <w:rPr>
                <w:sz w:val="21"/>
                <w:szCs w:val="21"/>
                <w:lang w:val="fr-CA"/>
              </w:rPr>
            </w:pPr>
            <w:r w:rsidRPr="00582BC2">
              <w:rPr>
                <w:sz w:val="21"/>
                <w:szCs w:val="21"/>
                <w:lang w:val="fr-CA"/>
              </w:rPr>
              <w:t>Afrique</w:t>
            </w:r>
          </w:p>
        </w:tc>
        <w:tc>
          <w:tcPr>
            <w:tcW w:w="1174" w:type="pct"/>
          </w:tcPr>
          <w:p w14:paraId="6E9AA66E" w14:textId="77777777" w:rsidR="007717BB" w:rsidRPr="00582BC2" w:rsidRDefault="007717BB" w:rsidP="007717BB">
            <w:pPr>
              <w:widowControl w:val="0"/>
              <w:rPr>
                <w:sz w:val="21"/>
                <w:szCs w:val="21"/>
                <w:lang w:val="fr-CA"/>
              </w:rPr>
            </w:pPr>
            <w:r w:rsidRPr="00582BC2">
              <w:rPr>
                <w:sz w:val="21"/>
                <w:szCs w:val="21"/>
                <w:lang w:val="fr-CA"/>
              </w:rPr>
              <w:t>France</w:t>
            </w:r>
          </w:p>
        </w:tc>
        <w:tc>
          <w:tcPr>
            <w:tcW w:w="846" w:type="pct"/>
            <w:vAlign w:val="center"/>
          </w:tcPr>
          <w:p w14:paraId="3DEFC97D" w14:textId="77777777" w:rsidR="007717BB" w:rsidRPr="00582BC2" w:rsidRDefault="007717BB" w:rsidP="00D01FAE">
            <w:pPr>
              <w:widowControl w:val="0"/>
              <w:jc w:val="center"/>
              <w:rPr>
                <w:sz w:val="21"/>
                <w:szCs w:val="21"/>
                <w:lang w:val="fr-CA"/>
              </w:rPr>
            </w:pPr>
            <w:r w:rsidRPr="00582BC2">
              <w:rPr>
                <w:sz w:val="21"/>
                <w:szCs w:val="21"/>
                <w:lang w:val="fr-CA"/>
              </w:rPr>
              <w:t>68</w:t>
            </w:r>
          </w:p>
        </w:tc>
        <w:tc>
          <w:tcPr>
            <w:tcW w:w="901" w:type="pct"/>
          </w:tcPr>
          <w:p w14:paraId="3311A03F" w14:textId="4437C610" w:rsidR="007717BB" w:rsidRPr="00582BC2" w:rsidRDefault="00F90F14" w:rsidP="00D01FAE">
            <w:pPr>
              <w:widowControl w:val="0"/>
              <w:ind w:right="68"/>
              <w:jc w:val="right"/>
              <w:rPr>
                <w:sz w:val="21"/>
                <w:szCs w:val="21"/>
                <w:lang w:val="fr-CA"/>
              </w:rPr>
            </w:pPr>
            <w:r w:rsidRPr="00582BC2">
              <w:rPr>
                <w:sz w:val="21"/>
                <w:szCs w:val="21"/>
                <w:lang w:val="fr-CA"/>
              </w:rPr>
              <w:t xml:space="preserve">80 </w:t>
            </w:r>
            <w:r w:rsidR="007717BB" w:rsidRPr="00582BC2">
              <w:rPr>
                <w:sz w:val="21"/>
                <w:szCs w:val="21"/>
                <w:lang w:val="fr-CA"/>
              </w:rPr>
              <w:t>000</w:t>
            </w:r>
          </w:p>
        </w:tc>
      </w:tr>
      <w:tr w:rsidR="007717BB" w:rsidRPr="00582BC2" w14:paraId="4DE19E81" w14:textId="77777777" w:rsidTr="00D01FAE">
        <w:tc>
          <w:tcPr>
            <w:tcW w:w="901" w:type="pct"/>
            <w:vMerge w:val="restart"/>
          </w:tcPr>
          <w:p w14:paraId="39490061" w14:textId="235B8AEF" w:rsidR="007717BB" w:rsidRPr="00582BC2" w:rsidRDefault="00B813B4" w:rsidP="007717BB">
            <w:pPr>
              <w:widowControl w:val="0"/>
              <w:rPr>
                <w:sz w:val="21"/>
                <w:szCs w:val="21"/>
                <w:lang w:val="fr-CA"/>
              </w:rPr>
            </w:pPr>
            <w:r w:rsidRPr="00582BC2">
              <w:rPr>
                <w:sz w:val="21"/>
                <w:szCs w:val="21"/>
                <w:lang w:val="fr-CA"/>
              </w:rPr>
              <w:t>Algérie</w:t>
            </w:r>
          </w:p>
        </w:tc>
        <w:tc>
          <w:tcPr>
            <w:tcW w:w="1177" w:type="pct"/>
            <w:vMerge w:val="restart"/>
          </w:tcPr>
          <w:p w14:paraId="40A04F12" w14:textId="41143AA2" w:rsidR="007717BB" w:rsidRPr="00582BC2" w:rsidRDefault="00B813B4" w:rsidP="007717BB">
            <w:pPr>
              <w:widowControl w:val="0"/>
              <w:rPr>
                <w:sz w:val="21"/>
                <w:szCs w:val="21"/>
                <w:lang w:val="fr-CA"/>
              </w:rPr>
            </w:pPr>
            <w:r w:rsidRPr="00582BC2">
              <w:rPr>
                <w:sz w:val="21"/>
                <w:szCs w:val="21"/>
                <w:lang w:val="fr-CA"/>
              </w:rPr>
              <w:t>Afrique</w:t>
            </w:r>
          </w:p>
        </w:tc>
        <w:tc>
          <w:tcPr>
            <w:tcW w:w="1174" w:type="pct"/>
          </w:tcPr>
          <w:p w14:paraId="61064A77" w14:textId="77777777" w:rsidR="007717BB" w:rsidRPr="00582BC2" w:rsidRDefault="007717BB" w:rsidP="007717BB">
            <w:pPr>
              <w:widowControl w:val="0"/>
              <w:rPr>
                <w:sz w:val="21"/>
                <w:szCs w:val="21"/>
                <w:lang w:val="fr-CA"/>
              </w:rPr>
            </w:pPr>
            <w:r w:rsidRPr="00582BC2">
              <w:rPr>
                <w:sz w:val="21"/>
                <w:szCs w:val="21"/>
                <w:lang w:val="fr-CA"/>
              </w:rPr>
              <w:t>France</w:t>
            </w:r>
          </w:p>
        </w:tc>
        <w:tc>
          <w:tcPr>
            <w:tcW w:w="846" w:type="pct"/>
            <w:vAlign w:val="center"/>
          </w:tcPr>
          <w:p w14:paraId="4963AAC5" w14:textId="77777777" w:rsidR="007717BB" w:rsidRPr="00582BC2" w:rsidRDefault="007717BB" w:rsidP="00D01FAE">
            <w:pPr>
              <w:widowControl w:val="0"/>
              <w:jc w:val="center"/>
              <w:rPr>
                <w:sz w:val="21"/>
                <w:szCs w:val="21"/>
                <w:lang w:val="fr-CA"/>
              </w:rPr>
            </w:pPr>
            <w:r w:rsidRPr="00582BC2">
              <w:rPr>
                <w:sz w:val="21"/>
                <w:szCs w:val="21"/>
                <w:lang w:val="fr-CA"/>
              </w:rPr>
              <w:t>72</w:t>
            </w:r>
          </w:p>
        </w:tc>
        <w:tc>
          <w:tcPr>
            <w:tcW w:w="901" w:type="pct"/>
          </w:tcPr>
          <w:p w14:paraId="0F9B24DB" w14:textId="273391AC" w:rsidR="007717BB" w:rsidRPr="00582BC2" w:rsidRDefault="00F90F14" w:rsidP="00D01FAE">
            <w:pPr>
              <w:widowControl w:val="0"/>
              <w:ind w:right="68"/>
              <w:jc w:val="right"/>
              <w:rPr>
                <w:sz w:val="21"/>
                <w:szCs w:val="21"/>
                <w:lang w:val="fr-CA"/>
              </w:rPr>
            </w:pPr>
            <w:r w:rsidRPr="00582BC2">
              <w:rPr>
                <w:sz w:val="21"/>
                <w:szCs w:val="21"/>
                <w:lang w:val="fr-CA"/>
              </w:rPr>
              <w:t xml:space="preserve">250 </w:t>
            </w:r>
            <w:r w:rsidR="007717BB" w:rsidRPr="00582BC2">
              <w:rPr>
                <w:sz w:val="21"/>
                <w:szCs w:val="21"/>
                <w:lang w:val="fr-CA"/>
              </w:rPr>
              <w:t>000</w:t>
            </w:r>
          </w:p>
        </w:tc>
      </w:tr>
      <w:tr w:rsidR="007717BB" w:rsidRPr="00582BC2" w14:paraId="59CA1566" w14:textId="77777777" w:rsidTr="00D01FAE">
        <w:tc>
          <w:tcPr>
            <w:tcW w:w="901" w:type="pct"/>
            <w:vMerge/>
          </w:tcPr>
          <w:p w14:paraId="638A9680" w14:textId="77777777" w:rsidR="007717BB" w:rsidRPr="00582BC2" w:rsidRDefault="007717BB" w:rsidP="007717BB">
            <w:pPr>
              <w:widowControl w:val="0"/>
              <w:rPr>
                <w:sz w:val="21"/>
                <w:szCs w:val="21"/>
                <w:lang w:val="fr-CA"/>
              </w:rPr>
            </w:pPr>
          </w:p>
        </w:tc>
        <w:tc>
          <w:tcPr>
            <w:tcW w:w="1177" w:type="pct"/>
            <w:vMerge/>
          </w:tcPr>
          <w:p w14:paraId="56BC8BF5" w14:textId="77777777" w:rsidR="007717BB" w:rsidRPr="00582BC2" w:rsidRDefault="007717BB" w:rsidP="007717BB">
            <w:pPr>
              <w:widowControl w:val="0"/>
              <w:rPr>
                <w:sz w:val="21"/>
                <w:szCs w:val="21"/>
                <w:lang w:val="fr-CA"/>
              </w:rPr>
            </w:pPr>
          </w:p>
        </w:tc>
        <w:tc>
          <w:tcPr>
            <w:tcW w:w="1174" w:type="pct"/>
          </w:tcPr>
          <w:p w14:paraId="1A521F95" w14:textId="6970B353" w:rsidR="007717BB" w:rsidRPr="00582BC2" w:rsidRDefault="00F90F14" w:rsidP="007717BB">
            <w:pPr>
              <w:widowControl w:val="0"/>
              <w:rPr>
                <w:sz w:val="21"/>
                <w:szCs w:val="21"/>
                <w:lang w:val="fr-CA"/>
              </w:rPr>
            </w:pPr>
            <w:r w:rsidRPr="00582BC2">
              <w:rPr>
                <w:sz w:val="21"/>
                <w:szCs w:val="21"/>
                <w:lang w:val="fr-CA"/>
              </w:rPr>
              <w:t>ONUDI</w:t>
            </w:r>
          </w:p>
        </w:tc>
        <w:tc>
          <w:tcPr>
            <w:tcW w:w="846" w:type="pct"/>
            <w:vAlign w:val="center"/>
          </w:tcPr>
          <w:p w14:paraId="5B9247FB" w14:textId="77777777" w:rsidR="007717BB" w:rsidRPr="00582BC2" w:rsidRDefault="007717BB" w:rsidP="00D01FAE">
            <w:pPr>
              <w:widowControl w:val="0"/>
              <w:jc w:val="center"/>
              <w:rPr>
                <w:sz w:val="21"/>
                <w:szCs w:val="21"/>
                <w:lang w:val="fr-CA"/>
              </w:rPr>
            </w:pPr>
            <w:r w:rsidRPr="00582BC2">
              <w:rPr>
                <w:sz w:val="21"/>
                <w:szCs w:val="21"/>
                <w:lang w:val="fr-CA"/>
              </w:rPr>
              <w:t>72</w:t>
            </w:r>
          </w:p>
        </w:tc>
        <w:tc>
          <w:tcPr>
            <w:tcW w:w="901" w:type="pct"/>
          </w:tcPr>
          <w:p w14:paraId="15E05282" w14:textId="3B85452C" w:rsidR="007717BB" w:rsidRPr="00582BC2" w:rsidRDefault="00F90F14" w:rsidP="00D01FAE">
            <w:pPr>
              <w:widowControl w:val="0"/>
              <w:ind w:right="68"/>
              <w:jc w:val="right"/>
              <w:rPr>
                <w:sz w:val="21"/>
                <w:szCs w:val="21"/>
                <w:lang w:val="fr-CA"/>
              </w:rPr>
            </w:pPr>
            <w:r w:rsidRPr="00582BC2">
              <w:rPr>
                <w:sz w:val="21"/>
                <w:szCs w:val="21"/>
                <w:lang w:val="fr-CA"/>
              </w:rPr>
              <w:t xml:space="preserve">375 </w:t>
            </w:r>
            <w:r w:rsidR="007717BB" w:rsidRPr="00582BC2">
              <w:rPr>
                <w:sz w:val="21"/>
                <w:szCs w:val="21"/>
                <w:lang w:val="fr-CA"/>
              </w:rPr>
              <w:t>059</w:t>
            </w:r>
          </w:p>
        </w:tc>
      </w:tr>
      <w:tr w:rsidR="007717BB" w:rsidRPr="00582BC2" w14:paraId="42747705" w14:textId="77777777" w:rsidTr="00D01FAE">
        <w:tc>
          <w:tcPr>
            <w:tcW w:w="901" w:type="pct"/>
          </w:tcPr>
          <w:p w14:paraId="38A3D188" w14:textId="6C936D47" w:rsidR="007717BB" w:rsidRPr="00582BC2" w:rsidRDefault="00B813B4" w:rsidP="007717BB">
            <w:pPr>
              <w:widowControl w:val="0"/>
              <w:rPr>
                <w:sz w:val="21"/>
                <w:szCs w:val="21"/>
                <w:lang w:val="fr-CA"/>
              </w:rPr>
            </w:pPr>
            <w:r w:rsidRPr="00582BC2">
              <w:rPr>
                <w:sz w:val="21"/>
                <w:szCs w:val="21"/>
                <w:lang w:val="fr-CA"/>
              </w:rPr>
              <w:t>Brésil</w:t>
            </w:r>
          </w:p>
        </w:tc>
        <w:tc>
          <w:tcPr>
            <w:tcW w:w="1177" w:type="pct"/>
          </w:tcPr>
          <w:p w14:paraId="7FAA2253" w14:textId="036A5F4C" w:rsidR="007717BB" w:rsidRPr="00582BC2" w:rsidRDefault="00B813B4" w:rsidP="007717BB">
            <w:pPr>
              <w:widowControl w:val="0"/>
              <w:rPr>
                <w:sz w:val="21"/>
                <w:szCs w:val="21"/>
                <w:lang w:val="fr-CA"/>
              </w:rPr>
            </w:pPr>
            <w:r w:rsidRPr="00582BC2">
              <w:rPr>
                <w:sz w:val="21"/>
                <w:szCs w:val="21"/>
                <w:lang w:val="fr-CA"/>
              </w:rPr>
              <w:t>Amérique latine</w:t>
            </w:r>
          </w:p>
        </w:tc>
        <w:tc>
          <w:tcPr>
            <w:tcW w:w="1174" w:type="pct"/>
          </w:tcPr>
          <w:p w14:paraId="3CF3B4C7" w14:textId="4339CFB8" w:rsidR="007717BB" w:rsidRPr="00582BC2" w:rsidRDefault="00F90F14" w:rsidP="007717BB">
            <w:pPr>
              <w:widowControl w:val="0"/>
              <w:rPr>
                <w:sz w:val="21"/>
                <w:szCs w:val="21"/>
                <w:lang w:val="fr-CA"/>
              </w:rPr>
            </w:pPr>
            <w:r w:rsidRPr="00582BC2">
              <w:rPr>
                <w:sz w:val="21"/>
                <w:szCs w:val="21"/>
                <w:lang w:val="fr-CA"/>
              </w:rPr>
              <w:t>PNUD</w:t>
            </w:r>
          </w:p>
        </w:tc>
        <w:tc>
          <w:tcPr>
            <w:tcW w:w="846" w:type="pct"/>
            <w:vAlign w:val="center"/>
          </w:tcPr>
          <w:p w14:paraId="6C6AFC0C" w14:textId="77777777" w:rsidR="007717BB" w:rsidRPr="00582BC2" w:rsidRDefault="007717BB" w:rsidP="00D01FAE">
            <w:pPr>
              <w:widowControl w:val="0"/>
              <w:jc w:val="center"/>
              <w:rPr>
                <w:sz w:val="21"/>
                <w:szCs w:val="21"/>
                <w:lang w:val="fr-CA"/>
              </w:rPr>
            </w:pPr>
            <w:r w:rsidRPr="00582BC2">
              <w:rPr>
                <w:sz w:val="21"/>
                <w:szCs w:val="21"/>
                <w:lang w:val="fr-CA"/>
              </w:rPr>
              <w:t>72</w:t>
            </w:r>
          </w:p>
        </w:tc>
        <w:tc>
          <w:tcPr>
            <w:tcW w:w="901" w:type="pct"/>
          </w:tcPr>
          <w:p w14:paraId="5F545CAE" w14:textId="6000731E" w:rsidR="007717BB" w:rsidRPr="00582BC2" w:rsidRDefault="00F90F14" w:rsidP="00D01FAE">
            <w:pPr>
              <w:widowControl w:val="0"/>
              <w:ind w:right="68"/>
              <w:jc w:val="right"/>
              <w:rPr>
                <w:sz w:val="21"/>
                <w:szCs w:val="21"/>
                <w:lang w:val="fr-CA"/>
              </w:rPr>
            </w:pPr>
            <w:r w:rsidRPr="00582BC2">
              <w:rPr>
                <w:sz w:val="21"/>
                <w:szCs w:val="21"/>
                <w:lang w:val="fr-CA"/>
              </w:rPr>
              <w:t xml:space="preserve">1 490 </w:t>
            </w:r>
            <w:r w:rsidR="007717BB" w:rsidRPr="00582BC2">
              <w:rPr>
                <w:sz w:val="21"/>
                <w:szCs w:val="21"/>
                <w:lang w:val="fr-CA"/>
              </w:rPr>
              <w:t>600</w:t>
            </w:r>
          </w:p>
        </w:tc>
      </w:tr>
      <w:tr w:rsidR="007717BB" w:rsidRPr="00582BC2" w14:paraId="21B78873" w14:textId="77777777" w:rsidTr="00D01FAE">
        <w:tc>
          <w:tcPr>
            <w:tcW w:w="901" w:type="pct"/>
          </w:tcPr>
          <w:p w14:paraId="0906E5AB" w14:textId="5B38D0A1" w:rsidR="007717BB" w:rsidRPr="00582BC2" w:rsidRDefault="00B813B4" w:rsidP="007717BB">
            <w:pPr>
              <w:widowControl w:val="0"/>
              <w:rPr>
                <w:sz w:val="21"/>
                <w:szCs w:val="21"/>
                <w:lang w:val="fr-CA"/>
              </w:rPr>
            </w:pPr>
            <w:r w:rsidRPr="00582BC2">
              <w:rPr>
                <w:sz w:val="21"/>
                <w:szCs w:val="21"/>
                <w:lang w:val="fr-CA"/>
              </w:rPr>
              <w:t>Colombie</w:t>
            </w:r>
          </w:p>
        </w:tc>
        <w:tc>
          <w:tcPr>
            <w:tcW w:w="1177" w:type="pct"/>
          </w:tcPr>
          <w:p w14:paraId="68A58558" w14:textId="6FC40C35" w:rsidR="007717BB" w:rsidRPr="00582BC2" w:rsidRDefault="00B813B4" w:rsidP="007717BB">
            <w:pPr>
              <w:widowControl w:val="0"/>
              <w:rPr>
                <w:sz w:val="21"/>
                <w:szCs w:val="21"/>
                <w:lang w:val="fr-CA"/>
              </w:rPr>
            </w:pPr>
            <w:r w:rsidRPr="00582BC2">
              <w:rPr>
                <w:sz w:val="21"/>
                <w:szCs w:val="21"/>
                <w:lang w:val="fr-CA"/>
              </w:rPr>
              <w:t>Amérique latine</w:t>
            </w:r>
          </w:p>
        </w:tc>
        <w:tc>
          <w:tcPr>
            <w:tcW w:w="1174" w:type="pct"/>
          </w:tcPr>
          <w:p w14:paraId="30F971F6" w14:textId="6181DDD2" w:rsidR="007717BB" w:rsidRPr="00582BC2" w:rsidRDefault="00F90F14" w:rsidP="007717BB">
            <w:pPr>
              <w:widowControl w:val="0"/>
              <w:rPr>
                <w:sz w:val="21"/>
                <w:szCs w:val="21"/>
                <w:lang w:val="fr-CA"/>
              </w:rPr>
            </w:pPr>
            <w:r w:rsidRPr="00582BC2">
              <w:rPr>
                <w:sz w:val="21"/>
                <w:szCs w:val="21"/>
                <w:lang w:val="fr-CA"/>
              </w:rPr>
              <w:t>PNUD</w:t>
            </w:r>
          </w:p>
        </w:tc>
        <w:tc>
          <w:tcPr>
            <w:tcW w:w="846" w:type="pct"/>
            <w:vAlign w:val="center"/>
          </w:tcPr>
          <w:p w14:paraId="6C95C0E8" w14:textId="77777777" w:rsidR="007717BB" w:rsidRPr="00582BC2" w:rsidRDefault="007717BB" w:rsidP="00D01FAE">
            <w:pPr>
              <w:widowControl w:val="0"/>
              <w:jc w:val="center"/>
              <w:rPr>
                <w:sz w:val="21"/>
                <w:szCs w:val="21"/>
                <w:lang w:val="fr-CA"/>
              </w:rPr>
            </w:pPr>
            <w:r w:rsidRPr="00582BC2">
              <w:rPr>
                <w:sz w:val="21"/>
                <w:szCs w:val="21"/>
                <w:lang w:val="fr-CA"/>
              </w:rPr>
              <w:t>66</w:t>
            </w:r>
          </w:p>
        </w:tc>
        <w:tc>
          <w:tcPr>
            <w:tcW w:w="901" w:type="pct"/>
          </w:tcPr>
          <w:p w14:paraId="48167C9E" w14:textId="33E8330E" w:rsidR="007717BB" w:rsidRPr="00582BC2" w:rsidRDefault="00F90F14" w:rsidP="00D01FAE">
            <w:pPr>
              <w:widowControl w:val="0"/>
              <w:ind w:right="68"/>
              <w:jc w:val="right"/>
              <w:rPr>
                <w:sz w:val="21"/>
                <w:szCs w:val="21"/>
                <w:lang w:val="fr-CA"/>
              </w:rPr>
            </w:pPr>
            <w:r w:rsidRPr="00582BC2">
              <w:rPr>
                <w:sz w:val="21"/>
                <w:szCs w:val="21"/>
                <w:lang w:val="fr-CA"/>
              </w:rPr>
              <w:t xml:space="preserve">1 195 </w:t>
            </w:r>
            <w:r w:rsidR="007717BB" w:rsidRPr="00582BC2">
              <w:rPr>
                <w:sz w:val="21"/>
                <w:szCs w:val="21"/>
                <w:lang w:val="fr-CA"/>
              </w:rPr>
              <w:t>000</w:t>
            </w:r>
          </w:p>
        </w:tc>
      </w:tr>
      <w:tr w:rsidR="007717BB" w:rsidRPr="00582BC2" w14:paraId="7D66E2F5" w14:textId="77777777" w:rsidTr="00D01FAE">
        <w:tc>
          <w:tcPr>
            <w:tcW w:w="901" w:type="pct"/>
            <w:vMerge w:val="restart"/>
          </w:tcPr>
          <w:p w14:paraId="18FA6F75" w14:textId="3DC96E8D" w:rsidR="007717BB" w:rsidRPr="00582BC2" w:rsidRDefault="00B813B4" w:rsidP="007717BB">
            <w:pPr>
              <w:widowControl w:val="0"/>
              <w:rPr>
                <w:sz w:val="21"/>
                <w:szCs w:val="21"/>
                <w:lang w:val="fr-CA"/>
              </w:rPr>
            </w:pPr>
            <w:r w:rsidRPr="00582BC2">
              <w:rPr>
                <w:sz w:val="21"/>
                <w:szCs w:val="21"/>
                <w:lang w:val="fr-CA"/>
              </w:rPr>
              <w:t>Chine</w:t>
            </w:r>
          </w:p>
        </w:tc>
        <w:tc>
          <w:tcPr>
            <w:tcW w:w="1177" w:type="pct"/>
            <w:vMerge w:val="restart"/>
          </w:tcPr>
          <w:p w14:paraId="5A92A083" w14:textId="70A9E873" w:rsidR="007717BB" w:rsidRPr="00582BC2" w:rsidRDefault="00B813B4" w:rsidP="007717BB">
            <w:pPr>
              <w:widowControl w:val="0"/>
              <w:rPr>
                <w:sz w:val="21"/>
                <w:szCs w:val="21"/>
                <w:lang w:val="fr-CA"/>
              </w:rPr>
            </w:pPr>
            <w:r w:rsidRPr="00582BC2">
              <w:rPr>
                <w:sz w:val="21"/>
                <w:szCs w:val="21"/>
                <w:lang w:val="fr-CA"/>
              </w:rPr>
              <w:t>Asie du Sud</w:t>
            </w:r>
          </w:p>
        </w:tc>
        <w:tc>
          <w:tcPr>
            <w:tcW w:w="1174" w:type="pct"/>
          </w:tcPr>
          <w:p w14:paraId="4624A698" w14:textId="43A47ADA" w:rsidR="007717BB" w:rsidRPr="00582BC2" w:rsidRDefault="00F90F14" w:rsidP="007717BB">
            <w:pPr>
              <w:widowControl w:val="0"/>
              <w:rPr>
                <w:sz w:val="21"/>
                <w:szCs w:val="21"/>
                <w:lang w:val="fr-CA"/>
              </w:rPr>
            </w:pPr>
            <w:r w:rsidRPr="00582BC2">
              <w:rPr>
                <w:sz w:val="21"/>
                <w:szCs w:val="21"/>
                <w:lang w:val="fr-CA"/>
              </w:rPr>
              <w:t>ONUDI</w:t>
            </w:r>
          </w:p>
        </w:tc>
        <w:tc>
          <w:tcPr>
            <w:tcW w:w="846" w:type="pct"/>
            <w:vAlign w:val="center"/>
          </w:tcPr>
          <w:p w14:paraId="0717E95E" w14:textId="77777777" w:rsidR="007717BB" w:rsidRPr="00582BC2" w:rsidRDefault="007717BB" w:rsidP="00D01FAE">
            <w:pPr>
              <w:widowControl w:val="0"/>
              <w:jc w:val="center"/>
              <w:rPr>
                <w:sz w:val="21"/>
                <w:szCs w:val="21"/>
                <w:lang w:val="fr-CA"/>
              </w:rPr>
            </w:pPr>
            <w:r w:rsidRPr="00582BC2">
              <w:rPr>
                <w:sz w:val="21"/>
                <w:szCs w:val="21"/>
                <w:lang w:val="fr-CA"/>
              </w:rPr>
              <w:t>67</w:t>
            </w:r>
          </w:p>
        </w:tc>
        <w:tc>
          <w:tcPr>
            <w:tcW w:w="901" w:type="pct"/>
          </w:tcPr>
          <w:p w14:paraId="3B606DF3" w14:textId="02B78D71" w:rsidR="007717BB" w:rsidRPr="00582BC2" w:rsidRDefault="00F90F14" w:rsidP="00D01FAE">
            <w:pPr>
              <w:widowControl w:val="0"/>
              <w:ind w:right="68"/>
              <w:jc w:val="right"/>
              <w:rPr>
                <w:sz w:val="21"/>
                <w:szCs w:val="21"/>
                <w:lang w:val="fr-CA"/>
              </w:rPr>
            </w:pPr>
            <w:r w:rsidRPr="00582BC2">
              <w:rPr>
                <w:sz w:val="21"/>
                <w:szCs w:val="21"/>
                <w:lang w:val="fr-CA"/>
              </w:rPr>
              <w:t xml:space="preserve">1, 27 </w:t>
            </w:r>
            <w:r w:rsidR="007717BB" w:rsidRPr="00582BC2">
              <w:rPr>
                <w:sz w:val="21"/>
                <w:szCs w:val="21"/>
                <w:lang w:val="fr-CA"/>
              </w:rPr>
              <w:t>885</w:t>
            </w:r>
          </w:p>
        </w:tc>
      </w:tr>
      <w:tr w:rsidR="007717BB" w:rsidRPr="00582BC2" w14:paraId="4ABBDC80" w14:textId="77777777" w:rsidTr="00D01FAE">
        <w:tc>
          <w:tcPr>
            <w:tcW w:w="901" w:type="pct"/>
            <w:vMerge/>
          </w:tcPr>
          <w:p w14:paraId="6F1DCF7B" w14:textId="77777777" w:rsidR="007717BB" w:rsidRPr="00582BC2" w:rsidRDefault="007717BB" w:rsidP="007717BB">
            <w:pPr>
              <w:widowControl w:val="0"/>
              <w:rPr>
                <w:sz w:val="21"/>
                <w:szCs w:val="21"/>
                <w:lang w:val="fr-CA"/>
              </w:rPr>
            </w:pPr>
          </w:p>
        </w:tc>
        <w:tc>
          <w:tcPr>
            <w:tcW w:w="1177" w:type="pct"/>
            <w:vMerge/>
          </w:tcPr>
          <w:p w14:paraId="65AD92E6" w14:textId="77777777" w:rsidR="007717BB" w:rsidRPr="00582BC2" w:rsidRDefault="007717BB" w:rsidP="007717BB">
            <w:pPr>
              <w:widowControl w:val="0"/>
              <w:rPr>
                <w:sz w:val="21"/>
                <w:szCs w:val="21"/>
                <w:lang w:val="fr-CA"/>
              </w:rPr>
            </w:pPr>
          </w:p>
        </w:tc>
        <w:tc>
          <w:tcPr>
            <w:tcW w:w="1174" w:type="pct"/>
          </w:tcPr>
          <w:p w14:paraId="4EE96D14" w14:textId="73D6FBAC" w:rsidR="007717BB" w:rsidRPr="00582BC2" w:rsidRDefault="00B813B4" w:rsidP="007717BB">
            <w:pPr>
              <w:widowControl w:val="0"/>
              <w:rPr>
                <w:sz w:val="21"/>
                <w:szCs w:val="21"/>
                <w:lang w:val="fr-CA"/>
              </w:rPr>
            </w:pPr>
            <w:r w:rsidRPr="00582BC2">
              <w:rPr>
                <w:sz w:val="21"/>
                <w:szCs w:val="21"/>
                <w:lang w:val="fr-CA"/>
              </w:rPr>
              <w:t>Japon</w:t>
            </w:r>
          </w:p>
        </w:tc>
        <w:tc>
          <w:tcPr>
            <w:tcW w:w="846" w:type="pct"/>
            <w:vAlign w:val="center"/>
          </w:tcPr>
          <w:p w14:paraId="6C0A64D7" w14:textId="77777777" w:rsidR="007717BB" w:rsidRPr="00582BC2" w:rsidRDefault="007717BB" w:rsidP="00D01FAE">
            <w:pPr>
              <w:widowControl w:val="0"/>
              <w:jc w:val="center"/>
              <w:rPr>
                <w:sz w:val="21"/>
                <w:szCs w:val="21"/>
                <w:lang w:val="fr-CA"/>
              </w:rPr>
            </w:pPr>
            <w:r w:rsidRPr="00582BC2">
              <w:rPr>
                <w:sz w:val="21"/>
                <w:szCs w:val="21"/>
                <w:lang w:val="fr-CA"/>
              </w:rPr>
              <w:t>67</w:t>
            </w:r>
          </w:p>
        </w:tc>
        <w:tc>
          <w:tcPr>
            <w:tcW w:w="901" w:type="pct"/>
          </w:tcPr>
          <w:p w14:paraId="65CB7E5E" w14:textId="2BD52C50" w:rsidR="007717BB" w:rsidRPr="00582BC2" w:rsidRDefault="00F90F14" w:rsidP="00D01FAE">
            <w:pPr>
              <w:widowControl w:val="0"/>
              <w:ind w:right="68"/>
              <w:jc w:val="right"/>
              <w:rPr>
                <w:sz w:val="21"/>
                <w:szCs w:val="21"/>
                <w:lang w:val="fr-CA"/>
              </w:rPr>
            </w:pPr>
            <w:r w:rsidRPr="00582BC2">
              <w:rPr>
                <w:sz w:val="21"/>
                <w:szCs w:val="21"/>
                <w:lang w:val="fr-CA"/>
              </w:rPr>
              <w:t xml:space="preserve">900 </w:t>
            </w:r>
            <w:r w:rsidR="007717BB" w:rsidRPr="00582BC2">
              <w:rPr>
                <w:sz w:val="21"/>
                <w:szCs w:val="21"/>
                <w:lang w:val="fr-CA"/>
              </w:rPr>
              <w:t>000</w:t>
            </w:r>
          </w:p>
        </w:tc>
      </w:tr>
      <w:tr w:rsidR="007717BB" w:rsidRPr="00582BC2" w14:paraId="44230D4A" w14:textId="77777777" w:rsidTr="00D01FAE">
        <w:tc>
          <w:tcPr>
            <w:tcW w:w="901" w:type="pct"/>
          </w:tcPr>
          <w:p w14:paraId="2406FA1C" w14:textId="77777777" w:rsidR="007717BB" w:rsidRPr="00582BC2" w:rsidRDefault="007717BB" w:rsidP="007717BB">
            <w:pPr>
              <w:widowControl w:val="0"/>
              <w:rPr>
                <w:sz w:val="21"/>
                <w:szCs w:val="21"/>
                <w:lang w:val="fr-CA"/>
              </w:rPr>
            </w:pPr>
            <w:r w:rsidRPr="00582BC2">
              <w:rPr>
                <w:sz w:val="21"/>
                <w:szCs w:val="21"/>
                <w:lang w:val="fr-CA"/>
              </w:rPr>
              <w:t>Cuba</w:t>
            </w:r>
          </w:p>
        </w:tc>
        <w:tc>
          <w:tcPr>
            <w:tcW w:w="1177" w:type="pct"/>
          </w:tcPr>
          <w:p w14:paraId="3AB5D552" w14:textId="3392B45D" w:rsidR="007717BB" w:rsidRPr="00582BC2" w:rsidRDefault="00B813B4" w:rsidP="007717BB">
            <w:pPr>
              <w:widowControl w:val="0"/>
              <w:rPr>
                <w:sz w:val="21"/>
                <w:szCs w:val="21"/>
                <w:lang w:val="fr-CA"/>
              </w:rPr>
            </w:pPr>
            <w:r w:rsidRPr="00582BC2">
              <w:rPr>
                <w:sz w:val="21"/>
                <w:szCs w:val="21"/>
                <w:lang w:val="fr-CA"/>
              </w:rPr>
              <w:t>Caraïbes</w:t>
            </w:r>
          </w:p>
        </w:tc>
        <w:tc>
          <w:tcPr>
            <w:tcW w:w="1174" w:type="pct"/>
          </w:tcPr>
          <w:p w14:paraId="6CC579C3" w14:textId="6273DBC5" w:rsidR="007717BB" w:rsidRPr="00582BC2" w:rsidRDefault="00F90F14" w:rsidP="007717BB">
            <w:pPr>
              <w:widowControl w:val="0"/>
              <w:rPr>
                <w:sz w:val="21"/>
                <w:szCs w:val="21"/>
                <w:lang w:val="fr-CA"/>
              </w:rPr>
            </w:pPr>
            <w:r w:rsidRPr="00582BC2">
              <w:rPr>
                <w:sz w:val="21"/>
                <w:szCs w:val="21"/>
                <w:lang w:val="fr-CA"/>
              </w:rPr>
              <w:t>PNUD</w:t>
            </w:r>
          </w:p>
        </w:tc>
        <w:tc>
          <w:tcPr>
            <w:tcW w:w="846" w:type="pct"/>
            <w:vAlign w:val="center"/>
          </w:tcPr>
          <w:p w14:paraId="6EDD18E9" w14:textId="77777777" w:rsidR="007717BB" w:rsidRPr="00582BC2" w:rsidRDefault="007717BB" w:rsidP="00D01FAE">
            <w:pPr>
              <w:widowControl w:val="0"/>
              <w:jc w:val="center"/>
              <w:rPr>
                <w:sz w:val="21"/>
                <w:szCs w:val="21"/>
                <w:lang w:val="fr-CA"/>
              </w:rPr>
            </w:pPr>
            <w:r w:rsidRPr="00582BC2">
              <w:rPr>
                <w:sz w:val="21"/>
                <w:szCs w:val="21"/>
                <w:lang w:val="fr-CA"/>
              </w:rPr>
              <w:t>62</w:t>
            </w:r>
          </w:p>
        </w:tc>
        <w:tc>
          <w:tcPr>
            <w:tcW w:w="901" w:type="pct"/>
          </w:tcPr>
          <w:p w14:paraId="33119237" w14:textId="3FE39B79" w:rsidR="007717BB" w:rsidRPr="00582BC2" w:rsidRDefault="00F90F14" w:rsidP="00D01FAE">
            <w:pPr>
              <w:widowControl w:val="0"/>
              <w:ind w:right="68"/>
              <w:jc w:val="right"/>
              <w:rPr>
                <w:sz w:val="21"/>
                <w:szCs w:val="21"/>
                <w:lang w:val="fr-CA"/>
              </w:rPr>
            </w:pPr>
            <w:r w:rsidRPr="00582BC2">
              <w:rPr>
                <w:sz w:val="21"/>
                <w:szCs w:val="21"/>
                <w:lang w:val="fr-CA"/>
              </w:rPr>
              <w:t xml:space="preserve">525 </w:t>
            </w:r>
            <w:r w:rsidR="007717BB" w:rsidRPr="00582BC2">
              <w:rPr>
                <w:sz w:val="21"/>
                <w:szCs w:val="21"/>
                <w:lang w:val="fr-CA"/>
              </w:rPr>
              <w:t>200</w:t>
            </w:r>
          </w:p>
        </w:tc>
      </w:tr>
      <w:tr w:rsidR="007717BB" w:rsidRPr="00582BC2" w14:paraId="0CA04B70" w14:textId="77777777" w:rsidTr="00D01FAE">
        <w:tc>
          <w:tcPr>
            <w:tcW w:w="901" w:type="pct"/>
            <w:vMerge w:val="restart"/>
          </w:tcPr>
          <w:p w14:paraId="0FC1AA66" w14:textId="1923E76B" w:rsidR="007717BB" w:rsidRPr="00582BC2" w:rsidRDefault="00E606BB" w:rsidP="007717BB">
            <w:pPr>
              <w:widowControl w:val="0"/>
              <w:rPr>
                <w:sz w:val="21"/>
                <w:szCs w:val="21"/>
                <w:lang w:val="fr-CA"/>
              </w:rPr>
            </w:pPr>
            <w:r w:rsidRPr="00582BC2">
              <w:rPr>
                <w:sz w:val="21"/>
                <w:szCs w:val="21"/>
                <w:lang w:val="fr-CA"/>
              </w:rPr>
              <w:t>Région : Europe</w:t>
            </w:r>
          </w:p>
        </w:tc>
        <w:tc>
          <w:tcPr>
            <w:tcW w:w="1177" w:type="pct"/>
            <w:vMerge w:val="restart"/>
          </w:tcPr>
          <w:p w14:paraId="13B2CEB8" w14:textId="77777777" w:rsidR="007717BB" w:rsidRPr="00582BC2" w:rsidRDefault="007717BB" w:rsidP="007717BB">
            <w:pPr>
              <w:widowControl w:val="0"/>
              <w:rPr>
                <w:sz w:val="21"/>
                <w:szCs w:val="21"/>
                <w:lang w:val="fr-CA"/>
              </w:rPr>
            </w:pPr>
            <w:r w:rsidRPr="00582BC2">
              <w:rPr>
                <w:sz w:val="21"/>
                <w:szCs w:val="21"/>
                <w:lang w:val="fr-CA"/>
              </w:rPr>
              <w:t>Europe</w:t>
            </w:r>
          </w:p>
        </w:tc>
        <w:tc>
          <w:tcPr>
            <w:tcW w:w="1174" w:type="pct"/>
          </w:tcPr>
          <w:p w14:paraId="4DB11D25" w14:textId="28E71B2F" w:rsidR="007717BB" w:rsidRPr="00582BC2" w:rsidRDefault="00F90F14" w:rsidP="007717BB">
            <w:pPr>
              <w:widowControl w:val="0"/>
              <w:rPr>
                <w:sz w:val="21"/>
                <w:szCs w:val="21"/>
                <w:lang w:val="fr-CA"/>
              </w:rPr>
            </w:pPr>
            <w:r w:rsidRPr="00582BC2">
              <w:rPr>
                <w:sz w:val="21"/>
                <w:szCs w:val="21"/>
                <w:lang w:val="fr-CA"/>
              </w:rPr>
              <w:t>PNUE</w:t>
            </w:r>
          </w:p>
        </w:tc>
        <w:tc>
          <w:tcPr>
            <w:tcW w:w="846" w:type="pct"/>
            <w:vAlign w:val="center"/>
          </w:tcPr>
          <w:p w14:paraId="1EB7E60A" w14:textId="77777777" w:rsidR="007717BB" w:rsidRPr="00582BC2" w:rsidRDefault="007717BB" w:rsidP="00D01FAE">
            <w:pPr>
              <w:widowControl w:val="0"/>
              <w:jc w:val="center"/>
              <w:rPr>
                <w:sz w:val="21"/>
                <w:szCs w:val="21"/>
                <w:lang w:val="fr-CA"/>
              </w:rPr>
            </w:pPr>
            <w:r w:rsidRPr="00582BC2">
              <w:rPr>
                <w:sz w:val="21"/>
                <w:szCs w:val="21"/>
                <w:lang w:val="fr-CA"/>
              </w:rPr>
              <w:t>69</w:t>
            </w:r>
          </w:p>
        </w:tc>
        <w:tc>
          <w:tcPr>
            <w:tcW w:w="901" w:type="pct"/>
          </w:tcPr>
          <w:p w14:paraId="1000E00F" w14:textId="6795BCFC" w:rsidR="007717BB" w:rsidRPr="00582BC2" w:rsidRDefault="00F90F14" w:rsidP="00D01FAE">
            <w:pPr>
              <w:widowControl w:val="0"/>
              <w:ind w:right="68"/>
              <w:jc w:val="right"/>
              <w:rPr>
                <w:sz w:val="21"/>
                <w:szCs w:val="21"/>
                <w:lang w:val="fr-CA"/>
              </w:rPr>
            </w:pPr>
            <w:r w:rsidRPr="00582BC2">
              <w:rPr>
                <w:sz w:val="21"/>
                <w:szCs w:val="21"/>
                <w:lang w:val="fr-CA"/>
              </w:rPr>
              <w:t xml:space="preserve">75 </w:t>
            </w:r>
            <w:r w:rsidR="007717BB" w:rsidRPr="00582BC2">
              <w:rPr>
                <w:sz w:val="21"/>
                <w:szCs w:val="21"/>
                <w:lang w:val="fr-CA"/>
              </w:rPr>
              <w:t>000</w:t>
            </w:r>
          </w:p>
        </w:tc>
      </w:tr>
      <w:tr w:rsidR="007717BB" w:rsidRPr="00582BC2" w14:paraId="0B2DFD9D" w14:textId="77777777" w:rsidTr="00D01FAE">
        <w:tc>
          <w:tcPr>
            <w:tcW w:w="901" w:type="pct"/>
            <w:vMerge/>
          </w:tcPr>
          <w:p w14:paraId="7C7AACB3" w14:textId="77777777" w:rsidR="007717BB" w:rsidRPr="00582BC2" w:rsidRDefault="007717BB" w:rsidP="007717BB">
            <w:pPr>
              <w:widowControl w:val="0"/>
              <w:rPr>
                <w:sz w:val="21"/>
                <w:szCs w:val="21"/>
                <w:lang w:val="fr-CA"/>
              </w:rPr>
            </w:pPr>
          </w:p>
        </w:tc>
        <w:tc>
          <w:tcPr>
            <w:tcW w:w="1177" w:type="pct"/>
            <w:vMerge/>
          </w:tcPr>
          <w:p w14:paraId="094044E5" w14:textId="77777777" w:rsidR="007717BB" w:rsidRPr="00582BC2" w:rsidRDefault="007717BB" w:rsidP="007717BB">
            <w:pPr>
              <w:widowControl w:val="0"/>
              <w:rPr>
                <w:sz w:val="21"/>
                <w:szCs w:val="21"/>
                <w:lang w:val="fr-CA"/>
              </w:rPr>
            </w:pPr>
          </w:p>
        </w:tc>
        <w:tc>
          <w:tcPr>
            <w:tcW w:w="1174" w:type="pct"/>
          </w:tcPr>
          <w:p w14:paraId="019FAE08" w14:textId="4DD8B6F0" w:rsidR="007717BB" w:rsidRPr="00582BC2" w:rsidRDefault="00F90F14" w:rsidP="007717BB">
            <w:pPr>
              <w:widowControl w:val="0"/>
              <w:rPr>
                <w:sz w:val="21"/>
                <w:szCs w:val="21"/>
                <w:lang w:val="fr-CA"/>
              </w:rPr>
            </w:pPr>
            <w:r w:rsidRPr="00582BC2">
              <w:rPr>
                <w:sz w:val="21"/>
                <w:szCs w:val="21"/>
                <w:lang w:val="fr-CA"/>
              </w:rPr>
              <w:t>ONUDI</w:t>
            </w:r>
          </w:p>
        </w:tc>
        <w:tc>
          <w:tcPr>
            <w:tcW w:w="846" w:type="pct"/>
            <w:vAlign w:val="center"/>
          </w:tcPr>
          <w:p w14:paraId="65E41C28" w14:textId="77777777" w:rsidR="007717BB" w:rsidRPr="00582BC2" w:rsidRDefault="007717BB" w:rsidP="00D01FAE">
            <w:pPr>
              <w:widowControl w:val="0"/>
              <w:jc w:val="center"/>
              <w:rPr>
                <w:sz w:val="21"/>
                <w:szCs w:val="21"/>
                <w:lang w:val="fr-CA"/>
              </w:rPr>
            </w:pPr>
            <w:r w:rsidRPr="00582BC2">
              <w:rPr>
                <w:sz w:val="21"/>
                <w:szCs w:val="21"/>
                <w:lang w:val="fr-CA"/>
              </w:rPr>
              <w:t>69</w:t>
            </w:r>
          </w:p>
        </w:tc>
        <w:tc>
          <w:tcPr>
            <w:tcW w:w="901" w:type="pct"/>
          </w:tcPr>
          <w:p w14:paraId="7B190DA9" w14:textId="28175F60" w:rsidR="007717BB" w:rsidRPr="00582BC2" w:rsidRDefault="00F90F14" w:rsidP="00D01FAE">
            <w:pPr>
              <w:widowControl w:val="0"/>
              <w:ind w:right="68"/>
              <w:jc w:val="right"/>
              <w:rPr>
                <w:sz w:val="21"/>
                <w:szCs w:val="21"/>
                <w:lang w:val="fr-CA"/>
              </w:rPr>
            </w:pPr>
            <w:r w:rsidRPr="00582BC2">
              <w:rPr>
                <w:sz w:val="21"/>
                <w:szCs w:val="21"/>
                <w:lang w:val="fr-CA"/>
              </w:rPr>
              <w:t xml:space="preserve">274 </w:t>
            </w:r>
            <w:r w:rsidR="007717BB" w:rsidRPr="00582BC2">
              <w:rPr>
                <w:sz w:val="21"/>
                <w:szCs w:val="21"/>
                <w:lang w:val="fr-CA"/>
              </w:rPr>
              <w:t>480</w:t>
            </w:r>
          </w:p>
        </w:tc>
      </w:tr>
      <w:tr w:rsidR="007717BB" w:rsidRPr="00582BC2" w14:paraId="4BDA1759" w14:textId="77777777" w:rsidTr="00D01FAE">
        <w:tc>
          <w:tcPr>
            <w:tcW w:w="901" w:type="pct"/>
          </w:tcPr>
          <w:p w14:paraId="7E673531" w14:textId="39E72C87" w:rsidR="007717BB" w:rsidRPr="00582BC2" w:rsidRDefault="00E606BB" w:rsidP="007717BB">
            <w:pPr>
              <w:widowControl w:val="0"/>
              <w:rPr>
                <w:sz w:val="21"/>
                <w:szCs w:val="21"/>
                <w:lang w:val="fr-CA"/>
              </w:rPr>
            </w:pPr>
            <w:r w:rsidRPr="00582BC2">
              <w:rPr>
                <w:sz w:val="21"/>
                <w:szCs w:val="21"/>
                <w:lang w:val="fr-CA"/>
              </w:rPr>
              <w:t>Géorgie</w:t>
            </w:r>
          </w:p>
        </w:tc>
        <w:tc>
          <w:tcPr>
            <w:tcW w:w="1177" w:type="pct"/>
          </w:tcPr>
          <w:p w14:paraId="58708BBD" w14:textId="77777777" w:rsidR="007717BB" w:rsidRPr="00582BC2" w:rsidRDefault="007717BB" w:rsidP="007717BB">
            <w:pPr>
              <w:widowControl w:val="0"/>
              <w:rPr>
                <w:sz w:val="21"/>
                <w:szCs w:val="21"/>
                <w:lang w:val="fr-CA"/>
              </w:rPr>
            </w:pPr>
            <w:r w:rsidRPr="00582BC2">
              <w:rPr>
                <w:sz w:val="21"/>
                <w:szCs w:val="21"/>
                <w:lang w:val="fr-CA"/>
              </w:rPr>
              <w:t>Europe</w:t>
            </w:r>
          </w:p>
        </w:tc>
        <w:tc>
          <w:tcPr>
            <w:tcW w:w="1174" w:type="pct"/>
          </w:tcPr>
          <w:p w14:paraId="70ADC413" w14:textId="7E1B7F22" w:rsidR="007717BB" w:rsidRPr="00582BC2" w:rsidRDefault="00F90F14" w:rsidP="007717BB">
            <w:pPr>
              <w:widowControl w:val="0"/>
              <w:rPr>
                <w:sz w:val="21"/>
                <w:szCs w:val="21"/>
                <w:lang w:val="fr-CA"/>
              </w:rPr>
            </w:pPr>
            <w:r w:rsidRPr="00582BC2">
              <w:rPr>
                <w:sz w:val="21"/>
                <w:szCs w:val="21"/>
                <w:lang w:val="fr-CA"/>
              </w:rPr>
              <w:t>PNUD</w:t>
            </w:r>
          </w:p>
        </w:tc>
        <w:tc>
          <w:tcPr>
            <w:tcW w:w="846" w:type="pct"/>
            <w:vAlign w:val="center"/>
          </w:tcPr>
          <w:p w14:paraId="5547F4C1" w14:textId="77777777" w:rsidR="007717BB" w:rsidRPr="00582BC2" w:rsidRDefault="007717BB" w:rsidP="00D01FAE">
            <w:pPr>
              <w:widowControl w:val="0"/>
              <w:jc w:val="center"/>
              <w:rPr>
                <w:sz w:val="21"/>
                <w:szCs w:val="21"/>
                <w:lang w:val="fr-CA"/>
              </w:rPr>
            </w:pPr>
            <w:r w:rsidRPr="00582BC2">
              <w:rPr>
                <w:sz w:val="21"/>
                <w:szCs w:val="21"/>
                <w:lang w:val="fr-CA"/>
              </w:rPr>
              <w:t>69</w:t>
            </w:r>
          </w:p>
        </w:tc>
        <w:tc>
          <w:tcPr>
            <w:tcW w:w="901" w:type="pct"/>
          </w:tcPr>
          <w:p w14:paraId="448560A9" w14:textId="17F0C981" w:rsidR="007717BB" w:rsidRPr="00582BC2" w:rsidRDefault="00F90F14" w:rsidP="00D01FAE">
            <w:pPr>
              <w:widowControl w:val="0"/>
              <w:ind w:right="68"/>
              <w:jc w:val="right"/>
              <w:rPr>
                <w:sz w:val="21"/>
                <w:szCs w:val="21"/>
                <w:lang w:val="fr-CA"/>
              </w:rPr>
            </w:pPr>
            <w:r w:rsidRPr="00582BC2">
              <w:rPr>
                <w:sz w:val="21"/>
                <w:szCs w:val="21"/>
                <w:lang w:val="fr-CA"/>
              </w:rPr>
              <w:t xml:space="preserve">55 </w:t>
            </w:r>
            <w:r w:rsidR="007717BB" w:rsidRPr="00582BC2">
              <w:rPr>
                <w:sz w:val="21"/>
                <w:szCs w:val="21"/>
                <w:lang w:val="fr-CA"/>
              </w:rPr>
              <w:t>264</w:t>
            </w:r>
          </w:p>
        </w:tc>
      </w:tr>
      <w:tr w:rsidR="007717BB" w:rsidRPr="00582BC2" w14:paraId="56FC67F5" w14:textId="77777777" w:rsidTr="00D01FAE">
        <w:tc>
          <w:tcPr>
            <w:tcW w:w="901" w:type="pct"/>
          </w:tcPr>
          <w:p w14:paraId="08BE9703" w14:textId="77777777" w:rsidR="007717BB" w:rsidRPr="00582BC2" w:rsidRDefault="007717BB" w:rsidP="007717BB">
            <w:pPr>
              <w:widowControl w:val="0"/>
              <w:rPr>
                <w:sz w:val="21"/>
                <w:szCs w:val="21"/>
                <w:lang w:val="fr-CA"/>
              </w:rPr>
            </w:pPr>
            <w:r w:rsidRPr="00582BC2">
              <w:rPr>
                <w:sz w:val="21"/>
                <w:szCs w:val="21"/>
                <w:lang w:val="fr-CA"/>
              </w:rPr>
              <w:t>Ghana</w:t>
            </w:r>
          </w:p>
        </w:tc>
        <w:tc>
          <w:tcPr>
            <w:tcW w:w="1177" w:type="pct"/>
          </w:tcPr>
          <w:p w14:paraId="12B4143A" w14:textId="23DD9818" w:rsidR="007717BB" w:rsidRPr="00582BC2" w:rsidRDefault="00E606BB" w:rsidP="007717BB">
            <w:pPr>
              <w:widowControl w:val="0"/>
              <w:rPr>
                <w:sz w:val="21"/>
                <w:szCs w:val="21"/>
                <w:lang w:val="fr-CA"/>
              </w:rPr>
            </w:pPr>
            <w:r w:rsidRPr="00582BC2">
              <w:rPr>
                <w:sz w:val="21"/>
                <w:szCs w:val="21"/>
                <w:lang w:val="fr-CA"/>
              </w:rPr>
              <w:t>Afrique</w:t>
            </w:r>
          </w:p>
        </w:tc>
        <w:tc>
          <w:tcPr>
            <w:tcW w:w="1174" w:type="pct"/>
          </w:tcPr>
          <w:p w14:paraId="2178A926" w14:textId="2E1510FF" w:rsidR="007717BB" w:rsidRPr="00582BC2" w:rsidRDefault="00F90F14" w:rsidP="007717BB">
            <w:pPr>
              <w:widowControl w:val="0"/>
              <w:rPr>
                <w:sz w:val="21"/>
                <w:szCs w:val="21"/>
                <w:lang w:val="fr-CA"/>
              </w:rPr>
            </w:pPr>
            <w:r w:rsidRPr="00582BC2">
              <w:rPr>
                <w:sz w:val="21"/>
                <w:szCs w:val="21"/>
                <w:lang w:val="fr-CA"/>
              </w:rPr>
              <w:t>PNUD</w:t>
            </w:r>
          </w:p>
        </w:tc>
        <w:tc>
          <w:tcPr>
            <w:tcW w:w="846" w:type="pct"/>
            <w:vAlign w:val="center"/>
          </w:tcPr>
          <w:p w14:paraId="2CFDD380" w14:textId="77777777" w:rsidR="007717BB" w:rsidRPr="00582BC2" w:rsidRDefault="007717BB" w:rsidP="00D01FAE">
            <w:pPr>
              <w:widowControl w:val="0"/>
              <w:jc w:val="center"/>
              <w:rPr>
                <w:sz w:val="21"/>
                <w:szCs w:val="21"/>
                <w:lang w:val="fr-CA"/>
              </w:rPr>
            </w:pPr>
            <w:r w:rsidRPr="00582BC2">
              <w:rPr>
                <w:sz w:val="21"/>
                <w:szCs w:val="21"/>
                <w:lang w:val="fr-CA"/>
              </w:rPr>
              <w:t>63</w:t>
            </w:r>
          </w:p>
        </w:tc>
        <w:tc>
          <w:tcPr>
            <w:tcW w:w="901" w:type="pct"/>
          </w:tcPr>
          <w:p w14:paraId="20A78DEC" w14:textId="414532E9" w:rsidR="007717BB" w:rsidRPr="00582BC2" w:rsidRDefault="00F90F14" w:rsidP="00D01FAE">
            <w:pPr>
              <w:widowControl w:val="0"/>
              <w:ind w:right="68"/>
              <w:jc w:val="right"/>
              <w:rPr>
                <w:sz w:val="21"/>
                <w:szCs w:val="21"/>
                <w:lang w:val="fr-CA"/>
              </w:rPr>
            </w:pPr>
            <w:r w:rsidRPr="00582BC2">
              <w:rPr>
                <w:sz w:val="21"/>
                <w:szCs w:val="21"/>
                <w:lang w:val="fr-CA"/>
              </w:rPr>
              <w:t xml:space="preserve">198 </w:t>
            </w:r>
            <w:r w:rsidR="007717BB" w:rsidRPr="00582BC2">
              <w:rPr>
                <w:sz w:val="21"/>
                <w:szCs w:val="21"/>
                <w:lang w:val="fr-CA"/>
              </w:rPr>
              <w:t>000</w:t>
            </w:r>
          </w:p>
        </w:tc>
      </w:tr>
      <w:tr w:rsidR="007717BB" w:rsidRPr="00582BC2" w14:paraId="1BFE24D7" w14:textId="77777777" w:rsidTr="00D01FAE">
        <w:tc>
          <w:tcPr>
            <w:tcW w:w="901" w:type="pct"/>
          </w:tcPr>
          <w:p w14:paraId="2C2CF7F3" w14:textId="5BCB2BFE" w:rsidR="007717BB" w:rsidRPr="00582BC2" w:rsidRDefault="00E606BB" w:rsidP="007717BB">
            <w:pPr>
              <w:widowControl w:val="0"/>
              <w:rPr>
                <w:sz w:val="21"/>
                <w:szCs w:val="21"/>
                <w:lang w:val="fr-CA"/>
              </w:rPr>
            </w:pPr>
            <w:r w:rsidRPr="00582BC2">
              <w:rPr>
                <w:sz w:val="21"/>
                <w:szCs w:val="21"/>
                <w:lang w:val="fr-CA"/>
              </w:rPr>
              <w:t>Mondial</w:t>
            </w:r>
            <w:r w:rsidR="007717BB" w:rsidRPr="00582BC2">
              <w:rPr>
                <w:sz w:val="21"/>
                <w:szCs w:val="21"/>
                <w:lang w:val="fr-CA"/>
              </w:rPr>
              <w:t>*</w:t>
            </w:r>
          </w:p>
        </w:tc>
        <w:tc>
          <w:tcPr>
            <w:tcW w:w="1177" w:type="pct"/>
          </w:tcPr>
          <w:p w14:paraId="5430E5DD" w14:textId="47DE11E9" w:rsidR="007717BB" w:rsidRPr="00582BC2" w:rsidRDefault="00E606BB" w:rsidP="007717BB">
            <w:pPr>
              <w:widowControl w:val="0"/>
              <w:rPr>
                <w:sz w:val="21"/>
                <w:szCs w:val="21"/>
                <w:lang w:val="fr-CA"/>
              </w:rPr>
            </w:pPr>
            <w:r w:rsidRPr="00582BC2">
              <w:rPr>
                <w:sz w:val="21"/>
                <w:szCs w:val="21"/>
                <w:lang w:val="fr-CA"/>
              </w:rPr>
              <w:t>Mondial</w:t>
            </w:r>
          </w:p>
        </w:tc>
        <w:tc>
          <w:tcPr>
            <w:tcW w:w="1174" w:type="pct"/>
          </w:tcPr>
          <w:p w14:paraId="72EF3F26" w14:textId="2E0CFBF4" w:rsidR="007717BB" w:rsidRPr="00582BC2" w:rsidRDefault="00E606BB" w:rsidP="00E606BB">
            <w:pPr>
              <w:widowControl w:val="0"/>
              <w:rPr>
                <w:sz w:val="21"/>
                <w:szCs w:val="21"/>
                <w:lang w:val="fr-CA"/>
              </w:rPr>
            </w:pPr>
            <w:r w:rsidRPr="00582BC2">
              <w:rPr>
                <w:sz w:val="21"/>
                <w:szCs w:val="21"/>
                <w:lang w:val="fr-CA"/>
              </w:rPr>
              <w:t>Banque mondiale</w:t>
            </w:r>
          </w:p>
        </w:tc>
        <w:tc>
          <w:tcPr>
            <w:tcW w:w="846" w:type="pct"/>
            <w:vAlign w:val="center"/>
          </w:tcPr>
          <w:p w14:paraId="5F569C46" w14:textId="77777777" w:rsidR="007717BB" w:rsidRPr="00582BC2" w:rsidRDefault="007717BB" w:rsidP="00D01FAE">
            <w:pPr>
              <w:widowControl w:val="0"/>
              <w:jc w:val="center"/>
              <w:rPr>
                <w:sz w:val="21"/>
                <w:szCs w:val="21"/>
                <w:lang w:val="fr-CA"/>
              </w:rPr>
            </w:pPr>
            <w:r w:rsidRPr="00582BC2">
              <w:rPr>
                <w:sz w:val="21"/>
                <w:szCs w:val="21"/>
                <w:lang w:val="fr-CA"/>
              </w:rPr>
              <w:t>55</w:t>
            </w:r>
          </w:p>
        </w:tc>
        <w:tc>
          <w:tcPr>
            <w:tcW w:w="901" w:type="pct"/>
          </w:tcPr>
          <w:p w14:paraId="18B612DB" w14:textId="37624A9D" w:rsidR="007717BB" w:rsidRPr="00582BC2" w:rsidRDefault="00F90F14" w:rsidP="00D01FAE">
            <w:pPr>
              <w:widowControl w:val="0"/>
              <w:ind w:right="68"/>
              <w:jc w:val="right"/>
              <w:rPr>
                <w:sz w:val="21"/>
                <w:szCs w:val="21"/>
                <w:lang w:val="fr-CA"/>
              </w:rPr>
            </w:pPr>
            <w:r w:rsidRPr="00582BC2">
              <w:rPr>
                <w:sz w:val="21"/>
                <w:szCs w:val="21"/>
                <w:lang w:val="fr-CA"/>
              </w:rPr>
              <w:t xml:space="preserve">250 </w:t>
            </w:r>
            <w:r w:rsidR="007717BB" w:rsidRPr="00582BC2">
              <w:rPr>
                <w:sz w:val="21"/>
                <w:szCs w:val="21"/>
                <w:lang w:val="fr-CA"/>
              </w:rPr>
              <w:t>000</w:t>
            </w:r>
          </w:p>
        </w:tc>
      </w:tr>
      <w:tr w:rsidR="007717BB" w:rsidRPr="00582BC2" w14:paraId="3822FCE3" w14:textId="77777777" w:rsidTr="00D01FAE">
        <w:tc>
          <w:tcPr>
            <w:tcW w:w="901" w:type="pct"/>
          </w:tcPr>
          <w:p w14:paraId="7FD8184E" w14:textId="039366BE" w:rsidR="007717BB" w:rsidRPr="00582BC2" w:rsidRDefault="00E606BB" w:rsidP="007717BB">
            <w:pPr>
              <w:widowControl w:val="0"/>
              <w:rPr>
                <w:sz w:val="21"/>
                <w:szCs w:val="21"/>
                <w:lang w:val="fr-CA"/>
              </w:rPr>
            </w:pPr>
            <w:r w:rsidRPr="00582BC2">
              <w:rPr>
                <w:sz w:val="21"/>
                <w:szCs w:val="21"/>
                <w:lang w:val="fr-CA"/>
              </w:rPr>
              <w:t>Liban</w:t>
            </w:r>
          </w:p>
        </w:tc>
        <w:tc>
          <w:tcPr>
            <w:tcW w:w="1177" w:type="pct"/>
          </w:tcPr>
          <w:p w14:paraId="20295E20" w14:textId="27215FF2" w:rsidR="007717BB" w:rsidRPr="00582BC2" w:rsidRDefault="00E606BB" w:rsidP="007717BB">
            <w:pPr>
              <w:widowControl w:val="0"/>
              <w:rPr>
                <w:sz w:val="21"/>
                <w:szCs w:val="21"/>
                <w:lang w:val="fr-CA"/>
              </w:rPr>
            </w:pPr>
            <w:r w:rsidRPr="00582BC2">
              <w:rPr>
                <w:sz w:val="21"/>
                <w:szCs w:val="21"/>
                <w:lang w:val="fr-CA"/>
              </w:rPr>
              <w:t>Asie de l’Ouest</w:t>
            </w:r>
          </w:p>
        </w:tc>
        <w:tc>
          <w:tcPr>
            <w:tcW w:w="1174" w:type="pct"/>
          </w:tcPr>
          <w:p w14:paraId="6E0CB9C7" w14:textId="255CCE4C" w:rsidR="007717BB" w:rsidRPr="00582BC2" w:rsidRDefault="00F90F14" w:rsidP="007717BB">
            <w:pPr>
              <w:widowControl w:val="0"/>
              <w:rPr>
                <w:sz w:val="21"/>
                <w:szCs w:val="21"/>
                <w:lang w:val="fr-CA"/>
              </w:rPr>
            </w:pPr>
            <w:r w:rsidRPr="00582BC2">
              <w:rPr>
                <w:sz w:val="21"/>
                <w:szCs w:val="21"/>
                <w:lang w:val="fr-CA"/>
              </w:rPr>
              <w:t>ONUDI</w:t>
            </w:r>
          </w:p>
        </w:tc>
        <w:tc>
          <w:tcPr>
            <w:tcW w:w="846" w:type="pct"/>
            <w:vAlign w:val="center"/>
          </w:tcPr>
          <w:p w14:paraId="7940046C" w14:textId="77777777" w:rsidR="007717BB" w:rsidRPr="00582BC2" w:rsidRDefault="007717BB" w:rsidP="00D01FAE">
            <w:pPr>
              <w:widowControl w:val="0"/>
              <w:jc w:val="center"/>
              <w:rPr>
                <w:sz w:val="21"/>
                <w:szCs w:val="21"/>
                <w:lang w:val="fr-CA"/>
              </w:rPr>
            </w:pPr>
            <w:r w:rsidRPr="00582BC2">
              <w:rPr>
                <w:sz w:val="21"/>
                <w:szCs w:val="21"/>
                <w:lang w:val="fr-CA"/>
              </w:rPr>
              <w:t>73</w:t>
            </w:r>
          </w:p>
        </w:tc>
        <w:tc>
          <w:tcPr>
            <w:tcW w:w="901" w:type="pct"/>
          </w:tcPr>
          <w:p w14:paraId="27F68A43" w14:textId="2028A069" w:rsidR="007717BB" w:rsidRPr="00582BC2" w:rsidRDefault="00F90F14" w:rsidP="00D01FAE">
            <w:pPr>
              <w:widowControl w:val="0"/>
              <w:ind w:right="68"/>
              <w:jc w:val="right"/>
              <w:rPr>
                <w:sz w:val="21"/>
                <w:szCs w:val="21"/>
                <w:lang w:val="fr-CA"/>
              </w:rPr>
            </w:pPr>
            <w:r w:rsidRPr="00582BC2">
              <w:rPr>
                <w:sz w:val="21"/>
                <w:szCs w:val="21"/>
                <w:lang w:val="fr-CA"/>
              </w:rPr>
              <w:t xml:space="preserve">123 </w:t>
            </w:r>
            <w:r w:rsidR="007717BB" w:rsidRPr="00582BC2">
              <w:rPr>
                <w:sz w:val="21"/>
                <w:szCs w:val="21"/>
                <w:lang w:val="fr-CA"/>
              </w:rPr>
              <w:t>475</w:t>
            </w:r>
          </w:p>
        </w:tc>
      </w:tr>
      <w:tr w:rsidR="007717BB" w:rsidRPr="00582BC2" w14:paraId="5C1FCF75" w14:textId="77777777" w:rsidTr="00D01FAE">
        <w:tc>
          <w:tcPr>
            <w:tcW w:w="901" w:type="pct"/>
            <w:vMerge w:val="restart"/>
          </w:tcPr>
          <w:p w14:paraId="314C746C" w14:textId="46C46A6D" w:rsidR="007717BB" w:rsidRPr="00582BC2" w:rsidRDefault="00E606BB" w:rsidP="007717BB">
            <w:pPr>
              <w:widowControl w:val="0"/>
              <w:rPr>
                <w:sz w:val="21"/>
                <w:szCs w:val="21"/>
                <w:lang w:val="fr-CA"/>
              </w:rPr>
            </w:pPr>
            <w:r w:rsidRPr="00582BC2">
              <w:rPr>
                <w:sz w:val="21"/>
                <w:szCs w:val="21"/>
                <w:lang w:val="fr-CA"/>
              </w:rPr>
              <w:t>Mexique</w:t>
            </w:r>
          </w:p>
        </w:tc>
        <w:tc>
          <w:tcPr>
            <w:tcW w:w="1177" w:type="pct"/>
            <w:vMerge w:val="restart"/>
          </w:tcPr>
          <w:p w14:paraId="5D1B128C" w14:textId="2DDBFC68" w:rsidR="007717BB" w:rsidRPr="00582BC2" w:rsidRDefault="00E606BB" w:rsidP="007717BB">
            <w:pPr>
              <w:widowControl w:val="0"/>
              <w:rPr>
                <w:sz w:val="21"/>
                <w:szCs w:val="21"/>
                <w:lang w:val="fr-CA"/>
              </w:rPr>
            </w:pPr>
            <w:r w:rsidRPr="00582BC2">
              <w:rPr>
                <w:sz w:val="21"/>
                <w:szCs w:val="21"/>
                <w:lang w:val="fr-CA"/>
              </w:rPr>
              <w:t>Amérique latine</w:t>
            </w:r>
          </w:p>
        </w:tc>
        <w:tc>
          <w:tcPr>
            <w:tcW w:w="1174" w:type="pct"/>
          </w:tcPr>
          <w:p w14:paraId="72A3715A" w14:textId="17D6F57D" w:rsidR="007717BB" w:rsidRPr="00582BC2" w:rsidRDefault="00F90F14" w:rsidP="007717BB">
            <w:pPr>
              <w:widowControl w:val="0"/>
              <w:rPr>
                <w:sz w:val="21"/>
                <w:szCs w:val="21"/>
                <w:lang w:val="fr-CA"/>
              </w:rPr>
            </w:pPr>
            <w:r w:rsidRPr="00582BC2">
              <w:rPr>
                <w:sz w:val="21"/>
                <w:szCs w:val="21"/>
                <w:lang w:val="fr-CA"/>
              </w:rPr>
              <w:t>ONUDI</w:t>
            </w:r>
          </w:p>
        </w:tc>
        <w:tc>
          <w:tcPr>
            <w:tcW w:w="846" w:type="pct"/>
            <w:vAlign w:val="center"/>
          </w:tcPr>
          <w:p w14:paraId="03408A80" w14:textId="77777777" w:rsidR="007717BB" w:rsidRPr="00582BC2" w:rsidRDefault="007717BB" w:rsidP="00D01FAE">
            <w:pPr>
              <w:widowControl w:val="0"/>
              <w:jc w:val="center"/>
              <w:rPr>
                <w:sz w:val="21"/>
                <w:szCs w:val="21"/>
                <w:lang w:val="fr-CA"/>
              </w:rPr>
            </w:pPr>
            <w:r w:rsidRPr="00582BC2">
              <w:rPr>
                <w:sz w:val="21"/>
                <w:szCs w:val="21"/>
                <w:lang w:val="fr-CA"/>
              </w:rPr>
              <w:t>63</w:t>
            </w:r>
          </w:p>
        </w:tc>
        <w:tc>
          <w:tcPr>
            <w:tcW w:w="901" w:type="pct"/>
          </w:tcPr>
          <w:p w14:paraId="5E0E0D44" w14:textId="4F7664B4" w:rsidR="007717BB" w:rsidRPr="00582BC2" w:rsidRDefault="00F90F14" w:rsidP="00D01FAE">
            <w:pPr>
              <w:widowControl w:val="0"/>
              <w:ind w:right="68"/>
              <w:jc w:val="right"/>
              <w:rPr>
                <w:sz w:val="21"/>
                <w:szCs w:val="21"/>
                <w:lang w:val="fr-CA"/>
              </w:rPr>
            </w:pPr>
            <w:r w:rsidRPr="00582BC2">
              <w:rPr>
                <w:sz w:val="21"/>
                <w:szCs w:val="21"/>
                <w:lang w:val="fr-CA"/>
              </w:rPr>
              <w:t xml:space="preserve">927 </w:t>
            </w:r>
            <w:r w:rsidR="007717BB" w:rsidRPr="00582BC2">
              <w:rPr>
                <w:sz w:val="21"/>
                <w:szCs w:val="21"/>
                <w:lang w:val="fr-CA"/>
              </w:rPr>
              <w:t>915</w:t>
            </w:r>
          </w:p>
        </w:tc>
      </w:tr>
      <w:tr w:rsidR="007717BB" w:rsidRPr="00582BC2" w14:paraId="198D859B" w14:textId="77777777" w:rsidTr="00D01FAE">
        <w:tc>
          <w:tcPr>
            <w:tcW w:w="901" w:type="pct"/>
            <w:vMerge/>
          </w:tcPr>
          <w:p w14:paraId="4B669F9C" w14:textId="77777777" w:rsidR="007717BB" w:rsidRPr="00582BC2" w:rsidRDefault="007717BB" w:rsidP="007717BB">
            <w:pPr>
              <w:widowControl w:val="0"/>
              <w:rPr>
                <w:sz w:val="21"/>
                <w:szCs w:val="21"/>
                <w:lang w:val="fr-CA"/>
              </w:rPr>
            </w:pPr>
          </w:p>
        </w:tc>
        <w:tc>
          <w:tcPr>
            <w:tcW w:w="1177" w:type="pct"/>
            <w:vMerge/>
          </w:tcPr>
          <w:p w14:paraId="3B05F0EC" w14:textId="77777777" w:rsidR="007717BB" w:rsidRPr="00582BC2" w:rsidRDefault="007717BB" w:rsidP="007717BB">
            <w:pPr>
              <w:widowControl w:val="0"/>
              <w:rPr>
                <w:sz w:val="21"/>
                <w:szCs w:val="21"/>
                <w:lang w:val="fr-CA"/>
              </w:rPr>
            </w:pPr>
          </w:p>
        </w:tc>
        <w:tc>
          <w:tcPr>
            <w:tcW w:w="1174" w:type="pct"/>
          </w:tcPr>
          <w:p w14:paraId="6DF871FC" w14:textId="77777777" w:rsidR="007717BB" w:rsidRPr="00582BC2" w:rsidRDefault="007717BB" w:rsidP="007717BB">
            <w:pPr>
              <w:widowControl w:val="0"/>
              <w:rPr>
                <w:sz w:val="21"/>
                <w:szCs w:val="21"/>
                <w:lang w:val="fr-CA"/>
              </w:rPr>
            </w:pPr>
            <w:r w:rsidRPr="00582BC2">
              <w:rPr>
                <w:sz w:val="21"/>
                <w:szCs w:val="21"/>
                <w:lang w:val="fr-CA"/>
              </w:rPr>
              <w:t>France</w:t>
            </w:r>
          </w:p>
        </w:tc>
        <w:tc>
          <w:tcPr>
            <w:tcW w:w="846" w:type="pct"/>
            <w:vAlign w:val="center"/>
          </w:tcPr>
          <w:p w14:paraId="6F39D218" w14:textId="77777777" w:rsidR="007717BB" w:rsidRPr="00582BC2" w:rsidRDefault="007717BB" w:rsidP="00D01FAE">
            <w:pPr>
              <w:widowControl w:val="0"/>
              <w:jc w:val="center"/>
              <w:rPr>
                <w:sz w:val="21"/>
                <w:szCs w:val="21"/>
                <w:lang w:val="fr-CA"/>
              </w:rPr>
            </w:pPr>
            <w:r w:rsidRPr="00582BC2">
              <w:rPr>
                <w:sz w:val="21"/>
                <w:szCs w:val="21"/>
                <w:lang w:val="fr-CA"/>
              </w:rPr>
              <w:t>63</w:t>
            </w:r>
          </w:p>
        </w:tc>
        <w:tc>
          <w:tcPr>
            <w:tcW w:w="901" w:type="pct"/>
          </w:tcPr>
          <w:p w14:paraId="183DE52C" w14:textId="49C492D0" w:rsidR="007717BB" w:rsidRPr="00582BC2" w:rsidRDefault="00F90F14" w:rsidP="00D01FAE">
            <w:pPr>
              <w:widowControl w:val="0"/>
              <w:ind w:right="68"/>
              <w:jc w:val="right"/>
              <w:rPr>
                <w:sz w:val="21"/>
                <w:szCs w:val="21"/>
                <w:lang w:val="fr-CA"/>
              </w:rPr>
            </w:pPr>
            <w:r w:rsidRPr="00582BC2">
              <w:rPr>
                <w:sz w:val="21"/>
                <w:szCs w:val="21"/>
                <w:lang w:val="fr-CA"/>
              </w:rPr>
              <w:t xml:space="preserve">500 </w:t>
            </w:r>
            <w:r w:rsidR="007717BB" w:rsidRPr="00582BC2">
              <w:rPr>
                <w:sz w:val="21"/>
                <w:szCs w:val="21"/>
                <w:lang w:val="fr-CA"/>
              </w:rPr>
              <w:t>000</w:t>
            </w:r>
          </w:p>
        </w:tc>
      </w:tr>
      <w:tr w:rsidR="007717BB" w:rsidRPr="00582BC2" w14:paraId="78F5A29C" w14:textId="77777777" w:rsidTr="00D01FAE">
        <w:tc>
          <w:tcPr>
            <w:tcW w:w="901" w:type="pct"/>
          </w:tcPr>
          <w:p w14:paraId="654B3CC2" w14:textId="1B2DDAA5" w:rsidR="007717BB" w:rsidRPr="00582BC2" w:rsidRDefault="00E606BB" w:rsidP="007717BB">
            <w:pPr>
              <w:widowControl w:val="0"/>
              <w:rPr>
                <w:sz w:val="21"/>
                <w:szCs w:val="21"/>
                <w:lang w:val="fr-CA"/>
              </w:rPr>
            </w:pPr>
            <w:r w:rsidRPr="00582BC2">
              <w:rPr>
                <w:sz w:val="21"/>
                <w:szCs w:val="21"/>
                <w:lang w:val="fr-CA"/>
              </w:rPr>
              <w:t>Né</w:t>
            </w:r>
            <w:r w:rsidR="007717BB" w:rsidRPr="00582BC2">
              <w:rPr>
                <w:sz w:val="21"/>
                <w:szCs w:val="21"/>
                <w:lang w:val="fr-CA"/>
              </w:rPr>
              <w:t>pal*</w:t>
            </w:r>
          </w:p>
        </w:tc>
        <w:tc>
          <w:tcPr>
            <w:tcW w:w="1177" w:type="pct"/>
          </w:tcPr>
          <w:p w14:paraId="1266DA30" w14:textId="46F12693" w:rsidR="007717BB" w:rsidRPr="00582BC2" w:rsidRDefault="00E606BB" w:rsidP="007717BB">
            <w:pPr>
              <w:widowControl w:val="0"/>
              <w:rPr>
                <w:sz w:val="21"/>
                <w:szCs w:val="21"/>
                <w:lang w:val="fr-CA"/>
              </w:rPr>
            </w:pPr>
            <w:r w:rsidRPr="00582BC2">
              <w:rPr>
                <w:sz w:val="21"/>
                <w:szCs w:val="21"/>
                <w:lang w:val="fr-CA"/>
              </w:rPr>
              <w:t>Asie du Sud</w:t>
            </w:r>
          </w:p>
        </w:tc>
        <w:tc>
          <w:tcPr>
            <w:tcW w:w="1174" w:type="pct"/>
          </w:tcPr>
          <w:p w14:paraId="0ECD12A5" w14:textId="46546D4D" w:rsidR="007717BB" w:rsidRPr="00582BC2" w:rsidRDefault="00F90F14" w:rsidP="007717BB">
            <w:pPr>
              <w:widowControl w:val="0"/>
              <w:rPr>
                <w:sz w:val="21"/>
                <w:szCs w:val="21"/>
                <w:lang w:val="fr-CA"/>
              </w:rPr>
            </w:pPr>
            <w:r w:rsidRPr="00582BC2">
              <w:rPr>
                <w:sz w:val="21"/>
                <w:szCs w:val="21"/>
                <w:lang w:val="fr-CA"/>
              </w:rPr>
              <w:t>PNUE</w:t>
            </w:r>
          </w:p>
        </w:tc>
        <w:tc>
          <w:tcPr>
            <w:tcW w:w="846" w:type="pct"/>
            <w:vAlign w:val="center"/>
          </w:tcPr>
          <w:p w14:paraId="6C51080D" w14:textId="77777777" w:rsidR="007717BB" w:rsidRPr="00582BC2" w:rsidRDefault="007717BB" w:rsidP="00D01FAE">
            <w:pPr>
              <w:widowControl w:val="0"/>
              <w:jc w:val="center"/>
              <w:rPr>
                <w:sz w:val="21"/>
                <w:szCs w:val="21"/>
                <w:lang w:val="fr-CA"/>
              </w:rPr>
            </w:pPr>
            <w:r w:rsidRPr="00582BC2">
              <w:rPr>
                <w:sz w:val="21"/>
                <w:szCs w:val="21"/>
                <w:lang w:val="fr-CA"/>
              </w:rPr>
              <w:t>59</w:t>
            </w:r>
          </w:p>
        </w:tc>
        <w:tc>
          <w:tcPr>
            <w:tcW w:w="901" w:type="pct"/>
          </w:tcPr>
          <w:p w14:paraId="7BAEB8D4" w14:textId="7B7A39C7" w:rsidR="007717BB" w:rsidRPr="00582BC2" w:rsidRDefault="00F90F14" w:rsidP="00D01FAE">
            <w:pPr>
              <w:widowControl w:val="0"/>
              <w:ind w:right="68"/>
              <w:jc w:val="right"/>
              <w:rPr>
                <w:sz w:val="21"/>
                <w:szCs w:val="21"/>
                <w:lang w:val="fr-CA"/>
              </w:rPr>
            </w:pPr>
            <w:r w:rsidRPr="00582BC2">
              <w:rPr>
                <w:sz w:val="21"/>
                <w:szCs w:val="21"/>
                <w:lang w:val="fr-CA"/>
              </w:rPr>
              <w:t xml:space="preserve">157 </w:t>
            </w:r>
            <w:r w:rsidR="007717BB" w:rsidRPr="00582BC2">
              <w:rPr>
                <w:sz w:val="21"/>
                <w:szCs w:val="21"/>
                <w:lang w:val="fr-CA"/>
              </w:rPr>
              <w:t>200</w:t>
            </w:r>
          </w:p>
        </w:tc>
      </w:tr>
      <w:tr w:rsidR="007717BB" w:rsidRPr="00582BC2" w14:paraId="772A934A" w14:textId="77777777" w:rsidTr="00D01FAE">
        <w:tc>
          <w:tcPr>
            <w:tcW w:w="901" w:type="pct"/>
          </w:tcPr>
          <w:p w14:paraId="026C35C8" w14:textId="77777777" w:rsidR="007717BB" w:rsidRPr="00582BC2" w:rsidRDefault="007717BB" w:rsidP="007717BB">
            <w:pPr>
              <w:widowControl w:val="0"/>
              <w:rPr>
                <w:sz w:val="21"/>
                <w:szCs w:val="21"/>
                <w:lang w:val="fr-CA"/>
              </w:rPr>
            </w:pPr>
            <w:r w:rsidRPr="00582BC2">
              <w:rPr>
                <w:sz w:val="21"/>
                <w:szCs w:val="21"/>
                <w:lang w:val="fr-CA"/>
              </w:rPr>
              <w:t>Nigeria</w:t>
            </w:r>
          </w:p>
        </w:tc>
        <w:tc>
          <w:tcPr>
            <w:tcW w:w="1177" w:type="pct"/>
          </w:tcPr>
          <w:p w14:paraId="0C57FDEB" w14:textId="2C81875B" w:rsidR="007717BB" w:rsidRPr="00582BC2" w:rsidRDefault="00E606BB" w:rsidP="007717BB">
            <w:pPr>
              <w:widowControl w:val="0"/>
              <w:rPr>
                <w:sz w:val="21"/>
                <w:szCs w:val="21"/>
                <w:lang w:val="fr-CA"/>
              </w:rPr>
            </w:pPr>
            <w:r w:rsidRPr="00582BC2">
              <w:rPr>
                <w:sz w:val="21"/>
                <w:szCs w:val="21"/>
                <w:lang w:val="fr-CA"/>
              </w:rPr>
              <w:t>Afrique</w:t>
            </w:r>
          </w:p>
        </w:tc>
        <w:tc>
          <w:tcPr>
            <w:tcW w:w="1174" w:type="pct"/>
          </w:tcPr>
          <w:p w14:paraId="26B4E60F" w14:textId="54BAB2F7" w:rsidR="007717BB" w:rsidRPr="00582BC2" w:rsidRDefault="00F90F14" w:rsidP="007717BB">
            <w:pPr>
              <w:widowControl w:val="0"/>
              <w:rPr>
                <w:sz w:val="21"/>
                <w:szCs w:val="21"/>
                <w:lang w:val="fr-CA"/>
              </w:rPr>
            </w:pPr>
            <w:r w:rsidRPr="00582BC2">
              <w:rPr>
                <w:sz w:val="21"/>
                <w:szCs w:val="21"/>
                <w:lang w:val="fr-CA"/>
              </w:rPr>
              <w:t>ONUDI</w:t>
            </w:r>
          </w:p>
        </w:tc>
        <w:tc>
          <w:tcPr>
            <w:tcW w:w="846" w:type="pct"/>
            <w:vAlign w:val="center"/>
          </w:tcPr>
          <w:p w14:paraId="04EA9513" w14:textId="77777777" w:rsidR="007717BB" w:rsidRPr="00582BC2" w:rsidRDefault="007717BB" w:rsidP="00D01FAE">
            <w:pPr>
              <w:widowControl w:val="0"/>
              <w:jc w:val="center"/>
              <w:rPr>
                <w:sz w:val="21"/>
                <w:szCs w:val="21"/>
                <w:lang w:val="fr-CA"/>
              </w:rPr>
            </w:pPr>
            <w:r w:rsidRPr="00582BC2">
              <w:rPr>
                <w:sz w:val="21"/>
                <w:szCs w:val="21"/>
                <w:lang w:val="fr-CA"/>
              </w:rPr>
              <w:t>67</w:t>
            </w:r>
          </w:p>
        </w:tc>
        <w:tc>
          <w:tcPr>
            <w:tcW w:w="901" w:type="pct"/>
          </w:tcPr>
          <w:p w14:paraId="3665B702" w14:textId="094237C5" w:rsidR="007717BB" w:rsidRPr="00582BC2" w:rsidRDefault="00F90F14" w:rsidP="00D01FAE">
            <w:pPr>
              <w:widowControl w:val="0"/>
              <w:ind w:right="68"/>
              <w:jc w:val="right"/>
              <w:rPr>
                <w:sz w:val="21"/>
                <w:szCs w:val="21"/>
                <w:lang w:val="fr-CA"/>
              </w:rPr>
            </w:pPr>
            <w:r w:rsidRPr="00582BC2">
              <w:rPr>
                <w:sz w:val="21"/>
                <w:szCs w:val="21"/>
                <w:lang w:val="fr-CA"/>
              </w:rPr>
              <w:t xml:space="preserve">911 </w:t>
            </w:r>
            <w:r w:rsidR="007717BB" w:rsidRPr="00582BC2">
              <w:rPr>
                <w:sz w:val="21"/>
                <w:szCs w:val="21"/>
                <w:lang w:val="fr-CA"/>
              </w:rPr>
              <w:t>724</w:t>
            </w:r>
          </w:p>
        </w:tc>
      </w:tr>
      <w:tr w:rsidR="007717BB" w:rsidRPr="00582BC2" w14:paraId="091E520C" w14:textId="77777777" w:rsidTr="00D01FAE">
        <w:tc>
          <w:tcPr>
            <w:tcW w:w="901" w:type="pct"/>
          </w:tcPr>
          <w:p w14:paraId="37617206" w14:textId="1B8A42EF" w:rsidR="007717BB" w:rsidRPr="00582BC2" w:rsidRDefault="00E606BB" w:rsidP="007717BB">
            <w:pPr>
              <w:widowControl w:val="0"/>
              <w:rPr>
                <w:sz w:val="21"/>
                <w:szCs w:val="21"/>
                <w:lang w:val="fr-CA"/>
              </w:rPr>
            </w:pPr>
            <w:r w:rsidRPr="00582BC2">
              <w:rPr>
                <w:sz w:val="21"/>
                <w:szCs w:val="21"/>
                <w:lang w:val="fr-CA"/>
              </w:rPr>
              <w:t>Turquie</w:t>
            </w:r>
          </w:p>
        </w:tc>
        <w:tc>
          <w:tcPr>
            <w:tcW w:w="1177" w:type="pct"/>
          </w:tcPr>
          <w:p w14:paraId="306018A3" w14:textId="77777777" w:rsidR="007717BB" w:rsidRPr="00582BC2" w:rsidRDefault="007717BB" w:rsidP="007717BB">
            <w:pPr>
              <w:widowControl w:val="0"/>
              <w:rPr>
                <w:sz w:val="21"/>
                <w:szCs w:val="21"/>
                <w:lang w:val="fr-CA"/>
              </w:rPr>
            </w:pPr>
            <w:r w:rsidRPr="00582BC2">
              <w:rPr>
                <w:sz w:val="21"/>
                <w:szCs w:val="21"/>
                <w:lang w:val="fr-CA"/>
              </w:rPr>
              <w:t>Europe</w:t>
            </w:r>
          </w:p>
        </w:tc>
        <w:tc>
          <w:tcPr>
            <w:tcW w:w="1174" w:type="pct"/>
          </w:tcPr>
          <w:p w14:paraId="719DF17D" w14:textId="0DEDF3A0" w:rsidR="007717BB" w:rsidRPr="00582BC2" w:rsidRDefault="00F90F14" w:rsidP="007717BB">
            <w:pPr>
              <w:widowControl w:val="0"/>
              <w:rPr>
                <w:sz w:val="21"/>
                <w:szCs w:val="21"/>
                <w:lang w:val="fr-CA"/>
              </w:rPr>
            </w:pPr>
            <w:r w:rsidRPr="00582BC2">
              <w:rPr>
                <w:sz w:val="21"/>
                <w:szCs w:val="21"/>
                <w:lang w:val="fr-CA"/>
              </w:rPr>
              <w:t>ONUDI</w:t>
            </w:r>
          </w:p>
        </w:tc>
        <w:tc>
          <w:tcPr>
            <w:tcW w:w="846" w:type="pct"/>
            <w:vAlign w:val="center"/>
          </w:tcPr>
          <w:p w14:paraId="5346452A" w14:textId="77777777" w:rsidR="007717BB" w:rsidRPr="00582BC2" w:rsidRDefault="007717BB" w:rsidP="00D01FAE">
            <w:pPr>
              <w:widowControl w:val="0"/>
              <w:jc w:val="center"/>
              <w:rPr>
                <w:sz w:val="21"/>
                <w:szCs w:val="21"/>
                <w:lang w:val="fr-CA"/>
              </w:rPr>
            </w:pPr>
            <w:r w:rsidRPr="00582BC2">
              <w:rPr>
                <w:sz w:val="21"/>
                <w:szCs w:val="21"/>
                <w:lang w:val="fr-CA"/>
              </w:rPr>
              <w:t>66</w:t>
            </w:r>
          </w:p>
        </w:tc>
        <w:tc>
          <w:tcPr>
            <w:tcW w:w="901" w:type="pct"/>
          </w:tcPr>
          <w:p w14:paraId="49D846BB" w14:textId="20C4B099" w:rsidR="007717BB" w:rsidRPr="00582BC2" w:rsidRDefault="00F90F14" w:rsidP="00D01FAE">
            <w:pPr>
              <w:widowControl w:val="0"/>
              <w:ind w:right="68"/>
              <w:jc w:val="right"/>
              <w:rPr>
                <w:sz w:val="21"/>
                <w:szCs w:val="21"/>
                <w:lang w:val="fr-CA"/>
              </w:rPr>
            </w:pPr>
            <w:r w:rsidRPr="00582BC2">
              <w:rPr>
                <w:sz w:val="21"/>
                <w:szCs w:val="21"/>
                <w:lang w:val="fr-CA"/>
              </w:rPr>
              <w:t xml:space="preserve">1 076 </w:t>
            </w:r>
            <w:r w:rsidR="007717BB" w:rsidRPr="00582BC2">
              <w:rPr>
                <w:sz w:val="21"/>
                <w:szCs w:val="21"/>
                <w:lang w:val="fr-CA"/>
              </w:rPr>
              <w:t>250</w:t>
            </w:r>
          </w:p>
        </w:tc>
      </w:tr>
      <w:tr w:rsidR="007717BB" w:rsidRPr="00582BC2" w14:paraId="4D0EE9CA" w14:textId="77777777" w:rsidTr="007717BB">
        <w:tc>
          <w:tcPr>
            <w:tcW w:w="901" w:type="pct"/>
          </w:tcPr>
          <w:p w14:paraId="6B3E4F3A" w14:textId="275A6532" w:rsidR="007717BB" w:rsidRPr="00582BC2" w:rsidRDefault="007717BB" w:rsidP="00AC13D3">
            <w:pPr>
              <w:widowControl w:val="0"/>
              <w:rPr>
                <w:b/>
                <w:sz w:val="21"/>
                <w:szCs w:val="21"/>
                <w:lang w:val="fr-CA"/>
              </w:rPr>
            </w:pPr>
            <w:r w:rsidRPr="00582BC2">
              <w:rPr>
                <w:b/>
                <w:sz w:val="21"/>
                <w:szCs w:val="21"/>
                <w:lang w:val="fr-CA"/>
              </w:rPr>
              <w:t>T</w:t>
            </w:r>
            <w:r w:rsidR="00AC13D3" w:rsidRPr="00582BC2">
              <w:rPr>
                <w:b/>
                <w:sz w:val="21"/>
                <w:szCs w:val="21"/>
                <w:lang w:val="fr-CA"/>
              </w:rPr>
              <w:t>otal</w:t>
            </w:r>
          </w:p>
        </w:tc>
        <w:tc>
          <w:tcPr>
            <w:tcW w:w="1177" w:type="pct"/>
          </w:tcPr>
          <w:p w14:paraId="50725F1A" w14:textId="77777777" w:rsidR="007717BB" w:rsidRPr="00582BC2" w:rsidRDefault="007717BB" w:rsidP="007717BB">
            <w:pPr>
              <w:widowControl w:val="0"/>
              <w:rPr>
                <w:sz w:val="21"/>
                <w:szCs w:val="21"/>
                <w:lang w:val="fr-CA"/>
              </w:rPr>
            </w:pPr>
          </w:p>
        </w:tc>
        <w:tc>
          <w:tcPr>
            <w:tcW w:w="1174" w:type="pct"/>
          </w:tcPr>
          <w:p w14:paraId="4EB74C2D" w14:textId="77777777" w:rsidR="007717BB" w:rsidRPr="00582BC2" w:rsidRDefault="007717BB" w:rsidP="007717BB">
            <w:pPr>
              <w:widowControl w:val="0"/>
              <w:rPr>
                <w:sz w:val="21"/>
                <w:szCs w:val="21"/>
                <w:lang w:val="fr-CA"/>
              </w:rPr>
            </w:pPr>
          </w:p>
        </w:tc>
        <w:tc>
          <w:tcPr>
            <w:tcW w:w="846" w:type="pct"/>
          </w:tcPr>
          <w:p w14:paraId="68F22B1E" w14:textId="77777777" w:rsidR="007717BB" w:rsidRPr="00582BC2" w:rsidRDefault="007717BB" w:rsidP="007717BB">
            <w:pPr>
              <w:widowControl w:val="0"/>
              <w:jc w:val="center"/>
              <w:rPr>
                <w:sz w:val="21"/>
                <w:szCs w:val="21"/>
                <w:lang w:val="fr-CA"/>
              </w:rPr>
            </w:pPr>
          </w:p>
        </w:tc>
        <w:tc>
          <w:tcPr>
            <w:tcW w:w="901" w:type="pct"/>
          </w:tcPr>
          <w:p w14:paraId="2D6D16C2" w14:textId="038F7124" w:rsidR="007717BB" w:rsidRPr="00582BC2" w:rsidRDefault="00F90F14" w:rsidP="00D01FAE">
            <w:pPr>
              <w:widowControl w:val="0"/>
              <w:ind w:right="68"/>
              <w:jc w:val="right"/>
              <w:rPr>
                <w:b/>
                <w:sz w:val="21"/>
                <w:szCs w:val="21"/>
                <w:lang w:val="fr-CA"/>
              </w:rPr>
            </w:pPr>
            <w:r w:rsidRPr="00582BC2">
              <w:rPr>
                <w:b/>
                <w:sz w:val="21"/>
                <w:szCs w:val="21"/>
                <w:lang w:val="fr-CA"/>
              </w:rPr>
              <w:t xml:space="preserve">11 528 </w:t>
            </w:r>
            <w:r w:rsidR="007717BB" w:rsidRPr="00582BC2">
              <w:rPr>
                <w:b/>
                <w:sz w:val="21"/>
                <w:szCs w:val="21"/>
                <w:lang w:val="fr-CA"/>
              </w:rPr>
              <w:t>052</w:t>
            </w:r>
          </w:p>
        </w:tc>
      </w:tr>
    </w:tbl>
    <w:p w14:paraId="502BD801" w14:textId="6F4F04B4" w:rsidR="007717BB" w:rsidRPr="00582BC2" w:rsidRDefault="007717BB" w:rsidP="007717BB">
      <w:pPr>
        <w:pStyle w:val="Heading1"/>
        <w:widowControl w:val="0"/>
        <w:numPr>
          <w:ilvl w:val="0"/>
          <w:numId w:val="0"/>
        </w:numPr>
        <w:rPr>
          <w:sz w:val="20"/>
          <w:szCs w:val="20"/>
          <w:lang w:val="fr-CA"/>
        </w:rPr>
      </w:pPr>
      <w:r w:rsidRPr="00582BC2">
        <w:rPr>
          <w:sz w:val="20"/>
          <w:szCs w:val="20"/>
          <w:lang w:val="fr-CA"/>
        </w:rPr>
        <w:t>*</w:t>
      </w:r>
      <w:r w:rsidR="00E606BB" w:rsidRPr="00582BC2">
        <w:rPr>
          <w:sz w:val="20"/>
          <w:szCs w:val="20"/>
          <w:lang w:val="fr-CA"/>
        </w:rPr>
        <w:t>Assistance technique</w:t>
      </w:r>
    </w:p>
    <w:p w14:paraId="3D0A6E3D" w14:textId="294C8468" w:rsidR="007717BB" w:rsidRPr="00582BC2" w:rsidRDefault="00192D49" w:rsidP="007717BB">
      <w:pPr>
        <w:pStyle w:val="Heading1"/>
        <w:rPr>
          <w:lang w:val="fr-CA"/>
        </w:rPr>
      </w:pPr>
      <w:r>
        <w:rPr>
          <w:lang w:val="fr-CA"/>
        </w:rPr>
        <w:t>Un</w:t>
      </w:r>
      <w:r w:rsidR="00E606BB" w:rsidRPr="00582BC2">
        <w:rPr>
          <w:lang w:val="fr-CA"/>
        </w:rPr>
        <w:t xml:space="preserve"> rapport final </w:t>
      </w:r>
      <w:r w:rsidR="00D04690">
        <w:rPr>
          <w:lang w:val="fr-CA"/>
        </w:rPr>
        <w:t>a été exigé</w:t>
      </w:r>
      <w:r>
        <w:rPr>
          <w:lang w:val="fr-CA"/>
        </w:rPr>
        <w:t xml:space="preserve"> pour tous les projets. Il devait porter sur </w:t>
      </w:r>
      <w:r w:rsidR="00E606BB" w:rsidRPr="00582BC2">
        <w:rPr>
          <w:lang w:val="fr-CA"/>
        </w:rPr>
        <w:t xml:space="preserve">les quantités des différentes SAO recueillies, transportées, stockées et détruites, ainsi que les arrangements financiers, de gestion et de cofinancement, et toute autre question pertinente à la mise en œuvre des projets. Conformément aux lignes </w:t>
      </w:r>
      <w:r w:rsidR="00E606BB" w:rsidRPr="00582BC2">
        <w:rPr>
          <w:lang w:val="fr-CA"/>
        </w:rPr>
        <w:lastRenderedPageBreak/>
        <w:t>directrices provisoires, le Secrétariat a examiné les projet</w:t>
      </w:r>
      <w:r>
        <w:rPr>
          <w:lang w:val="fr-CA"/>
        </w:rPr>
        <w:t>s</w:t>
      </w:r>
      <w:r w:rsidR="00E606BB" w:rsidRPr="00582BC2">
        <w:rPr>
          <w:lang w:val="fr-CA"/>
        </w:rPr>
        <w:t xml:space="preserve"> et remis un rapport à cet égard aux 64</w:t>
      </w:r>
      <w:r w:rsidR="00E606BB" w:rsidRPr="00582BC2">
        <w:rPr>
          <w:vertAlign w:val="superscript"/>
          <w:lang w:val="fr-CA"/>
        </w:rPr>
        <w:t>e</w:t>
      </w:r>
      <w:r w:rsidR="00D04690">
        <w:rPr>
          <w:lang w:val="fr-CA"/>
        </w:rPr>
        <w:t xml:space="preserve"> </w:t>
      </w:r>
      <w:r w:rsidR="007717BB" w:rsidRPr="00582BC2">
        <w:rPr>
          <w:rStyle w:val="FootnoteReference"/>
          <w:lang w:val="fr-CA"/>
        </w:rPr>
        <w:footnoteReference w:id="21"/>
      </w:r>
      <w:r w:rsidR="00E606BB" w:rsidRPr="00582BC2">
        <w:rPr>
          <w:lang w:val="fr-CA"/>
        </w:rPr>
        <w:t xml:space="preserve"> et 70</w:t>
      </w:r>
      <w:r w:rsidR="00E606BB" w:rsidRPr="00582BC2">
        <w:rPr>
          <w:vertAlign w:val="superscript"/>
          <w:lang w:val="fr-CA"/>
        </w:rPr>
        <w:t>e</w:t>
      </w:r>
      <w:r w:rsidR="00D04690">
        <w:rPr>
          <w:lang w:val="fr-CA"/>
        </w:rPr>
        <w:t> </w:t>
      </w:r>
      <w:r w:rsidR="00E606BB" w:rsidRPr="00582BC2">
        <w:rPr>
          <w:lang w:val="fr-CA"/>
        </w:rPr>
        <w:t>réunions</w:t>
      </w:r>
      <w:r w:rsidR="007717BB" w:rsidRPr="00582BC2">
        <w:rPr>
          <w:lang w:val="fr-CA"/>
        </w:rPr>
        <w:t>.</w:t>
      </w:r>
      <w:r w:rsidR="00462F03" w:rsidRPr="00582BC2">
        <w:rPr>
          <w:vertAlign w:val="superscript"/>
          <w:lang w:val="fr-CA"/>
        </w:rPr>
        <w:footnoteReference w:id="22"/>
      </w:r>
    </w:p>
    <w:p w14:paraId="5433E5C3" w14:textId="4A8102AB" w:rsidR="007717BB" w:rsidRPr="00582BC2" w:rsidRDefault="00E606BB" w:rsidP="007717BB">
      <w:pPr>
        <w:pStyle w:val="Heading1"/>
        <w:rPr>
          <w:lang w:val="fr-CA"/>
        </w:rPr>
      </w:pPr>
      <w:r w:rsidRPr="00582BC2">
        <w:rPr>
          <w:lang w:val="fr-CA"/>
        </w:rPr>
        <w:t xml:space="preserve">Les difficultés suivantes ont été observées </w:t>
      </w:r>
      <w:r w:rsidR="00D04690">
        <w:rPr>
          <w:lang w:val="fr-CA"/>
        </w:rPr>
        <w:t>lors de</w:t>
      </w:r>
      <w:r w:rsidR="006B0FAF" w:rsidRPr="00582BC2">
        <w:rPr>
          <w:lang w:val="fr-CA"/>
        </w:rPr>
        <w:t xml:space="preserve"> la mise en œuvre des projets </w:t>
      </w:r>
      <w:r w:rsidR="007717BB" w:rsidRPr="00582BC2">
        <w:rPr>
          <w:lang w:val="fr-CA"/>
        </w:rPr>
        <w:t>:</w:t>
      </w:r>
    </w:p>
    <w:p w14:paraId="66024E3E" w14:textId="246A0002" w:rsidR="007717BB" w:rsidRPr="00582BC2" w:rsidRDefault="00723C42" w:rsidP="007717BB">
      <w:pPr>
        <w:pStyle w:val="Heading2"/>
        <w:rPr>
          <w:lang w:val="fr-CA"/>
        </w:rPr>
      </w:pPr>
      <w:r>
        <w:rPr>
          <w:lang w:val="fr-CA"/>
        </w:rPr>
        <w:t xml:space="preserve">Les projets ont </w:t>
      </w:r>
      <w:r w:rsidR="006B0FAF" w:rsidRPr="00582BC2">
        <w:rPr>
          <w:lang w:val="fr-CA"/>
        </w:rPr>
        <w:t>exigé de neuf à 40 mois</w:t>
      </w:r>
      <w:r>
        <w:rPr>
          <w:lang w:val="fr-CA"/>
        </w:rPr>
        <w:t xml:space="preserve"> de préparation</w:t>
      </w:r>
      <w:r w:rsidR="006B0FAF" w:rsidRPr="00582BC2">
        <w:rPr>
          <w:lang w:val="fr-CA"/>
        </w:rPr>
        <w:t xml:space="preserve">, en moyenne, avant </w:t>
      </w:r>
      <w:r>
        <w:rPr>
          <w:lang w:val="fr-CA"/>
        </w:rPr>
        <w:t xml:space="preserve">leur examen final </w:t>
      </w:r>
      <w:r w:rsidR="006B0FAF" w:rsidRPr="00582BC2">
        <w:rPr>
          <w:lang w:val="fr-CA"/>
        </w:rPr>
        <w:t xml:space="preserve">par le Comité exécutif, et de cinq à 72 mois </w:t>
      </w:r>
      <w:r>
        <w:rPr>
          <w:lang w:val="fr-CA"/>
        </w:rPr>
        <w:t>jusqu’à</w:t>
      </w:r>
      <w:r w:rsidR="006B0FAF" w:rsidRPr="00582BC2">
        <w:rPr>
          <w:lang w:val="fr-CA"/>
        </w:rPr>
        <w:t xml:space="preserve"> l’achèvement et la remise des rapports </w:t>
      </w:r>
      <w:proofErr w:type="gramStart"/>
      <w:r w:rsidR="006B0FAF" w:rsidRPr="00582BC2">
        <w:rPr>
          <w:lang w:val="fr-CA"/>
        </w:rPr>
        <w:t>finaux</w:t>
      </w:r>
      <w:r w:rsidR="007717BB" w:rsidRPr="00582BC2">
        <w:rPr>
          <w:lang w:val="fr-CA"/>
        </w:rPr>
        <w:t>;</w:t>
      </w:r>
      <w:proofErr w:type="gramEnd"/>
      <w:r w:rsidR="007717BB" w:rsidRPr="00582BC2">
        <w:rPr>
          <w:lang w:val="fr-CA"/>
        </w:rPr>
        <w:t xml:space="preserve"> </w:t>
      </w:r>
    </w:p>
    <w:p w14:paraId="018089A7" w14:textId="016EFE9F" w:rsidR="007717BB" w:rsidRPr="00582BC2" w:rsidRDefault="006B0FAF" w:rsidP="007717BB">
      <w:pPr>
        <w:pStyle w:val="Heading2"/>
        <w:rPr>
          <w:lang w:val="fr-CA"/>
        </w:rPr>
      </w:pPr>
      <w:r w:rsidRPr="00582BC2">
        <w:rPr>
          <w:lang w:val="fr-CA"/>
        </w:rPr>
        <w:t>Les informations à inclure dans les propo</w:t>
      </w:r>
      <w:r w:rsidR="00723C42">
        <w:rPr>
          <w:lang w:val="fr-CA"/>
        </w:rPr>
        <w:t>sitions n’</w:t>
      </w:r>
      <w:r w:rsidRPr="00582BC2">
        <w:rPr>
          <w:lang w:val="fr-CA"/>
        </w:rPr>
        <w:t>était pas facile à obtenir</w:t>
      </w:r>
      <w:r w:rsidR="00723C42">
        <w:rPr>
          <w:lang w:val="fr-CA"/>
        </w:rPr>
        <w:t>. Les raisons ci-dessous ont souvent été évoquées pour expliquer les retards à soumettre les projets aux fi</w:t>
      </w:r>
      <w:r w:rsidR="00ED025E">
        <w:rPr>
          <w:lang w:val="fr-CA"/>
        </w:rPr>
        <w:t>n</w:t>
      </w:r>
      <w:r w:rsidR="00723C42">
        <w:rPr>
          <w:lang w:val="fr-CA"/>
        </w:rPr>
        <w:t>s de financement</w:t>
      </w:r>
      <w:r w:rsidRPr="00582BC2">
        <w:rPr>
          <w:lang w:val="fr-CA"/>
        </w:rPr>
        <w:t> </w:t>
      </w:r>
      <w:r w:rsidR="007717BB" w:rsidRPr="00582BC2">
        <w:rPr>
          <w:lang w:val="fr-CA"/>
        </w:rPr>
        <w:t>:</w:t>
      </w:r>
    </w:p>
    <w:p w14:paraId="3B2D7913" w14:textId="31D79A85" w:rsidR="007717BB" w:rsidRPr="00582BC2" w:rsidRDefault="00ED025E" w:rsidP="006B0FAF">
      <w:pPr>
        <w:pStyle w:val="Heading3"/>
        <w:rPr>
          <w:lang w:val="fr-CA"/>
        </w:rPr>
      </w:pPr>
      <w:r>
        <w:rPr>
          <w:lang w:val="fr-CA"/>
        </w:rPr>
        <w:t>Des difficultés sont survenues lors de</w:t>
      </w:r>
      <w:r w:rsidR="006B0FAF" w:rsidRPr="00582BC2">
        <w:rPr>
          <w:lang w:val="fr-CA"/>
        </w:rPr>
        <w:t xml:space="preserve"> l’examen de l’infrastructure des politiques et réglementations nationales</w:t>
      </w:r>
      <w:r w:rsidR="003C2D96" w:rsidRPr="00582BC2">
        <w:rPr>
          <w:lang w:val="fr-CA"/>
        </w:rPr>
        <w:t xml:space="preserve"> en place, et pour relier les projets potentiels </w:t>
      </w:r>
      <w:r>
        <w:rPr>
          <w:lang w:val="fr-CA"/>
        </w:rPr>
        <w:t>aux projets semblables existant</w:t>
      </w:r>
      <w:r w:rsidR="003C2D96" w:rsidRPr="00582BC2">
        <w:rPr>
          <w:lang w:val="fr-CA"/>
        </w:rPr>
        <w:t xml:space="preserve">s afin que des synergies soient élaborées pour la gestion de l’élimination des résidus </w:t>
      </w:r>
      <w:proofErr w:type="gramStart"/>
      <w:r w:rsidR="003C2D96" w:rsidRPr="00582BC2">
        <w:rPr>
          <w:lang w:val="fr-CA"/>
        </w:rPr>
        <w:t>chimiques</w:t>
      </w:r>
      <w:r w:rsidR="007717BB" w:rsidRPr="00582BC2">
        <w:rPr>
          <w:lang w:val="fr-CA"/>
        </w:rPr>
        <w:t>;</w:t>
      </w:r>
      <w:proofErr w:type="gramEnd"/>
      <w:r w:rsidR="007717BB" w:rsidRPr="00582BC2">
        <w:rPr>
          <w:lang w:val="fr-CA"/>
        </w:rPr>
        <w:t xml:space="preserve"> </w:t>
      </w:r>
    </w:p>
    <w:p w14:paraId="5A8AAA97" w14:textId="036C4452" w:rsidR="007717BB" w:rsidRPr="00582BC2" w:rsidRDefault="003C2D96" w:rsidP="007717BB">
      <w:pPr>
        <w:pStyle w:val="Heading3"/>
        <w:rPr>
          <w:lang w:val="fr-CA"/>
        </w:rPr>
      </w:pPr>
      <w:r w:rsidRPr="00582BC2">
        <w:rPr>
          <w:lang w:val="fr-CA"/>
        </w:rPr>
        <w:t xml:space="preserve">Le recensement des sources de cofinancement des projets et l’élaboration du modèle </w:t>
      </w:r>
      <w:r w:rsidR="00734458">
        <w:rPr>
          <w:lang w:val="fr-CA"/>
        </w:rPr>
        <w:t>de gestion</w:t>
      </w:r>
      <w:r w:rsidRPr="00582BC2">
        <w:rPr>
          <w:lang w:val="fr-CA"/>
        </w:rPr>
        <w:t xml:space="preserve">, et dans certains cas le ralentissement du marché du carbone, ont fait que cette source de cofinancement n’était pas </w:t>
      </w:r>
      <w:proofErr w:type="gramStart"/>
      <w:r w:rsidRPr="00582BC2">
        <w:rPr>
          <w:lang w:val="fr-CA"/>
        </w:rPr>
        <w:t>durable</w:t>
      </w:r>
      <w:r w:rsidR="007717BB" w:rsidRPr="00582BC2">
        <w:rPr>
          <w:lang w:val="fr-CA"/>
        </w:rPr>
        <w:t>;</w:t>
      </w:r>
      <w:proofErr w:type="gramEnd"/>
    </w:p>
    <w:p w14:paraId="14BF3C3F" w14:textId="374FB0DD" w:rsidR="007717BB" w:rsidRPr="00582BC2" w:rsidRDefault="003C2D96" w:rsidP="007717BB">
      <w:pPr>
        <w:pStyle w:val="Heading2"/>
        <w:rPr>
          <w:lang w:val="fr-CA"/>
        </w:rPr>
      </w:pPr>
      <w:r w:rsidRPr="00582BC2">
        <w:rPr>
          <w:lang w:val="fr-CA"/>
        </w:rPr>
        <w:t xml:space="preserve">Il y a eu des retards dans la conclusion d’ententes avec les pays au sujet de l’approche à utiliser pour l’élimination des </w:t>
      </w:r>
      <w:proofErr w:type="gramStart"/>
      <w:r w:rsidRPr="00582BC2">
        <w:rPr>
          <w:lang w:val="fr-CA"/>
        </w:rPr>
        <w:t>SAO</w:t>
      </w:r>
      <w:r w:rsidR="00ED025E">
        <w:rPr>
          <w:lang w:val="fr-CA"/>
        </w:rPr>
        <w:t>;</w:t>
      </w:r>
      <w:proofErr w:type="gramEnd"/>
    </w:p>
    <w:p w14:paraId="07770B1E" w14:textId="2B0B8D9D" w:rsidR="007717BB" w:rsidRPr="00582BC2" w:rsidRDefault="003C2D96" w:rsidP="007717BB">
      <w:pPr>
        <w:pStyle w:val="Heading2"/>
        <w:rPr>
          <w:lang w:val="fr-CA"/>
        </w:rPr>
      </w:pPr>
      <w:r w:rsidRPr="00582BC2">
        <w:rPr>
          <w:lang w:val="fr-CA"/>
        </w:rPr>
        <w:t xml:space="preserve">L’enquête et le regroupement des SAO déjà recueillies ont exigé plus de temps que </w:t>
      </w:r>
      <w:proofErr w:type="gramStart"/>
      <w:r w:rsidRPr="00582BC2">
        <w:rPr>
          <w:lang w:val="fr-CA"/>
        </w:rPr>
        <w:t>prévu;</w:t>
      </w:r>
      <w:proofErr w:type="gramEnd"/>
    </w:p>
    <w:p w14:paraId="7CF22349" w14:textId="298A5016" w:rsidR="00C36444" w:rsidRPr="00582BC2" w:rsidRDefault="003C2D96" w:rsidP="00C36444">
      <w:pPr>
        <w:pStyle w:val="Heading2"/>
        <w:rPr>
          <w:lang w:val="fr-CA"/>
        </w:rPr>
      </w:pPr>
      <w:r w:rsidRPr="00582BC2">
        <w:rPr>
          <w:lang w:val="fr-CA"/>
        </w:rPr>
        <w:t>Certains pays ont priorisé l’achèvement du PGEH pendant la préparation du projet et la mise en œuvre des projets d’élimination des SAO</w:t>
      </w:r>
      <w:r w:rsidR="007717BB" w:rsidRPr="00582BC2">
        <w:rPr>
          <w:lang w:val="fr-CA"/>
        </w:rPr>
        <w:t>.</w:t>
      </w:r>
    </w:p>
    <w:p w14:paraId="704099DC" w14:textId="6199F3D6" w:rsidR="006F7584" w:rsidRPr="00582BC2" w:rsidRDefault="003C2D96" w:rsidP="00C36444">
      <w:pPr>
        <w:keepNext/>
        <w:keepLines/>
        <w:spacing w:after="240"/>
        <w:rPr>
          <w:b/>
          <w:lang w:val="fr-CA"/>
        </w:rPr>
      </w:pPr>
      <w:r w:rsidRPr="00582BC2">
        <w:rPr>
          <w:b/>
          <w:lang w:val="fr-CA"/>
        </w:rPr>
        <w:t>Enseignem</w:t>
      </w:r>
      <w:r w:rsidR="00ED025E">
        <w:rPr>
          <w:b/>
          <w:lang w:val="fr-CA"/>
        </w:rPr>
        <w:t>ents tirés des projets pilotes sur l</w:t>
      </w:r>
      <w:r w:rsidRPr="00582BC2">
        <w:rPr>
          <w:b/>
          <w:lang w:val="fr-CA"/>
        </w:rPr>
        <w:t>’élimination des SAO</w:t>
      </w:r>
    </w:p>
    <w:p w14:paraId="795B6DF3" w14:textId="1E55083A" w:rsidR="006F7584" w:rsidRPr="00582BC2" w:rsidRDefault="003C2D96" w:rsidP="002514B6">
      <w:pPr>
        <w:pStyle w:val="Heading1"/>
        <w:rPr>
          <w:lang w:val="fr-CA"/>
        </w:rPr>
      </w:pPr>
      <w:r w:rsidRPr="00582BC2">
        <w:rPr>
          <w:lang w:val="fr-CA"/>
        </w:rPr>
        <w:t xml:space="preserve">Le rapport de synthèse présenté dans le document 82/21 propose une analyse détaillée </w:t>
      </w:r>
      <w:r w:rsidR="00ED025E">
        <w:rPr>
          <w:lang w:val="fr-CA"/>
        </w:rPr>
        <w:t>de</w:t>
      </w:r>
      <w:r w:rsidRPr="00582BC2">
        <w:rPr>
          <w:lang w:val="fr-CA"/>
        </w:rPr>
        <w:t xml:space="preserve"> neuf des 13 projets</w:t>
      </w:r>
      <w:r w:rsidR="00A93119" w:rsidRPr="00582BC2">
        <w:rPr>
          <w:lang w:val="fr-CA"/>
        </w:rPr>
        <w:t xml:space="preserve"> </w:t>
      </w:r>
      <w:r w:rsidRPr="00582BC2">
        <w:rPr>
          <w:lang w:val="fr-CA"/>
        </w:rPr>
        <w:t xml:space="preserve">approuvés </w:t>
      </w:r>
      <w:r w:rsidR="00ED025E">
        <w:rPr>
          <w:lang w:val="fr-CA"/>
        </w:rPr>
        <w:t xml:space="preserve">seulement </w:t>
      </w:r>
      <w:r w:rsidR="00A93119" w:rsidRPr="00582BC2">
        <w:rPr>
          <w:lang w:val="fr-CA"/>
        </w:rPr>
        <w:t>et deux études pour la mise en place d’un système de financement public-privé pour l’élimination des SAO, pour lesquels le Secrétariat a reçu des rapports finaux, comme indiqué dans le tableau 2</w:t>
      </w:r>
      <w:r w:rsidR="006F7584" w:rsidRPr="00582BC2">
        <w:rPr>
          <w:lang w:val="fr-CA"/>
        </w:rPr>
        <w:t xml:space="preserve">. </w:t>
      </w:r>
    </w:p>
    <w:p w14:paraId="43960C2C" w14:textId="22FAB88C" w:rsidR="006F7584" w:rsidRPr="00582BC2" w:rsidRDefault="006F7584" w:rsidP="000609DB">
      <w:pPr>
        <w:pStyle w:val="Heading1"/>
        <w:numPr>
          <w:ilvl w:val="0"/>
          <w:numId w:val="0"/>
        </w:numPr>
        <w:spacing w:after="0"/>
        <w:rPr>
          <w:b/>
          <w:sz w:val="20"/>
          <w:szCs w:val="20"/>
          <w:lang w:val="fr-CA"/>
        </w:rPr>
      </w:pPr>
      <w:r w:rsidRPr="00582BC2">
        <w:rPr>
          <w:b/>
          <w:sz w:val="20"/>
          <w:szCs w:val="20"/>
          <w:lang w:val="fr-CA"/>
        </w:rPr>
        <w:t>Table</w:t>
      </w:r>
      <w:r w:rsidR="00A93119" w:rsidRPr="00582BC2">
        <w:rPr>
          <w:b/>
          <w:sz w:val="20"/>
          <w:szCs w:val="20"/>
          <w:lang w:val="fr-CA"/>
        </w:rPr>
        <w:t>au</w:t>
      </w:r>
      <w:r w:rsidRPr="00582BC2">
        <w:rPr>
          <w:b/>
          <w:sz w:val="20"/>
          <w:szCs w:val="20"/>
          <w:lang w:val="fr-CA"/>
        </w:rPr>
        <w:t xml:space="preserve"> 2. </w:t>
      </w:r>
      <w:r w:rsidR="00A93119" w:rsidRPr="00582BC2">
        <w:rPr>
          <w:b/>
          <w:sz w:val="20"/>
          <w:szCs w:val="20"/>
          <w:lang w:val="fr-CA"/>
        </w:rPr>
        <w:t>Projets de démonstration sur l’élimination des SAO achevés</w:t>
      </w:r>
    </w:p>
    <w:tbl>
      <w:tblPr>
        <w:tblStyle w:val="TableGrid"/>
        <w:tblW w:w="9360" w:type="dxa"/>
        <w:tblInd w:w="-5" w:type="dxa"/>
        <w:tblLayout w:type="fixed"/>
        <w:tblLook w:val="04A0" w:firstRow="1" w:lastRow="0" w:firstColumn="1" w:lastColumn="0" w:noHBand="0" w:noVBand="1"/>
      </w:tblPr>
      <w:tblGrid>
        <w:gridCol w:w="1709"/>
        <w:gridCol w:w="7651"/>
      </w:tblGrid>
      <w:tr w:rsidR="006F7584" w:rsidRPr="00582BC2" w14:paraId="6A0F2690" w14:textId="77777777" w:rsidTr="0032303A">
        <w:trPr>
          <w:tblHeader/>
        </w:trPr>
        <w:tc>
          <w:tcPr>
            <w:tcW w:w="913" w:type="pct"/>
            <w:noWrap/>
            <w:vAlign w:val="center"/>
            <w:hideMark/>
          </w:tcPr>
          <w:p w14:paraId="6E5DC86D" w14:textId="7529F1B0" w:rsidR="006F7584" w:rsidRPr="00582BC2" w:rsidRDefault="00A93119" w:rsidP="00915BEF">
            <w:pPr>
              <w:widowControl w:val="0"/>
              <w:jc w:val="left"/>
              <w:rPr>
                <w:b/>
                <w:bCs/>
                <w:sz w:val="20"/>
                <w:szCs w:val="20"/>
                <w:lang w:val="fr-CA"/>
              </w:rPr>
            </w:pPr>
            <w:r w:rsidRPr="00582BC2">
              <w:rPr>
                <w:b/>
                <w:bCs/>
                <w:sz w:val="20"/>
                <w:szCs w:val="20"/>
                <w:lang w:val="fr-CA"/>
              </w:rPr>
              <w:t>Pays</w:t>
            </w:r>
          </w:p>
        </w:tc>
        <w:tc>
          <w:tcPr>
            <w:tcW w:w="4087" w:type="pct"/>
            <w:noWrap/>
            <w:hideMark/>
          </w:tcPr>
          <w:p w14:paraId="1EDEF2A3" w14:textId="155E65B0" w:rsidR="006F7584" w:rsidRPr="00582BC2" w:rsidRDefault="00A93119" w:rsidP="00915BEF">
            <w:pPr>
              <w:widowControl w:val="0"/>
              <w:jc w:val="center"/>
              <w:rPr>
                <w:b/>
                <w:bCs/>
                <w:sz w:val="20"/>
                <w:szCs w:val="20"/>
                <w:lang w:val="fr-CA"/>
              </w:rPr>
            </w:pPr>
            <w:r w:rsidRPr="00582BC2">
              <w:rPr>
                <w:b/>
                <w:bCs/>
                <w:sz w:val="20"/>
                <w:szCs w:val="20"/>
                <w:lang w:val="fr-CA"/>
              </w:rPr>
              <w:t>Proje</w:t>
            </w:r>
            <w:r w:rsidR="006F7584" w:rsidRPr="00582BC2">
              <w:rPr>
                <w:b/>
                <w:bCs/>
                <w:sz w:val="20"/>
                <w:szCs w:val="20"/>
                <w:lang w:val="fr-CA"/>
              </w:rPr>
              <w:t xml:space="preserve">t </w:t>
            </w:r>
          </w:p>
        </w:tc>
      </w:tr>
      <w:tr w:rsidR="0032303A" w:rsidRPr="00454C15" w14:paraId="29925813" w14:textId="77777777" w:rsidTr="0032303A">
        <w:tc>
          <w:tcPr>
            <w:tcW w:w="913" w:type="pct"/>
            <w:noWrap/>
          </w:tcPr>
          <w:p w14:paraId="615228AE" w14:textId="1708911B" w:rsidR="0032303A" w:rsidRPr="00582BC2" w:rsidRDefault="00A93119" w:rsidP="0032303A">
            <w:pPr>
              <w:widowControl w:val="0"/>
              <w:jc w:val="left"/>
              <w:rPr>
                <w:sz w:val="20"/>
                <w:szCs w:val="20"/>
                <w:lang w:val="fr-CA"/>
              </w:rPr>
            </w:pPr>
            <w:r w:rsidRPr="00582BC2">
              <w:rPr>
                <w:sz w:val="20"/>
                <w:szCs w:val="20"/>
                <w:lang w:val="fr-CA"/>
              </w:rPr>
              <w:t>Chine</w:t>
            </w:r>
          </w:p>
        </w:tc>
        <w:tc>
          <w:tcPr>
            <w:tcW w:w="4087" w:type="pct"/>
            <w:noWrap/>
            <w:tcMar>
              <w:left w:w="115" w:type="dxa"/>
              <w:right w:w="0" w:type="dxa"/>
            </w:tcMar>
          </w:tcPr>
          <w:p w14:paraId="27EF7CC5" w14:textId="025FE2C8" w:rsidR="0032303A" w:rsidRPr="00582BC2" w:rsidRDefault="00A93119" w:rsidP="001465C1">
            <w:pPr>
              <w:widowControl w:val="0"/>
              <w:jc w:val="left"/>
              <w:rPr>
                <w:sz w:val="20"/>
                <w:szCs w:val="20"/>
                <w:lang w:val="fr-CA"/>
              </w:rPr>
            </w:pPr>
            <w:r w:rsidRPr="00582BC2">
              <w:rPr>
                <w:sz w:val="20"/>
                <w:szCs w:val="20"/>
                <w:lang w:val="fr-CA"/>
              </w:rPr>
              <w:t xml:space="preserve">Projet de démonstration pilote sur la gestion et l’élimination des </w:t>
            </w:r>
            <w:r w:rsidR="001465C1" w:rsidRPr="00582BC2">
              <w:rPr>
                <w:sz w:val="20"/>
                <w:szCs w:val="20"/>
                <w:lang w:val="fr-CA"/>
              </w:rPr>
              <w:t>résidus de SAO</w:t>
            </w:r>
          </w:p>
        </w:tc>
      </w:tr>
      <w:tr w:rsidR="006F7584" w:rsidRPr="00454C15" w14:paraId="68023E66" w14:textId="77777777" w:rsidTr="0032303A">
        <w:tc>
          <w:tcPr>
            <w:tcW w:w="913" w:type="pct"/>
            <w:noWrap/>
            <w:hideMark/>
          </w:tcPr>
          <w:p w14:paraId="75BFF452" w14:textId="2E65D168" w:rsidR="006F7584" w:rsidRPr="00582BC2" w:rsidRDefault="00A93119" w:rsidP="00915BEF">
            <w:pPr>
              <w:widowControl w:val="0"/>
              <w:jc w:val="left"/>
              <w:rPr>
                <w:sz w:val="20"/>
                <w:szCs w:val="20"/>
                <w:lang w:val="fr-CA"/>
              </w:rPr>
            </w:pPr>
            <w:r w:rsidRPr="00582BC2">
              <w:rPr>
                <w:sz w:val="20"/>
                <w:szCs w:val="20"/>
                <w:lang w:val="fr-CA"/>
              </w:rPr>
              <w:t>Colombie</w:t>
            </w:r>
          </w:p>
        </w:tc>
        <w:tc>
          <w:tcPr>
            <w:tcW w:w="4087" w:type="pct"/>
            <w:noWrap/>
            <w:tcMar>
              <w:left w:w="115" w:type="dxa"/>
              <w:right w:w="0" w:type="dxa"/>
            </w:tcMar>
            <w:hideMark/>
          </w:tcPr>
          <w:p w14:paraId="600CD989" w14:textId="1668CC67" w:rsidR="006F7584" w:rsidRPr="00582BC2" w:rsidRDefault="00A93119" w:rsidP="00915BEF">
            <w:pPr>
              <w:widowControl w:val="0"/>
              <w:jc w:val="left"/>
              <w:rPr>
                <w:sz w:val="20"/>
                <w:szCs w:val="20"/>
                <w:lang w:val="fr-CA"/>
              </w:rPr>
            </w:pPr>
            <w:r w:rsidRPr="00582BC2">
              <w:rPr>
                <w:sz w:val="20"/>
                <w:szCs w:val="20"/>
                <w:lang w:val="fr-CA"/>
              </w:rPr>
              <w:t>Projet de démonstration sur la gestion et la destruction des SAO en fin de vie</w:t>
            </w:r>
          </w:p>
        </w:tc>
      </w:tr>
      <w:tr w:rsidR="006F7584" w:rsidRPr="00454C15" w14:paraId="4276C1BC" w14:textId="77777777" w:rsidTr="0032303A">
        <w:tc>
          <w:tcPr>
            <w:tcW w:w="913" w:type="pct"/>
            <w:noWrap/>
            <w:hideMark/>
          </w:tcPr>
          <w:p w14:paraId="3920C2E5" w14:textId="74D4B2C8" w:rsidR="006F7584" w:rsidRPr="00582BC2" w:rsidRDefault="00A93119" w:rsidP="00915BEF">
            <w:pPr>
              <w:widowControl w:val="0"/>
              <w:jc w:val="left"/>
              <w:rPr>
                <w:sz w:val="20"/>
                <w:szCs w:val="20"/>
                <w:lang w:val="fr-CA"/>
              </w:rPr>
            </w:pPr>
            <w:r w:rsidRPr="00582BC2">
              <w:rPr>
                <w:sz w:val="20"/>
                <w:szCs w:val="20"/>
                <w:lang w:val="fr-CA"/>
              </w:rPr>
              <w:t>Géorgie</w:t>
            </w:r>
          </w:p>
        </w:tc>
        <w:tc>
          <w:tcPr>
            <w:tcW w:w="4087" w:type="pct"/>
            <w:noWrap/>
            <w:tcMar>
              <w:left w:w="115" w:type="dxa"/>
              <w:right w:w="0" w:type="dxa"/>
            </w:tcMar>
            <w:hideMark/>
          </w:tcPr>
          <w:p w14:paraId="38E19DFD" w14:textId="473B71AE" w:rsidR="006F7584" w:rsidRPr="00582BC2" w:rsidRDefault="00CE0619" w:rsidP="001465C1">
            <w:pPr>
              <w:widowControl w:val="0"/>
              <w:jc w:val="left"/>
              <w:rPr>
                <w:sz w:val="20"/>
                <w:szCs w:val="20"/>
                <w:lang w:val="fr-CA"/>
              </w:rPr>
            </w:pPr>
            <w:r w:rsidRPr="00582BC2">
              <w:rPr>
                <w:sz w:val="20"/>
                <w:szCs w:val="20"/>
                <w:lang w:val="fr-CA"/>
              </w:rPr>
              <w:t xml:space="preserve">Projet de démonstration pilote sur la gestion et l’élimination des </w:t>
            </w:r>
            <w:r w:rsidR="001465C1" w:rsidRPr="00582BC2">
              <w:rPr>
                <w:sz w:val="20"/>
                <w:szCs w:val="20"/>
                <w:lang w:val="fr-CA"/>
              </w:rPr>
              <w:t>résidus de SAO</w:t>
            </w:r>
          </w:p>
        </w:tc>
      </w:tr>
      <w:tr w:rsidR="006F7584" w:rsidRPr="00454C15" w14:paraId="4FE32D8B" w14:textId="77777777" w:rsidTr="0032303A">
        <w:tc>
          <w:tcPr>
            <w:tcW w:w="913" w:type="pct"/>
            <w:noWrap/>
            <w:hideMark/>
          </w:tcPr>
          <w:p w14:paraId="60F3266E" w14:textId="77777777" w:rsidR="006F7584" w:rsidRPr="00582BC2" w:rsidRDefault="006F7584" w:rsidP="00915BEF">
            <w:pPr>
              <w:widowControl w:val="0"/>
              <w:jc w:val="left"/>
              <w:rPr>
                <w:sz w:val="20"/>
                <w:szCs w:val="20"/>
                <w:lang w:val="fr-CA"/>
              </w:rPr>
            </w:pPr>
            <w:r w:rsidRPr="00582BC2">
              <w:rPr>
                <w:sz w:val="20"/>
                <w:szCs w:val="20"/>
                <w:lang w:val="fr-CA"/>
              </w:rPr>
              <w:t>Ghana</w:t>
            </w:r>
          </w:p>
        </w:tc>
        <w:tc>
          <w:tcPr>
            <w:tcW w:w="4087" w:type="pct"/>
            <w:noWrap/>
            <w:tcMar>
              <w:left w:w="115" w:type="dxa"/>
              <w:right w:w="0" w:type="dxa"/>
            </w:tcMar>
            <w:hideMark/>
          </w:tcPr>
          <w:p w14:paraId="6B1641B2" w14:textId="6F8C9155" w:rsidR="006F7584" w:rsidRPr="00582BC2" w:rsidRDefault="00CE0619" w:rsidP="001465C1">
            <w:pPr>
              <w:widowControl w:val="0"/>
              <w:jc w:val="left"/>
              <w:rPr>
                <w:sz w:val="20"/>
                <w:szCs w:val="20"/>
                <w:lang w:val="fr-CA"/>
              </w:rPr>
            </w:pPr>
            <w:r w:rsidRPr="00582BC2">
              <w:rPr>
                <w:sz w:val="20"/>
                <w:szCs w:val="20"/>
                <w:lang w:val="fr-CA"/>
              </w:rPr>
              <w:t xml:space="preserve">Projet de démonstration pilote sur la gestion et l’élimination des </w:t>
            </w:r>
            <w:r w:rsidR="001465C1" w:rsidRPr="00582BC2">
              <w:rPr>
                <w:sz w:val="20"/>
                <w:szCs w:val="20"/>
                <w:lang w:val="fr-CA"/>
              </w:rPr>
              <w:t>résidus de SAO</w:t>
            </w:r>
          </w:p>
        </w:tc>
      </w:tr>
      <w:tr w:rsidR="006F7584" w:rsidRPr="00454C15" w14:paraId="50E51A2E" w14:textId="77777777" w:rsidTr="0032303A">
        <w:tc>
          <w:tcPr>
            <w:tcW w:w="913" w:type="pct"/>
            <w:noWrap/>
          </w:tcPr>
          <w:p w14:paraId="59570C47" w14:textId="5E5A9768" w:rsidR="006F7584" w:rsidRPr="00582BC2" w:rsidRDefault="00CE0619" w:rsidP="00915BEF">
            <w:pPr>
              <w:widowControl w:val="0"/>
              <w:jc w:val="left"/>
              <w:rPr>
                <w:sz w:val="20"/>
                <w:szCs w:val="20"/>
                <w:lang w:val="fr-CA"/>
              </w:rPr>
            </w:pPr>
            <w:r w:rsidRPr="00582BC2">
              <w:rPr>
                <w:sz w:val="20"/>
                <w:szCs w:val="20"/>
                <w:lang w:val="fr-CA"/>
              </w:rPr>
              <w:t>Indonésie</w:t>
            </w:r>
            <w:r w:rsidR="006F7584" w:rsidRPr="00582BC2">
              <w:rPr>
                <w:sz w:val="20"/>
                <w:szCs w:val="20"/>
                <w:lang w:val="fr-CA"/>
              </w:rPr>
              <w:t>*</w:t>
            </w:r>
          </w:p>
        </w:tc>
        <w:tc>
          <w:tcPr>
            <w:tcW w:w="4087" w:type="pct"/>
            <w:noWrap/>
            <w:tcMar>
              <w:left w:w="115" w:type="dxa"/>
              <w:right w:w="0" w:type="dxa"/>
            </w:tcMar>
          </w:tcPr>
          <w:p w14:paraId="7B7EF760" w14:textId="17E3E7A2" w:rsidR="006F7584" w:rsidRPr="00582BC2" w:rsidRDefault="00CE0619" w:rsidP="001465C1">
            <w:pPr>
              <w:widowControl w:val="0"/>
              <w:jc w:val="left"/>
              <w:rPr>
                <w:sz w:val="20"/>
                <w:szCs w:val="20"/>
                <w:lang w:val="fr-CA"/>
              </w:rPr>
            </w:pPr>
            <w:r w:rsidRPr="00582BC2">
              <w:rPr>
                <w:sz w:val="20"/>
                <w:szCs w:val="20"/>
                <w:lang w:val="fr-CA"/>
              </w:rPr>
              <w:t xml:space="preserve">Préparation d’un projet de démonstration pilote sur la gestion et l’élimination des </w:t>
            </w:r>
            <w:r w:rsidR="001465C1" w:rsidRPr="00582BC2">
              <w:rPr>
                <w:sz w:val="20"/>
                <w:szCs w:val="20"/>
                <w:lang w:val="fr-CA"/>
              </w:rPr>
              <w:t>résidus de SAO</w:t>
            </w:r>
          </w:p>
        </w:tc>
      </w:tr>
      <w:tr w:rsidR="006F7584" w:rsidRPr="00454C15" w14:paraId="67689156" w14:textId="77777777" w:rsidTr="0032303A">
        <w:tc>
          <w:tcPr>
            <w:tcW w:w="913" w:type="pct"/>
            <w:noWrap/>
            <w:hideMark/>
          </w:tcPr>
          <w:p w14:paraId="002A3DBE" w14:textId="54810C7E" w:rsidR="006F7584" w:rsidRPr="00582BC2" w:rsidRDefault="00CE0619" w:rsidP="00915BEF">
            <w:pPr>
              <w:widowControl w:val="0"/>
              <w:jc w:val="left"/>
              <w:rPr>
                <w:sz w:val="20"/>
                <w:szCs w:val="20"/>
                <w:lang w:val="fr-CA"/>
              </w:rPr>
            </w:pPr>
            <w:r w:rsidRPr="00582BC2">
              <w:rPr>
                <w:sz w:val="20"/>
                <w:szCs w:val="20"/>
                <w:lang w:val="fr-CA"/>
              </w:rPr>
              <w:t>Mexique</w:t>
            </w:r>
          </w:p>
        </w:tc>
        <w:tc>
          <w:tcPr>
            <w:tcW w:w="4087" w:type="pct"/>
            <w:noWrap/>
            <w:tcMar>
              <w:left w:w="115" w:type="dxa"/>
              <w:right w:w="0" w:type="dxa"/>
            </w:tcMar>
            <w:hideMark/>
          </w:tcPr>
          <w:p w14:paraId="6F8F4C21" w14:textId="1EA0C558" w:rsidR="006F7584" w:rsidRPr="00582BC2" w:rsidRDefault="00CE0619" w:rsidP="00915BEF">
            <w:pPr>
              <w:widowControl w:val="0"/>
              <w:jc w:val="left"/>
              <w:rPr>
                <w:sz w:val="20"/>
                <w:szCs w:val="20"/>
                <w:lang w:val="fr-CA"/>
              </w:rPr>
            </w:pPr>
            <w:r w:rsidRPr="00582BC2">
              <w:rPr>
                <w:sz w:val="20"/>
                <w:szCs w:val="20"/>
                <w:lang w:val="fr-CA"/>
              </w:rPr>
              <w:t>Projet de démonstration pilote sur l’élimination des SAO non désirées</w:t>
            </w:r>
          </w:p>
        </w:tc>
      </w:tr>
      <w:tr w:rsidR="006F7584" w:rsidRPr="00454C15" w14:paraId="364C47F9" w14:textId="77777777" w:rsidTr="0032303A">
        <w:tc>
          <w:tcPr>
            <w:tcW w:w="913" w:type="pct"/>
            <w:noWrap/>
          </w:tcPr>
          <w:p w14:paraId="319C8881" w14:textId="5F82A8F0" w:rsidR="006F7584" w:rsidRPr="00582BC2" w:rsidRDefault="00CE0619" w:rsidP="00915BEF">
            <w:pPr>
              <w:widowControl w:val="0"/>
              <w:rPr>
                <w:sz w:val="20"/>
                <w:szCs w:val="20"/>
                <w:lang w:val="fr-CA"/>
              </w:rPr>
            </w:pPr>
            <w:r w:rsidRPr="00582BC2">
              <w:rPr>
                <w:sz w:val="20"/>
                <w:szCs w:val="20"/>
                <w:lang w:val="fr-CA"/>
              </w:rPr>
              <w:t>Népal</w:t>
            </w:r>
          </w:p>
        </w:tc>
        <w:tc>
          <w:tcPr>
            <w:tcW w:w="4087" w:type="pct"/>
            <w:noWrap/>
            <w:tcMar>
              <w:left w:w="115" w:type="dxa"/>
              <w:right w:w="0" w:type="dxa"/>
            </w:tcMar>
          </w:tcPr>
          <w:p w14:paraId="5D2D84CB" w14:textId="07CF4350" w:rsidR="006F7584" w:rsidRPr="00582BC2" w:rsidRDefault="00CE0619" w:rsidP="00915BEF">
            <w:pPr>
              <w:widowControl w:val="0"/>
              <w:rPr>
                <w:sz w:val="20"/>
                <w:szCs w:val="20"/>
                <w:lang w:val="fr-CA"/>
              </w:rPr>
            </w:pPr>
            <w:r w:rsidRPr="00582BC2">
              <w:rPr>
                <w:sz w:val="20"/>
                <w:szCs w:val="20"/>
                <w:lang w:val="fr-CA"/>
              </w:rPr>
              <w:t>Projet de démonstration pilote sur l’élimination des SAO non désirées</w:t>
            </w:r>
          </w:p>
        </w:tc>
      </w:tr>
      <w:tr w:rsidR="006F7584" w:rsidRPr="00454C15" w14:paraId="6A85B275" w14:textId="77777777" w:rsidTr="0032303A">
        <w:tc>
          <w:tcPr>
            <w:tcW w:w="913" w:type="pct"/>
            <w:noWrap/>
            <w:hideMark/>
          </w:tcPr>
          <w:p w14:paraId="2771E856" w14:textId="77777777" w:rsidR="006F7584" w:rsidRPr="00582BC2" w:rsidRDefault="006F7584" w:rsidP="00915BEF">
            <w:pPr>
              <w:widowControl w:val="0"/>
              <w:jc w:val="left"/>
              <w:rPr>
                <w:sz w:val="20"/>
                <w:szCs w:val="20"/>
                <w:lang w:val="fr-CA"/>
              </w:rPr>
            </w:pPr>
            <w:r w:rsidRPr="00582BC2">
              <w:rPr>
                <w:sz w:val="20"/>
                <w:szCs w:val="20"/>
                <w:lang w:val="fr-CA"/>
              </w:rPr>
              <w:t>Nigeria</w:t>
            </w:r>
          </w:p>
        </w:tc>
        <w:tc>
          <w:tcPr>
            <w:tcW w:w="4087" w:type="pct"/>
            <w:noWrap/>
            <w:tcMar>
              <w:left w:w="115" w:type="dxa"/>
              <w:right w:w="0" w:type="dxa"/>
            </w:tcMar>
            <w:hideMark/>
          </w:tcPr>
          <w:p w14:paraId="57EAECA7" w14:textId="3F2179AD" w:rsidR="006F7584" w:rsidRPr="00582BC2" w:rsidRDefault="00CE0619" w:rsidP="00915BEF">
            <w:pPr>
              <w:widowControl w:val="0"/>
              <w:jc w:val="left"/>
              <w:rPr>
                <w:sz w:val="20"/>
                <w:szCs w:val="20"/>
                <w:lang w:val="fr-CA"/>
              </w:rPr>
            </w:pPr>
            <w:r w:rsidRPr="00582BC2">
              <w:rPr>
                <w:sz w:val="20"/>
                <w:szCs w:val="20"/>
                <w:lang w:val="fr-CA"/>
              </w:rPr>
              <w:t>Projet de démonstration pilote sur l’élimination des SAO non désirées</w:t>
            </w:r>
          </w:p>
        </w:tc>
      </w:tr>
      <w:tr w:rsidR="006F7584" w:rsidRPr="00454C15" w14:paraId="2A8CA58D" w14:textId="77777777" w:rsidTr="0032303A">
        <w:tc>
          <w:tcPr>
            <w:tcW w:w="913" w:type="pct"/>
            <w:noWrap/>
            <w:hideMark/>
          </w:tcPr>
          <w:p w14:paraId="261C3302" w14:textId="74983CED" w:rsidR="006F7584" w:rsidRPr="00582BC2" w:rsidRDefault="00CE0619" w:rsidP="00915BEF">
            <w:pPr>
              <w:widowControl w:val="0"/>
              <w:jc w:val="left"/>
              <w:rPr>
                <w:sz w:val="20"/>
                <w:szCs w:val="20"/>
                <w:lang w:val="fr-CA"/>
              </w:rPr>
            </w:pPr>
            <w:r w:rsidRPr="00582BC2">
              <w:rPr>
                <w:sz w:val="20"/>
                <w:szCs w:val="20"/>
                <w:lang w:val="fr-CA"/>
              </w:rPr>
              <w:t>Turquie</w:t>
            </w:r>
          </w:p>
        </w:tc>
        <w:tc>
          <w:tcPr>
            <w:tcW w:w="4087" w:type="pct"/>
            <w:noWrap/>
            <w:tcMar>
              <w:left w:w="115" w:type="dxa"/>
              <w:right w:w="0" w:type="dxa"/>
            </w:tcMar>
            <w:hideMark/>
          </w:tcPr>
          <w:p w14:paraId="22DD9AE9" w14:textId="632C0B68" w:rsidR="006F7584" w:rsidRPr="00582BC2" w:rsidRDefault="00CE0619" w:rsidP="00915BEF">
            <w:pPr>
              <w:widowControl w:val="0"/>
              <w:jc w:val="left"/>
              <w:rPr>
                <w:sz w:val="20"/>
                <w:szCs w:val="20"/>
                <w:lang w:val="fr-CA"/>
              </w:rPr>
            </w:pPr>
            <w:r w:rsidRPr="00582BC2">
              <w:rPr>
                <w:sz w:val="20"/>
                <w:szCs w:val="20"/>
                <w:lang w:val="fr-CA"/>
              </w:rPr>
              <w:t>Projet de démonstration pilote sur l’élimination des SAO non désirées</w:t>
            </w:r>
          </w:p>
        </w:tc>
      </w:tr>
      <w:tr w:rsidR="006F7584" w:rsidRPr="00454C15" w14:paraId="6852DE45" w14:textId="77777777" w:rsidTr="0032303A">
        <w:tc>
          <w:tcPr>
            <w:tcW w:w="913" w:type="pct"/>
            <w:noWrap/>
          </w:tcPr>
          <w:p w14:paraId="70B7E1F2" w14:textId="641B360A" w:rsidR="006F7584" w:rsidRPr="00582BC2" w:rsidRDefault="00CE0619" w:rsidP="00CE0619">
            <w:pPr>
              <w:widowControl w:val="0"/>
              <w:jc w:val="left"/>
              <w:rPr>
                <w:sz w:val="20"/>
                <w:szCs w:val="20"/>
                <w:lang w:val="fr-CA"/>
              </w:rPr>
            </w:pPr>
            <w:r w:rsidRPr="00582BC2">
              <w:rPr>
                <w:sz w:val="20"/>
                <w:szCs w:val="20"/>
                <w:lang w:val="fr-CA"/>
              </w:rPr>
              <w:lastRenderedPageBreak/>
              <w:t>Philippines</w:t>
            </w:r>
            <w:r w:rsidR="006F7584" w:rsidRPr="00582BC2">
              <w:rPr>
                <w:sz w:val="20"/>
                <w:szCs w:val="20"/>
                <w:lang w:val="fr-CA"/>
              </w:rPr>
              <w:t>*</w:t>
            </w:r>
          </w:p>
        </w:tc>
        <w:tc>
          <w:tcPr>
            <w:tcW w:w="4087" w:type="pct"/>
            <w:noWrap/>
            <w:tcMar>
              <w:left w:w="115" w:type="dxa"/>
              <w:right w:w="0" w:type="dxa"/>
            </w:tcMar>
          </w:tcPr>
          <w:p w14:paraId="5963E4F1" w14:textId="1B3D1066" w:rsidR="006F7584" w:rsidRPr="00582BC2" w:rsidRDefault="00CE0619" w:rsidP="001465C1">
            <w:pPr>
              <w:widowControl w:val="0"/>
              <w:jc w:val="left"/>
              <w:rPr>
                <w:sz w:val="20"/>
                <w:szCs w:val="20"/>
                <w:lang w:val="fr-CA"/>
              </w:rPr>
            </w:pPr>
            <w:r w:rsidRPr="00582BC2">
              <w:rPr>
                <w:sz w:val="20"/>
                <w:szCs w:val="20"/>
                <w:lang w:val="fr-CA"/>
              </w:rPr>
              <w:t xml:space="preserve">Préparation d’un projet de démonstration pilote sur la gestion et l’élimination des </w:t>
            </w:r>
            <w:r w:rsidR="001465C1" w:rsidRPr="00582BC2">
              <w:rPr>
                <w:sz w:val="20"/>
                <w:szCs w:val="20"/>
                <w:lang w:val="fr-CA"/>
              </w:rPr>
              <w:t>résidus de SAO</w:t>
            </w:r>
          </w:p>
        </w:tc>
      </w:tr>
      <w:tr w:rsidR="006F7584" w:rsidRPr="00454C15" w14:paraId="213C47A7" w14:textId="77777777" w:rsidTr="0032303A">
        <w:trPr>
          <w:trHeight w:val="253"/>
        </w:trPr>
        <w:tc>
          <w:tcPr>
            <w:tcW w:w="913" w:type="pct"/>
            <w:vMerge w:val="restart"/>
            <w:noWrap/>
            <w:hideMark/>
          </w:tcPr>
          <w:p w14:paraId="4E25EC69" w14:textId="0F531631" w:rsidR="006F7584" w:rsidRPr="00582BC2" w:rsidRDefault="00CE0619" w:rsidP="00CE0619">
            <w:pPr>
              <w:widowControl w:val="0"/>
              <w:jc w:val="left"/>
              <w:rPr>
                <w:sz w:val="20"/>
                <w:szCs w:val="20"/>
                <w:lang w:val="fr-CA"/>
              </w:rPr>
            </w:pPr>
            <w:r w:rsidRPr="00582BC2">
              <w:rPr>
                <w:sz w:val="20"/>
                <w:szCs w:val="20"/>
                <w:lang w:val="fr-CA"/>
              </w:rPr>
              <w:t>Région : Europe </w:t>
            </w:r>
            <w:r w:rsidR="006F7584" w:rsidRPr="00582BC2">
              <w:rPr>
                <w:sz w:val="20"/>
                <w:szCs w:val="20"/>
                <w:lang w:val="fr-CA"/>
              </w:rPr>
              <w:t xml:space="preserve"> EUR</w:t>
            </w:r>
          </w:p>
        </w:tc>
        <w:tc>
          <w:tcPr>
            <w:tcW w:w="4087" w:type="pct"/>
            <w:vMerge w:val="restart"/>
            <w:noWrap/>
            <w:tcMar>
              <w:left w:w="115" w:type="dxa"/>
              <w:right w:w="0" w:type="dxa"/>
            </w:tcMar>
            <w:hideMark/>
          </w:tcPr>
          <w:p w14:paraId="1FEB4ED7" w14:textId="121FE1CD" w:rsidR="006F7584" w:rsidRPr="00582BC2" w:rsidRDefault="00CE0619" w:rsidP="00915BEF">
            <w:pPr>
              <w:widowControl w:val="0"/>
              <w:jc w:val="left"/>
              <w:rPr>
                <w:sz w:val="20"/>
                <w:szCs w:val="20"/>
                <w:lang w:val="fr-CA"/>
              </w:rPr>
            </w:pPr>
            <w:r w:rsidRPr="00582BC2">
              <w:rPr>
                <w:sz w:val="20"/>
                <w:szCs w:val="20"/>
                <w:lang w:val="fr-CA"/>
              </w:rPr>
              <w:t>Démonstration d’une stratégie régionale de gestion et d’élimination des SAO en Europe et en Asie centrale</w:t>
            </w:r>
          </w:p>
        </w:tc>
      </w:tr>
      <w:tr w:rsidR="006F7584" w:rsidRPr="00454C15" w14:paraId="248B4BF0" w14:textId="77777777" w:rsidTr="0032303A">
        <w:trPr>
          <w:trHeight w:val="253"/>
        </w:trPr>
        <w:tc>
          <w:tcPr>
            <w:tcW w:w="913" w:type="pct"/>
            <w:vMerge/>
            <w:noWrap/>
            <w:hideMark/>
          </w:tcPr>
          <w:p w14:paraId="20959854" w14:textId="77777777" w:rsidR="006F7584" w:rsidRPr="00582BC2" w:rsidRDefault="006F7584" w:rsidP="00915BEF">
            <w:pPr>
              <w:widowControl w:val="0"/>
              <w:jc w:val="left"/>
              <w:rPr>
                <w:sz w:val="20"/>
                <w:szCs w:val="20"/>
                <w:lang w:val="fr-CA"/>
              </w:rPr>
            </w:pPr>
          </w:p>
        </w:tc>
        <w:tc>
          <w:tcPr>
            <w:tcW w:w="4087" w:type="pct"/>
            <w:vMerge/>
            <w:noWrap/>
            <w:hideMark/>
          </w:tcPr>
          <w:p w14:paraId="26018D02" w14:textId="77777777" w:rsidR="006F7584" w:rsidRPr="00582BC2" w:rsidRDefault="006F7584" w:rsidP="00915BEF">
            <w:pPr>
              <w:widowControl w:val="0"/>
              <w:rPr>
                <w:sz w:val="20"/>
                <w:szCs w:val="20"/>
                <w:lang w:val="fr-CA"/>
              </w:rPr>
            </w:pPr>
          </w:p>
        </w:tc>
      </w:tr>
    </w:tbl>
    <w:p w14:paraId="0EECF13C" w14:textId="1A8CDEEB" w:rsidR="006F7584" w:rsidRPr="00582BC2" w:rsidRDefault="006F7584" w:rsidP="006F7584">
      <w:pPr>
        <w:pStyle w:val="Heading1"/>
        <w:numPr>
          <w:ilvl w:val="0"/>
          <w:numId w:val="0"/>
        </w:numPr>
        <w:rPr>
          <w:sz w:val="20"/>
          <w:szCs w:val="20"/>
          <w:lang w:val="fr-CA"/>
        </w:rPr>
      </w:pPr>
      <w:r w:rsidRPr="00582BC2">
        <w:rPr>
          <w:sz w:val="20"/>
          <w:szCs w:val="20"/>
          <w:lang w:val="fr-CA"/>
        </w:rPr>
        <w:t>*</w:t>
      </w:r>
      <w:r w:rsidR="00CE0619" w:rsidRPr="00582BC2">
        <w:rPr>
          <w:sz w:val="20"/>
          <w:szCs w:val="20"/>
          <w:lang w:val="fr-CA"/>
        </w:rPr>
        <w:t>Rapport d’étude seulement</w:t>
      </w:r>
      <w:r w:rsidRPr="00582BC2">
        <w:rPr>
          <w:sz w:val="20"/>
          <w:szCs w:val="20"/>
          <w:lang w:val="fr-CA"/>
        </w:rPr>
        <w:t>.</w:t>
      </w:r>
    </w:p>
    <w:p w14:paraId="32EF435E" w14:textId="7789B22D" w:rsidR="006F7584" w:rsidRPr="00582BC2" w:rsidRDefault="00CE0619" w:rsidP="006F7584">
      <w:pPr>
        <w:pStyle w:val="Heading1"/>
        <w:rPr>
          <w:lang w:val="fr-CA"/>
        </w:rPr>
      </w:pPr>
      <w:r w:rsidRPr="00582BC2">
        <w:rPr>
          <w:lang w:val="fr-CA"/>
        </w:rPr>
        <w:t>Le rapport résume les informations présentées dans chaque rapport</w:t>
      </w:r>
      <w:r w:rsidR="000A7126" w:rsidRPr="00582BC2">
        <w:rPr>
          <w:lang w:val="fr-CA"/>
        </w:rPr>
        <w:t xml:space="preserve">, selon les différentes catégories d’activités associées à l’élimination des SAO, les méthodes utilisées pour recueillir les résidus de SAO, les solutions utilisées pour le transport, les méthodes de destruction envisagées et appliquées dans chaque projet, les politiques et réglementations connexes, les synergies avec d’autres projets et les modèles </w:t>
      </w:r>
      <w:r w:rsidR="00A77BB8">
        <w:rPr>
          <w:lang w:val="fr-CA"/>
        </w:rPr>
        <w:t>de gestion</w:t>
      </w:r>
      <w:r w:rsidR="000A7126" w:rsidRPr="00582BC2">
        <w:rPr>
          <w:lang w:val="fr-CA"/>
        </w:rPr>
        <w:t xml:space="preserve"> pour le cadre financier des différentes méthodes utilisées</w:t>
      </w:r>
      <w:r w:rsidR="006F7584" w:rsidRPr="00582BC2">
        <w:rPr>
          <w:lang w:val="fr-CA"/>
        </w:rPr>
        <w:t>.</w:t>
      </w:r>
    </w:p>
    <w:p w14:paraId="1FF84C4F" w14:textId="6E8C0CEB" w:rsidR="002514B6" w:rsidRPr="00582BC2" w:rsidRDefault="000A7126" w:rsidP="002514B6">
      <w:pPr>
        <w:pStyle w:val="Heading1"/>
        <w:rPr>
          <w:lang w:val="fr-CA"/>
        </w:rPr>
      </w:pPr>
      <w:r w:rsidRPr="00582BC2">
        <w:rPr>
          <w:lang w:val="fr-CA"/>
        </w:rPr>
        <w:t xml:space="preserve">Le rapport a aussi révélé que le coût de détruire les résidus de SAO </w:t>
      </w:r>
      <w:r w:rsidR="00AB07BC" w:rsidRPr="00582BC2">
        <w:rPr>
          <w:lang w:val="fr-CA"/>
        </w:rPr>
        <w:t xml:space="preserve">semble être considérablement plus élevé </w:t>
      </w:r>
      <w:r w:rsidRPr="00582BC2">
        <w:rPr>
          <w:lang w:val="fr-CA"/>
        </w:rPr>
        <w:t xml:space="preserve">dans les pays visés à l'article 5 </w:t>
      </w:r>
      <w:r w:rsidR="00FC5F37" w:rsidRPr="00582BC2">
        <w:rPr>
          <w:lang w:val="fr-CA"/>
        </w:rPr>
        <w:t>que dans les pays non visés à l'article 5 (comme indiqué dans le tableau 3). Comme le révèlent les différences dans les coû</w:t>
      </w:r>
      <w:r w:rsidR="00870A8A" w:rsidRPr="00582BC2">
        <w:rPr>
          <w:lang w:val="fr-CA"/>
        </w:rPr>
        <w:t>ts de destructi</w:t>
      </w:r>
      <w:r w:rsidR="00FC5F37" w:rsidRPr="00582BC2">
        <w:rPr>
          <w:lang w:val="fr-CA"/>
        </w:rPr>
        <w:t>on, et nonobstant les coûts de transport</w:t>
      </w:r>
      <w:r w:rsidR="00870A8A" w:rsidRPr="00582BC2">
        <w:rPr>
          <w:lang w:val="fr-CA"/>
        </w:rPr>
        <w:t xml:space="preserve"> supplémentaires</w:t>
      </w:r>
      <w:r w:rsidR="00FC5F37" w:rsidRPr="00582BC2">
        <w:rPr>
          <w:lang w:val="fr-CA"/>
        </w:rPr>
        <w:t xml:space="preserve"> associés à l’e</w:t>
      </w:r>
      <w:r w:rsidR="00870A8A" w:rsidRPr="00582BC2">
        <w:rPr>
          <w:lang w:val="fr-CA"/>
        </w:rPr>
        <w:t xml:space="preserve">xportation des résidus de SAO aux fins de destruction, </w:t>
      </w:r>
      <w:r w:rsidR="00FC5F37" w:rsidRPr="00582BC2">
        <w:rPr>
          <w:lang w:val="fr-CA"/>
        </w:rPr>
        <w:t xml:space="preserve">il semble que l’exportation des résidus de SAO de pays ne possédant pas d’installations de destruction </w:t>
      </w:r>
      <w:r w:rsidR="00870A8A" w:rsidRPr="00582BC2">
        <w:rPr>
          <w:lang w:val="fr-CA"/>
        </w:rPr>
        <w:t>vers</w:t>
      </w:r>
      <w:r w:rsidR="00FC5F37" w:rsidRPr="00582BC2">
        <w:rPr>
          <w:lang w:val="fr-CA"/>
        </w:rPr>
        <w:t xml:space="preserve"> des pays non visés à l'article 5 pour y détruire les résidus de SAO </w:t>
      </w:r>
      <w:r w:rsidR="00870A8A" w:rsidRPr="00582BC2">
        <w:rPr>
          <w:lang w:val="fr-CA"/>
        </w:rPr>
        <w:t>soit un</w:t>
      </w:r>
      <w:r w:rsidR="00FC5F37" w:rsidRPr="00582BC2">
        <w:rPr>
          <w:lang w:val="fr-CA"/>
        </w:rPr>
        <w:t>e solution plus économique pour détruire les résidus de SAO</w:t>
      </w:r>
      <w:r w:rsidR="002514B6" w:rsidRPr="00582BC2">
        <w:rPr>
          <w:lang w:val="fr-CA"/>
        </w:rPr>
        <w:t xml:space="preserve">. </w:t>
      </w:r>
      <w:r w:rsidR="00284BD5">
        <w:rPr>
          <w:lang w:val="fr-CA"/>
        </w:rPr>
        <w:t xml:space="preserve"> </w:t>
      </w:r>
    </w:p>
    <w:p w14:paraId="13944067" w14:textId="11F1A055" w:rsidR="002514B6" w:rsidRPr="00582BC2" w:rsidRDefault="002514B6" w:rsidP="002514B6">
      <w:pPr>
        <w:keepNext/>
        <w:tabs>
          <w:tab w:val="left" w:pos="2880"/>
          <w:tab w:val="left" w:pos="5760"/>
        </w:tabs>
        <w:rPr>
          <w:b/>
          <w:lang w:val="fr-CA"/>
        </w:rPr>
      </w:pPr>
      <w:r w:rsidRPr="00582BC2">
        <w:rPr>
          <w:b/>
          <w:lang w:val="fr-CA"/>
        </w:rPr>
        <w:t>Table</w:t>
      </w:r>
      <w:r w:rsidR="00870A8A" w:rsidRPr="00582BC2">
        <w:rPr>
          <w:b/>
          <w:lang w:val="fr-CA"/>
        </w:rPr>
        <w:t>au</w:t>
      </w:r>
      <w:r w:rsidRPr="00582BC2">
        <w:rPr>
          <w:b/>
          <w:lang w:val="fr-CA"/>
        </w:rPr>
        <w:t xml:space="preserve"> 3. </w:t>
      </w:r>
      <w:r w:rsidR="00870A8A" w:rsidRPr="00582BC2">
        <w:rPr>
          <w:b/>
          <w:lang w:val="fr-CA"/>
        </w:rPr>
        <w:t>Coûts de destruction déclarés pour les projets pilotes</w:t>
      </w:r>
    </w:p>
    <w:tbl>
      <w:tblPr>
        <w:tblStyle w:val="TableGrid"/>
        <w:tblW w:w="5003" w:type="pct"/>
        <w:tblLook w:val="04A0" w:firstRow="1" w:lastRow="0" w:firstColumn="1" w:lastColumn="0" w:noHBand="0" w:noVBand="1"/>
      </w:tblPr>
      <w:tblGrid>
        <w:gridCol w:w="1405"/>
        <w:gridCol w:w="4981"/>
        <w:gridCol w:w="2970"/>
      </w:tblGrid>
      <w:tr w:rsidR="002514B6" w:rsidRPr="00582BC2" w14:paraId="5BAA0795" w14:textId="77777777" w:rsidTr="00D064C5">
        <w:trPr>
          <w:tblHeader/>
        </w:trPr>
        <w:tc>
          <w:tcPr>
            <w:tcW w:w="751" w:type="pct"/>
          </w:tcPr>
          <w:p w14:paraId="397770C2" w14:textId="782CF2DA" w:rsidR="002514B6" w:rsidRPr="00582BC2" w:rsidRDefault="00870A8A" w:rsidP="00915BEF">
            <w:pPr>
              <w:keepNext/>
              <w:tabs>
                <w:tab w:val="left" w:pos="2880"/>
                <w:tab w:val="left" w:pos="5760"/>
              </w:tabs>
              <w:jc w:val="center"/>
              <w:rPr>
                <w:b/>
                <w:sz w:val="20"/>
                <w:szCs w:val="21"/>
                <w:lang w:val="fr-CA"/>
              </w:rPr>
            </w:pPr>
            <w:r w:rsidRPr="00582BC2">
              <w:rPr>
                <w:b/>
                <w:sz w:val="20"/>
                <w:szCs w:val="21"/>
                <w:lang w:val="fr-CA"/>
              </w:rPr>
              <w:t>Pays</w:t>
            </w:r>
          </w:p>
        </w:tc>
        <w:tc>
          <w:tcPr>
            <w:tcW w:w="2662" w:type="pct"/>
          </w:tcPr>
          <w:p w14:paraId="362D84F0" w14:textId="5479E257" w:rsidR="002514B6" w:rsidRPr="00582BC2" w:rsidRDefault="00A77BB8" w:rsidP="00915BEF">
            <w:pPr>
              <w:keepNext/>
              <w:tabs>
                <w:tab w:val="left" w:pos="2880"/>
                <w:tab w:val="left" w:pos="5760"/>
              </w:tabs>
              <w:jc w:val="center"/>
              <w:rPr>
                <w:b/>
                <w:sz w:val="20"/>
                <w:szCs w:val="21"/>
                <w:lang w:val="fr-CA"/>
              </w:rPr>
            </w:pPr>
            <w:r>
              <w:rPr>
                <w:b/>
                <w:sz w:val="20"/>
                <w:szCs w:val="21"/>
                <w:lang w:val="fr-CA"/>
              </w:rPr>
              <w:t>Mode</w:t>
            </w:r>
            <w:r w:rsidR="00870A8A" w:rsidRPr="00582BC2">
              <w:rPr>
                <w:b/>
                <w:sz w:val="20"/>
                <w:szCs w:val="21"/>
                <w:lang w:val="fr-CA"/>
              </w:rPr>
              <w:t xml:space="preserve"> de destruction</w:t>
            </w:r>
          </w:p>
        </w:tc>
        <w:tc>
          <w:tcPr>
            <w:tcW w:w="1587" w:type="pct"/>
          </w:tcPr>
          <w:p w14:paraId="0B51C973" w14:textId="0E71F867" w:rsidR="002514B6" w:rsidRPr="00582BC2" w:rsidRDefault="00870A8A" w:rsidP="00915BEF">
            <w:pPr>
              <w:keepNext/>
              <w:tabs>
                <w:tab w:val="left" w:pos="2880"/>
                <w:tab w:val="left" w:pos="5760"/>
              </w:tabs>
              <w:jc w:val="center"/>
              <w:rPr>
                <w:b/>
                <w:sz w:val="20"/>
                <w:szCs w:val="21"/>
                <w:lang w:val="fr-CA"/>
              </w:rPr>
            </w:pPr>
            <w:r w:rsidRPr="00582BC2">
              <w:rPr>
                <w:b/>
                <w:sz w:val="20"/>
                <w:szCs w:val="21"/>
                <w:lang w:val="fr-CA"/>
              </w:rPr>
              <w:t>Coûts de destruction ($US)</w:t>
            </w:r>
          </w:p>
        </w:tc>
      </w:tr>
      <w:tr w:rsidR="002514B6" w:rsidRPr="00582BC2" w14:paraId="4613EC1D" w14:textId="77777777" w:rsidTr="00D064C5">
        <w:tc>
          <w:tcPr>
            <w:tcW w:w="751" w:type="pct"/>
          </w:tcPr>
          <w:p w14:paraId="24F1D1EC" w14:textId="2DF3353B" w:rsidR="002514B6" w:rsidRPr="00582BC2" w:rsidRDefault="00870A8A" w:rsidP="00915BEF">
            <w:pPr>
              <w:keepNext/>
              <w:tabs>
                <w:tab w:val="left" w:pos="2880"/>
                <w:tab w:val="left" w:pos="5760"/>
              </w:tabs>
              <w:rPr>
                <w:sz w:val="20"/>
                <w:szCs w:val="21"/>
                <w:lang w:val="fr-CA"/>
              </w:rPr>
            </w:pPr>
            <w:r w:rsidRPr="00582BC2">
              <w:rPr>
                <w:sz w:val="20"/>
                <w:szCs w:val="21"/>
                <w:lang w:val="fr-CA"/>
              </w:rPr>
              <w:t>Chine</w:t>
            </w:r>
          </w:p>
        </w:tc>
        <w:tc>
          <w:tcPr>
            <w:tcW w:w="2662" w:type="pct"/>
          </w:tcPr>
          <w:p w14:paraId="6C0F08B3" w14:textId="1A27D5EA" w:rsidR="002514B6" w:rsidRPr="00582BC2" w:rsidRDefault="00870A8A" w:rsidP="00915BEF">
            <w:pPr>
              <w:keepNext/>
              <w:tabs>
                <w:tab w:val="left" w:pos="2880"/>
                <w:tab w:val="left" w:pos="5760"/>
              </w:tabs>
              <w:jc w:val="left"/>
              <w:rPr>
                <w:sz w:val="20"/>
                <w:szCs w:val="21"/>
                <w:lang w:val="fr-CA"/>
              </w:rPr>
            </w:pPr>
            <w:r w:rsidRPr="00582BC2">
              <w:rPr>
                <w:sz w:val="20"/>
                <w:szCs w:val="21"/>
                <w:lang w:val="fr-CA"/>
              </w:rPr>
              <w:t>Au pays : incinération dans un four rotatif</w:t>
            </w:r>
          </w:p>
        </w:tc>
        <w:tc>
          <w:tcPr>
            <w:tcW w:w="1587" w:type="pct"/>
          </w:tcPr>
          <w:p w14:paraId="17CD9D30" w14:textId="62ECFC2B" w:rsidR="002514B6" w:rsidRPr="00582BC2" w:rsidRDefault="00870A8A" w:rsidP="00870A8A">
            <w:pPr>
              <w:keepNext/>
              <w:tabs>
                <w:tab w:val="left" w:pos="2880"/>
                <w:tab w:val="left" w:pos="5760"/>
              </w:tabs>
              <w:jc w:val="left"/>
              <w:rPr>
                <w:sz w:val="20"/>
                <w:szCs w:val="21"/>
                <w:lang w:val="fr-CA"/>
              </w:rPr>
            </w:pPr>
            <w:r w:rsidRPr="00582BC2">
              <w:rPr>
                <w:sz w:val="20"/>
                <w:szCs w:val="21"/>
                <w:lang w:val="fr-CA"/>
              </w:rPr>
              <w:t>De 8</w:t>
            </w:r>
            <w:r w:rsidR="00A77BB8">
              <w:rPr>
                <w:sz w:val="20"/>
                <w:szCs w:val="21"/>
                <w:lang w:val="fr-CA"/>
              </w:rPr>
              <w:t>,00</w:t>
            </w:r>
            <w:r w:rsidRPr="00582BC2">
              <w:rPr>
                <w:sz w:val="20"/>
                <w:szCs w:val="21"/>
                <w:lang w:val="fr-CA"/>
              </w:rPr>
              <w:t xml:space="preserve"> à 12,50</w:t>
            </w:r>
          </w:p>
        </w:tc>
      </w:tr>
      <w:tr w:rsidR="002514B6" w:rsidRPr="00454C15" w14:paraId="5E7E7FE1" w14:textId="77777777" w:rsidTr="00D064C5">
        <w:tc>
          <w:tcPr>
            <w:tcW w:w="751" w:type="pct"/>
            <w:vMerge w:val="restart"/>
          </w:tcPr>
          <w:p w14:paraId="0555FECA" w14:textId="7C281A4F" w:rsidR="002514B6" w:rsidRPr="00582BC2" w:rsidRDefault="00870A8A" w:rsidP="00915BEF">
            <w:pPr>
              <w:keepNext/>
              <w:tabs>
                <w:tab w:val="left" w:pos="2880"/>
                <w:tab w:val="left" w:pos="5760"/>
              </w:tabs>
              <w:rPr>
                <w:sz w:val="20"/>
                <w:szCs w:val="21"/>
                <w:lang w:val="fr-CA"/>
              </w:rPr>
            </w:pPr>
            <w:r w:rsidRPr="00582BC2">
              <w:rPr>
                <w:sz w:val="20"/>
                <w:szCs w:val="21"/>
                <w:lang w:val="fr-CA"/>
              </w:rPr>
              <w:t>Colombie</w:t>
            </w:r>
          </w:p>
        </w:tc>
        <w:tc>
          <w:tcPr>
            <w:tcW w:w="2662" w:type="pct"/>
            <w:vMerge w:val="restart"/>
          </w:tcPr>
          <w:p w14:paraId="4F1C2E39" w14:textId="197F8A8C" w:rsidR="002514B6" w:rsidRPr="00582BC2" w:rsidRDefault="00870A8A" w:rsidP="00915BEF">
            <w:pPr>
              <w:keepNext/>
              <w:tabs>
                <w:tab w:val="left" w:pos="2880"/>
                <w:tab w:val="left" w:pos="5760"/>
              </w:tabs>
              <w:jc w:val="left"/>
              <w:rPr>
                <w:sz w:val="20"/>
                <w:szCs w:val="21"/>
                <w:lang w:val="fr-CA"/>
              </w:rPr>
            </w:pPr>
            <w:r w:rsidRPr="00582BC2">
              <w:rPr>
                <w:sz w:val="20"/>
                <w:szCs w:val="21"/>
                <w:lang w:val="fr-CA"/>
              </w:rPr>
              <w:t>Au pays : incinération à haute température</w:t>
            </w:r>
          </w:p>
        </w:tc>
        <w:tc>
          <w:tcPr>
            <w:tcW w:w="1587" w:type="pct"/>
          </w:tcPr>
          <w:p w14:paraId="07262C4F" w14:textId="1C867B5F" w:rsidR="002514B6" w:rsidRPr="00582BC2" w:rsidRDefault="00870A8A" w:rsidP="00915BEF">
            <w:pPr>
              <w:keepNext/>
              <w:tabs>
                <w:tab w:val="left" w:pos="2880"/>
                <w:tab w:val="left" w:pos="5760"/>
              </w:tabs>
              <w:jc w:val="left"/>
              <w:rPr>
                <w:sz w:val="20"/>
                <w:szCs w:val="21"/>
                <w:lang w:val="fr-CA"/>
              </w:rPr>
            </w:pPr>
            <w:r w:rsidRPr="00582BC2">
              <w:rPr>
                <w:sz w:val="20"/>
                <w:szCs w:val="21"/>
                <w:lang w:val="fr-CA"/>
              </w:rPr>
              <w:t>5</w:t>
            </w:r>
            <w:r w:rsidR="004A3FF6" w:rsidRPr="00582BC2">
              <w:rPr>
                <w:sz w:val="20"/>
                <w:szCs w:val="21"/>
                <w:lang w:val="fr-CA"/>
              </w:rPr>
              <w:t>,</w:t>
            </w:r>
            <w:r w:rsidRPr="00582BC2">
              <w:rPr>
                <w:sz w:val="20"/>
                <w:szCs w:val="21"/>
                <w:lang w:val="fr-CA"/>
              </w:rPr>
              <w:t xml:space="preserve">20 </w:t>
            </w:r>
            <w:r w:rsidR="004A3FF6" w:rsidRPr="00582BC2">
              <w:rPr>
                <w:sz w:val="20"/>
                <w:szCs w:val="21"/>
                <w:lang w:val="fr-CA"/>
              </w:rPr>
              <w:t>(</w:t>
            </w:r>
            <w:r w:rsidRPr="00582BC2">
              <w:rPr>
                <w:sz w:val="20"/>
                <w:szCs w:val="21"/>
                <w:lang w:val="fr-CA"/>
              </w:rPr>
              <w:t>pour la mousse à base de CFC-11</w:t>
            </w:r>
            <w:r w:rsidR="004A3FF6" w:rsidRPr="00582BC2">
              <w:rPr>
                <w:sz w:val="20"/>
                <w:szCs w:val="21"/>
                <w:lang w:val="fr-CA"/>
              </w:rPr>
              <w:t>)</w:t>
            </w:r>
            <w:r w:rsidR="004A3FF6" w:rsidRPr="00582BC2">
              <w:rPr>
                <w:sz w:val="20"/>
                <w:szCs w:val="21"/>
                <w:vertAlign w:val="superscript"/>
                <w:lang w:val="fr-CA"/>
              </w:rPr>
              <w:t>a</w:t>
            </w:r>
          </w:p>
        </w:tc>
      </w:tr>
      <w:tr w:rsidR="002514B6" w:rsidRPr="00454C15" w14:paraId="14F54972" w14:textId="77777777" w:rsidTr="00D064C5">
        <w:tc>
          <w:tcPr>
            <w:tcW w:w="751" w:type="pct"/>
            <w:vMerge/>
          </w:tcPr>
          <w:p w14:paraId="35FCC8E2" w14:textId="77777777" w:rsidR="002514B6" w:rsidRPr="00582BC2" w:rsidRDefault="002514B6" w:rsidP="00915BEF">
            <w:pPr>
              <w:keepNext/>
              <w:tabs>
                <w:tab w:val="left" w:pos="2880"/>
                <w:tab w:val="left" w:pos="5760"/>
              </w:tabs>
              <w:rPr>
                <w:sz w:val="20"/>
                <w:szCs w:val="21"/>
                <w:lang w:val="fr-CA"/>
              </w:rPr>
            </w:pPr>
          </w:p>
        </w:tc>
        <w:tc>
          <w:tcPr>
            <w:tcW w:w="2662" w:type="pct"/>
            <w:vMerge/>
          </w:tcPr>
          <w:p w14:paraId="3DB36064" w14:textId="77777777" w:rsidR="002514B6" w:rsidRPr="00582BC2" w:rsidRDefault="002514B6" w:rsidP="00915BEF">
            <w:pPr>
              <w:keepNext/>
              <w:tabs>
                <w:tab w:val="left" w:pos="2880"/>
                <w:tab w:val="left" w:pos="5760"/>
              </w:tabs>
              <w:jc w:val="left"/>
              <w:rPr>
                <w:sz w:val="20"/>
                <w:szCs w:val="21"/>
                <w:lang w:val="fr-CA"/>
              </w:rPr>
            </w:pPr>
          </w:p>
        </w:tc>
        <w:tc>
          <w:tcPr>
            <w:tcW w:w="1587" w:type="pct"/>
          </w:tcPr>
          <w:p w14:paraId="2585B173" w14:textId="14AF1468" w:rsidR="002514B6" w:rsidRPr="00582BC2" w:rsidRDefault="004A3FF6" w:rsidP="004A3FF6">
            <w:pPr>
              <w:keepNext/>
              <w:tabs>
                <w:tab w:val="left" w:pos="2880"/>
                <w:tab w:val="left" w:pos="5760"/>
              </w:tabs>
              <w:jc w:val="left"/>
              <w:rPr>
                <w:sz w:val="20"/>
                <w:szCs w:val="21"/>
                <w:lang w:val="fr-CA"/>
              </w:rPr>
            </w:pPr>
            <w:r w:rsidRPr="00582BC2">
              <w:rPr>
                <w:sz w:val="20"/>
                <w:szCs w:val="21"/>
                <w:lang w:val="fr-CA"/>
              </w:rPr>
              <w:t>5,</w:t>
            </w:r>
            <w:r w:rsidR="002514B6" w:rsidRPr="00582BC2">
              <w:rPr>
                <w:sz w:val="20"/>
                <w:szCs w:val="21"/>
                <w:lang w:val="fr-CA"/>
              </w:rPr>
              <w:t>98 (</w:t>
            </w:r>
            <w:r w:rsidRPr="00582BC2">
              <w:rPr>
                <w:sz w:val="20"/>
                <w:szCs w:val="21"/>
                <w:lang w:val="fr-CA"/>
              </w:rPr>
              <w:t>pour le CFC-11 liquide</w:t>
            </w:r>
            <w:r w:rsidR="002514B6" w:rsidRPr="00582BC2">
              <w:rPr>
                <w:sz w:val="20"/>
                <w:szCs w:val="21"/>
                <w:lang w:val="fr-CA"/>
              </w:rPr>
              <w:t>)</w:t>
            </w:r>
            <w:r w:rsidR="002514B6" w:rsidRPr="00582BC2">
              <w:rPr>
                <w:sz w:val="20"/>
                <w:szCs w:val="21"/>
                <w:vertAlign w:val="superscript"/>
                <w:lang w:val="fr-CA"/>
              </w:rPr>
              <w:t>a</w:t>
            </w:r>
          </w:p>
        </w:tc>
      </w:tr>
      <w:tr w:rsidR="002514B6" w:rsidRPr="00454C15" w14:paraId="36FCB7B5" w14:textId="77777777" w:rsidTr="00D064C5">
        <w:tc>
          <w:tcPr>
            <w:tcW w:w="751" w:type="pct"/>
            <w:vMerge/>
          </w:tcPr>
          <w:p w14:paraId="210F4487" w14:textId="77777777" w:rsidR="002514B6" w:rsidRPr="00582BC2" w:rsidRDefault="002514B6" w:rsidP="00915BEF">
            <w:pPr>
              <w:keepNext/>
              <w:tabs>
                <w:tab w:val="left" w:pos="2880"/>
                <w:tab w:val="left" w:pos="5760"/>
              </w:tabs>
              <w:rPr>
                <w:sz w:val="20"/>
                <w:szCs w:val="21"/>
                <w:lang w:val="fr-CA"/>
              </w:rPr>
            </w:pPr>
          </w:p>
        </w:tc>
        <w:tc>
          <w:tcPr>
            <w:tcW w:w="2662" w:type="pct"/>
            <w:vMerge/>
          </w:tcPr>
          <w:p w14:paraId="61C4A5AA" w14:textId="77777777" w:rsidR="002514B6" w:rsidRPr="00582BC2" w:rsidRDefault="002514B6" w:rsidP="00915BEF">
            <w:pPr>
              <w:keepNext/>
              <w:tabs>
                <w:tab w:val="left" w:pos="2880"/>
                <w:tab w:val="left" w:pos="5760"/>
              </w:tabs>
              <w:jc w:val="left"/>
              <w:rPr>
                <w:sz w:val="20"/>
                <w:szCs w:val="21"/>
                <w:lang w:val="fr-CA"/>
              </w:rPr>
            </w:pPr>
          </w:p>
        </w:tc>
        <w:tc>
          <w:tcPr>
            <w:tcW w:w="1587" w:type="pct"/>
          </w:tcPr>
          <w:p w14:paraId="5014548E" w14:textId="67BB239C" w:rsidR="002514B6" w:rsidRPr="00582BC2" w:rsidRDefault="004A3FF6" w:rsidP="004A3FF6">
            <w:pPr>
              <w:keepNext/>
              <w:tabs>
                <w:tab w:val="left" w:pos="2880"/>
                <w:tab w:val="left" w:pos="5760"/>
              </w:tabs>
              <w:jc w:val="left"/>
              <w:rPr>
                <w:sz w:val="20"/>
                <w:szCs w:val="21"/>
                <w:lang w:val="fr-CA"/>
              </w:rPr>
            </w:pPr>
            <w:r w:rsidRPr="00582BC2">
              <w:rPr>
                <w:sz w:val="20"/>
                <w:szCs w:val="21"/>
                <w:lang w:val="fr-CA"/>
              </w:rPr>
              <w:t>6,</w:t>
            </w:r>
            <w:r w:rsidR="002514B6" w:rsidRPr="00582BC2">
              <w:rPr>
                <w:sz w:val="20"/>
                <w:szCs w:val="21"/>
                <w:lang w:val="fr-CA"/>
              </w:rPr>
              <w:t>20 (</w:t>
            </w:r>
            <w:r w:rsidRPr="00582BC2">
              <w:rPr>
                <w:sz w:val="20"/>
                <w:szCs w:val="21"/>
                <w:lang w:val="fr-CA"/>
              </w:rPr>
              <w:t>pour le CFC-12 gazeux</w:t>
            </w:r>
            <w:r w:rsidR="002514B6" w:rsidRPr="00582BC2">
              <w:rPr>
                <w:sz w:val="20"/>
                <w:szCs w:val="21"/>
                <w:lang w:val="fr-CA"/>
              </w:rPr>
              <w:t>)</w:t>
            </w:r>
            <w:r w:rsidR="002514B6" w:rsidRPr="00582BC2">
              <w:rPr>
                <w:sz w:val="20"/>
                <w:szCs w:val="21"/>
                <w:vertAlign w:val="superscript"/>
                <w:lang w:val="fr-CA"/>
              </w:rPr>
              <w:t>a</w:t>
            </w:r>
          </w:p>
        </w:tc>
      </w:tr>
      <w:tr w:rsidR="002514B6" w:rsidRPr="00582BC2" w14:paraId="18937DB9" w14:textId="77777777" w:rsidTr="00D064C5">
        <w:tc>
          <w:tcPr>
            <w:tcW w:w="751" w:type="pct"/>
          </w:tcPr>
          <w:p w14:paraId="182078B7" w14:textId="488B412F" w:rsidR="002514B6" w:rsidRPr="00582BC2" w:rsidRDefault="002514B6" w:rsidP="00915BEF">
            <w:pPr>
              <w:widowControl w:val="0"/>
              <w:tabs>
                <w:tab w:val="left" w:pos="2880"/>
                <w:tab w:val="left" w:pos="5760"/>
              </w:tabs>
              <w:rPr>
                <w:sz w:val="20"/>
                <w:szCs w:val="21"/>
                <w:lang w:val="fr-CA"/>
              </w:rPr>
            </w:pPr>
            <w:proofErr w:type="spellStart"/>
            <w:r w:rsidRPr="00582BC2">
              <w:rPr>
                <w:sz w:val="20"/>
                <w:szCs w:val="21"/>
                <w:lang w:val="fr-CA"/>
              </w:rPr>
              <w:t>Georgi</w:t>
            </w:r>
            <w:r w:rsidR="00284BD5">
              <w:rPr>
                <w:sz w:val="20"/>
                <w:szCs w:val="21"/>
                <w:lang w:val="fr-CA"/>
              </w:rPr>
              <w:t>e</w:t>
            </w:r>
            <w:proofErr w:type="spellEnd"/>
          </w:p>
        </w:tc>
        <w:tc>
          <w:tcPr>
            <w:tcW w:w="2662" w:type="pct"/>
          </w:tcPr>
          <w:p w14:paraId="30C3D5C7" w14:textId="7D8D6519" w:rsidR="002514B6" w:rsidRPr="00582BC2" w:rsidRDefault="004A3FF6" w:rsidP="00915BEF">
            <w:pPr>
              <w:widowControl w:val="0"/>
              <w:tabs>
                <w:tab w:val="left" w:pos="2880"/>
                <w:tab w:val="left" w:pos="5760"/>
              </w:tabs>
              <w:jc w:val="left"/>
              <w:rPr>
                <w:sz w:val="20"/>
                <w:szCs w:val="21"/>
                <w:lang w:val="fr-CA"/>
              </w:rPr>
            </w:pPr>
            <w:r w:rsidRPr="00582BC2">
              <w:rPr>
                <w:sz w:val="20"/>
                <w:szCs w:val="21"/>
                <w:lang w:val="fr-CA"/>
              </w:rPr>
              <w:t>Exportation vers la France : incinération à haute température</w:t>
            </w:r>
          </w:p>
        </w:tc>
        <w:tc>
          <w:tcPr>
            <w:tcW w:w="1587" w:type="pct"/>
          </w:tcPr>
          <w:p w14:paraId="63ED1034" w14:textId="158D4AE2" w:rsidR="002514B6" w:rsidRPr="00582BC2" w:rsidRDefault="004A3FF6" w:rsidP="00915BEF">
            <w:pPr>
              <w:widowControl w:val="0"/>
              <w:tabs>
                <w:tab w:val="left" w:pos="2880"/>
                <w:tab w:val="left" w:pos="5760"/>
              </w:tabs>
              <w:jc w:val="left"/>
              <w:rPr>
                <w:sz w:val="20"/>
                <w:szCs w:val="21"/>
                <w:lang w:val="fr-CA"/>
              </w:rPr>
            </w:pPr>
            <w:r w:rsidRPr="00582BC2">
              <w:rPr>
                <w:sz w:val="20"/>
                <w:szCs w:val="21"/>
                <w:lang w:val="fr-CA"/>
              </w:rPr>
              <w:t>5,</w:t>
            </w:r>
            <w:r w:rsidR="002514B6" w:rsidRPr="00582BC2">
              <w:rPr>
                <w:sz w:val="20"/>
                <w:szCs w:val="21"/>
                <w:lang w:val="fr-CA"/>
              </w:rPr>
              <w:t>99</w:t>
            </w:r>
            <w:r w:rsidR="002514B6" w:rsidRPr="00582BC2">
              <w:rPr>
                <w:sz w:val="20"/>
                <w:szCs w:val="21"/>
                <w:vertAlign w:val="superscript"/>
                <w:lang w:val="fr-CA"/>
              </w:rPr>
              <w:t>b</w:t>
            </w:r>
          </w:p>
        </w:tc>
      </w:tr>
      <w:tr w:rsidR="002514B6" w:rsidRPr="00454C15" w14:paraId="1CF5AC98" w14:textId="77777777" w:rsidTr="00D064C5">
        <w:tc>
          <w:tcPr>
            <w:tcW w:w="751" w:type="pct"/>
          </w:tcPr>
          <w:p w14:paraId="6D4AEC15" w14:textId="77777777" w:rsidR="002514B6" w:rsidRPr="00582BC2" w:rsidRDefault="002514B6" w:rsidP="00915BEF">
            <w:pPr>
              <w:widowControl w:val="0"/>
              <w:tabs>
                <w:tab w:val="left" w:pos="2880"/>
                <w:tab w:val="left" w:pos="5760"/>
              </w:tabs>
              <w:rPr>
                <w:sz w:val="20"/>
                <w:szCs w:val="21"/>
                <w:lang w:val="fr-CA"/>
              </w:rPr>
            </w:pPr>
            <w:r w:rsidRPr="00582BC2">
              <w:rPr>
                <w:sz w:val="20"/>
                <w:szCs w:val="21"/>
                <w:lang w:val="fr-CA"/>
              </w:rPr>
              <w:t>Ghana</w:t>
            </w:r>
          </w:p>
        </w:tc>
        <w:tc>
          <w:tcPr>
            <w:tcW w:w="2662" w:type="pct"/>
          </w:tcPr>
          <w:p w14:paraId="6E4FE593" w14:textId="7F69F27D" w:rsidR="002514B6" w:rsidRPr="00582BC2" w:rsidRDefault="004A3FF6" w:rsidP="00915BEF">
            <w:pPr>
              <w:widowControl w:val="0"/>
              <w:tabs>
                <w:tab w:val="left" w:pos="2880"/>
                <w:tab w:val="left" w:pos="5760"/>
              </w:tabs>
              <w:jc w:val="left"/>
              <w:rPr>
                <w:sz w:val="20"/>
                <w:szCs w:val="21"/>
                <w:lang w:val="fr-CA"/>
              </w:rPr>
            </w:pPr>
            <w:r w:rsidRPr="00582BC2">
              <w:rPr>
                <w:sz w:val="20"/>
                <w:szCs w:val="21"/>
                <w:lang w:val="fr-CA"/>
              </w:rPr>
              <w:t>Exportation vers la Pologne : incinération à haute température</w:t>
            </w:r>
          </w:p>
        </w:tc>
        <w:tc>
          <w:tcPr>
            <w:tcW w:w="1587" w:type="pct"/>
          </w:tcPr>
          <w:p w14:paraId="0A2733AA" w14:textId="2791391B" w:rsidR="002514B6" w:rsidRPr="00582BC2" w:rsidRDefault="004A3FF6" w:rsidP="00915BEF">
            <w:pPr>
              <w:widowControl w:val="0"/>
              <w:tabs>
                <w:tab w:val="left" w:pos="2880"/>
                <w:tab w:val="left" w:pos="5760"/>
              </w:tabs>
              <w:jc w:val="left"/>
              <w:rPr>
                <w:sz w:val="20"/>
                <w:szCs w:val="21"/>
                <w:lang w:val="fr-CA"/>
              </w:rPr>
            </w:pPr>
            <w:r w:rsidRPr="00582BC2">
              <w:rPr>
                <w:sz w:val="20"/>
                <w:szCs w:val="21"/>
                <w:lang w:val="fr-CA"/>
              </w:rPr>
              <w:t>Aucun coût de destruction déclaré</w:t>
            </w:r>
          </w:p>
        </w:tc>
      </w:tr>
      <w:tr w:rsidR="002514B6" w:rsidRPr="00582BC2" w14:paraId="41DAC80B" w14:textId="77777777" w:rsidTr="00D064C5">
        <w:tc>
          <w:tcPr>
            <w:tcW w:w="751" w:type="pct"/>
            <w:vMerge w:val="restart"/>
          </w:tcPr>
          <w:p w14:paraId="17EB00AA" w14:textId="5FF4ADDC" w:rsidR="002514B6" w:rsidRPr="00582BC2" w:rsidRDefault="004A3FF6" w:rsidP="0032303A">
            <w:pPr>
              <w:widowControl w:val="0"/>
              <w:tabs>
                <w:tab w:val="left" w:pos="2880"/>
                <w:tab w:val="left" w:pos="5760"/>
              </w:tabs>
              <w:rPr>
                <w:sz w:val="20"/>
                <w:szCs w:val="21"/>
                <w:lang w:val="fr-CA"/>
              </w:rPr>
            </w:pPr>
            <w:proofErr w:type="spellStart"/>
            <w:r w:rsidRPr="00582BC2">
              <w:rPr>
                <w:sz w:val="20"/>
                <w:szCs w:val="21"/>
                <w:lang w:val="fr-CA"/>
              </w:rPr>
              <w:t>Mexique</w:t>
            </w:r>
            <w:r w:rsidR="0032303A" w:rsidRPr="00582BC2">
              <w:rPr>
                <w:sz w:val="20"/>
                <w:szCs w:val="21"/>
                <w:vertAlign w:val="superscript"/>
                <w:lang w:val="fr-CA"/>
              </w:rPr>
              <w:t>c</w:t>
            </w:r>
            <w:proofErr w:type="spellEnd"/>
          </w:p>
        </w:tc>
        <w:tc>
          <w:tcPr>
            <w:tcW w:w="2662" w:type="pct"/>
          </w:tcPr>
          <w:p w14:paraId="2D852B23" w14:textId="2906EF84" w:rsidR="002514B6" w:rsidRPr="00582BC2" w:rsidRDefault="004A3FF6" w:rsidP="00A77BB8">
            <w:pPr>
              <w:widowControl w:val="0"/>
              <w:tabs>
                <w:tab w:val="left" w:pos="2880"/>
                <w:tab w:val="left" w:pos="5760"/>
              </w:tabs>
              <w:jc w:val="left"/>
              <w:rPr>
                <w:sz w:val="20"/>
                <w:szCs w:val="21"/>
                <w:lang w:val="fr-CA"/>
              </w:rPr>
            </w:pPr>
            <w:r w:rsidRPr="00582BC2">
              <w:rPr>
                <w:sz w:val="20"/>
                <w:szCs w:val="21"/>
                <w:lang w:val="fr-CA"/>
              </w:rPr>
              <w:t xml:space="preserve">Au pays : </w:t>
            </w:r>
            <w:r w:rsidR="00A77BB8">
              <w:rPr>
                <w:sz w:val="20"/>
                <w:szCs w:val="21"/>
                <w:lang w:val="fr-CA"/>
              </w:rPr>
              <w:t xml:space="preserve">arc à </w:t>
            </w:r>
            <w:r w:rsidRPr="00582BC2">
              <w:rPr>
                <w:sz w:val="20"/>
                <w:szCs w:val="21"/>
                <w:lang w:val="fr-CA"/>
              </w:rPr>
              <w:t>argon-plasma</w:t>
            </w:r>
          </w:p>
        </w:tc>
        <w:tc>
          <w:tcPr>
            <w:tcW w:w="1587" w:type="pct"/>
          </w:tcPr>
          <w:p w14:paraId="68D4AC16" w14:textId="3F568704" w:rsidR="002514B6" w:rsidRPr="00582BC2" w:rsidRDefault="004A3FF6" w:rsidP="00915BEF">
            <w:pPr>
              <w:widowControl w:val="0"/>
              <w:tabs>
                <w:tab w:val="left" w:pos="2880"/>
                <w:tab w:val="left" w:pos="5760"/>
              </w:tabs>
              <w:jc w:val="left"/>
              <w:rPr>
                <w:sz w:val="20"/>
                <w:szCs w:val="21"/>
                <w:lang w:val="fr-CA"/>
              </w:rPr>
            </w:pPr>
            <w:r w:rsidRPr="00582BC2">
              <w:rPr>
                <w:sz w:val="20"/>
                <w:szCs w:val="21"/>
                <w:lang w:val="fr-CA"/>
              </w:rPr>
              <w:t>7,</w:t>
            </w:r>
            <w:r w:rsidR="002514B6" w:rsidRPr="00582BC2">
              <w:rPr>
                <w:sz w:val="20"/>
                <w:szCs w:val="21"/>
                <w:lang w:val="fr-CA"/>
              </w:rPr>
              <w:t>50</w:t>
            </w:r>
          </w:p>
        </w:tc>
      </w:tr>
      <w:tr w:rsidR="002514B6" w:rsidRPr="00582BC2" w14:paraId="2C7C3A48" w14:textId="77777777" w:rsidTr="00D064C5">
        <w:tc>
          <w:tcPr>
            <w:tcW w:w="751" w:type="pct"/>
            <w:vMerge/>
          </w:tcPr>
          <w:p w14:paraId="01393819" w14:textId="77777777" w:rsidR="002514B6" w:rsidRPr="00582BC2" w:rsidRDefault="002514B6" w:rsidP="00915BEF">
            <w:pPr>
              <w:widowControl w:val="0"/>
              <w:tabs>
                <w:tab w:val="left" w:pos="2880"/>
                <w:tab w:val="left" w:pos="5760"/>
              </w:tabs>
              <w:rPr>
                <w:sz w:val="20"/>
                <w:szCs w:val="21"/>
                <w:lang w:val="fr-CA"/>
              </w:rPr>
            </w:pPr>
          </w:p>
        </w:tc>
        <w:tc>
          <w:tcPr>
            <w:tcW w:w="2662" w:type="pct"/>
          </w:tcPr>
          <w:p w14:paraId="0B29D25B" w14:textId="425E05A3" w:rsidR="002514B6" w:rsidRPr="00582BC2" w:rsidRDefault="004A3FF6" w:rsidP="004A3FF6">
            <w:pPr>
              <w:widowControl w:val="0"/>
              <w:tabs>
                <w:tab w:val="left" w:pos="2880"/>
                <w:tab w:val="left" w:pos="5760"/>
              </w:tabs>
              <w:jc w:val="left"/>
              <w:rPr>
                <w:sz w:val="20"/>
                <w:szCs w:val="21"/>
                <w:lang w:val="fr-CA"/>
              </w:rPr>
            </w:pPr>
            <w:r w:rsidRPr="00582BC2">
              <w:rPr>
                <w:sz w:val="20"/>
                <w:szCs w:val="21"/>
                <w:lang w:val="fr-CA"/>
              </w:rPr>
              <w:t>Au pays : incinération dans un four à ciment</w:t>
            </w:r>
          </w:p>
        </w:tc>
        <w:tc>
          <w:tcPr>
            <w:tcW w:w="1587" w:type="pct"/>
          </w:tcPr>
          <w:p w14:paraId="5E77942C" w14:textId="43336A31" w:rsidR="002514B6" w:rsidRPr="00582BC2" w:rsidRDefault="004A3FF6" w:rsidP="00915BEF">
            <w:pPr>
              <w:widowControl w:val="0"/>
              <w:tabs>
                <w:tab w:val="left" w:pos="2880"/>
                <w:tab w:val="left" w:pos="5760"/>
              </w:tabs>
              <w:jc w:val="left"/>
              <w:rPr>
                <w:sz w:val="20"/>
                <w:szCs w:val="21"/>
                <w:lang w:val="fr-CA"/>
              </w:rPr>
            </w:pPr>
            <w:r w:rsidRPr="00582BC2">
              <w:rPr>
                <w:sz w:val="20"/>
                <w:szCs w:val="21"/>
                <w:lang w:val="fr-CA"/>
              </w:rPr>
              <w:t>6,</w:t>
            </w:r>
            <w:r w:rsidR="002514B6" w:rsidRPr="00582BC2">
              <w:rPr>
                <w:sz w:val="20"/>
                <w:szCs w:val="21"/>
                <w:lang w:val="fr-CA"/>
              </w:rPr>
              <w:t>00</w:t>
            </w:r>
          </w:p>
        </w:tc>
      </w:tr>
      <w:tr w:rsidR="002514B6" w:rsidRPr="00582BC2" w14:paraId="234C5B85" w14:textId="77777777" w:rsidTr="00D064C5">
        <w:tc>
          <w:tcPr>
            <w:tcW w:w="751" w:type="pct"/>
          </w:tcPr>
          <w:p w14:paraId="34D4B9AB" w14:textId="77777777" w:rsidR="002514B6" w:rsidRPr="00582BC2" w:rsidRDefault="002514B6" w:rsidP="00915BEF">
            <w:pPr>
              <w:widowControl w:val="0"/>
              <w:tabs>
                <w:tab w:val="left" w:pos="2880"/>
                <w:tab w:val="left" w:pos="5760"/>
              </w:tabs>
              <w:rPr>
                <w:sz w:val="20"/>
                <w:szCs w:val="21"/>
                <w:lang w:val="fr-CA"/>
              </w:rPr>
            </w:pPr>
            <w:r w:rsidRPr="00582BC2">
              <w:rPr>
                <w:sz w:val="20"/>
                <w:szCs w:val="21"/>
                <w:lang w:val="fr-CA"/>
              </w:rPr>
              <w:t>Nigeria</w:t>
            </w:r>
          </w:p>
        </w:tc>
        <w:tc>
          <w:tcPr>
            <w:tcW w:w="2662" w:type="pct"/>
          </w:tcPr>
          <w:p w14:paraId="5FE3A2F8" w14:textId="63AA83F5" w:rsidR="002514B6" w:rsidRPr="00582BC2" w:rsidRDefault="001E2559" w:rsidP="00284BD5">
            <w:pPr>
              <w:widowControl w:val="0"/>
              <w:tabs>
                <w:tab w:val="left" w:pos="2880"/>
                <w:tab w:val="left" w:pos="5760"/>
              </w:tabs>
              <w:jc w:val="left"/>
              <w:rPr>
                <w:sz w:val="20"/>
                <w:szCs w:val="21"/>
                <w:lang w:val="fr-CA"/>
              </w:rPr>
            </w:pPr>
            <w:r w:rsidRPr="00582BC2">
              <w:rPr>
                <w:sz w:val="20"/>
                <w:szCs w:val="21"/>
                <w:lang w:val="fr-CA"/>
              </w:rPr>
              <w:t xml:space="preserve">Au pays : incinération dans un four </w:t>
            </w:r>
            <w:r w:rsidR="00284BD5">
              <w:rPr>
                <w:sz w:val="20"/>
                <w:szCs w:val="21"/>
                <w:lang w:val="fr-CA"/>
              </w:rPr>
              <w:t>rotatif</w:t>
            </w:r>
          </w:p>
        </w:tc>
        <w:tc>
          <w:tcPr>
            <w:tcW w:w="1587" w:type="pct"/>
          </w:tcPr>
          <w:p w14:paraId="3AEFF9BB" w14:textId="41D9CFCC" w:rsidR="002514B6" w:rsidRPr="00582BC2" w:rsidRDefault="004A3FF6" w:rsidP="0032303A">
            <w:pPr>
              <w:widowControl w:val="0"/>
              <w:tabs>
                <w:tab w:val="left" w:pos="2880"/>
                <w:tab w:val="left" w:pos="5760"/>
              </w:tabs>
              <w:jc w:val="left"/>
              <w:rPr>
                <w:sz w:val="20"/>
                <w:szCs w:val="21"/>
                <w:lang w:val="fr-CA"/>
              </w:rPr>
            </w:pPr>
            <w:r w:rsidRPr="00582BC2">
              <w:rPr>
                <w:sz w:val="20"/>
                <w:szCs w:val="21"/>
                <w:lang w:val="fr-CA"/>
              </w:rPr>
              <w:t>29,</w:t>
            </w:r>
            <w:r w:rsidR="002514B6" w:rsidRPr="00582BC2">
              <w:rPr>
                <w:sz w:val="20"/>
                <w:szCs w:val="21"/>
                <w:lang w:val="fr-CA"/>
              </w:rPr>
              <w:t>82</w:t>
            </w:r>
            <w:r w:rsidR="0032303A" w:rsidRPr="00582BC2">
              <w:rPr>
                <w:sz w:val="20"/>
                <w:szCs w:val="21"/>
                <w:vertAlign w:val="superscript"/>
                <w:lang w:val="fr-CA"/>
              </w:rPr>
              <w:t>d</w:t>
            </w:r>
          </w:p>
        </w:tc>
      </w:tr>
      <w:tr w:rsidR="002514B6" w:rsidRPr="00582BC2" w14:paraId="080CE58F" w14:textId="77777777" w:rsidTr="00D064C5">
        <w:tc>
          <w:tcPr>
            <w:tcW w:w="751" w:type="pct"/>
          </w:tcPr>
          <w:p w14:paraId="435FB5F6" w14:textId="0AD175A1" w:rsidR="002514B6" w:rsidRPr="00582BC2" w:rsidRDefault="001E2559" w:rsidP="001E2559">
            <w:pPr>
              <w:widowControl w:val="0"/>
              <w:tabs>
                <w:tab w:val="left" w:pos="2880"/>
                <w:tab w:val="left" w:pos="5760"/>
              </w:tabs>
              <w:rPr>
                <w:sz w:val="20"/>
                <w:szCs w:val="21"/>
                <w:lang w:val="fr-CA"/>
              </w:rPr>
            </w:pPr>
            <w:r w:rsidRPr="00582BC2">
              <w:rPr>
                <w:sz w:val="20"/>
                <w:szCs w:val="21"/>
                <w:lang w:val="fr-CA"/>
              </w:rPr>
              <w:t>Région : Europe et Asie centrale</w:t>
            </w:r>
          </w:p>
        </w:tc>
        <w:tc>
          <w:tcPr>
            <w:tcW w:w="2662" w:type="pct"/>
          </w:tcPr>
          <w:p w14:paraId="49D4847F" w14:textId="5D5BBB2F" w:rsidR="002514B6" w:rsidRPr="00582BC2" w:rsidRDefault="001E2559" w:rsidP="001E2559">
            <w:pPr>
              <w:widowControl w:val="0"/>
              <w:tabs>
                <w:tab w:val="left" w:pos="2880"/>
                <w:tab w:val="left" w:pos="5760"/>
              </w:tabs>
              <w:jc w:val="left"/>
              <w:rPr>
                <w:sz w:val="20"/>
                <w:szCs w:val="21"/>
                <w:lang w:val="fr-CA"/>
              </w:rPr>
            </w:pPr>
            <w:r w:rsidRPr="00582BC2">
              <w:rPr>
                <w:sz w:val="20"/>
                <w:szCs w:val="21"/>
                <w:lang w:val="fr-CA"/>
              </w:rPr>
              <w:t>Exportation vers l’Allemagne et la Pologne : incinération dans un four rotatif</w:t>
            </w:r>
          </w:p>
        </w:tc>
        <w:tc>
          <w:tcPr>
            <w:tcW w:w="1587" w:type="pct"/>
          </w:tcPr>
          <w:p w14:paraId="78EBC5B7" w14:textId="67B543FE" w:rsidR="002514B6" w:rsidRPr="00582BC2" w:rsidRDefault="004A3FF6" w:rsidP="004A3FF6">
            <w:pPr>
              <w:widowControl w:val="0"/>
              <w:tabs>
                <w:tab w:val="left" w:pos="2880"/>
                <w:tab w:val="left" w:pos="5760"/>
              </w:tabs>
              <w:jc w:val="left"/>
              <w:rPr>
                <w:sz w:val="20"/>
                <w:szCs w:val="21"/>
                <w:lang w:val="fr-CA"/>
              </w:rPr>
            </w:pPr>
            <w:r w:rsidRPr="00582BC2">
              <w:rPr>
                <w:sz w:val="20"/>
                <w:szCs w:val="21"/>
                <w:lang w:val="fr-CA"/>
              </w:rPr>
              <w:t>De 1,</w:t>
            </w:r>
            <w:r w:rsidR="002514B6" w:rsidRPr="00582BC2">
              <w:rPr>
                <w:sz w:val="20"/>
                <w:szCs w:val="21"/>
                <w:lang w:val="fr-CA"/>
              </w:rPr>
              <w:t xml:space="preserve">87 </w:t>
            </w:r>
            <w:r w:rsidRPr="00582BC2">
              <w:rPr>
                <w:sz w:val="20"/>
                <w:szCs w:val="21"/>
                <w:lang w:val="fr-CA"/>
              </w:rPr>
              <w:t>à 2,</w:t>
            </w:r>
            <w:r w:rsidR="002514B6" w:rsidRPr="00582BC2">
              <w:rPr>
                <w:sz w:val="20"/>
                <w:szCs w:val="21"/>
                <w:lang w:val="fr-CA"/>
              </w:rPr>
              <w:t>45</w:t>
            </w:r>
            <w:r w:rsidR="0032303A" w:rsidRPr="00582BC2">
              <w:rPr>
                <w:sz w:val="20"/>
                <w:szCs w:val="21"/>
                <w:vertAlign w:val="superscript"/>
                <w:lang w:val="fr-CA"/>
              </w:rPr>
              <w:t>e</w:t>
            </w:r>
          </w:p>
        </w:tc>
      </w:tr>
      <w:tr w:rsidR="002514B6" w:rsidRPr="00582BC2" w14:paraId="0F5E3EF5" w14:textId="77777777" w:rsidTr="00D064C5">
        <w:tc>
          <w:tcPr>
            <w:tcW w:w="751" w:type="pct"/>
          </w:tcPr>
          <w:p w14:paraId="71CF5DF6" w14:textId="0FF2E7FF" w:rsidR="002514B6" w:rsidRPr="00582BC2" w:rsidRDefault="001E2559" w:rsidP="00915BEF">
            <w:pPr>
              <w:widowControl w:val="0"/>
              <w:tabs>
                <w:tab w:val="left" w:pos="2880"/>
                <w:tab w:val="left" w:pos="5760"/>
              </w:tabs>
              <w:rPr>
                <w:sz w:val="20"/>
                <w:szCs w:val="21"/>
                <w:lang w:val="fr-CA"/>
              </w:rPr>
            </w:pPr>
            <w:r w:rsidRPr="00582BC2">
              <w:rPr>
                <w:sz w:val="20"/>
                <w:szCs w:val="21"/>
                <w:lang w:val="fr-CA"/>
              </w:rPr>
              <w:t>Turquie</w:t>
            </w:r>
          </w:p>
        </w:tc>
        <w:tc>
          <w:tcPr>
            <w:tcW w:w="2662" w:type="pct"/>
          </w:tcPr>
          <w:p w14:paraId="3B549D5B" w14:textId="0212FB51" w:rsidR="002514B6" w:rsidRPr="00582BC2" w:rsidRDefault="001E2559" w:rsidP="00915BEF">
            <w:pPr>
              <w:widowControl w:val="0"/>
              <w:tabs>
                <w:tab w:val="left" w:pos="2880"/>
                <w:tab w:val="left" w:pos="5760"/>
              </w:tabs>
              <w:jc w:val="left"/>
              <w:rPr>
                <w:sz w:val="20"/>
                <w:szCs w:val="21"/>
                <w:lang w:val="fr-CA"/>
              </w:rPr>
            </w:pPr>
            <w:r w:rsidRPr="00582BC2">
              <w:rPr>
                <w:sz w:val="20"/>
                <w:szCs w:val="21"/>
                <w:lang w:val="fr-CA"/>
              </w:rPr>
              <w:t>Exportation vers la Pologne : incinération dans un four rotatif</w:t>
            </w:r>
          </w:p>
        </w:tc>
        <w:tc>
          <w:tcPr>
            <w:tcW w:w="1587" w:type="pct"/>
          </w:tcPr>
          <w:p w14:paraId="3825709E" w14:textId="4B9B5E99" w:rsidR="002514B6" w:rsidRPr="00582BC2" w:rsidRDefault="004A3FF6" w:rsidP="004A3FF6">
            <w:pPr>
              <w:widowControl w:val="0"/>
              <w:tabs>
                <w:tab w:val="left" w:pos="2880"/>
                <w:tab w:val="left" w:pos="5760"/>
              </w:tabs>
              <w:jc w:val="left"/>
              <w:rPr>
                <w:sz w:val="20"/>
                <w:szCs w:val="21"/>
                <w:lang w:val="fr-CA"/>
              </w:rPr>
            </w:pPr>
            <w:r w:rsidRPr="00582BC2">
              <w:rPr>
                <w:sz w:val="20"/>
                <w:szCs w:val="21"/>
                <w:lang w:val="fr-CA"/>
              </w:rPr>
              <w:t>De 1,</w:t>
            </w:r>
            <w:r w:rsidR="002514B6" w:rsidRPr="00582BC2">
              <w:rPr>
                <w:sz w:val="20"/>
                <w:szCs w:val="21"/>
                <w:lang w:val="fr-CA"/>
              </w:rPr>
              <w:t xml:space="preserve">87 </w:t>
            </w:r>
            <w:r w:rsidRPr="00582BC2">
              <w:rPr>
                <w:sz w:val="20"/>
                <w:szCs w:val="21"/>
                <w:lang w:val="fr-CA"/>
              </w:rPr>
              <w:t>à 2,</w:t>
            </w:r>
            <w:r w:rsidR="002514B6" w:rsidRPr="00582BC2">
              <w:rPr>
                <w:sz w:val="20"/>
                <w:szCs w:val="21"/>
                <w:lang w:val="fr-CA"/>
              </w:rPr>
              <w:t>45</w:t>
            </w:r>
            <w:r w:rsidR="0032303A" w:rsidRPr="00582BC2">
              <w:rPr>
                <w:sz w:val="20"/>
                <w:szCs w:val="21"/>
                <w:vertAlign w:val="superscript"/>
                <w:lang w:val="fr-CA"/>
              </w:rPr>
              <w:t>e</w:t>
            </w:r>
          </w:p>
        </w:tc>
      </w:tr>
    </w:tbl>
    <w:p w14:paraId="2DA20383" w14:textId="7B264B88" w:rsidR="002514B6" w:rsidRPr="00582BC2" w:rsidRDefault="002514B6" w:rsidP="002514B6">
      <w:pPr>
        <w:widowControl w:val="0"/>
        <w:tabs>
          <w:tab w:val="left" w:pos="2880"/>
          <w:tab w:val="left" w:pos="5760"/>
        </w:tabs>
        <w:rPr>
          <w:sz w:val="19"/>
          <w:szCs w:val="19"/>
          <w:lang w:val="fr-CA"/>
        </w:rPr>
      </w:pPr>
      <w:proofErr w:type="spellStart"/>
      <w:proofErr w:type="gramStart"/>
      <w:r w:rsidRPr="00582BC2">
        <w:rPr>
          <w:sz w:val="19"/>
          <w:szCs w:val="19"/>
          <w:vertAlign w:val="superscript"/>
          <w:lang w:val="fr-CA"/>
        </w:rPr>
        <w:t>a</w:t>
      </w:r>
      <w:proofErr w:type="spellEnd"/>
      <w:proofErr w:type="gramEnd"/>
      <w:r w:rsidRPr="00582BC2">
        <w:rPr>
          <w:sz w:val="19"/>
          <w:szCs w:val="19"/>
          <w:lang w:val="fr-CA"/>
        </w:rPr>
        <w:t xml:space="preserve"> </w:t>
      </w:r>
      <w:r w:rsidR="001E2559" w:rsidRPr="00582BC2">
        <w:rPr>
          <w:sz w:val="19"/>
          <w:szCs w:val="19"/>
          <w:lang w:val="fr-CA"/>
        </w:rPr>
        <w:t>Prix commercial indicati</w:t>
      </w:r>
      <w:r w:rsidR="00A77BB8">
        <w:rPr>
          <w:sz w:val="19"/>
          <w:szCs w:val="19"/>
          <w:lang w:val="fr-CA"/>
        </w:rPr>
        <w:t>f</w:t>
      </w:r>
      <w:r w:rsidR="001E2559" w:rsidRPr="00582BC2">
        <w:rPr>
          <w:sz w:val="19"/>
          <w:szCs w:val="19"/>
          <w:lang w:val="fr-CA"/>
        </w:rPr>
        <w:t xml:space="preserve"> de TECNIAMSA fondé sur les résultats d’un test de brûlure, mousse solide </w:t>
      </w:r>
    </w:p>
    <w:p w14:paraId="75273CAC" w14:textId="2B0F2D37" w:rsidR="002514B6" w:rsidRPr="00582BC2" w:rsidRDefault="002514B6" w:rsidP="002514B6">
      <w:pPr>
        <w:widowControl w:val="0"/>
        <w:tabs>
          <w:tab w:val="left" w:pos="2880"/>
          <w:tab w:val="left" w:pos="5760"/>
        </w:tabs>
        <w:rPr>
          <w:sz w:val="19"/>
          <w:szCs w:val="19"/>
          <w:lang w:val="fr-CA"/>
        </w:rPr>
      </w:pPr>
      <w:proofErr w:type="gramStart"/>
      <w:r w:rsidRPr="00582BC2">
        <w:rPr>
          <w:sz w:val="19"/>
          <w:szCs w:val="19"/>
          <w:vertAlign w:val="superscript"/>
          <w:lang w:val="fr-CA"/>
        </w:rPr>
        <w:t>b</w:t>
      </w:r>
      <w:proofErr w:type="gramEnd"/>
      <w:r w:rsidRPr="00582BC2">
        <w:rPr>
          <w:sz w:val="19"/>
          <w:szCs w:val="19"/>
          <w:lang w:val="fr-CA"/>
        </w:rPr>
        <w:t xml:space="preserve"> </w:t>
      </w:r>
      <w:r w:rsidR="00123D47" w:rsidRPr="00582BC2">
        <w:rPr>
          <w:sz w:val="19"/>
          <w:szCs w:val="19"/>
          <w:lang w:val="fr-CA"/>
        </w:rPr>
        <w:t>Fondé sur 1,5 tm de SAO détruit</w:t>
      </w:r>
      <w:r w:rsidR="00230B40">
        <w:rPr>
          <w:sz w:val="19"/>
          <w:szCs w:val="19"/>
          <w:lang w:val="fr-CA"/>
        </w:rPr>
        <w:t>e</w:t>
      </w:r>
      <w:r w:rsidR="00123D47" w:rsidRPr="00582BC2">
        <w:rPr>
          <w:sz w:val="19"/>
          <w:szCs w:val="19"/>
          <w:lang w:val="fr-CA"/>
        </w:rPr>
        <w:t>, comprend le transport à l’étranger et la destruction réelle, y compris le transport maritime et intérieur</w:t>
      </w:r>
      <w:r w:rsidRPr="00582BC2">
        <w:rPr>
          <w:sz w:val="19"/>
          <w:szCs w:val="19"/>
          <w:lang w:val="fr-CA"/>
        </w:rPr>
        <w:t>.</w:t>
      </w:r>
    </w:p>
    <w:p w14:paraId="7656A159" w14:textId="4284CFC5" w:rsidR="0032303A" w:rsidRPr="00582BC2" w:rsidRDefault="0032303A" w:rsidP="0032303A">
      <w:pPr>
        <w:widowControl w:val="0"/>
        <w:tabs>
          <w:tab w:val="left" w:pos="2880"/>
          <w:tab w:val="left" w:pos="5760"/>
        </w:tabs>
        <w:rPr>
          <w:sz w:val="19"/>
          <w:szCs w:val="19"/>
          <w:lang w:val="fr-CA"/>
        </w:rPr>
      </w:pPr>
      <w:proofErr w:type="gramStart"/>
      <w:r w:rsidRPr="00582BC2">
        <w:rPr>
          <w:sz w:val="19"/>
          <w:szCs w:val="19"/>
          <w:vertAlign w:val="superscript"/>
          <w:lang w:val="fr-CA"/>
        </w:rPr>
        <w:t>c</w:t>
      </w:r>
      <w:proofErr w:type="gramEnd"/>
      <w:r w:rsidRPr="00582BC2">
        <w:rPr>
          <w:sz w:val="19"/>
          <w:szCs w:val="19"/>
          <w:lang w:val="fr-CA"/>
        </w:rPr>
        <w:t xml:space="preserve"> </w:t>
      </w:r>
      <w:r w:rsidR="00123D47" w:rsidRPr="00582BC2">
        <w:rPr>
          <w:sz w:val="19"/>
          <w:szCs w:val="19"/>
          <w:lang w:val="fr-CA"/>
        </w:rPr>
        <w:t>Le Mexique fait état d’un coût de 1,4 $US/kg pour le transport et le regroupement des résidus de SAO au Mexique</w:t>
      </w:r>
      <w:r w:rsidRPr="00582BC2">
        <w:rPr>
          <w:sz w:val="19"/>
          <w:szCs w:val="19"/>
          <w:lang w:val="fr-CA"/>
        </w:rPr>
        <w:t>.</w:t>
      </w:r>
    </w:p>
    <w:p w14:paraId="7D4F9980" w14:textId="5C6003FB" w:rsidR="002514B6" w:rsidRPr="00582BC2" w:rsidRDefault="0032303A" w:rsidP="002514B6">
      <w:pPr>
        <w:widowControl w:val="0"/>
        <w:tabs>
          <w:tab w:val="left" w:pos="2880"/>
          <w:tab w:val="left" w:pos="5760"/>
        </w:tabs>
        <w:rPr>
          <w:sz w:val="19"/>
          <w:szCs w:val="19"/>
          <w:lang w:val="fr-CA"/>
        </w:rPr>
      </w:pPr>
      <w:proofErr w:type="gramStart"/>
      <w:r w:rsidRPr="00582BC2">
        <w:rPr>
          <w:sz w:val="19"/>
          <w:szCs w:val="19"/>
          <w:vertAlign w:val="superscript"/>
          <w:lang w:val="fr-CA"/>
        </w:rPr>
        <w:t>d</w:t>
      </w:r>
      <w:proofErr w:type="gramEnd"/>
      <w:r w:rsidR="002514B6" w:rsidRPr="00582BC2">
        <w:rPr>
          <w:sz w:val="19"/>
          <w:szCs w:val="19"/>
          <w:lang w:val="fr-CA"/>
        </w:rPr>
        <w:t xml:space="preserve"> </w:t>
      </w:r>
      <w:r w:rsidR="00123D47" w:rsidRPr="00582BC2">
        <w:rPr>
          <w:sz w:val="19"/>
          <w:szCs w:val="19"/>
          <w:lang w:val="fr-CA"/>
        </w:rPr>
        <w:t>Fondé sur 1,66 tm de SAO détruite, comprenant les coûts de transport</w:t>
      </w:r>
      <w:r w:rsidR="002514B6" w:rsidRPr="00582BC2">
        <w:rPr>
          <w:sz w:val="19"/>
          <w:szCs w:val="19"/>
          <w:lang w:val="fr-CA"/>
        </w:rPr>
        <w:t>.</w:t>
      </w:r>
    </w:p>
    <w:p w14:paraId="71C0CFFD" w14:textId="247405D3" w:rsidR="006F7584" w:rsidRPr="00582BC2" w:rsidRDefault="0032303A" w:rsidP="002514B6">
      <w:pPr>
        <w:widowControl w:val="0"/>
        <w:tabs>
          <w:tab w:val="left" w:pos="2880"/>
          <w:tab w:val="left" w:pos="5760"/>
        </w:tabs>
        <w:rPr>
          <w:sz w:val="19"/>
          <w:szCs w:val="19"/>
          <w:lang w:val="fr-CA"/>
        </w:rPr>
      </w:pPr>
      <w:proofErr w:type="gramStart"/>
      <w:r w:rsidRPr="00582BC2">
        <w:rPr>
          <w:sz w:val="19"/>
          <w:szCs w:val="19"/>
          <w:vertAlign w:val="superscript"/>
          <w:lang w:val="fr-CA"/>
        </w:rPr>
        <w:t>e</w:t>
      </w:r>
      <w:proofErr w:type="gramEnd"/>
      <w:r w:rsidR="002514B6" w:rsidRPr="00582BC2">
        <w:rPr>
          <w:sz w:val="19"/>
          <w:szCs w:val="19"/>
          <w:vertAlign w:val="superscript"/>
          <w:lang w:val="fr-CA"/>
        </w:rPr>
        <w:t xml:space="preserve"> </w:t>
      </w:r>
      <w:r w:rsidR="00123D47" w:rsidRPr="00582BC2">
        <w:rPr>
          <w:sz w:val="19"/>
          <w:szCs w:val="19"/>
          <w:lang w:val="fr-CA"/>
        </w:rPr>
        <w:t>Le coût de destruction en euros varie de 1,64 à 2,15/kg</w:t>
      </w:r>
      <w:r w:rsidR="002514B6" w:rsidRPr="00582BC2">
        <w:rPr>
          <w:sz w:val="19"/>
          <w:szCs w:val="19"/>
          <w:lang w:val="fr-CA"/>
        </w:rPr>
        <w:t>.</w:t>
      </w:r>
    </w:p>
    <w:p w14:paraId="0CF80CEE" w14:textId="77777777" w:rsidR="002514B6" w:rsidRPr="00582BC2" w:rsidRDefault="002514B6" w:rsidP="002514B6">
      <w:pPr>
        <w:widowControl w:val="0"/>
        <w:tabs>
          <w:tab w:val="left" w:pos="2880"/>
          <w:tab w:val="left" w:pos="5760"/>
        </w:tabs>
        <w:rPr>
          <w:sz w:val="20"/>
          <w:szCs w:val="20"/>
          <w:lang w:val="fr-CA"/>
        </w:rPr>
      </w:pPr>
    </w:p>
    <w:p w14:paraId="2314CF38" w14:textId="543BFEF6" w:rsidR="00B7041D" w:rsidRPr="00582BC2" w:rsidRDefault="00437A3A" w:rsidP="00B7041D">
      <w:pPr>
        <w:pStyle w:val="Heading1"/>
        <w:rPr>
          <w:lang w:val="fr-CA"/>
        </w:rPr>
      </w:pPr>
      <w:r w:rsidRPr="00582BC2">
        <w:rPr>
          <w:lang w:val="fr-CA"/>
        </w:rPr>
        <w:t xml:space="preserve">Les projets ont aussi offert une perspective des activités nécessaires à la saine gestion écologique des résidus de SAO. Les observations des rapports comprennent des facteurs qui déterminent la durabilité de la destruction, </w:t>
      </w:r>
      <w:r w:rsidR="00047175" w:rsidRPr="00582BC2">
        <w:rPr>
          <w:lang w:val="fr-CA"/>
        </w:rPr>
        <w:t xml:space="preserve">qui sont résumés ci-dessous </w:t>
      </w:r>
      <w:r w:rsidR="00B7041D" w:rsidRPr="00582BC2">
        <w:rPr>
          <w:lang w:val="fr-CA"/>
        </w:rPr>
        <w:t>:</w:t>
      </w:r>
    </w:p>
    <w:p w14:paraId="705E5921" w14:textId="547F1927" w:rsidR="00B7041D" w:rsidRPr="00582BC2" w:rsidRDefault="00047175" w:rsidP="003B4D22">
      <w:pPr>
        <w:pStyle w:val="Heading2"/>
        <w:keepNext/>
        <w:keepLines/>
        <w:rPr>
          <w:lang w:val="fr-CA"/>
        </w:rPr>
      </w:pPr>
      <w:r w:rsidRPr="00582BC2">
        <w:rPr>
          <w:lang w:val="fr-CA"/>
        </w:rPr>
        <w:lastRenderedPageBreak/>
        <w:t xml:space="preserve">Pour les pays à faible volume de consommation </w:t>
      </w:r>
      <w:r w:rsidR="00B7041D" w:rsidRPr="00582BC2">
        <w:rPr>
          <w:lang w:val="fr-CA"/>
        </w:rPr>
        <w:t>:</w:t>
      </w:r>
    </w:p>
    <w:p w14:paraId="6E8E3342" w14:textId="6D2BA63F" w:rsidR="00B7041D" w:rsidRPr="00582BC2" w:rsidRDefault="00047175" w:rsidP="003B4D22">
      <w:pPr>
        <w:pStyle w:val="Heading3"/>
        <w:keepNext/>
        <w:keepLines/>
        <w:rPr>
          <w:lang w:val="fr-CA"/>
        </w:rPr>
      </w:pPr>
      <w:r w:rsidRPr="00582BC2">
        <w:rPr>
          <w:lang w:val="fr-CA"/>
        </w:rPr>
        <w:t xml:space="preserve">Une collecte, un démantèlement et une récupération des </w:t>
      </w:r>
      <w:r w:rsidR="00405CC0">
        <w:rPr>
          <w:lang w:val="fr-CA"/>
        </w:rPr>
        <w:t xml:space="preserve">résidus de </w:t>
      </w:r>
      <w:r w:rsidRPr="00582BC2">
        <w:rPr>
          <w:lang w:val="fr-CA"/>
        </w:rPr>
        <w:t xml:space="preserve">frigorigènes à base de SAO plus efficaces réduisent considérablement les coûts de transaction et de </w:t>
      </w:r>
      <w:proofErr w:type="gramStart"/>
      <w:r w:rsidRPr="00582BC2">
        <w:rPr>
          <w:lang w:val="fr-CA"/>
        </w:rPr>
        <w:t>fonctionnement;</w:t>
      </w:r>
      <w:proofErr w:type="gramEnd"/>
      <w:r w:rsidR="00B7041D" w:rsidRPr="00582BC2">
        <w:rPr>
          <w:lang w:val="fr-CA"/>
        </w:rPr>
        <w:t xml:space="preserve"> </w:t>
      </w:r>
    </w:p>
    <w:p w14:paraId="605156F2" w14:textId="3AAB183E" w:rsidR="00B7041D" w:rsidRPr="00582BC2" w:rsidRDefault="00047175" w:rsidP="003B4D22">
      <w:pPr>
        <w:pStyle w:val="Heading3"/>
        <w:keepNext/>
        <w:keepLines/>
        <w:rPr>
          <w:lang w:val="fr-CA"/>
        </w:rPr>
      </w:pPr>
      <w:r w:rsidRPr="00582BC2">
        <w:rPr>
          <w:lang w:val="fr-CA"/>
        </w:rPr>
        <w:t>Regrouper les résidus de pays et région</w:t>
      </w:r>
      <w:r w:rsidR="00230B40">
        <w:rPr>
          <w:lang w:val="fr-CA"/>
        </w:rPr>
        <w:t>s</w:t>
      </w:r>
      <w:r w:rsidRPr="00582BC2">
        <w:rPr>
          <w:lang w:val="fr-CA"/>
        </w:rPr>
        <w:t xml:space="preserve"> avoisinants</w:t>
      </w:r>
      <w:r w:rsidR="00405CC0">
        <w:rPr>
          <w:lang w:val="fr-CA"/>
        </w:rPr>
        <w:t xml:space="preserve"> </w:t>
      </w:r>
      <w:r w:rsidR="00405CC0" w:rsidRPr="00582BC2">
        <w:rPr>
          <w:lang w:val="fr-CA"/>
        </w:rPr>
        <w:t>en tenant compte des réglementations nationales/régionales sur le transport des matières dangereuses</w:t>
      </w:r>
      <w:r w:rsidRPr="00582BC2">
        <w:rPr>
          <w:lang w:val="fr-CA"/>
        </w:rPr>
        <w:t xml:space="preserve"> peut offrir une solution pour obtenir une quantité totale suffisante </w:t>
      </w:r>
      <w:r w:rsidR="00230B40">
        <w:rPr>
          <w:lang w:val="fr-CA"/>
        </w:rPr>
        <w:t xml:space="preserve">pour le transport et la destruction </w:t>
      </w:r>
      <w:r w:rsidR="00405CC0">
        <w:rPr>
          <w:lang w:val="fr-CA"/>
        </w:rPr>
        <w:t xml:space="preserve">économiques </w:t>
      </w:r>
      <w:r w:rsidR="00230B40">
        <w:rPr>
          <w:lang w:val="fr-CA"/>
        </w:rPr>
        <w:t>d</w:t>
      </w:r>
      <w:r w:rsidR="00405CC0">
        <w:rPr>
          <w:lang w:val="fr-CA"/>
        </w:rPr>
        <w:t xml:space="preserve">es </w:t>
      </w:r>
      <w:proofErr w:type="gramStart"/>
      <w:r w:rsidR="00405CC0">
        <w:rPr>
          <w:lang w:val="fr-CA"/>
        </w:rPr>
        <w:t>résidus</w:t>
      </w:r>
      <w:r w:rsidR="00B7041D" w:rsidRPr="00582BC2">
        <w:rPr>
          <w:lang w:val="fr-CA"/>
        </w:rPr>
        <w:t>;</w:t>
      </w:r>
      <w:proofErr w:type="gramEnd"/>
    </w:p>
    <w:p w14:paraId="2B817861" w14:textId="2736AFBF" w:rsidR="00B7041D" w:rsidRPr="00582BC2" w:rsidRDefault="00524B11" w:rsidP="00B7041D">
      <w:pPr>
        <w:pStyle w:val="Heading3"/>
        <w:rPr>
          <w:lang w:val="fr-CA"/>
        </w:rPr>
      </w:pPr>
      <w:r w:rsidRPr="00582BC2">
        <w:rPr>
          <w:lang w:val="fr-CA"/>
        </w:rPr>
        <w:t>Une coordination étroite entre les parties prenantes responsables des différents stages de la gestion des</w:t>
      </w:r>
      <w:r w:rsidR="00230B40">
        <w:rPr>
          <w:lang w:val="fr-CA"/>
        </w:rPr>
        <w:t xml:space="preserve"> résidus de SAO est essentielle</w:t>
      </w:r>
      <w:r w:rsidRPr="00582BC2">
        <w:rPr>
          <w:lang w:val="fr-CA"/>
        </w:rPr>
        <w:t xml:space="preserve"> afin de garantir la mise en œuvre efficace de toutes les </w:t>
      </w:r>
      <w:proofErr w:type="gramStart"/>
      <w:r w:rsidRPr="00582BC2">
        <w:rPr>
          <w:lang w:val="fr-CA"/>
        </w:rPr>
        <w:t>activités;</w:t>
      </w:r>
      <w:proofErr w:type="gramEnd"/>
    </w:p>
    <w:p w14:paraId="20F3DB63" w14:textId="0BC0C809" w:rsidR="00B7041D" w:rsidRPr="00582BC2" w:rsidRDefault="00524B11" w:rsidP="00B7041D">
      <w:pPr>
        <w:pStyle w:val="Heading3"/>
        <w:rPr>
          <w:lang w:val="fr-CA"/>
        </w:rPr>
      </w:pPr>
      <w:r w:rsidRPr="00582BC2">
        <w:rPr>
          <w:lang w:val="fr-CA"/>
        </w:rPr>
        <w:t xml:space="preserve">La sensibilisation du public est un aspect important, surtout lorsqu’il est </w:t>
      </w:r>
      <w:r w:rsidR="009A20AB">
        <w:rPr>
          <w:lang w:val="fr-CA"/>
        </w:rPr>
        <w:t>essentiel</w:t>
      </w:r>
      <w:r w:rsidRPr="00582BC2">
        <w:rPr>
          <w:lang w:val="fr-CA"/>
        </w:rPr>
        <w:t xml:space="preserve"> que le public soit informé du programme de remplacement des appareils ménagers, afin d’encourager la participation d’un plus grand nombre de </w:t>
      </w:r>
      <w:proofErr w:type="gramStart"/>
      <w:r w:rsidRPr="00582BC2">
        <w:rPr>
          <w:lang w:val="fr-CA"/>
        </w:rPr>
        <w:t>propriétaires</w:t>
      </w:r>
      <w:r w:rsidR="00B7041D" w:rsidRPr="00582BC2">
        <w:rPr>
          <w:lang w:val="fr-CA"/>
        </w:rPr>
        <w:t>;</w:t>
      </w:r>
      <w:proofErr w:type="gramEnd"/>
    </w:p>
    <w:p w14:paraId="463416A4" w14:textId="1DBF55EF" w:rsidR="00B7041D" w:rsidRPr="00582BC2" w:rsidRDefault="00524B11" w:rsidP="00B7041D">
      <w:pPr>
        <w:pStyle w:val="Heading2"/>
        <w:rPr>
          <w:lang w:val="fr-CA"/>
        </w:rPr>
      </w:pPr>
      <w:r w:rsidRPr="00582BC2">
        <w:rPr>
          <w:lang w:val="fr-CA"/>
        </w:rPr>
        <w:t xml:space="preserve">Conception du projet et modèle </w:t>
      </w:r>
      <w:r w:rsidR="00734458">
        <w:rPr>
          <w:lang w:val="fr-CA"/>
        </w:rPr>
        <w:t>de gestion</w:t>
      </w:r>
      <w:r w:rsidRPr="00582BC2">
        <w:rPr>
          <w:lang w:val="fr-CA"/>
        </w:rPr>
        <w:t xml:space="preserve"> durable </w:t>
      </w:r>
      <w:r w:rsidR="00B7041D" w:rsidRPr="00582BC2">
        <w:rPr>
          <w:lang w:val="fr-CA"/>
        </w:rPr>
        <w:t>:</w:t>
      </w:r>
    </w:p>
    <w:p w14:paraId="57557BD3" w14:textId="4ECCD366" w:rsidR="00B7041D" w:rsidRPr="00582BC2" w:rsidRDefault="001826A3" w:rsidP="00B7041D">
      <w:pPr>
        <w:pStyle w:val="Heading3"/>
        <w:rPr>
          <w:lang w:val="fr-CA"/>
        </w:rPr>
      </w:pPr>
      <w:r w:rsidRPr="00582BC2">
        <w:rPr>
          <w:lang w:val="fr-CA"/>
        </w:rPr>
        <w:t xml:space="preserve">Compte tenu de la longueur de la période de mise en œuvre des projets de démonstration et de l’intérêt que </w:t>
      </w:r>
      <w:r w:rsidR="00405CC0">
        <w:rPr>
          <w:lang w:val="fr-CA"/>
        </w:rPr>
        <w:t>suscitent</w:t>
      </w:r>
      <w:r w:rsidRPr="00582BC2">
        <w:rPr>
          <w:lang w:val="fr-CA"/>
        </w:rPr>
        <w:t xml:space="preserve"> les CFC, des tests de qualification supplémentaires des installations d’incinération pour d’autres résidus de frigorigènes (p. ex., HCFC et HFC) pourraient être nécessaires afin de garantir qu’elles puissent servir pour ces substances en fin de </w:t>
      </w:r>
      <w:proofErr w:type="gramStart"/>
      <w:r w:rsidRPr="00582BC2">
        <w:rPr>
          <w:lang w:val="fr-CA"/>
        </w:rPr>
        <w:t>vie</w:t>
      </w:r>
      <w:r w:rsidR="00B7041D" w:rsidRPr="00582BC2">
        <w:rPr>
          <w:lang w:val="fr-CA"/>
        </w:rPr>
        <w:t>;</w:t>
      </w:r>
      <w:proofErr w:type="gramEnd"/>
    </w:p>
    <w:p w14:paraId="057C3D39" w14:textId="44919D34" w:rsidR="00B7041D" w:rsidRPr="00582BC2" w:rsidRDefault="001826A3" w:rsidP="00B7041D">
      <w:pPr>
        <w:pStyle w:val="Heading3"/>
        <w:rPr>
          <w:lang w:val="fr-CA"/>
        </w:rPr>
      </w:pPr>
      <w:r w:rsidRPr="00582BC2">
        <w:rPr>
          <w:lang w:val="fr-CA"/>
        </w:rPr>
        <w:t>L’harmonisation de la conception des projets de destruction des SAO et des procédures des marchés volontaires du carbone pourr</w:t>
      </w:r>
      <w:r w:rsidR="00B805FC" w:rsidRPr="00582BC2">
        <w:rPr>
          <w:lang w:val="fr-CA"/>
        </w:rPr>
        <w:t>a</w:t>
      </w:r>
      <w:r w:rsidRPr="00582BC2">
        <w:rPr>
          <w:lang w:val="fr-CA"/>
        </w:rPr>
        <w:t xml:space="preserve">it offrir une occasion d’assurer la durabilité du financement de ces </w:t>
      </w:r>
      <w:proofErr w:type="gramStart"/>
      <w:r w:rsidRPr="00582BC2">
        <w:rPr>
          <w:lang w:val="fr-CA"/>
        </w:rPr>
        <w:t>activités;</w:t>
      </w:r>
      <w:proofErr w:type="gramEnd"/>
    </w:p>
    <w:p w14:paraId="0A4578F2" w14:textId="4C8657C1" w:rsidR="00B7041D" w:rsidRPr="00582BC2" w:rsidRDefault="00B805FC" w:rsidP="00B7041D">
      <w:pPr>
        <w:pStyle w:val="Heading3"/>
        <w:rPr>
          <w:lang w:val="fr-CA"/>
        </w:rPr>
      </w:pPr>
      <w:r w:rsidRPr="00582BC2">
        <w:rPr>
          <w:lang w:val="fr-CA"/>
        </w:rPr>
        <w:t>La mise en place d’un système EPE durable reposant sur un partenariat géré par l’industrie est nécessaire afin de garantir un flux de résidus qui assurer</w:t>
      </w:r>
      <w:r w:rsidR="009A20AB">
        <w:rPr>
          <w:lang w:val="fr-CA"/>
        </w:rPr>
        <w:t>a</w:t>
      </w:r>
      <w:r w:rsidRPr="00582BC2">
        <w:rPr>
          <w:lang w:val="fr-CA"/>
        </w:rPr>
        <w:t xml:space="preserve"> la rentabilité et la durabilité des activités de </w:t>
      </w:r>
      <w:proofErr w:type="gramStart"/>
      <w:r w:rsidRPr="00582BC2">
        <w:rPr>
          <w:lang w:val="fr-CA"/>
        </w:rPr>
        <w:t>destruction</w:t>
      </w:r>
      <w:r w:rsidR="00B7041D" w:rsidRPr="00582BC2">
        <w:rPr>
          <w:lang w:val="fr-CA"/>
        </w:rPr>
        <w:t>;</w:t>
      </w:r>
      <w:proofErr w:type="gramEnd"/>
      <w:r w:rsidR="00B7041D" w:rsidRPr="00582BC2">
        <w:rPr>
          <w:lang w:val="fr-CA"/>
        </w:rPr>
        <w:t xml:space="preserve"> </w:t>
      </w:r>
    </w:p>
    <w:p w14:paraId="263D8919" w14:textId="1F133EDE" w:rsidR="00B7041D" w:rsidRPr="00582BC2" w:rsidRDefault="00B805FC" w:rsidP="00AC13D3">
      <w:pPr>
        <w:pStyle w:val="Heading2"/>
        <w:widowControl/>
        <w:rPr>
          <w:lang w:val="fr-CA"/>
        </w:rPr>
      </w:pPr>
      <w:r w:rsidRPr="00582BC2">
        <w:rPr>
          <w:lang w:val="fr-CA"/>
        </w:rPr>
        <w:t>En ce qui concerne les synergies avec d’autres activités de destruction des produits chimiques dangereux </w:t>
      </w:r>
      <w:r w:rsidR="00B7041D" w:rsidRPr="00582BC2">
        <w:rPr>
          <w:lang w:val="fr-CA"/>
        </w:rPr>
        <w:t>:</w:t>
      </w:r>
    </w:p>
    <w:p w14:paraId="21C14BDE" w14:textId="70E21152" w:rsidR="00B7041D" w:rsidRPr="00582BC2" w:rsidRDefault="00B805FC" w:rsidP="00AC13D3">
      <w:pPr>
        <w:pStyle w:val="Heading3"/>
        <w:widowControl/>
        <w:rPr>
          <w:lang w:val="fr-CA"/>
        </w:rPr>
      </w:pPr>
      <w:r w:rsidRPr="00582BC2">
        <w:rPr>
          <w:lang w:val="fr-CA"/>
        </w:rPr>
        <w:t xml:space="preserve">L’élimination des résidus de SAO avec d’autres déchets dangereux (p. ex.  </w:t>
      </w:r>
      <w:proofErr w:type="gramStart"/>
      <w:r w:rsidRPr="00582BC2">
        <w:rPr>
          <w:lang w:val="fr-CA"/>
        </w:rPr>
        <w:t>résidus</w:t>
      </w:r>
      <w:proofErr w:type="gramEnd"/>
      <w:r w:rsidRPr="00582BC2">
        <w:rPr>
          <w:lang w:val="fr-CA"/>
        </w:rPr>
        <w:t xml:space="preserve"> de POP) offre des occasions de réaliser des économies d’échelle menant à des solutions d’élimination économiques, surtout dans les pays ayant de très petits flux de résidus de SAO</w:t>
      </w:r>
      <w:r w:rsidR="00B7041D" w:rsidRPr="00582BC2">
        <w:rPr>
          <w:lang w:val="fr-CA"/>
        </w:rPr>
        <w:t>;</w:t>
      </w:r>
    </w:p>
    <w:p w14:paraId="0F883794" w14:textId="5B0635AB" w:rsidR="00B7041D" w:rsidRPr="00582BC2" w:rsidRDefault="0045393E" w:rsidP="00AC13D3">
      <w:pPr>
        <w:pStyle w:val="Heading3"/>
        <w:rPr>
          <w:lang w:val="fr-CA"/>
        </w:rPr>
      </w:pPr>
      <w:r w:rsidRPr="00582BC2">
        <w:rPr>
          <w:lang w:val="fr-CA"/>
        </w:rPr>
        <w:t xml:space="preserve">Il faut examiner les occasions possibles de synergies avec d’autres accords multilatéraux sur l’environnement, surtout ceux en lien avec les changements climatiques et la gestion des produits </w:t>
      </w:r>
      <w:proofErr w:type="gramStart"/>
      <w:r w:rsidRPr="00582BC2">
        <w:rPr>
          <w:lang w:val="fr-CA"/>
        </w:rPr>
        <w:t>chimiques</w:t>
      </w:r>
      <w:r w:rsidR="00B7041D" w:rsidRPr="00582BC2">
        <w:rPr>
          <w:lang w:val="fr-CA"/>
        </w:rPr>
        <w:t>;</w:t>
      </w:r>
      <w:proofErr w:type="gramEnd"/>
      <w:r w:rsidR="00B7041D" w:rsidRPr="00582BC2">
        <w:rPr>
          <w:lang w:val="fr-CA"/>
        </w:rPr>
        <w:t xml:space="preserve"> </w:t>
      </w:r>
    </w:p>
    <w:p w14:paraId="77C8D785" w14:textId="664C50E8" w:rsidR="00B7041D" w:rsidRPr="00582BC2" w:rsidRDefault="0045393E" w:rsidP="00AC13D3">
      <w:pPr>
        <w:pStyle w:val="Heading3"/>
        <w:widowControl/>
        <w:rPr>
          <w:lang w:val="fr-CA"/>
        </w:rPr>
      </w:pPr>
      <w:r w:rsidRPr="00582BC2">
        <w:rPr>
          <w:lang w:val="fr-CA"/>
        </w:rPr>
        <w:t xml:space="preserve">Les exigences de la Convention de Bâle n’empêchent pas les pays d’exporter des résidus de SAO aux fins de destruction conformément aux exigences de cette </w:t>
      </w:r>
      <w:proofErr w:type="gramStart"/>
      <w:r w:rsidRPr="00582BC2">
        <w:rPr>
          <w:lang w:val="fr-CA"/>
        </w:rPr>
        <w:t>Convention;</w:t>
      </w:r>
      <w:proofErr w:type="gramEnd"/>
    </w:p>
    <w:p w14:paraId="6F00F057" w14:textId="57165B3C" w:rsidR="00B7041D" w:rsidRPr="00582BC2" w:rsidRDefault="0045393E" w:rsidP="003B4D22">
      <w:pPr>
        <w:pStyle w:val="Heading3"/>
        <w:keepNext/>
        <w:keepLines/>
        <w:rPr>
          <w:lang w:val="fr-CA"/>
        </w:rPr>
      </w:pPr>
      <w:r w:rsidRPr="00582BC2">
        <w:rPr>
          <w:lang w:val="fr-CA"/>
        </w:rPr>
        <w:lastRenderedPageBreak/>
        <w:t>Intégrer les questions de destruction des SAO aux stratégies nationales de gestion des déchets liées à d’autres aspects, tels que l’efficacité énergétique, offre des possibilités de profiter d’un flux de résidus durable provenant du remplacement de l’équipement en fin de vie</w:t>
      </w:r>
      <w:r w:rsidR="00B7041D" w:rsidRPr="00582BC2">
        <w:rPr>
          <w:lang w:val="fr-CA"/>
        </w:rPr>
        <w:t>.</w:t>
      </w:r>
    </w:p>
    <w:p w14:paraId="58E16B97" w14:textId="77777777" w:rsidR="009A20AB" w:rsidRDefault="009A20AB" w:rsidP="00AC13D3">
      <w:pPr>
        <w:spacing w:after="240"/>
        <w:rPr>
          <w:b/>
          <w:lang w:val="fr-CA"/>
        </w:rPr>
      </w:pPr>
    </w:p>
    <w:p w14:paraId="12113085" w14:textId="654E9AB1" w:rsidR="00C36444" w:rsidRPr="00582BC2" w:rsidRDefault="00BB5BC8" w:rsidP="00AC13D3">
      <w:pPr>
        <w:spacing w:after="240"/>
        <w:rPr>
          <w:b/>
          <w:lang w:val="fr-CA"/>
        </w:rPr>
      </w:pPr>
      <w:r w:rsidRPr="00582BC2">
        <w:rPr>
          <w:b/>
          <w:lang w:val="fr-CA"/>
        </w:rPr>
        <w:t>Sommaire des rapports des pays sur les projets d’élimination des SAO achevés</w:t>
      </w:r>
    </w:p>
    <w:p w14:paraId="387F1BFC" w14:textId="4DBD6799" w:rsidR="007717BB" w:rsidRPr="00582BC2" w:rsidRDefault="00BB5BC8" w:rsidP="00AC13D3">
      <w:pPr>
        <w:pStyle w:val="Heading1"/>
        <w:rPr>
          <w:lang w:val="fr-CA"/>
        </w:rPr>
      </w:pPr>
      <w:r w:rsidRPr="00582BC2">
        <w:rPr>
          <w:lang w:val="fr-CA"/>
        </w:rPr>
        <w:t>Un sommaire des informations contenues dans les 11 rapports reçus est présenté ci-dessous</w:t>
      </w:r>
      <w:r w:rsidR="007717BB" w:rsidRPr="00582BC2">
        <w:rPr>
          <w:lang w:val="fr-CA"/>
        </w:rPr>
        <w:t xml:space="preserve">. </w:t>
      </w:r>
    </w:p>
    <w:p w14:paraId="7F6158D3" w14:textId="433E748E" w:rsidR="007717BB" w:rsidRPr="00582BC2" w:rsidRDefault="00BB5BC8" w:rsidP="00AC13D3">
      <w:pPr>
        <w:autoSpaceDE w:val="0"/>
        <w:autoSpaceDN w:val="0"/>
        <w:adjustRightInd w:val="0"/>
        <w:spacing w:after="240"/>
        <w:outlineLvl w:val="0"/>
        <w:rPr>
          <w:u w:val="single"/>
          <w:lang w:val="fr-CA"/>
        </w:rPr>
      </w:pPr>
      <w:r w:rsidRPr="00582BC2">
        <w:rPr>
          <w:u w:val="single"/>
          <w:lang w:val="fr-CA"/>
        </w:rPr>
        <w:t>Chine : Rapport final sur le projet de démonstration pilote sur la gestion et l’élimination des résidus de SAO</w:t>
      </w:r>
      <w:r w:rsidR="007717BB" w:rsidRPr="00582BC2">
        <w:rPr>
          <w:lang w:val="fr-CA"/>
        </w:rPr>
        <w:t xml:space="preserve"> (</w:t>
      </w:r>
      <w:r w:rsidRPr="00582BC2">
        <w:rPr>
          <w:lang w:val="fr-CA"/>
        </w:rPr>
        <w:t>gouvernement du Japon et ONUDI</w:t>
      </w:r>
      <w:r w:rsidR="007717BB" w:rsidRPr="00582BC2">
        <w:rPr>
          <w:lang w:val="fr-CA"/>
        </w:rPr>
        <w:t>)</w:t>
      </w:r>
    </w:p>
    <w:p w14:paraId="5499A564" w14:textId="3088536D" w:rsidR="007717BB" w:rsidRPr="00582BC2" w:rsidRDefault="001465C1" w:rsidP="00AC13D3">
      <w:pPr>
        <w:pStyle w:val="Heading1"/>
        <w:rPr>
          <w:lang w:val="fr-CA"/>
        </w:rPr>
      </w:pPr>
      <w:r w:rsidRPr="00582BC2">
        <w:rPr>
          <w:lang w:val="fr-CA" w:eastAsia="zh-CN"/>
        </w:rPr>
        <w:t xml:space="preserve">Le projet pilote avait pour objectif d’examiner les traitements des résidus de SAO recueillis, établir un modèle durable de destruction des résidus de SAO et </w:t>
      </w:r>
      <w:r w:rsidR="002165D0">
        <w:rPr>
          <w:lang w:val="fr-CA" w:eastAsia="zh-CN"/>
        </w:rPr>
        <w:t>éliminer</w:t>
      </w:r>
      <w:r w:rsidRPr="00582BC2">
        <w:rPr>
          <w:lang w:val="fr-CA" w:eastAsia="zh-CN"/>
        </w:rPr>
        <w:t xml:space="preserve"> 192,0 tonnes métriques (tm) de résidus de SAO, surtout des banques de CFC</w:t>
      </w:r>
      <w:r w:rsidR="007717BB" w:rsidRPr="00582BC2">
        <w:rPr>
          <w:lang w:val="fr-CA" w:eastAsia="zh-CN"/>
        </w:rPr>
        <w:t xml:space="preserve">. </w:t>
      </w:r>
    </w:p>
    <w:p w14:paraId="256AC838" w14:textId="5744C17C" w:rsidR="007717BB" w:rsidRPr="00582BC2" w:rsidRDefault="001465C1" w:rsidP="00AC13D3">
      <w:pPr>
        <w:widowControl w:val="0"/>
        <w:numPr>
          <w:ilvl w:val="0"/>
          <w:numId w:val="1"/>
        </w:numPr>
        <w:tabs>
          <w:tab w:val="clear" w:pos="0"/>
        </w:tabs>
        <w:spacing w:after="240"/>
        <w:outlineLvl w:val="0"/>
        <w:rPr>
          <w:lang w:val="fr-CA"/>
        </w:rPr>
      </w:pPr>
      <w:r w:rsidRPr="00582BC2">
        <w:rPr>
          <w:lang w:val="fr-CA"/>
        </w:rPr>
        <w:t>La réglementation sur la gestion des SAO</w:t>
      </w:r>
      <w:r w:rsidR="00E0095B" w:rsidRPr="00582BC2">
        <w:rPr>
          <w:lang w:val="fr-CA"/>
        </w:rPr>
        <w:t xml:space="preserve"> </w:t>
      </w:r>
      <w:r w:rsidRPr="00582BC2">
        <w:rPr>
          <w:lang w:val="fr-CA"/>
        </w:rPr>
        <w:t xml:space="preserve">entrée en vigueur en juin 2010 </w:t>
      </w:r>
      <w:r w:rsidR="00E0095B" w:rsidRPr="00582BC2">
        <w:rPr>
          <w:lang w:val="fr-CA"/>
        </w:rPr>
        <w:t>a servi de base pour le recyclage des SAO. Elle stipule notamment que les entreprises spécialisées en entretien et en mise au rebut</w:t>
      </w:r>
      <w:r w:rsidR="00027C8A">
        <w:rPr>
          <w:lang w:val="fr-CA"/>
        </w:rPr>
        <w:t xml:space="preserve"> d</w:t>
      </w:r>
      <w:r w:rsidR="00E0095B" w:rsidRPr="00582BC2">
        <w:rPr>
          <w:lang w:val="fr-CA"/>
        </w:rPr>
        <w:t>’équipement de réfrigération</w:t>
      </w:r>
      <w:r w:rsidR="00027C8A">
        <w:rPr>
          <w:lang w:val="fr-CA"/>
        </w:rPr>
        <w:t xml:space="preserve"> et</w:t>
      </w:r>
      <w:r w:rsidR="00E0095B" w:rsidRPr="00582BC2">
        <w:rPr>
          <w:lang w:val="fr-CA"/>
        </w:rPr>
        <w:t xml:space="preserve"> de systèmes de réfrigération et de lutte contre les incendies à base de SAO doivent être inscrites auprès du bureau de protection de l’environnement </w:t>
      </w:r>
      <w:r w:rsidR="00F05BD0" w:rsidRPr="00582BC2">
        <w:rPr>
          <w:lang w:val="fr-CA"/>
        </w:rPr>
        <w:t xml:space="preserve">(BPE) </w:t>
      </w:r>
      <w:r w:rsidR="00E0095B" w:rsidRPr="00582BC2">
        <w:rPr>
          <w:lang w:val="fr-CA"/>
        </w:rPr>
        <w:t xml:space="preserve">et sont tenues de recueillir et </w:t>
      </w:r>
      <w:r w:rsidR="00027C8A">
        <w:rPr>
          <w:lang w:val="fr-CA"/>
        </w:rPr>
        <w:t xml:space="preserve">de </w:t>
      </w:r>
      <w:r w:rsidR="00E0095B" w:rsidRPr="00582BC2">
        <w:rPr>
          <w:lang w:val="fr-CA"/>
        </w:rPr>
        <w:t xml:space="preserve">recycler les SAO ou </w:t>
      </w:r>
      <w:r w:rsidR="002165D0">
        <w:rPr>
          <w:lang w:val="fr-CA"/>
        </w:rPr>
        <w:t xml:space="preserve">de </w:t>
      </w:r>
      <w:r w:rsidR="00E0095B" w:rsidRPr="00582BC2">
        <w:rPr>
          <w:lang w:val="fr-CA"/>
        </w:rPr>
        <w:t>les transférer à des entreprises spéci</w:t>
      </w:r>
      <w:r w:rsidR="00F05BD0" w:rsidRPr="00582BC2">
        <w:rPr>
          <w:lang w:val="fr-CA"/>
        </w:rPr>
        <w:t>a</w:t>
      </w:r>
      <w:r w:rsidR="00E0095B" w:rsidRPr="00582BC2">
        <w:rPr>
          <w:lang w:val="fr-CA"/>
        </w:rPr>
        <w:t xml:space="preserve">lisées en collecte, recyclage et destruction de ces substances, afin d’assurer </w:t>
      </w:r>
      <w:r w:rsidR="002165D0">
        <w:rPr>
          <w:lang w:val="fr-CA"/>
        </w:rPr>
        <w:t>un traitement</w:t>
      </w:r>
      <w:r w:rsidR="00E0095B" w:rsidRPr="00582BC2">
        <w:rPr>
          <w:lang w:val="fr-CA"/>
        </w:rPr>
        <w:t xml:space="preserve"> convenable des SAO</w:t>
      </w:r>
      <w:r w:rsidR="007717BB" w:rsidRPr="00582BC2">
        <w:rPr>
          <w:lang w:val="fr-CA"/>
        </w:rPr>
        <w:t>.</w:t>
      </w:r>
    </w:p>
    <w:p w14:paraId="0C8FCC7C" w14:textId="03BF8A64" w:rsidR="007717BB" w:rsidRPr="00582BC2" w:rsidRDefault="00F05BD0" w:rsidP="00AC13D3">
      <w:pPr>
        <w:pStyle w:val="Heading1"/>
        <w:widowControl w:val="0"/>
        <w:tabs>
          <w:tab w:val="clear" w:pos="0"/>
        </w:tabs>
        <w:rPr>
          <w:lang w:val="fr-CA"/>
        </w:rPr>
      </w:pPr>
      <w:r w:rsidRPr="00582BC2">
        <w:rPr>
          <w:lang w:val="fr-CA"/>
        </w:rPr>
        <w:t xml:space="preserve">Le projet prévoyait que les bureaux locaux de protection de l’environnement seraient chargés des activités de vérification telles que les visites des installations, et recueilleraient des informations </w:t>
      </w:r>
      <w:r w:rsidR="002165D0">
        <w:rPr>
          <w:lang w:val="fr-CA"/>
        </w:rPr>
        <w:t>sur</w:t>
      </w:r>
      <w:r w:rsidRPr="00582BC2">
        <w:rPr>
          <w:lang w:val="fr-CA"/>
        </w:rPr>
        <w:t xml:space="preserve"> les entreprises de recyclage des SAO, les procédures de destruction utilisées et les coûts connexes, et enregistrerai</w:t>
      </w:r>
      <w:r w:rsidR="002165D0">
        <w:rPr>
          <w:lang w:val="fr-CA"/>
        </w:rPr>
        <w:t>en</w:t>
      </w:r>
      <w:r w:rsidRPr="00582BC2">
        <w:rPr>
          <w:lang w:val="fr-CA"/>
        </w:rPr>
        <w:t xml:space="preserve">t l’équipement de recyclage des SAO et </w:t>
      </w:r>
      <w:r w:rsidR="002165D0">
        <w:rPr>
          <w:lang w:val="fr-CA"/>
        </w:rPr>
        <w:t xml:space="preserve">leur </w:t>
      </w:r>
      <w:r w:rsidRPr="00582BC2">
        <w:rPr>
          <w:lang w:val="fr-CA"/>
        </w:rPr>
        <w:t>état de fonctionnement. La vérification de certaines installations de réfrigération de grande envergure a révélé que ce secteur n’utilise que des HCFC (c.-à-d., qu’il n’y avait aucun CFC à éliminer)</w:t>
      </w:r>
      <w:r w:rsidR="007717BB" w:rsidRPr="00582BC2">
        <w:rPr>
          <w:lang w:val="fr-CA"/>
        </w:rPr>
        <w:t xml:space="preserve">. </w:t>
      </w:r>
    </w:p>
    <w:p w14:paraId="03A4771C" w14:textId="3629EF18" w:rsidR="007717BB" w:rsidRPr="00582BC2" w:rsidRDefault="00F05BD0" w:rsidP="00AC13D3">
      <w:pPr>
        <w:pStyle w:val="Heading1"/>
        <w:widowControl w:val="0"/>
        <w:tabs>
          <w:tab w:val="clear" w:pos="0"/>
        </w:tabs>
        <w:rPr>
          <w:lang w:val="fr-CA"/>
        </w:rPr>
      </w:pPr>
      <w:r w:rsidRPr="00582BC2">
        <w:rPr>
          <w:lang w:val="fr-CA"/>
        </w:rPr>
        <w:t xml:space="preserve">Au total, 194,793 tm de CFC ont été détruites, à </w:t>
      </w:r>
      <w:r w:rsidR="0001432A" w:rsidRPr="00582BC2">
        <w:rPr>
          <w:lang w:val="fr-CA"/>
        </w:rPr>
        <w:t>savoir 11,788 tm de frigorigènes à base de CFC, 172,005 tm de CFC contenu dans des résidus de mousse et 11 tm de CFC-11 utilisé comme agent de gonflage. Tous les résidus rec</w:t>
      </w:r>
      <w:r w:rsidR="00E15273">
        <w:rPr>
          <w:lang w:val="fr-CA"/>
        </w:rPr>
        <w:t>ueillis ont été incinérés dans d</w:t>
      </w:r>
      <w:r w:rsidR="0001432A" w:rsidRPr="00582BC2">
        <w:rPr>
          <w:lang w:val="fr-CA"/>
        </w:rPr>
        <w:t>es fours rotatifs. Les coûts d’élimination des résidus de SAO provenant de mousses et de frigorigènes</w:t>
      </w:r>
      <w:r w:rsidRPr="00582BC2">
        <w:rPr>
          <w:lang w:val="fr-CA"/>
        </w:rPr>
        <w:t xml:space="preserve"> </w:t>
      </w:r>
      <w:r w:rsidR="0001432A" w:rsidRPr="00582BC2">
        <w:rPr>
          <w:lang w:val="fr-CA"/>
        </w:rPr>
        <w:t>comprenaient des coûts directs, notamment les coûts énergétiques, dont l’électricité et le gaz, l’eau et les autres matières pour le traitement et la vérification des gaz de cheminée</w:t>
      </w:r>
      <w:r w:rsidR="007717BB" w:rsidRPr="00582BC2">
        <w:rPr>
          <w:lang w:val="fr-CA"/>
        </w:rPr>
        <w:t>.</w:t>
      </w:r>
      <w:r w:rsidR="00221522" w:rsidRPr="00582BC2">
        <w:rPr>
          <w:lang w:val="fr-CA"/>
        </w:rPr>
        <w:t xml:space="preserve"> </w:t>
      </w:r>
      <w:proofErr w:type="gramStart"/>
      <w:r w:rsidR="00221522" w:rsidRPr="00582BC2">
        <w:rPr>
          <w:lang w:val="fr-CA"/>
        </w:rPr>
        <w:t>et</w:t>
      </w:r>
      <w:proofErr w:type="gramEnd"/>
      <w:r w:rsidR="00221522" w:rsidRPr="00582BC2">
        <w:rPr>
          <w:lang w:val="fr-CA"/>
        </w:rPr>
        <w:t xml:space="preserve"> des coûts indirects tels que des investissements communs dans les actifs fixes, les frais généraux, la gestion et autres (taxes). </w:t>
      </w:r>
      <w:r w:rsidR="00E15273">
        <w:rPr>
          <w:lang w:val="fr-CA"/>
        </w:rPr>
        <w:t>Malgré les différences d’une province à l’autre,</w:t>
      </w:r>
      <w:r w:rsidR="00221522" w:rsidRPr="00582BC2">
        <w:rPr>
          <w:lang w:val="fr-CA"/>
        </w:rPr>
        <w:t xml:space="preserve"> le </w:t>
      </w:r>
      <w:r w:rsidR="00E15273">
        <w:rPr>
          <w:lang w:val="fr-CA"/>
        </w:rPr>
        <w:t>coût</w:t>
      </w:r>
      <w:r w:rsidR="00221522" w:rsidRPr="00582BC2">
        <w:rPr>
          <w:lang w:val="fr-CA"/>
        </w:rPr>
        <w:t xml:space="preserve"> moyen de destruction a varié de 8,00 $US/kg à 12,50 $US/kg.</w:t>
      </w:r>
    </w:p>
    <w:p w14:paraId="577A1A47" w14:textId="0CD4C96F" w:rsidR="007717BB" w:rsidRPr="00582BC2" w:rsidRDefault="00221522" w:rsidP="00512BB1">
      <w:pPr>
        <w:pStyle w:val="Heading1"/>
        <w:rPr>
          <w:lang w:val="fr-CA"/>
        </w:rPr>
      </w:pPr>
      <w:r w:rsidRPr="00582BC2">
        <w:rPr>
          <w:lang w:val="fr-CA"/>
        </w:rPr>
        <w:t>Le projet de démonstration a confirmé que la technologie du four rotatif est efficace pour la destruction du CFC-12, du CFC-11 et des mousses à base de CFC-11, même si le coût est relativement élevé. L’optimisation de la destruction est recommandée afin d’en améliorer l’efficacité et réduire les coûts</w:t>
      </w:r>
      <w:r w:rsidR="001D76D7" w:rsidRPr="00582BC2">
        <w:rPr>
          <w:lang w:val="fr-CA"/>
        </w:rPr>
        <w:t xml:space="preserve">. Les installations de destruction des matières dangereuses situées dans certaines provinces fonctionnent déjà à pleine capacité </w:t>
      </w:r>
      <w:r w:rsidR="00E15273">
        <w:rPr>
          <w:lang w:val="fr-CA"/>
        </w:rPr>
        <w:t>car elles sont utilisées pour détruire</w:t>
      </w:r>
      <w:r w:rsidR="001D76D7" w:rsidRPr="00582BC2">
        <w:rPr>
          <w:lang w:val="fr-CA"/>
        </w:rPr>
        <w:t xml:space="preserve"> d’autres résidus solides. Compte tenu du potentiel de résidus </w:t>
      </w:r>
      <w:r w:rsidR="00031EAB">
        <w:rPr>
          <w:lang w:val="fr-CA"/>
        </w:rPr>
        <w:t xml:space="preserve">qui </w:t>
      </w:r>
      <w:proofErr w:type="spellStart"/>
      <w:r w:rsidR="00031EAB">
        <w:rPr>
          <w:lang w:val="fr-CA"/>
        </w:rPr>
        <w:t>proviendont</w:t>
      </w:r>
      <w:proofErr w:type="spellEnd"/>
      <w:r w:rsidR="001D76D7" w:rsidRPr="00582BC2">
        <w:rPr>
          <w:lang w:val="fr-CA"/>
        </w:rPr>
        <w:t xml:space="preserve"> des produits à base de HCFC et de HFC </w:t>
      </w:r>
      <w:r w:rsidR="00031EAB">
        <w:rPr>
          <w:lang w:val="fr-CA"/>
        </w:rPr>
        <w:t>au cours des années à venir</w:t>
      </w:r>
      <w:r w:rsidR="001D76D7" w:rsidRPr="00582BC2">
        <w:rPr>
          <w:lang w:val="fr-CA"/>
        </w:rPr>
        <w:t>, l’établissement d’installations de destructions supplémentaires pourrait être nécessaire au cours des prochaines années</w:t>
      </w:r>
      <w:r w:rsidR="007717BB" w:rsidRPr="00582BC2">
        <w:rPr>
          <w:lang w:val="fr-CA"/>
        </w:rPr>
        <w:t>.</w:t>
      </w:r>
    </w:p>
    <w:p w14:paraId="024EFCF9" w14:textId="0338C0E8" w:rsidR="007717BB" w:rsidRPr="00582BC2" w:rsidRDefault="007717BB" w:rsidP="003B4D22">
      <w:pPr>
        <w:keepNext/>
        <w:keepLines/>
        <w:widowControl w:val="0"/>
        <w:rPr>
          <w:u w:val="single"/>
          <w:lang w:val="fr-CA" w:eastAsia="zh-CN"/>
        </w:rPr>
      </w:pPr>
      <w:r w:rsidRPr="00582BC2">
        <w:rPr>
          <w:u w:val="single"/>
          <w:lang w:val="fr-CA" w:eastAsia="zh-CN"/>
        </w:rPr>
        <w:lastRenderedPageBreak/>
        <w:t>Colombi</w:t>
      </w:r>
      <w:r w:rsidR="001D76D7" w:rsidRPr="00582BC2">
        <w:rPr>
          <w:u w:val="single"/>
          <w:lang w:val="fr-CA" w:eastAsia="zh-CN"/>
        </w:rPr>
        <w:t>e :</w:t>
      </w:r>
      <w:r w:rsidRPr="00582BC2">
        <w:rPr>
          <w:u w:val="single"/>
          <w:lang w:val="fr-CA" w:eastAsia="zh-CN"/>
        </w:rPr>
        <w:t xml:space="preserve"> </w:t>
      </w:r>
      <w:r w:rsidR="00512BB1" w:rsidRPr="00582BC2">
        <w:rPr>
          <w:u w:val="single"/>
          <w:lang w:val="fr-CA" w:eastAsia="zh-CN"/>
        </w:rPr>
        <w:t>Rapport final sur le projet de démonstration sur la gestion et la destruction des SAO en fin de vie</w:t>
      </w:r>
      <w:r w:rsidR="00512BB1" w:rsidRPr="00582BC2">
        <w:rPr>
          <w:lang w:val="fr-CA" w:eastAsia="zh-CN"/>
        </w:rPr>
        <w:t xml:space="preserve"> (PNUD</w:t>
      </w:r>
      <w:r w:rsidRPr="00582BC2">
        <w:rPr>
          <w:lang w:val="fr-CA" w:eastAsia="zh-CN"/>
        </w:rPr>
        <w:t>)</w:t>
      </w:r>
    </w:p>
    <w:p w14:paraId="2B4B9481" w14:textId="77777777" w:rsidR="007717BB" w:rsidRPr="00582BC2" w:rsidRDefault="007717BB" w:rsidP="003B4D22">
      <w:pPr>
        <w:keepNext/>
        <w:keepLines/>
        <w:widowControl w:val="0"/>
        <w:rPr>
          <w:lang w:val="fr-CA" w:eastAsia="zh-CN"/>
        </w:rPr>
      </w:pPr>
    </w:p>
    <w:p w14:paraId="0D8CED9D" w14:textId="7AB1F768" w:rsidR="007717BB" w:rsidRPr="00582BC2" w:rsidRDefault="00512BB1" w:rsidP="003B4D22">
      <w:pPr>
        <w:pStyle w:val="Heading1"/>
        <w:keepNext/>
        <w:keepLines/>
        <w:rPr>
          <w:lang w:val="fr-CA"/>
        </w:rPr>
      </w:pPr>
      <w:r w:rsidRPr="00582BC2">
        <w:rPr>
          <w:lang w:val="fr-CA" w:eastAsia="zh-CN"/>
        </w:rPr>
        <w:t>Le projet pilote avait pour but de faire la démonstration d’une méthode durable de gérer les résidus de SAO depuis la collecte jusqu’à la destruction, en renforçant les capacités de destruction des installations intérieures par l</w:t>
      </w:r>
      <w:r w:rsidR="00031EAB">
        <w:rPr>
          <w:lang w:val="fr-CA" w:eastAsia="zh-CN"/>
        </w:rPr>
        <w:t xml:space="preserve">eur </w:t>
      </w:r>
      <w:r w:rsidRPr="00582BC2">
        <w:rPr>
          <w:lang w:val="fr-CA" w:eastAsia="zh-CN"/>
        </w:rPr>
        <w:t>intégration à de plus vastes projets de mati</w:t>
      </w:r>
      <w:r w:rsidR="00B1458B" w:rsidRPr="00582BC2">
        <w:rPr>
          <w:lang w:val="fr-CA" w:eastAsia="zh-CN"/>
        </w:rPr>
        <w:t>è</w:t>
      </w:r>
      <w:r w:rsidRPr="00582BC2">
        <w:rPr>
          <w:lang w:val="fr-CA" w:eastAsia="zh-CN"/>
        </w:rPr>
        <w:t xml:space="preserve">res dangereuses et d’efficacité énergétique. Il proposait d’éliminer 114 tm de résidus de </w:t>
      </w:r>
      <w:r w:rsidR="00B1458B" w:rsidRPr="00582BC2">
        <w:rPr>
          <w:lang w:val="fr-CA" w:eastAsia="zh-CN"/>
        </w:rPr>
        <w:t>S</w:t>
      </w:r>
      <w:r w:rsidRPr="00582BC2">
        <w:rPr>
          <w:lang w:val="fr-CA" w:eastAsia="zh-CN"/>
        </w:rPr>
        <w:t xml:space="preserve">AO </w:t>
      </w:r>
      <w:r w:rsidR="00B1458B" w:rsidRPr="00582BC2">
        <w:rPr>
          <w:lang w:val="fr-CA" w:eastAsia="zh-CN"/>
        </w:rPr>
        <w:t>destinées à la d</w:t>
      </w:r>
      <w:r w:rsidR="00E63D28">
        <w:rPr>
          <w:lang w:val="fr-CA" w:eastAsia="zh-CN"/>
        </w:rPr>
        <w:t>estruction,</w:t>
      </w:r>
      <w:r w:rsidR="00B1458B" w:rsidRPr="00582BC2">
        <w:rPr>
          <w:lang w:val="fr-CA" w:eastAsia="zh-CN"/>
        </w:rPr>
        <w:t xml:space="preserve"> mettre en place des mesures de soutien à la durabilité du projet en tenant compte des résidus de SAO qui seraient recueillis dans le secteur de l’entretien de l’é</w:t>
      </w:r>
      <w:r w:rsidR="00BC29D5">
        <w:rPr>
          <w:lang w:val="fr-CA" w:eastAsia="zh-CN"/>
        </w:rPr>
        <w:t>quipement de réfrigération</w:t>
      </w:r>
      <w:r w:rsidR="00E63D28">
        <w:rPr>
          <w:lang w:val="fr-CA" w:eastAsia="zh-CN"/>
        </w:rPr>
        <w:t xml:space="preserve"> et d’</w:t>
      </w:r>
      <w:r w:rsidR="00B1458B" w:rsidRPr="00582BC2">
        <w:rPr>
          <w:lang w:val="fr-CA" w:eastAsia="zh-CN"/>
        </w:rPr>
        <w:t xml:space="preserve">offrir un appui par politiques qui </w:t>
      </w:r>
      <w:r w:rsidR="00E63D28">
        <w:rPr>
          <w:lang w:val="fr-CA" w:eastAsia="zh-CN"/>
        </w:rPr>
        <w:t>est</w:t>
      </w:r>
      <w:r w:rsidR="00B1458B" w:rsidRPr="00582BC2">
        <w:rPr>
          <w:lang w:val="fr-CA" w:eastAsia="zh-CN"/>
        </w:rPr>
        <w:t xml:space="preserve"> en voie de mis en œuvre</w:t>
      </w:r>
      <w:r w:rsidR="007717BB" w:rsidRPr="00582BC2">
        <w:rPr>
          <w:lang w:val="fr-CA"/>
        </w:rPr>
        <w:t xml:space="preserve">. </w:t>
      </w:r>
    </w:p>
    <w:p w14:paraId="728454DB" w14:textId="1164E007" w:rsidR="007717BB" w:rsidRPr="00582BC2" w:rsidRDefault="00B1458B" w:rsidP="007717BB">
      <w:pPr>
        <w:widowControl w:val="0"/>
        <w:numPr>
          <w:ilvl w:val="0"/>
          <w:numId w:val="1"/>
        </w:numPr>
        <w:tabs>
          <w:tab w:val="clear" w:pos="0"/>
        </w:tabs>
        <w:spacing w:after="240"/>
        <w:outlineLvl w:val="0"/>
        <w:rPr>
          <w:lang w:val="fr-CA"/>
        </w:rPr>
      </w:pPr>
      <w:r w:rsidRPr="00582BC2">
        <w:rPr>
          <w:lang w:val="fr-CA"/>
        </w:rPr>
        <w:t xml:space="preserve">Le projet d’élimination des résidus de SAO a été mis en œuvre dans </w:t>
      </w:r>
      <w:r w:rsidR="00E63D28">
        <w:rPr>
          <w:lang w:val="fr-CA"/>
        </w:rPr>
        <w:t>un</w:t>
      </w:r>
      <w:r w:rsidRPr="00582BC2">
        <w:rPr>
          <w:lang w:val="fr-CA"/>
        </w:rPr>
        <w:t xml:space="preserve"> cadre politique national p</w:t>
      </w:r>
      <w:r w:rsidR="00E63D28">
        <w:rPr>
          <w:lang w:val="fr-CA"/>
        </w:rPr>
        <w:t>l</w:t>
      </w:r>
      <w:r w:rsidRPr="00582BC2">
        <w:rPr>
          <w:lang w:val="fr-CA"/>
        </w:rPr>
        <w:t xml:space="preserve">us vaste </w:t>
      </w:r>
      <w:r w:rsidR="00E63D28">
        <w:rPr>
          <w:lang w:val="fr-CA"/>
        </w:rPr>
        <w:t xml:space="preserve">portant sur </w:t>
      </w:r>
      <w:r w:rsidRPr="00582BC2">
        <w:rPr>
          <w:lang w:val="fr-CA"/>
        </w:rPr>
        <w:t xml:space="preserve">une démarche intégrée de gestion des déchets dangereux, d’efficacité énergétique, de gestion des émissions de gaz à effet de serre et d’engagement à respecter les obligations au </w:t>
      </w:r>
      <w:r w:rsidR="00017DBE" w:rsidRPr="00582BC2">
        <w:rPr>
          <w:lang w:val="fr-CA"/>
        </w:rPr>
        <w:t>titre du Protocole de Montréal, ce qui comprend la priorisation de la saine gestion écologiqu</w:t>
      </w:r>
      <w:r w:rsidR="00E63D28">
        <w:rPr>
          <w:lang w:val="fr-CA"/>
        </w:rPr>
        <w:t>e des SAO en fin de vie associée</w:t>
      </w:r>
      <w:r w:rsidR="00017DBE" w:rsidRPr="00582BC2">
        <w:rPr>
          <w:lang w:val="fr-CA"/>
        </w:rPr>
        <w:t xml:space="preserve"> à des politiques nationales dans le secteur de la réfrigération et de la climatisation. Il profitait de l’appui du programme de responsabilité à long terme des producteurs, entré en vigueur en 2013, qui est passé de l’étape pilote volontaire à un programme obligatoire.</w:t>
      </w:r>
    </w:p>
    <w:p w14:paraId="59B857EF" w14:textId="1CDC4FD8" w:rsidR="007717BB" w:rsidRPr="00582BC2" w:rsidRDefault="00EC0BB6" w:rsidP="007717BB">
      <w:pPr>
        <w:keepNext/>
        <w:numPr>
          <w:ilvl w:val="0"/>
          <w:numId w:val="1"/>
        </w:numPr>
        <w:tabs>
          <w:tab w:val="clear" w:pos="0"/>
        </w:tabs>
        <w:spacing w:after="240"/>
        <w:outlineLvl w:val="0"/>
        <w:rPr>
          <w:lang w:val="fr-CA"/>
        </w:rPr>
      </w:pPr>
      <w:r w:rsidRPr="00582BC2">
        <w:rPr>
          <w:lang w:val="fr-CA"/>
        </w:rPr>
        <w:t xml:space="preserve">La démonstration d’essai des activités de brûlure a révélé </w:t>
      </w:r>
      <w:r w:rsidR="007A682B" w:rsidRPr="00582BC2">
        <w:rPr>
          <w:lang w:val="fr-CA"/>
        </w:rPr>
        <w:t>qu’une</w:t>
      </w:r>
      <w:r w:rsidRPr="00582BC2">
        <w:rPr>
          <w:lang w:val="fr-CA"/>
        </w:rPr>
        <w:t xml:space="preserve"> capacité intérieure est qualifié</w:t>
      </w:r>
      <w:r w:rsidR="007A682B" w:rsidRPr="00582BC2">
        <w:rPr>
          <w:lang w:val="fr-CA"/>
        </w:rPr>
        <w:t>e</w:t>
      </w:r>
      <w:r w:rsidRPr="00582BC2">
        <w:rPr>
          <w:lang w:val="fr-CA"/>
        </w:rPr>
        <w:t>, en principe, pour la destruction des SAO, en particulier la mousse à base de CFC-11 et de HCFC-141b, et les produits chimiques à base de CFC-11 et de CFC-12</w:t>
      </w:r>
      <w:r w:rsidR="007A682B" w:rsidRPr="00582BC2">
        <w:rPr>
          <w:lang w:val="fr-CA"/>
        </w:rPr>
        <w:t>,</w:t>
      </w:r>
      <w:r w:rsidRPr="00582BC2">
        <w:rPr>
          <w:lang w:val="fr-CA"/>
        </w:rPr>
        <w:t xml:space="preserve"> jusqu’aux limites établies d’alimentation en chlore. Bien que les installations aient respect</w:t>
      </w:r>
      <w:r w:rsidR="007A682B" w:rsidRPr="00582BC2">
        <w:rPr>
          <w:lang w:val="fr-CA"/>
        </w:rPr>
        <w:t>é l</w:t>
      </w:r>
      <w:r w:rsidRPr="00582BC2">
        <w:rPr>
          <w:lang w:val="fr-CA"/>
        </w:rPr>
        <w:t>es exigences de destruction efficace, elles comportaient certain</w:t>
      </w:r>
      <w:r w:rsidR="007A682B" w:rsidRPr="00582BC2">
        <w:rPr>
          <w:lang w:val="fr-CA"/>
        </w:rPr>
        <w:t>e</w:t>
      </w:r>
      <w:r w:rsidRPr="00582BC2">
        <w:rPr>
          <w:lang w:val="fr-CA"/>
        </w:rPr>
        <w:t xml:space="preserve">s limites quant aux émissions </w:t>
      </w:r>
      <w:r w:rsidR="007A682B" w:rsidRPr="00582BC2">
        <w:rPr>
          <w:lang w:val="fr-CA"/>
        </w:rPr>
        <w:t>dans l’atmosphère</w:t>
      </w:r>
      <w:r w:rsidR="00844930">
        <w:rPr>
          <w:lang w:val="fr-CA"/>
        </w:rPr>
        <w:t>, surtout d</w:t>
      </w:r>
      <w:r w:rsidRPr="00582BC2">
        <w:rPr>
          <w:lang w:val="fr-CA"/>
        </w:rPr>
        <w:t>es gaz acides (</w:t>
      </w:r>
      <w:r w:rsidR="00BC29D5">
        <w:rPr>
          <w:lang w:val="fr-CA"/>
        </w:rPr>
        <w:t>l’</w:t>
      </w:r>
      <w:r w:rsidRPr="00582BC2">
        <w:rPr>
          <w:lang w:val="fr-CA"/>
        </w:rPr>
        <w:t>acide chlor</w:t>
      </w:r>
      <w:r w:rsidR="007A682B" w:rsidRPr="00582BC2">
        <w:rPr>
          <w:lang w:val="fr-CA"/>
        </w:rPr>
        <w:t>hy</w:t>
      </w:r>
      <w:r w:rsidRPr="00582BC2">
        <w:rPr>
          <w:lang w:val="fr-CA"/>
        </w:rPr>
        <w:t>drique (</w:t>
      </w:r>
      <w:proofErr w:type="spellStart"/>
      <w:r w:rsidRPr="00582BC2">
        <w:rPr>
          <w:lang w:val="fr-CA"/>
        </w:rPr>
        <w:t>HCl</w:t>
      </w:r>
      <w:proofErr w:type="spellEnd"/>
      <w:r w:rsidRPr="00582BC2">
        <w:rPr>
          <w:lang w:val="fr-CA"/>
        </w:rPr>
        <w:t>) et le fluorure d’hydrogène (FH)</w:t>
      </w:r>
      <w:r w:rsidR="00844930">
        <w:rPr>
          <w:lang w:val="fr-CA"/>
        </w:rPr>
        <w:t>)</w:t>
      </w:r>
      <w:r w:rsidRPr="00582BC2">
        <w:rPr>
          <w:lang w:val="fr-CA"/>
        </w:rPr>
        <w:t xml:space="preserve"> qui limitaient la teneur en chlore et en </w:t>
      </w:r>
      <w:r w:rsidR="007A682B" w:rsidRPr="00582BC2">
        <w:rPr>
          <w:lang w:val="fr-CA"/>
        </w:rPr>
        <w:t>fluo</w:t>
      </w:r>
      <w:r w:rsidRPr="00582BC2">
        <w:rPr>
          <w:lang w:val="fr-CA"/>
        </w:rPr>
        <w:t>rine de l’alimentation, ce qui a e</w:t>
      </w:r>
      <w:r w:rsidR="007A682B" w:rsidRPr="00582BC2">
        <w:rPr>
          <w:lang w:val="fr-CA"/>
        </w:rPr>
        <w:t>u des conséquences sur la produ</w:t>
      </w:r>
      <w:r w:rsidRPr="00582BC2">
        <w:rPr>
          <w:lang w:val="fr-CA"/>
        </w:rPr>
        <w:t xml:space="preserve">ctivité et la rentabilité des essais de destruction. </w:t>
      </w:r>
      <w:r w:rsidR="00CF4AA1" w:rsidRPr="00582BC2">
        <w:rPr>
          <w:lang w:val="fr-CA"/>
        </w:rPr>
        <w:t>Le rapport coût-efficacité de la destruction des produits chimiques à base de C</w:t>
      </w:r>
      <w:r w:rsidR="00844930">
        <w:rPr>
          <w:lang w:val="fr-CA"/>
        </w:rPr>
        <w:t>FC-11 et de CFC-12 a été évalué</w:t>
      </w:r>
      <w:r w:rsidR="00CF4AA1" w:rsidRPr="00582BC2">
        <w:rPr>
          <w:lang w:val="fr-CA"/>
        </w:rPr>
        <w:t xml:space="preserve"> à la moitié du rapport coût-effi</w:t>
      </w:r>
      <w:r w:rsidR="006E2AA5" w:rsidRPr="00582BC2">
        <w:rPr>
          <w:lang w:val="fr-CA"/>
        </w:rPr>
        <w:t>c</w:t>
      </w:r>
      <w:r w:rsidR="00CF4AA1" w:rsidRPr="00582BC2">
        <w:rPr>
          <w:lang w:val="fr-CA"/>
        </w:rPr>
        <w:t>acité précis</w:t>
      </w:r>
      <w:r w:rsidR="00D972BA" w:rsidRPr="00582BC2">
        <w:rPr>
          <w:lang w:val="fr-CA"/>
        </w:rPr>
        <w:t>é par le Fonds multilatéral (c</w:t>
      </w:r>
      <w:r w:rsidR="006E2AA5" w:rsidRPr="00582BC2">
        <w:rPr>
          <w:lang w:val="fr-CA"/>
        </w:rPr>
        <w:t>.</w:t>
      </w:r>
      <w:r w:rsidR="00D972BA" w:rsidRPr="00582BC2">
        <w:rPr>
          <w:lang w:val="fr-CA"/>
        </w:rPr>
        <w:t>-</w:t>
      </w:r>
      <w:r w:rsidR="00CF4AA1" w:rsidRPr="00582BC2">
        <w:rPr>
          <w:lang w:val="fr-CA"/>
        </w:rPr>
        <w:t>à-d., 13,20 $US/kg). En ce qui concerne la mousse, le rapport coût-efficaci</w:t>
      </w:r>
      <w:r w:rsidR="006E2AA5" w:rsidRPr="00582BC2">
        <w:rPr>
          <w:lang w:val="fr-CA"/>
        </w:rPr>
        <w:t>té de la destruction a été éval</w:t>
      </w:r>
      <w:r w:rsidR="00CF4AA1" w:rsidRPr="00582BC2">
        <w:rPr>
          <w:lang w:val="fr-CA"/>
        </w:rPr>
        <w:t xml:space="preserve">ué à environ quatre fois le seuil, devenant ainsi inabordable. </w:t>
      </w:r>
      <w:r w:rsidR="00844930">
        <w:rPr>
          <w:lang w:val="fr-CA"/>
        </w:rPr>
        <w:t>Un choix s’impose c</w:t>
      </w:r>
      <w:r w:rsidR="006E2AA5" w:rsidRPr="00582BC2">
        <w:rPr>
          <w:lang w:val="fr-CA"/>
        </w:rPr>
        <w:t xml:space="preserve">ompte tenu de ce qui </w:t>
      </w:r>
      <w:r w:rsidR="00844930">
        <w:rPr>
          <w:lang w:val="fr-CA"/>
        </w:rPr>
        <w:t xml:space="preserve">précède : </w:t>
      </w:r>
      <w:r w:rsidR="006E2AA5" w:rsidRPr="00582BC2">
        <w:rPr>
          <w:lang w:val="fr-CA"/>
        </w:rPr>
        <w:t xml:space="preserve">utiliser un four électrique à arc d’une aciérie fabriquant des </w:t>
      </w:r>
      <w:r w:rsidR="00D972BA" w:rsidRPr="00582BC2">
        <w:rPr>
          <w:lang w:val="fr-CA"/>
        </w:rPr>
        <w:t>carrosseries et portes de réfrigérateurs intactes ou un four à ciment commercial pour détruire la mousse et potentiellement des frigorigènes à base de SAO. Le coût global est évalué de</w:t>
      </w:r>
      <w:r w:rsidR="00844930">
        <w:rPr>
          <w:lang w:val="fr-CA"/>
        </w:rPr>
        <w:t xml:space="preserve"> 6,40 </w:t>
      </w:r>
      <w:r w:rsidR="00DB018C" w:rsidRPr="00582BC2">
        <w:rPr>
          <w:lang w:val="fr-CA"/>
        </w:rPr>
        <w:t>$US</w:t>
      </w:r>
      <w:r w:rsidR="00D972BA" w:rsidRPr="00582BC2">
        <w:rPr>
          <w:lang w:val="fr-CA"/>
        </w:rPr>
        <w:t xml:space="preserve"> </w:t>
      </w:r>
      <w:r w:rsidR="00DB018C" w:rsidRPr="00582BC2">
        <w:rPr>
          <w:lang w:val="fr-CA"/>
        </w:rPr>
        <w:t>à 12,30 $US par réfrigérateur, selon la solution choisie</w:t>
      </w:r>
      <w:r w:rsidR="007717BB" w:rsidRPr="00582BC2">
        <w:rPr>
          <w:lang w:val="fr-CA"/>
        </w:rPr>
        <w:t>.</w:t>
      </w:r>
    </w:p>
    <w:p w14:paraId="101247C4" w14:textId="425EC975" w:rsidR="007717BB" w:rsidRPr="00582BC2" w:rsidRDefault="00F62838" w:rsidP="007717BB">
      <w:pPr>
        <w:widowControl w:val="0"/>
        <w:spacing w:after="240"/>
        <w:rPr>
          <w:u w:val="single"/>
          <w:lang w:val="fr-CA"/>
        </w:rPr>
      </w:pPr>
      <w:r w:rsidRPr="00582BC2">
        <w:rPr>
          <w:u w:val="single"/>
          <w:lang w:val="fr-CA"/>
        </w:rPr>
        <w:t>Gé</w:t>
      </w:r>
      <w:r w:rsidR="007717BB" w:rsidRPr="00582BC2">
        <w:rPr>
          <w:u w:val="single"/>
          <w:lang w:val="fr-CA"/>
        </w:rPr>
        <w:t>orgi</w:t>
      </w:r>
      <w:r w:rsidRPr="00582BC2">
        <w:rPr>
          <w:u w:val="single"/>
          <w:lang w:val="fr-CA"/>
        </w:rPr>
        <w:t xml:space="preserve">e </w:t>
      </w:r>
      <w:r w:rsidR="007717BB" w:rsidRPr="00582BC2">
        <w:rPr>
          <w:u w:val="single"/>
          <w:lang w:val="fr-CA"/>
        </w:rPr>
        <w:t xml:space="preserve">: </w:t>
      </w:r>
      <w:r w:rsidRPr="00582BC2">
        <w:rPr>
          <w:u w:val="single"/>
          <w:lang w:val="fr-CA"/>
        </w:rPr>
        <w:t>Projet de démonstration pilote sur la gestion et l’élimination des résidus de SAO</w:t>
      </w:r>
      <w:r w:rsidR="007717BB" w:rsidRPr="00582BC2">
        <w:rPr>
          <w:lang w:val="fr-CA"/>
        </w:rPr>
        <w:t xml:space="preserve"> </w:t>
      </w:r>
      <w:r w:rsidRPr="00582BC2">
        <w:rPr>
          <w:lang w:val="fr-CA"/>
        </w:rPr>
        <w:t>(PNUD</w:t>
      </w:r>
      <w:r w:rsidR="007717BB" w:rsidRPr="00582BC2">
        <w:rPr>
          <w:lang w:val="fr-CA"/>
        </w:rPr>
        <w:t>)</w:t>
      </w:r>
    </w:p>
    <w:p w14:paraId="2857D8CF" w14:textId="5B07FD23" w:rsidR="007717BB" w:rsidRPr="00582BC2" w:rsidRDefault="00F62838" w:rsidP="007717BB">
      <w:pPr>
        <w:pStyle w:val="Heading1"/>
        <w:rPr>
          <w:lang w:val="fr-CA"/>
        </w:rPr>
      </w:pPr>
      <w:r w:rsidRPr="00582BC2">
        <w:rPr>
          <w:lang w:val="fr-CA"/>
        </w:rPr>
        <w:t>Le projet pilote de la Géorgie avait pour</w:t>
      </w:r>
      <w:r w:rsidR="00844930">
        <w:rPr>
          <w:lang w:val="fr-CA"/>
        </w:rPr>
        <w:t xml:space="preserve"> but</w:t>
      </w:r>
      <w:r w:rsidRPr="00582BC2">
        <w:rPr>
          <w:lang w:val="fr-CA"/>
        </w:rPr>
        <w:t xml:space="preserve"> de démontrer comment </w:t>
      </w:r>
      <w:r w:rsidR="001117E4" w:rsidRPr="00582BC2">
        <w:rPr>
          <w:lang w:val="fr-CA"/>
        </w:rPr>
        <w:t>les obstacles à la destruction et la gestion des SAO non désiré</w:t>
      </w:r>
      <w:r w:rsidR="00844930">
        <w:rPr>
          <w:lang w:val="fr-CA"/>
        </w:rPr>
        <w:t>e</w:t>
      </w:r>
      <w:r w:rsidR="001117E4" w:rsidRPr="00582BC2">
        <w:rPr>
          <w:lang w:val="fr-CA"/>
        </w:rPr>
        <w:t>s peuvent être surmontés grâce aux</w:t>
      </w:r>
      <w:r w:rsidRPr="00582BC2">
        <w:rPr>
          <w:lang w:val="fr-CA"/>
        </w:rPr>
        <w:t xml:space="preserve"> synergies entre les stocks de résidus de SAO et </w:t>
      </w:r>
      <w:r w:rsidR="001117E4" w:rsidRPr="00582BC2">
        <w:rPr>
          <w:lang w:val="fr-CA"/>
        </w:rPr>
        <w:t xml:space="preserve">de </w:t>
      </w:r>
      <w:r w:rsidRPr="00582BC2">
        <w:rPr>
          <w:lang w:val="fr-CA"/>
        </w:rPr>
        <w:t>polluants organiqu</w:t>
      </w:r>
      <w:r w:rsidR="001117E4" w:rsidRPr="00582BC2">
        <w:rPr>
          <w:lang w:val="fr-CA"/>
        </w:rPr>
        <w:t xml:space="preserve">es persistants (POP), et </w:t>
      </w:r>
      <w:r w:rsidR="00844930">
        <w:rPr>
          <w:lang w:val="fr-CA"/>
        </w:rPr>
        <w:t>d’éliminer</w:t>
      </w:r>
      <w:r w:rsidR="001117E4" w:rsidRPr="00582BC2">
        <w:rPr>
          <w:lang w:val="fr-CA"/>
        </w:rPr>
        <w:t xml:space="preserve"> 2,13 tonnes de résidus de SAO non désir</w:t>
      </w:r>
      <w:r w:rsidR="00844930">
        <w:rPr>
          <w:lang w:val="fr-CA"/>
        </w:rPr>
        <w:t>ée</w:t>
      </w:r>
      <w:r w:rsidR="001117E4" w:rsidRPr="00582BC2">
        <w:rPr>
          <w:lang w:val="fr-CA"/>
        </w:rPr>
        <w:t>s déjà recueilli</w:t>
      </w:r>
      <w:r w:rsidR="00844930">
        <w:rPr>
          <w:lang w:val="fr-CA"/>
        </w:rPr>
        <w:t>e</w:t>
      </w:r>
      <w:r w:rsidR="001117E4" w:rsidRPr="00582BC2">
        <w:rPr>
          <w:lang w:val="fr-CA"/>
        </w:rPr>
        <w:t>s et stocké</w:t>
      </w:r>
      <w:r w:rsidR="00844930">
        <w:rPr>
          <w:lang w:val="fr-CA"/>
        </w:rPr>
        <w:t>e</w:t>
      </w:r>
      <w:r w:rsidR="001117E4" w:rsidRPr="00582BC2">
        <w:rPr>
          <w:lang w:val="fr-CA"/>
        </w:rPr>
        <w:t>s temporairement au pays</w:t>
      </w:r>
      <w:r w:rsidR="007717BB" w:rsidRPr="00582BC2">
        <w:rPr>
          <w:lang w:val="fr-CA"/>
        </w:rPr>
        <w:t>.</w:t>
      </w:r>
    </w:p>
    <w:p w14:paraId="4D25564A" w14:textId="30400C44" w:rsidR="007717BB" w:rsidRPr="00582BC2" w:rsidRDefault="001117E4" w:rsidP="007717BB">
      <w:pPr>
        <w:pStyle w:val="Heading1"/>
        <w:widowControl w:val="0"/>
        <w:tabs>
          <w:tab w:val="clear" w:pos="0"/>
        </w:tabs>
        <w:rPr>
          <w:lang w:val="fr-CA"/>
        </w:rPr>
      </w:pPr>
      <w:r w:rsidRPr="00582BC2">
        <w:rPr>
          <w:lang w:val="fr-CA"/>
        </w:rPr>
        <w:t xml:space="preserve">Le rapport final a mis l’accent sur les activités conjointes menées par les correspondants nationaux, où les deux flux étaient éliminés conjointement de manière économique. Le mandat et une soumission </w:t>
      </w:r>
      <w:r w:rsidR="00AA0C4E" w:rsidRPr="00582BC2">
        <w:rPr>
          <w:lang w:val="fr-CA"/>
        </w:rPr>
        <w:t xml:space="preserve">pour le processus d’élimination conjointe </w:t>
      </w:r>
      <w:r w:rsidRPr="00582BC2">
        <w:rPr>
          <w:lang w:val="fr-CA"/>
        </w:rPr>
        <w:t xml:space="preserve">ont été </w:t>
      </w:r>
      <w:r w:rsidR="00AA0C4E" w:rsidRPr="00582BC2">
        <w:rPr>
          <w:lang w:val="fr-CA"/>
        </w:rPr>
        <w:t xml:space="preserve">préparés afin de recenser un sous-traitant pouvant </w:t>
      </w:r>
      <w:r w:rsidR="004C092B">
        <w:rPr>
          <w:lang w:val="fr-CA"/>
        </w:rPr>
        <w:t>accepter</w:t>
      </w:r>
      <w:r w:rsidR="00AA0C4E" w:rsidRPr="00582BC2">
        <w:rPr>
          <w:lang w:val="fr-CA"/>
        </w:rPr>
        <w:t xml:space="preserve">, regrouper, emballer et transporter les POP </w:t>
      </w:r>
      <w:r w:rsidR="00F16A73" w:rsidRPr="00582BC2">
        <w:rPr>
          <w:lang w:val="fr-CA"/>
        </w:rPr>
        <w:t>obsolètes</w:t>
      </w:r>
      <w:r w:rsidR="00AA0C4E" w:rsidRPr="00582BC2">
        <w:rPr>
          <w:lang w:val="fr-CA"/>
        </w:rPr>
        <w:t xml:space="preserve"> et les résidus de SAO vers un site de destruction en France. Le cadre de politique sur la gestion des déchets dangereux a été examiné afin d’analyser les résidus de SAO et de POP de manière plus approfondie</w:t>
      </w:r>
      <w:r w:rsidR="007717BB" w:rsidRPr="00582BC2">
        <w:rPr>
          <w:lang w:val="fr-CA"/>
        </w:rPr>
        <w:t xml:space="preserve">. </w:t>
      </w:r>
    </w:p>
    <w:p w14:paraId="2C6C2D99" w14:textId="0F412963" w:rsidR="007717BB" w:rsidRPr="00582BC2" w:rsidRDefault="00F16A73" w:rsidP="007717BB">
      <w:pPr>
        <w:pStyle w:val="Heading1"/>
        <w:widowControl w:val="0"/>
        <w:tabs>
          <w:tab w:val="clear" w:pos="0"/>
        </w:tabs>
        <w:rPr>
          <w:lang w:val="fr-CA"/>
        </w:rPr>
      </w:pPr>
      <w:r w:rsidRPr="00582BC2">
        <w:rPr>
          <w:lang w:val="fr-CA"/>
        </w:rPr>
        <w:t xml:space="preserve">L’étroite coordination entre deux activités financées indépendantes profitant d’un soutien gouvernemental a été un des principaux </w:t>
      </w:r>
      <w:r w:rsidR="00840B11" w:rsidRPr="00582BC2">
        <w:rPr>
          <w:lang w:val="fr-CA"/>
        </w:rPr>
        <w:t>facteurs</w:t>
      </w:r>
      <w:r w:rsidRPr="00582BC2">
        <w:rPr>
          <w:lang w:val="fr-CA"/>
        </w:rPr>
        <w:t xml:space="preserve"> du succès du projet. La gestion conjointe du projet </w:t>
      </w:r>
      <w:r w:rsidR="00840B11" w:rsidRPr="00582BC2">
        <w:rPr>
          <w:lang w:val="fr-CA"/>
        </w:rPr>
        <w:t>associée à une soumission unique, un sou</w:t>
      </w:r>
      <w:r w:rsidRPr="00582BC2">
        <w:rPr>
          <w:lang w:val="fr-CA"/>
        </w:rPr>
        <w:t xml:space="preserve">s-traitant et un processus </w:t>
      </w:r>
      <w:r w:rsidR="00840B11" w:rsidRPr="00582BC2">
        <w:rPr>
          <w:lang w:val="fr-CA"/>
        </w:rPr>
        <w:t>pour le respect des</w:t>
      </w:r>
      <w:r w:rsidRPr="00582BC2">
        <w:rPr>
          <w:lang w:val="fr-CA"/>
        </w:rPr>
        <w:t xml:space="preserve"> procédures autorisant l’exportation des </w:t>
      </w:r>
      <w:r w:rsidR="00840B11" w:rsidRPr="00582BC2">
        <w:rPr>
          <w:lang w:val="fr-CA"/>
        </w:rPr>
        <w:t>déchets</w:t>
      </w:r>
      <w:r w:rsidRPr="00582BC2">
        <w:rPr>
          <w:lang w:val="fr-CA"/>
        </w:rPr>
        <w:t xml:space="preserve"> </w:t>
      </w:r>
      <w:r w:rsidR="004C092B">
        <w:rPr>
          <w:lang w:val="fr-CA"/>
        </w:rPr>
        <w:t>a</w:t>
      </w:r>
      <w:r w:rsidRPr="00582BC2">
        <w:rPr>
          <w:lang w:val="fr-CA"/>
        </w:rPr>
        <w:t xml:space="preserve"> permis de réaliser des économies globales. De plus, comme les flux de résidus sont plus petits, </w:t>
      </w:r>
      <w:r w:rsidR="00840B11" w:rsidRPr="00582BC2">
        <w:rPr>
          <w:lang w:val="fr-CA"/>
        </w:rPr>
        <w:t>les</w:t>
      </w:r>
      <w:r w:rsidRPr="00582BC2">
        <w:rPr>
          <w:lang w:val="fr-CA"/>
        </w:rPr>
        <w:t xml:space="preserve"> résidus de SAO </w:t>
      </w:r>
      <w:r w:rsidR="00840B11" w:rsidRPr="00582BC2">
        <w:rPr>
          <w:lang w:val="fr-CA"/>
        </w:rPr>
        <w:t>continueront à être éliminés</w:t>
      </w:r>
      <w:r w:rsidR="00015F35" w:rsidRPr="00582BC2">
        <w:rPr>
          <w:lang w:val="fr-CA"/>
        </w:rPr>
        <w:t xml:space="preserve"> avec </w:t>
      </w:r>
      <w:proofErr w:type="gramStart"/>
      <w:r w:rsidR="00015F35" w:rsidRPr="00582BC2">
        <w:rPr>
          <w:lang w:val="fr-CA"/>
        </w:rPr>
        <w:t xml:space="preserve">les </w:t>
      </w:r>
      <w:r w:rsidRPr="00582BC2">
        <w:rPr>
          <w:lang w:val="fr-CA"/>
        </w:rPr>
        <w:t xml:space="preserve"> résidus</w:t>
      </w:r>
      <w:proofErr w:type="gramEnd"/>
      <w:r w:rsidRPr="00582BC2">
        <w:rPr>
          <w:lang w:val="fr-CA"/>
        </w:rPr>
        <w:t xml:space="preserve"> de POP, </w:t>
      </w:r>
      <w:r w:rsidR="00840B11" w:rsidRPr="00582BC2">
        <w:rPr>
          <w:lang w:val="fr-CA"/>
        </w:rPr>
        <w:t xml:space="preserve">pour lesquels la </w:t>
      </w:r>
      <w:r w:rsidR="00840B11" w:rsidRPr="00582BC2">
        <w:rPr>
          <w:lang w:val="fr-CA"/>
        </w:rPr>
        <w:lastRenderedPageBreak/>
        <w:t>Convention de Stockholm impose une obligation nationale de détruire de tels déchets dangereux</w:t>
      </w:r>
      <w:r w:rsidR="007717BB" w:rsidRPr="00582BC2">
        <w:rPr>
          <w:lang w:val="fr-CA"/>
        </w:rPr>
        <w:t>.</w:t>
      </w:r>
      <w:r w:rsidR="00015F35" w:rsidRPr="00582BC2">
        <w:rPr>
          <w:lang w:val="fr-CA"/>
        </w:rPr>
        <w:t xml:space="preserve"> L’expérience a démontré que la mise en œuvre de tels projets conjoints exige plus de temps pour la préparation et le repérage des entreprises ayant de l’expertise en lien avec les deux flux de résidus. Ce projet a permis la mise en place d’une tel système.</w:t>
      </w:r>
      <w:r w:rsidR="007717BB" w:rsidRPr="00582BC2">
        <w:rPr>
          <w:lang w:val="fr-CA"/>
        </w:rPr>
        <w:t xml:space="preserve"> </w:t>
      </w:r>
    </w:p>
    <w:p w14:paraId="4D1E22D1" w14:textId="59C0AA8C" w:rsidR="007717BB" w:rsidRPr="00582BC2" w:rsidRDefault="00015F35" w:rsidP="007717BB">
      <w:pPr>
        <w:pStyle w:val="Heading1"/>
        <w:widowControl w:val="0"/>
        <w:tabs>
          <w:tab w:val="clear" w:pos="0"/>
        </w:tabs>
        <w:rPr>
          <w:lang w:val="fr-CA"/>
        </w:rPr>
      </w:pPr>
      <w:r w:rsidRPr="00582BC2">
        <w:rPr>
          <w:lang w:val="fr-CA"/>
        </w:rPr>
        <w:t xml:space="preserve">Le projet a entraîné l’élimination de 1,2 tm de résidus de SAO, une quantité inférieure à la quantité </w:t>
      </w:r>
      <w:r w:rsidR="0079304A" w:rsidRPr="00582BC2">
        <w:rPr>
          <w:lang w:val="fr-CA"/>
        </w:rPr>
        <w:t xml:space="preserve">visée à l’origine. Cette situation </w:t>
      </w:r>
      <w:r w:rsidR="004C092B">
        <w:rPr>
          <w:lang w:val="fr-CA"/>
        </w:rPr>
        <w:t>est attribuable à la</w:t>
      </w:r>
      <w:r w:rsidRPr="00582BC2">
        <w:rPr>
          <w:lang w:val="fr-CA"/>
        </w:rPr>
        <w:t xml:space="preserve"> détérioration des réservoirs de stockage des CFC qui a pu entraîner </w:t>
      </w:r>
      <w:r w:rsidR="0079304A" w:rsidRPr="00582BC2">
        <w:rPr>
          <w:lang w:val="fr-CA"/>
        </w:rPr>
        <w:t>u</w:t>
      </w:r>
      <w:r w:rsidRPr="00582BC2">
        <w:rPr>
          <w:lang w:val="fr-CA"/>
        </w:rPr>
        <w:t xml:space="preserve">ne fuite de gaz. Le projet a </w:t>
      </w:r>
      <w:r w:rsidR="004C092B">
        <w:rPr>
          <w:lang w:val="fr-CA"/>
        </w:rPr>
        <w:t>permis de repérer</w:t>
      </w:r>
      <w:r w:rsidRPr="00582BC2">
        <w:rPr>
          <w:lang w:val="fr-CA"/>
        </w:rPr>
        <w:t xml:space="preserve"> toutes les sources de résidus de SAO au pays et grâce à des lois, cette collecte se poursuivra</w:t>
      </w:r>
      <w:r w:rsidR="007717BB" w:rsidRPr="00582BC2">
        <w:rPr>
          <w:lang w:val="fr-CA"/>
        </w:rPr>
        <w:t>.</w:t>
      </w:r>
    </w:p>
    <w:p w14:paraId="182A9CC5" w14:textId="3ED1CB28" w:rsidR="007717BB" w:rsidRPr="00582BC2" w:rsidRDefault="0079304A" w:rsidP="007717BB">
      <w:pPr>
        <w:pStyle w:val="Heading1"/>
        <w:widowControl w:val="0"/>
        <w:tabs>
          <w:tab w:val="clear" w:pos="0"/>
        </w:tabs>
        <w:rPr>
          <w:u w:val="single"/>
          <w:lang w:val="fr-CA"/>
        </w:rPr>
      </w:pPr>
      <w:r w:rsidRPr="00582BC2">
        <w:rPr>
          <w:lang w:val="fr-CA"/>
        </w:rPr>
        <w:t>En ce qui concerne la durabilité du projet, la Géorgie est en voie de créer un fonds national pour l’environnement, dans lequel seront versées les pénalités imposées pour le commerce illicite des SAO. Ce fonds pourra ainsi servir pour les futures exportations supplémentaires de résidus de SAO</w:t>
      </w:r>
      <w:r w:rsidR="007717BB" w:rsidRPr="00582BC2">
        <w:rPr>
          <w:lang w:val="fr-CA"/>
        </w:rPr>
        <w:t xml:space="preserve">. </w:t>
      </w:r>
    </w:p>
    <w:p w14:paraId="35CCFA2C" w14:textId="14C36126" w:rsidR="007717BB" w:rsidRPr="00582BC2" w:rsidRDefault="007717BB" w:rsidP="007717BB">
      <w:pPr>
        <w:widowControl w:val="0"/>
        <w:spacing w:after="240"/>
        <w:rPr>
          <w:u w:val="single"/>
          <w:lang w:val="fr-CA"/>
        </w:rPr>
      </w:pPr>
      <w:r w:rsidRPr="00582BC2">
        <w:rPr>
          <w:u w:val="single"/>
          <w:lang w:val="fr-CA"/>
        </w:rPr>
        <w:t>Ghana</w:t>
      </w:r>
      <w:r w:rsidR="0079304A" w:rsidRPr="00582BC2">
        <w:rPr>
          <w:u w:val="single"/>
          <w:lang w:val="fr-CA"/>
        </w:rPr>
        <w:t xml:space="preserve"> </w:t>
      </w:r>
      <w:r w:rsidRPr="00582BC2">
        <w:rPr>
          <w:u w:val="single"/>
          <w:lang w:val="fr-CA"/>
        </w:rPr>
        <w:t xml:space="preserve">: </w:t>
      </w:r>
      <w:r w:rsidR="0079304A" w:rsidRPr="00582BC2">
        <w:rPr>
          <w:u w:val="single"/>
          <w:lang w:val="fr-CA"/>
        </w:rPr>
        <w:t>Projet de démonstration pilote sur la gestion et l’élimination des résidus de SAO</w:t>
      </w:r>
      <w:r w:rsidRPr="00582BC2">
        <w:rPr>
          <w:lang w:val="fr-CA"/>
        </w:rPr>
        <w:t xml:space="preserve"> (</w:t>
      </w:r>
      <w:r w:rsidR="0079304A" w:rsidRPr="00582BC2">
        <w:rPr>
          <w:lang w:val="fr-CA"/>
        </w:rPr>
        <w:t>PNUD</w:t>
      </w:r>
      <w:r w:rsidRPr="00582BC2">
        <w:rPr>
          <w:lang w:val="fr-CA"/>
        </w:rPr>
        <w:t>)</w:t>
      </w:r>
    </w:p>
    <w:p w14:paraId="13A64433" w14:textId="3335B045" w:rsidR="007717BB" w:rsidRPr="00582BC2" w:rsidRDefault="0079304A" w:rsidP="007717BB">
      <w:pPr>
        <w:pStyle w:val="Heading1"/>
        <w:rPr>
          <w:lang w:val="fr-CA"/>
        </w:rPr>
      </w:pPr>
      <w:r w:rsidRPr="00582BC2">
        <w:rPr>
          <w:lang w:val="fr-CA"/>
        </w:rPr>
        <w:t xml:space="preserve">Le projet du Ghana avait pour but d’éliminer 8,8 tonnes de CFC-12 déjà recueillies et prêtes à détruire, et de mettre en place des mesures d’appui à la durabilité du projet en examinant d’autres </w:t>
      </w:r>
      <w:r w:rsidR="00CC7BA8" w:rsidRPr="00582BC2">
        <w:rPr>
          <w:lang w:val="fr-CA"/>
        </w:rPr>
        <w:t>résidus de SAO possibl</w:t>
      </w:r>
      <w:r w:rsidR="004C092B">
        <w:rPr>
          <w:lang w:val="fr-CA"/>
        </w:rPr>
        <w:t>es qui pourraient être recueill</w:t>
      </w:r>
      <w:r w:rsidR="00CC7BA8" w:rsidRPr="00582BC2">
        <w:rPr>
          <w:lang w:val="fr-CA"/>
        </w:rPr>
        <w:t>is dans le cadre d’un projet sur l’efficacité énergétique financé par le Fonds pour l’environnement mondial (FEM</w:t>
      </w:r>
      <w:r w:rsidR="007717BB" w:rsidRPr="00582BC2">
        <w:rPr>
          <w:lang w:val="fr-CA"/>
        </w:rPr>
        <w:t>).</w:t>
      </w:r>
    </w:p>
    <w:p w14:paraId="6C9326AD" w14:textId="07DF71C9" w:rsidR="007717BB" w:rsidRPr="00582BC2" w:rsidRDefault="00CC7BA8" w:rsidP="007717BB">
      <w:pPr>
        <w:pStyle w:val="Heading1"/>
        <w:keepNext/>
        <w:tabs>
          <w:tab w:val="clear" w:pos="0"/>
        </w:tabs>
        <w:rPr>
          <w:lang w:val="fr-CA"/>
        </w:rPr>
      </w:pPr>
      <w:r w:rsidRPr="00582BC2">
        <w:rPr>
          <w:lang w:val="fr-CA"/>
        </w:rPr>
        <w:t>Le rapport final a fourni des détails sur la mise en œuvre du proj</w:t>
      </w:r>
      <w:r w:rsidR="00223B7C" w:rsidRPr="00582BC2">
        <w:rPr>
          <w:lang w:val="fr-CA"/>
        </w:rPr>
        <w:t>et, la mise en place des opérati</w:t>
      </w:r>
      <w:r w:rsidRPr="00582BC2">
        <w:rPr>
          <w:lang w:val="fr-CA"/>
        </w:rPr>
        <w:t xml:space="preserve">ons, surtout la synergie entre le projet de démonstration pilote et le projet financé par le FEM, l’achat d’équipement (p. ex., appareils de récupération portables de l’Allemagne, </w:t>
      </w:r>
      <w:r w:rsidR="00F65032">
        <w:rPr>
          <w:lang w:val="fr-CA"/>
        </w:rPr>
        <w:t xml:space="preserve">de </w:t>
      </w:r>
      <w:r w:rsidRPr="00582BC2">
        <w:rPr>
          <w:lang w:val="fr-CA"/>
        </w:rPr>
        <w:t>l’</w:t>
      </w:r>
      <w:r w:rsidR="00223B7C" w:rsidRPr="00582BC2">
        <w:rPr>
          <w:lang w:val="fr-CA"/>
        </w:rPr>
        <w:t>équipement de labo</w:t>
      </w:r>
      <w:r w:rsidRPr="00582BC2">
        <w:rPr>
          <w:lang w:val="fr-CA"/>
        </w:rPr>
        <w:t xml:space="preserve">ratoire, </w:t>
      </w:r>
      <w:r w:rsidR="00F65032">
        <w:rPr>
          <w:lang w:val="fr-CA"/>
        </w:rPr>
        <w:t>d</w:t>
      </w:r>
      <w:r w:rsidRPr="00582BC2">
        <w:rPr>
          <w:lang w:val="fr-CA"/>
        </w:rPr>
        <w:t xml:space="preserve">es identifiants de frigorigènes, </w:t>
      </w:r>
      <w:r w:rsidR="00F65032">
        <w:rPr>
          <w:lang w:val="fr-CA"/>
        </w:rPr>
        <w:t>d</w:t>
      </w:r>
      <w:r w:rsidRPr="00582BC2">
        <w:rPr>
          <w:lang w:val="fr-CA"/>
        </w:rPr>
        <w:t>es bouteilles pour les frigorigènes) et les résult</w:t>
      </w:r>
      <w:r w:rsidR="00F65032">
        <w:rPr>
          <w:lang w:val="fr-CA"/>
        </w:rPr>
        <w:t>ats du processus de destruction</w:t>
      </w:r>
      <w:r w:rsidRPr="00582BC2">
        <w:rPr>
          <w:lang w:val="fr-CA"/>
        </w:rPr>
        <w:t>. Il révèle que 1,2 tm de CFC et 5,2 tm de bromure de méthyle ont été détruites dans des installations en Polog</w:t>
      </w:r>
      <w:r w:rsidR="00223B7C" w:rsidRPr="00582BC2">
        <w:rPr>
          <w:lang w:val="fr-CA"/>
        </w:rPr>
        <w:t>n</w:t>
      </w:r>
      <w:r w:rsidRPr="00582BC2">
        <w:rPr>
          <w:lang w:val="fr-CA"/>
        </w:rPr>
        <w:t>e (Veolia) et que 1</w:t>
      </w:r>
      <w:r w:rsidR="001E40CC">
        <w:rPr>
          <w:lang w:val="fr-CA"/>
        </w:rPr>
        <w:t>,0</w:t>
      </w:r>
      <w:r w:rsidRPr="00582BC2">
        <w:rPr>
          <w:lang w:val="fr-CA"/>
        </w:rPr>
        <w:t xml:space="preserve"> tm de plus de CFC a été exporté</w:t>
      </w:r>
      <w:r w:rsidR="00F65032">
        <w:rPr>
          <w:lang w:val="fr-CA"/>
        </w:rPr>
        <w:t>e</w:t>
      </w:r>
      <w:r w:rsidRPr="00582BC2">
        <w:rPr>
          <w:lang w:val="fr-CA"/>
        </w:rPr>
        <w:t xml:space="preserve"> aux fins de destruction dans les installations situées aux </w:t>
      </w:r>
      <w:r w:rsidR="00223B7C" w:rsidRPr="00582BC2">
        <w:rPr>
          <w:lang w:val="fr-CA"/>
        </w:rPr>
        <w:t>É</w:t>
      </w:r>
      <w:r w:rsidRPr="00582BC2">
        <w:rPr>
          <w:lang w:val="fr-CA"/>
        </w:rPr>
        <w:t>tats-Unis d’Amérique (</w:t>
      </w:r>
      <w:proofErr w:type="spellStart"/>
      <w:r w:rsidRPr="00582BC2">
        <w:rPr>
          <w:lang w:val="fr-CA"/>
        </w:rPr>
        <w:t>Tradewater</w:t>
      </w:r>
      <w:proofErr w:type="spellEnd"/>
      <w:r w:rsidRPr="00582BC2">
        <w:rPr>
          <w:lang w:val="fr-CA"/>
        </w:rPr>
        <w:t>)</w:t>
      </w:r>
      <w:r w:rsidR="007717BB" w:rsidRPr="00582BC2">
        <w:rPr>
          <w:lang w:val="fr-CA"/>
        </w:rPr>
        <w:t xml:space="preserve">. </w:t>
      </w:r>
      <w:r w:rsidR="00223B7C" w:rsidRPr="00582BC2">
        <w:rPr>
          <w:lang w:val="fr-CA"/>
        </w:rPr>
        <w:t>La quantité totale de résidus de SAO détruite a donc été de 7,4 tm.</w:t>
      </w:r>
    </w:p>
    <w:p w14:paraId="643FA5FE" w14:textId="4866606E" w:rsidR="007717BB" w:rsidRPr="00582BC2" w:rsidRDefault="00223B7C" w:rsidP="007717BB">
      <w:pPr>
        <w:pStyle w:val="Heading1"/>
        <w:widowControl w:val="0"/>
        <w:tabs>
          <w:tab w:val="clear" w:pos="0"/>
        </w:tabs>
        <w:spacing w:after="120"/>
        <w:rPr>
          <w:lang w:val="fr-CA"/>
        </w:rPr>
      </w:pPr>
      <w:r w:rsidRPr="00582BC2">
        <w:rPr>
          <w:lang w:val="fr-CA"/>
        </w:rPr>
        <w:t>La mise en œuvre du projet a connu quelques difficultés : des difficultés à regrouper les résidus en quantités suffisantes pour en assurer la destruction à un prix économique; l’instabilité des marchés du carbone, considéré</w:t>
      </w:r>
      <w:r w:rsidR="00F65032">
        <w:rPr>
          <w:lang w:val="fr-CA"/>
        </w:rPr>
        <w:t>e</w:t>
      </w:r>
      <w:r w:rsidRPr="00582BC2">
        <w:rPr>
          <w:lang w:val="fr-CA"/>
        </w:rPr>
        <w:t xml:space="preserve"> comme un</w:t>
      </w:r>
      <w:r w:rsidR="00F65032">
        <w:rPr>
          <w:lang w:val="fr-CA"/>
        </w:rPr>
        <w:t>e</w:t>
      </w:r>
      <w:r w:rsidRPr="00582BC2">
        <w:rPr>
          <w:lang w:val="fr-CA"/>
        </w:rPr>
        <w:t xml:space="preserve"> motivation à exporter </w:t>
      </w:r>
      <w:r w:rsidR="00F65032">
        <w:rPr>
          <w:lang w:val="fr-CA"/>
        </w:rPr>
        <w:t xml:space="preserve">les résidus </w:t>
      </w:r>
      <w:r w:rsidRPr="00582BC2">
        <w:rPr>
          <w:lang w:val="fr-CA"/>
        </w:rPr>
        <w:t xml:space="preserve">aux fins de destruction; le processus interne d’obtention des autorisations d’exporter des mélanges de résidus vers la Pologne et les </w:t>
      </w:r>
      <w:r w:rsidR="009F442E" w:rsidRPr="00582BC2">
        <w:rPr>
          <w:lang w:val="fr-CA"/>
        </w:rPr>
        <w:t>É</w:t>
      </w:r>
      <w:r w:rsidRPr="00582BC2">
        <w:rPr>
          <w:lang w:val="fr-CA"/>
        </w:rPr>
        <w:t>tats-Unis d’Amérique (</w:t>
      </w:r>
      <w:r w:rsidR="009F442E" w:rsidRPr="00582BC2">
        <w:rPr>
          <w:lang w:val="fr-CA"/>
        </w:rPr>
        <w:t xml:space="preserve">à savoir les POP, le </w:t>
      </w:r>
      <w:proofErr w:type="spellStart"/>
      <w:r w:rsidR="009F442E" w:rsidRPr="00582BC2">
        <w:rPr>
          <w:lang w:val="fr-CA"/>
        </w:rPr>
        <w:t>biphényle</w:t>
      </w:r>
      <w:proofErr w:type="spellEnd"/>
      <w:r w:rsidR="009F442E" w:rsidRPr="00582BC2">
        <w:rPr>
          <w:lang w:val="fr-CA"/>
        </w:rPr>
        <w:t xml:space="preserve"> </w:t>
      </w:r>
      <w:proofErr w:type="spellStart"/>
      <w:r w:rsidR="009F442E" w:rsidRPr="00582BC2">
        <w:rPr>
          <w:lang w:val="fr-CA"/>
        </w:rPr>
        <w:t>polychloré</w:t>
      </w:r>
      <w:proofErr w:type="spellEnd"/>
      <w:r w:rsidR="009F442E" w:rsidRPr="00582BC2">
        <w:rPr>
          <w:lang w:val="fr-CA"/>
        </w:rPr>
        <w:t xml:space="preserve"> (PCB) et les SAO) et de gérer les stocks recueillis de mousse con</w:t>
      </w:r>
      <w:r w:rsidR="001E40CC">
        <w:rPr>
          <w:lang w:val="fr-CA"/>
        </w:rPr>
        <w:t>tenant d</w:t>
      </w:r>
      <w:r w:rsidR="009F442E" w:rsidRPr="00582BC2">
        <w:rPr>
          <w:lang w:val="fr-CA"/>
        </w:rPr>
        <w:t>es CFC-11 et leur destruction</w:t>
      </w:r>
      <w:r w:rsidR="007717BB" w:rsidRPr="00582BC2">
        <w:rPr>
          <w:lang w:val="fr-CA"/>
        </w:rPr>
        <w:t>.</w:t>
      </w:r>
    </w:p>
    <w:p w14:paraId="78CFF7E2" w14:textId="1818CCAE" w:rsidR="007717BB" w:rsidRPr="00582BC2" w:rsidRDefault="009F442E" w:rsidP="007717BB">
      <w:pPr>
        <w:pStyle w:val="Heading1"/>
        <w:widowControl w:val="0"/>
        <w:tabs>
          <w:tab w:val="clear" w:pos="0"/>
        </w:tabs>
        <w:rPr>
          <w:lang w:val="fr-CA"/>
        </w:rPr>
      </w:pPr>
      <w:r w:rsidRPr="00582BC2">
        <w:rPr>
          <w:lang w:val="fr-CA"/>
        </w:rPr>
        <w:t>Un des principaux enseignements tirés du projet a été l’importan</w:t>
      </w:r>
      <w:r w:rsidR="007C07DF" w:rsidRPr="00582BC2">
        <w:rPr>
          <w:lang w:val="fr-CA"/>
        </w:rPr>
        <w:t>ce de la collaboration entre le</w:t>
      </w:r>
      <w:r w:rsidRPr="00582BC2">
        <w:rPr>
          <w:lang w:val="fr-CA"/>
        </w:rPr>
        <w:t>s</w:t>
      </w:r>
      <w:r w:rsidR="007C07DF" w:rsidRPr="00582BC2">
        <w:rPr>
          <w:lang w:val="fr-CA"/>
        </w:rPr>
        <w:t xml:space="preserve"> </w:t>
      </w:r>
      <w:r w:rsidRPr="00582BC2">
        <w:rPr>
          <w:lang w:val="fr-CA"/>
        </w:rPr>
        <w:t xml:space="preserve">projets de nature complémentaire, dans ce cas-ci le programme de </w:t>
      </w:r>
      <w:r w:rsidR="007C07DF" w:rsidRPr="00582BC2">
        <w:rPr>
          <w:lang w:val="fr-CA"/>
        </w:rPr>
        <w:t xml:space="preserve">rabais et </w:t>
      </w:r>
      <w:r w:rsidRPr="00582BC2">
        <w:rPr>
          <w:lang w:val="fr-CA"/>
        </w:rPr>
        <w:t>remplacement des app</w:t>
      </w:r>
      <w:r w:rsidR="007C07DF" w:rsidRPr="00582BC2">
        <w:rPr>
          <w:lang w:val="fr-CA"/>
        </w:rPr>
        <w:t xml:space="preserve">areils ménagers financé par le FEM et le projet pilote de destruction des résidus financé par le Fonds multilatéral. Bien </w:t>
      </w:r>
      <w:r w:rsidR="00C7641C">
        <w:rPr>
          <w:lang w:val="fr-CA"/>
        </w:rPr>
        <w:t>que l’approche ait été complexe</w:t>
      </w:r>
      <w:r w:rsidR="007C07DF" w:rsidRPr="00582BC2">
        <w:rPr>
          <w:lang w:val="fr-CA"/>
        </w:rPr>
        <w:t>, le regroupement de ces deux flux de résidus a été une solution efficace pour la destruction et a permis de réaliser des économies sur les coûts de transport et de destruction. Le projet a aussi mené à une collaboration entre la Commission de l’énergie du Ghana et l’agence de protection de l’environnement, les deux agences responsables respectivement des projets du FEM et du Fonds multilatéral</w:t>
      </w:r>
      <w:r w:rsidR="007717BB" w:rsidRPr="00582BC2">
        <w:rPr>
          <w:lang w:val="fr-CA"/>
        </w:rPr>
        <w:t xml:space="preserve">. </w:t>
      </w:r>
    </w:p>
    <w:p w14:paraId="5D65878B" w14:textId="450B532A" w:rsidR="007717BB" w:rsidRPr="00582BC2" w:rsidRDefault="007C07DF" w:rsidP="00253DC5">
      <w:pPr>
        <w:keepNext/>
        <w:keepLines/>
        <w:widowControl w:val="0"/>
        <w:spacing w:after="240"/>
        <w:jc w:val="left"/>
        <w:outlineLvl w:val="0"/>
        <w:rPr>
          <w:lang w:val="fr-CA"/>
        </w:rPr>
      </w:pPr>
      <w:r w:rsidRPr="00582BC2">
        <w:rPr>
          <w:u w:val="single"/>
          <w:lang w:val="fr-CA"/>
        </w:rPr>
        <w:t xml:space="preserve">Mexique : </w:t>
      </w:r>
      <w:r w:rsidR="004158F2" w:rsidRPr="00582BC2">
        <w:rPr>
          <w:u w:val="single"/>
          <w:lang w:val="fr-CA"/>
        </w:rPr>
        <w:t>Rapport final sur le projet de démonstration pilote sur l’élimination des SAO non désirées</w:t>
      </w:r>
      <w:r w:rsidR="007717BB" w:rsidRPr="00582BC2">
        <w:rPr>
          <w:u w:val="single"/>
          <w:lang w:val="fr-CA"/>
        </w:rPr>
        <w:t xml:space="preserve"> </w:t>
      </w:r>
      <w:r w:rsidR="007717BB" w:rsidRPr="00582BC2">
        <w:rPr>
          <w:lang w:val="fr-CA"/>
        </w:rPr>
        <w:t>(</w:t>
      </w:r>
      <w:r w:rsidR="004158F2" w:rsidRPr="00582BC2">
        <w:rPr>
          <w:lang w:val="fr-CA"/>
        </w:rPr>
        <w:t>ONUDI)</w:t>
      </w:r>
    </w:p>
    <w:p w14:paraId="1B0DD5CF" w14:textId="67743FEB" w:rsidR="007717BB" w:rsidRPr="00582BC2" w:rsidRDefault="004158F2" w:rsidP="007717BB">
      <w:pPr>
        <w:pStyle w:val="Heading1"/>
        <w:rPr>
          <w:lang w:val="fr-CA"/>
        </w:rPr>
      </w:pPr>
      <w:r w:rsidRPr="00582BC2">
        <w:rPr>
          <w:lang w:val="fr-CA" w:eastAsia="zh-CN"/>
        </w:rPr>
        <w:t>Le projet de démonstration pilote pour le Mexique avait pour objectif d’éliminer de 166,7 tonnes métriques (tm) de CFC-12 provenant de vieux réfrigérateurs et climatiseurs et 7,0 tm provenant de refroidisseurs. Le projet de démonstration a mené à la destruction de 113,0 tm de CFC-12 non désiré</w:t>
      </w:r>
      <w:r w:rsidR="007717BB" w:rsidRPr="00582BC2">
        <w:rPr>
          <w:lang w:val="fr-CA"/>
        </w:rPr>
        <w:t>.</w:t>
      </w:r>
    </w:p>
    <w:p w14:paraId="7CD038C4" w14:textId="5CAD0B67" w:rsidR="007717BB" w:rsidRPr="00582BC2" w:rsidRDefault="004158F2" w:rsidP="007717BB">
      <w:pPr>
        <w:pStyle w:val="Heading1"/>
        <w:rPr>
          <w:lang w:val="fr-CA"/>
        </w:rPr>
      </w:pPr>
      <w:r w:rsidRPr="00582BC2">
        <w:rPr>
          <w:lang w:val="fr-CA"/>
        </w:rPr>
        <w:lastRenderedPageBreak/>
        <w:t>En plus d’offrir des bienfaits pour la couche d’ozone et le climat, le projet a encouragé les premi</w:t>
      </w:r>
      <w:r w:rsidR="00C7641C">
        <w:rPr>
          <w:lang w:val="fr-CA"/>
        </w:rPr>
        <w:t>ères installations mexicaines à</w:t>
      </w:r>
      <w:r w:rsidRPr="00582BC2">
        <w:rPr>
          <w:lang w:val="fr-CA"/>
        </w:rPr>
        <w:t xml:space="preserve"> obtenir les permis nécessaires p</w:t>
      </w:r>
      <w:r w:rsidR="00D934DE" w:rsidRPr="00582BC2">
        <w:rPr>
          <w:lang w:val="fr-CA"/>
        </w:rPr>
        <w:t>o</w:t>
      </w:r>
      <w:r w:rsidRPr="00582BC2">
        <w:rPr>
          <w:lang w:val="fr-CA"/>
        </w:rPr>
        <w:t xml:space="preserve">ur incinérer et </w:t>
      </w:r>
      <w:r w:rsidR="00C7641C">
        <w:rPr>
          <w:lang w:val="fr-CA"/>
        </w:rPr>
        <w:t>traiter conjointement</w:t>
      </w:r>
      <w:r w:rsidRPr="00582BC2">
        <w:rPr>
          <w:lang w:val="fr-CA"/>
        </w:rPr>
        <w:t xml:space="preserve"> les résidus de SAO, et a confirmé la faisabilité de la destruction des SAO grâce à deux technologies différentes :</w:t>
      </w:r>
      <w:r w:rsidR="001E40CC">
        <w:rPr>
          <w:lang w:val="fr-CA"/>
        </w:rPr>
        <w:t xml:space="preserve"> l’arc à </w:t>
      </w:r>
      <w:r w:rsidR="00D934DE" w:rsidRPr="00582BC2">
        <w:rPr>
          <w:lang w:val="fr-CA"/>
        </w:rPr>
        <w:t>argon-plasma et le four à ciment. Le Mexique compte deux installations possédant les autorisati</w:t>
      </w:r>
      <w:r w:rsidR="00C7641C">
        <w:rPr>
          <w:lang w:val="fr-CA"/>
        </w:rPr>
        <w:t>ons nécessaires du gouvernement</w:t>
      </w:r>
      <w:r w:rsidR="00D934DE" w:rsidRPr="00582BC2">
        <w:rPr>
          <w:lang w:val="fr-CA"/>
        </w:rPr>
        <w:t xml:space="preserve"> accordées après avoir satisfait aux normes de sécurité et environnementales associées à la destruction des SAO</w:t>
      </w:r>
      <w:r w:rsidR="007717BB" w:rsidRPr="00582BC2">
        <w:rPr>
          <w:lang w:val="fr-CA"/>
        </w:rPr>
        <w:t>.</w:t>
      </w:r>
    </w:p>
    <w:p w14:paraId="5B1EBDD9" w14:textId="6C0F1883" w:rsidR="007717BB" w:rsidRPr="00582BC2" w:rsidRDefault="00D934DE" w:rsidP="007717BB">
      <w:pPr>
        <w:pStyle w:val="Heading1"/>
        <w:widowControl w:val="0"/>
        <w:tabs>
          <w:tab w:val="clear" w:pos="0"/>
        </w:tabs>
        <w:rPr>
          <w:lang w:val="fr-CA"/>
        </w:rPr>
      </w:pPr>
      <w:r w:rsidRPr="00582BC2">
        <w:rPr>
          <w:lang w:val="fr-CA"/>
        </w:rPr>
        <w:t>Le rapport final fournit des détails sur la mise en œuvre par étapes du projet. Les activités préliminaires ont</w:t>
      </w:r>
      <w:r w:rsidR="00C7641C">
        <w:rPr>
          <w:lang w:val="fr-CA"/>
        </w:rPr>
        <w:t xml:space="preserve"> porté sur la formation et une d</w:t>
      </w:r>
      <w:r w:rsidRPr="00582BC2">
        <w:rPr>
          <w:lang w:val="fr-CA"/>
        </w:rPr>
        <w:t xml:space="preserve">otation au </w:t>
      </w:r>
      <w:r w:rsidR="00550793" w:rsidRPr="00582BC2">
        <w:rPr>
          <w:lang w:val="fr-CA"/>
        </w:rPr>
        <w:t>programme des centres de remplacement des appareils ménagers domestiques, l’élaboration du programme de suivi, d’établissement de rapports et de vérification, l’atelier de sensibilisation</w:t>
      </w:r>
      <w:r w:rsidR="00D5575C">
        <w:rPr>
          <w:lang w:val="fr-CA"/>
        </w:rPr>
        <w:t>,</w:t>
      </w:r>
      <w:r w:rsidR="00550793" w:rsidRPr="00582BC2">
        <w:rPr>
          <w:lang w:val="fr-CA"/>
        </w:rPr>
        <w:t xml:space="preserve"> la mise en œuvre d’essai</w:t>
      </w:r>
      <w:r w:rsidR="00C7641C">
        <w:rPr>
          <w:lang w:val="fr-CA"/>
        </w:rPr>
        <w:t>s pilotes de destruction des SAO</w:t>
      </w:r>
      <w:r w:rsidR="00550793" w:rsidRPr="00582BC2">
        <w:rPr>
          <w:lang w:val="fr-CA"/>
        </w:rPr>
        <w:t xml:space="preserve"> et l’approbation de permis pour deux entreprises mexicaines. Le regroupement et la consolidation des banques de SAO ont été réalisés et environ 74,0 tm </w:t>
      </w:r>
      <w:r w:rsidR="00D45417">
        <w:rPr>
          <w:lang w:val="fr-CA"/>
        </w:rPr>
        <w:t>de banques de CFC-12 non désiré</w:t>
      </w:r>
      <w:r w:rsidR="00550793" w:rsidRPr="00582BC2">
        <w:rPr>
          <w:lang w:val="fr-CA"/>
        </w:rPr>
        <w:t>s ont été détruites par argon-plasma et 39,0 tm de plus ont été détruites en 2016 et 2017. Le rapport coût-efficacité fondé sur la mise en œuvre a varié de 8,0 $US/kg à 9,20 $US/kg</w:t>
      </w:r>
      <w:r w:rsidR="007717BB" w:rsidRPr="00582BC2">
        <w:rPr>
          <w:lang w:val="fr-CA"/>
        </w:rPr>
        <w:t>.</w:t>
      </w:r>
    </w:p>
    <w:p w14:paraId="45661768" w14:textId="3E876C19" w:rsidR="007717BB" w:rsidRPr="00582BC2" w:rsidRDefault="00550793" w:rsidP="007717BB">
      <w:pPr>
        <w:pStyle w:val="Heading1"/>
        <w:widowControl w:val="0"/>
        <w:tabs>
          <w:tab w:val="clear" w:pos="0"/>
        </w:tabs>
        <w:rPr>
          <w:lang w:val="fr-CA"/>
        </w:rPr>
      </w:pPr>
      <w:r w:rsidRPr="00582BC2">
        <w:rPr>
          <w:lang w:val="fr-CA"/>
        </w:rPr>
        <w:t>Le rapport indique que l’arc à argon-plasma est une technolo</w:t>
      </w:r>
      <w:r w:rsidR="00AD42D2" w:rsidRPr="00582BC2">
        <w:rPr>
          <w:lang w:val="fr-CA"/>
        </w:rPr>
        <w:t>gie de destructi</w:t>
      </w:r>
      <w:r w:rsidRPr="00582BC2">
        <w:rPr>
          <w:lang w:val="fr-CA"/>
        </w:rPr>
        <w:t>on de pointe et la</w:t>
      </w:r>
      <w:r w:rsidR="00AD42D2" w:rsidRPr="00582BC2">
        <w:rPr>
          <w:lang w:val="fr-CA"/>
        </w:rPr>
        <w:t xml:space="preserve"> technologie la plus propre, mais elle coûte cher. Le four à ciment s’est avéré la technologie de destruction des SAO la plus économique</w:t>
      </w:r>
      <w:r w:rsidR="00D5575C">
        <w:rPr>
          <w:lang w:val="fr-CA"/>
        </w:rPr>
        <w:t>,</w:t>
      </w:r>
      <w:r w:rsidR="00AD42D2" w:rsidRPr="00582BC2">
        <w:rPr>
          <w:lang w:val="fr-CA"/>
        </w:rPr>
        <w:t xml:space="preserve"> et l’industrie </w:t>
      </w:r>
      <w:r w:rsidR="00D5575C">
        <w:rPr>
          <w:lang w:val="fr-CA"/>
        </w:rPr>
        <w:t xml:space="preserve">mexicaine </w:t>
      </w:r>
      <w:r w:rsidR="00AD42D2" w:rsidRPr="00582BC2">
        <w:rPr>
          <w:lang w:val="fr-CA"/>
        </w:rPr>
        <w:t>de fabrication de ciment possède une expérience de très longue date en manipulation des déchets dangereux autres que les SAO</w:t>
      </w:r>
      <w:r w:rsidR="007717BB" w:rsidRPr="00582BC2">
        <w:rPr>
          <w:lang w:val="fr-CA"/>
        </w:rPr>
        <w:t>.</w:t>
      </w:r>
      <w:r w:rsidR="00AD42D2" w:rsidRPr="00582BC2">
        <w:rPr>
          <w:lang w:val="fr-CA"/>
        </w:rPr>
        <w:t xml:space="preserve"> Les enseignements tirés sont énoncés dans le rapport</w:t>
      </w:r>
      <w:r w:rsidR="00D45417">
        <w:rPr>
          <w:lang w:val="fr-CA"/>
        </w:rPr>
        <w:t xml:space="preserve"> final</w:t>
      </w:r>
      <w:r w:rsidR="00AD42D2" w:rsidRPr="00582BC2">
        <w:rPr>
          <w:lang w:val="fr-CA"/>
        </w:rPr>
        <w:t>.</w:t>
      </w:r>
    </w:p>
    <w:p w14:paraId="789CC7FF" w14:textId="1023C73D" w:rsidR="007717BB" w:rsidRPr="00582BC2" w:rsidRDefault="00AD42D2" w:rsidP="007717BB">
      <w:pPr>
        <w:pStyle w:val="Heading1"/>
        <w:widowControl w:val="0"/>
        <w:numPr>
          <w:ilvl w:val="0"/>
          <w:numId w:val="0"/>
        </w:numPr>
        <w:rPr>
          <w:u w:val="single"/>
          <w:lang w:val="fr-CA"/>
        </w:rPr>
      </w:pPr>
      <w:r w:rsidRPr="00582BC2">
        <w:rPr>
          <w:u w:val="single"/>
          <w:lang w:val="fr-CA"/>
        </w:rPr>
        <w:t>Né</w:t>
      </w:r>
      <w:r w:rsidR="007717BB" w:rsidRPr="00582BC2">
        <w:rPr>
          <w:u w:val="single"/>
          <w:lang w:val="fr-CA"/>
        </w:rPr>
        <w:t>pal</w:t>
      </w:r>
      <w:r w:rsidRPr="00582BC2">
        <w:rPr>
          <w:u w:val="single"/>
          <w:lang w:val="fr-CA"/>
        </w:rPr>
        <w:t xml:space="preserve"> </w:t>
      </w:r>
      <w:r w:rsidR="007717BB" w:rsidRPr="00582BC2">
        <w:rPr>
          <w:u w:val="single"/>
          <w:lang w:val="fr-CA"/>
        </w:rPr>
        <w:t xml:space="preserve">: </w:t>
      </w:r>
      <w:r w:rsidR="00AA5EF3" w:rsidRPr="00582BC2">
        <w:rPr>
          <w:u w:val="single"/>
          <w:lang w:val="fr-CA"/>
        </w:rPr>
        <w:t>Projet de démonstration pilote sur la gestion et l’élimination des résidus de SAO</w:t>
      </w:r>
      <w:r w:rsidR="007717BB" w:rsidRPr="00582BC2">
        <w:rPr>
          <w:u w:val="single"/>
          <w:lang w:val="fr-CA"/>
        </w:rPr>
        <w:t xml:space="preserve"> </w:t>
      </w:r>
      <w:r w:rsidR="007717BB" w:rsidRPr="00582BC2">
        <w:rPr>
          <w:lang w:val="fr-CA"/>
        </w:rPr>
        <w:t>(</w:t>
      </w:r>
      <w:r w:rsidR="00AA5EF3" w:rsidRPr="00582BC2">
        <w:rPr>
          <w:lang w:val="fr-CA"/>
        </w:rPr>
        <w:t>PNUE</w:t>
      </w:r>
      <w:r w:rsidR="007717BB" w:rsidRPr="00582BC2">
        <w:rPr>
          <w:lang w:val="fr-CA"/>
        </w:rPr>
        <w:t>)</w:t>
      </w:r>
    </w:p>
    <w:p w14:paraId="31B16BF6" w14:textId="1852370B" w:rsidR="007717BB" w:rsidRPr="00582BC2" w:rsidRDefault="00AA5EF3" w:rsidP="007717BB">
      <w:pPr>
        <w:pStyle w:val="Heading1"/>
        <w:rPr>
          <w:lang w:val="fr-CA"/>
        </w:rPr>
      </w:pPr>
      <w:r w:rsidRPr="00582BC2">
        <w:rPr>
          <w:lang w:val="fr-CA"/>
        </w:rPr>
        <w:t>Le Comité exécutif a approuvé le projet pour le Népal à la 59</w:t>
      </w:r>
      <w:r w:rsidRPr="00582BC2">
        <w:rPr>
          <w:vertAlign w:val="superscript"/>
          <w:lang w:val="fr-CA"/>
        </w:rPr>
        <w:t>e</w:t>
      </w:r>
      <w:r w:rsidRPr="00582BC2">
        <w:rPr>
          <w:lang w:val="fr-CA"/>
        </w:rPr>
        <w:t xml:space="preserve"> réunion, afin que le Népal </w:t>
      </w:r>
      <w:r w:rsidR="00D45417">
        <w:rPr>
          <w:lang w:val="fr-CA"/>
        </w:rPr>
        <w:t>puisse examiner</w:t>
      </w:r>
      <w:r w:rsidRPr="00582BC2">
        <w:rPr>
          <w:lang w:val="fr-CA"/>
        </w:rPr>
        <w:t xml:space="preserve"> deux solutions pour détruire une petite quantité de SAO</w:t>
      </w:r>
      <w:r w:rsidR="007F609B" w:rsidRPr="00582BC2">
        <w:rPr>
          <w:lang w:val="fr-CA"/>
        </w:rPr>
        <w:t xml:space="preserve"> non désirées recueillies et sto</w:t>
      </w:r>
      <w:r w:rsidRPr="00582BC2">
        <w:rPr>
          <w:lang w:val="fr-CA"/>
        </w:rPr>
        <w:t xml:space="preserve">ckées par l’entremise du Bureau national de l’ozone. </w:t>
      </w:r>
      <w:r w:rsidR="007F609B" w:rsidRPr="00582BC2">
        <w:rPr>
          <w:lang w:val="fr-CA"/>
        </w:rPr>
        <w:t>Cette SAO n’a pas pu être vendue sur le marché car elle avait été importée au-delà de la consommation maximale permise pour le pays et était considérée comme non désirée. Comme le Népal impose des contraintes de réexportation des SAO, le pays n’avait d’autre choix que d’examiner des solutions de destruction.</w:t>
      </w:r>
    </w:p>
    <w:p w14:paraId="7E878C9D" w14:textId="6925C46A" w:rsidR="007717BB" w:rsidRPr="00582BC2" w:rsidRDefault="00F11734" w:rsidP="007717BB">
      <w:pPr>
        <w:widowControl w:val="0"/>
        <w:numPr>
          <w:ilvl w:val="0"/>
          <w:numId w:val="1"/>
        </w:numPr>
        <w:tabs>
          <w:tab w:val="clear" w:pos="0"/>
        </w:tabs>
        <w:spacing w:after="240"/>
        <w:outlineLvl w:val="0"/>
        <w:rPr>
          <w:lang w:val="fr-CA"/>
        </w:rPr>
      </w:pPr>
      <w:r w:rsidRPr="00582BC2">
        <w:rPr>
          <w:lang w:val="fr-CA"/>
        </w:rPr>
        <w:t xml:space="preserve">L’approche de destruction choisie par le pays consistait à exporter les SAO vers les États-Unis d’Amérique aux fins de destruction. Ceci a été fait par l’entremise d’un courtier, EOS </w:t>
      </w:r>
      <w:proofErr w:type="spellStart"/>
      <w:r w:rsidRPr="00582BC2">
        <w:rPr>
          <w:lang w:val="fr-CA"/>
        </w:rPr>
        <w:t>Climate</w:t>
      </w:r>
      <w:proofErr w:type="spellEnd"/>
      <w:r w:rsidRPr="00582BC2">
        <w:rPr>
          <w:lang w:val="fr-CA"/>
        </w:rPr>
        <w:t>, qui a organisé le transfert vers des installations reconnues aux fins de destruction. Le PNUE a indiqué que les résidus ont atteint les États-Unis d’Amérique en novembre 2012 et ont été déclaré</w:t>
      </w:r>
      <w:r w:rsidR="00D45417">
        <w:rPr>
          <w:lang w:val="fr-CA"/>
        </w:rPr>
        <w:t>s</w:t>
      </w:r>
      <w:r w:rsidRPr="00582BC2">
        <w:rPr>
          <w:lang w:val="fr-CA"/>
        </w:rPr>
        <w:t xml:space="preserve"> détruits en février 2013. La quantité de SAO manipulée dans le cadre de ce projet a été de 10 tonnes PAO (107 000 tonnes d’équivalent de CO</w:t>
      </w:r>
      <w:r w:rsidRPr="00582BC2">
        <w:rPr>
          <w:vertAlign w:val="subscript"/>
          <w:lang w:val="fr-CA"/>
        </w:rPr>
        <w:t>2</w:t>
      </w:r>
      <w:r w:rsidRPr="00582BC2">
        <w:rPr>
          <w:lang w:val="fr-CA"/>
        </w:rPr>
        <w:t>)</w:t>
      </w:r>
      <w:r w:rsidR="007717BB" w:rsidRPr="00582BC2">
        <w:rPr>
          <w:lang w:val="fr-CA"/>
        </w:rPr>
        <w:t>.</w:t>
      </w:r>
    </w:p>
    <w:p w14:paraId="312A517B" w14:textId="0CFBDFB6" w:rsidR="007717BB" w:rsidRPr="00582BC2" w:rsidRDefault="008418A8" w:rsidP="007717BB">
      <w:pPr>
        <w:widowControl w:val="0"/>
        <w:numPr>
          <w:ilvl w:val="0"/>
          <w:numId w:val="1"/>
        </w:numPr>
        <w:tabs>
          <w:tab w:val="clear" w:pos="0"/>
        </w:tabs>
        <w:spacing w:after="240"/>
        <w:outlineLvl w:val="0"/>
        <w:rPr>
          <w:lang w:val="fr-CA"/>
        </w:rPr>
      </w:pPr>
      <w:r w:rsidRPr="00582BC2">
        <w:rPr>
          <w:lang w:val="fr-CA"/>
        </w:rPr>
        <w:t xml:space="preserve">Le projet du Népal a été soumis au </w:t>
      </w:r>
      <w:proofErr w:type="spellStart"/>
      <w:r w:rsidRPr="00582BC2">
        <w:rPr>
          <w:lang w:val="fr-CA"/>
        </w:rPr>
        <w:t>Climate</w:t>
      </w:r>
      <w:proofErr w:type="spellEnd"/>
      <w:r w:rsidRPr="00582BC2">
        <w:rPr>
          <w:lang w:val="fr-CA"/>
        </w:rPr>
        <w:t xml:space="preserve"> Action Reserve (CAR) en mars 2013. Le projet a ensuite été inscrit au CAR où on lui a </w:t>
      </w:r>
      <w:r w:rsidR="008A7DD4">
        <w:rPr>
          <w:lang w:val="fr-CA"/>
        </w:rPr>
        <w:t>attribué</w:t>
      </w:r>
      <w:r w:rsidRPr="00582BC2">
        <w:rPr>
          <w:lang w:val="fr-CA"/>
        </w:rPr>
        <w:t xml:space="preserve"> le numéro d’identification de projet CAR955. </w:t>
      </w:r>
      <w:r w:rsidR="003533DD" w:rsidRPr="00582BC2">
        <w:rPr>
          <w:lang w:val="fr-CA"/>
        </w:rPr>
        <w:t>Après une vérification sub</w:t>
      </w:r>
      <w:r w:rsidR="008A7DD4">
        <w:rPr>
          <w:lang w:val="fr-CA"/>
        </w:rPr>
        <w:t>séquente sur le site Web du CAR,</w:t>
      </w:r>
      <w:r w:rsidR="003533DD" w:rsidRPr="00582BC2">
        <w:rPr>
          <w:lang w:val="fr-CA"/>
        </w:rPr>
        <w:t xml:space="preserve"> le Secrétariat a constaté que le projet avait fait l’objet d’un changement de statut au sein du CAR en date du 24 mai</w:t>
      </w:r>
      <w:r w:rsidR="008A7DD4">
        <w:rPr>
          <w:lang w:val="fr-CA"/>
        </w:rPr>
        <w:t xml:space="preserve"> 2013. Le projet a satisfait au</w:t>
      </w:r>
      <w:r w:rsidR="003533DD" w:rsidRPr="00582BC2">
        <w:rPr>
          <w:lang w:val="fr-CA"/>
        </w:rPr>
        <w:t xml:space="preserve">x dernières exigences de vérification du CAR et les </w:t>
      </w:r>
      <w:proofErr w:type="spellStart"/>
      <w:r w:rsidR="003533DD" w:rsidRPr="00582BC2">
        <w:rPr>
          <w:lang w:val="fr-CA"/>
        </w:rPr>
        <w:t>Climate</w:t>
      </w:r>
      <w:proofErr w:type="spellEnd"/>
      <w:r w:rsidR="003533DD" w:rsidRPr="00582BC2">
        <w:rPr>
          <w:lang w:val="fr-CA"/>
        </w:rPr>
        <w:t xml:space="preserve"> Reserve Tonne </w:t>
      </w:r>
      <w:r w:rsidR="008A7DD4">
        <w:rPr>
          <w:lang w:val="fr-CA"/>
        </w:rPr>
        <w:t xml:space="preserve">(CRT) </w:t>
      </w:r>
      <w:r w:rsidR="003533DD" w:rsidRPr="00582BC2">
        <w:rPr>
          <w:lang w:val="fr-CA"/>
        </w:rPr>
        <w:t>peuvent désormais être émises.</w:t>
      </w:r>
      <w:r w:rsidR="007717BB" w:rsidRPr="00582BC2">
        <w:rPr>
          <w:vertAlign w:val="superscript"/>
          <w:lang w:val="fr-CA"/>
        </w:rPr>
        <w:footnoteReference w:id="23"/>
      </w:r>
      <w:r w:rsidR="007717BB" w:rsidRPr="00582BC2">
        <w:rPr>
          <w:lang w:val="fr-CA"/>
        </w:rPr>
        <w:t xml:space="preserve"> </w:t>
      </w:r>
    </w:p>
    <w:p w14:paraId="3F84ABA2" w14:textId="63DEE55C" w:rsidR="007717BB" w:rsidRPr="00582BC2" w:rsidRDefault="008A7DD4" w:rsidP="007717BB">
      <w:pPr>
        <w:pStyle w:val="Heading1"/>
        <w:widowControl w:val="0"/>
        <w:tabs>
          <w:tab w:val="clear" w:pos="0"/>
        </w:tabs>
        <w:rPr>
          <w:lang w:val="fr-CA"/>
        </w:rPr>
      </w:pPr>
      <w:r>
        <w:rPr>
          <w:lang w:val="fr-CA"/>
        </w:rPr>
        <w:t>En résumé de</w:t>
      </w:r>
      <w:r w:rsidR="003533DD" w:rsidRPr="00582BC2">
        <w:rPr>
          <w:lang w:val="fr-CA"/>
        </w:rPr>
        <w:t xml:space="preserve"> la valeur de démonstration du projet du Népal, celui-ci a donné l’occasion de lier la destruction des SAO au marché du carbone et d’examiner les possibilités de financement </w:t>
      </w:r>
      <w:r>
        <w:rPr>
          <w:lang w:val="fr-CA"/>
        </w:rPr>
        <w:t xml:space="preserve">par le biais d’autres mécanismes </w:t>
      </w:r>
      <w:r w:rsidR="003533DD" w:rsidRPr="00582BC2">
        <w:rPr>
          <w:lang w:val="fr-CA"/>
        </w:rPr>
        <w:t xml:space="preserve">en soutien aux activités de destruction des SAO. L’enregistrement du projet au CAR </w:t>
      </w:r>
      <w:r w:rsidR="003533DD" w:rsidRPr="00582BC2">
        <w:rPr>
          <w:lang w:val="fr-CA"/>
        </w:rPr>
        <w:lastRenderedPageBreak/>
        <w:t>est un bon exemple pour d’autres pays qui envisagent une telle mesure</w:t>
      </w:r>
      <w:r w:rsidR="00211A3B" w:rsidRPr="00582BC2">
        <w:rPr>
          <w:lang w:val="fr-CA"/>
        </w:rPr>
        <w:t xml:space="preserve"> pour leurs projets de destructi</w:t>
      </w:r>
      <w:r w:rsidR="003533DD" w:rsidRPr="00582BC2">
        <w:rPr>
          <w:lang w:val="fr-CA"/>
        </w:rPr>
        <w:t xml:space="preserve">on des SAO. </w:t>
      </w:r>
      <w:r w:rsidR="00211A3B" w:rsidRPr="00582BC2">
        <w:rPr>
          <w:lang w:val="fr-CA"/>
        </w:rPr>
        <w:t xml:space="preserve">Le rapport </w:t>
      </w:r>
      <w:r w:rsidR="00E32337">
        <w:rPr>
          <w:lang w:val="fr-CA"/>
        </w:rPr>
        <w:t xml:space="preserve">indique </w:t>
      </w:r>
      <w:r>
        <w:rPr>
          <w:lang w:val="fr-CA"/>
        </w:rPr>
        <w:t>que</w:t>
      </w:r>
      <w:r w:rsidR="00211A3B" w:rsidRPr="00582BC2">
        <w:rPr>
          <w:lang w:val="fr-CA"/>
        </w:rPr>
        <w:t xml:space="preserve"> les longs délais pour obtenir l’autorisation d’exporter les SA</w:t>
      </w:r>
      <w:r w:rsidR="00606C55">
        <w:rPr>
          <w:lang w:val="fr-CA"/>
        </w:rPr>
        <w:t>O aux États-</w:t>
      </w:r>
      <w:r>
        <w:rPr>
          <w:lang w:val="fr-CA"/>
        </w:rPr>
        <w:t xml:space="preserve">Unis d’Amérique causés par les </w:t>
      </w:r>
      <w:r w:rsidR="00211A3B" w:rsidRPr="00582BC2">
        <w:rPr>
          <w:lang w:val="fr-CA"/>
        </w:rPr>
        <w:t>obstacles légaux qui exigeaient l’approbation parlementaire</w:t>
      </w:r>
      <w:r>
        <w:rPr>
          <w:lang w:val="fr-CA"/>
        </w:rPr>
        <w:t xml:space="preserve"> ont créé des difficultés dans la mise en </w:t>
      </w:r>
      <w:r w:rsidR="00606C55">
        <w:rPr>
          <w:lang w:val="fr-CA"/>
        </w:rPr>
        <w:t>œuvre</w:t>
      </w:r>
      <w:r w:rsidR="007717BB" w:rsidRPr="00582BC2">
        <w:rPr>
          <w:lang w:val="fr-CA"/>
        </w:rPr>
        <w:t xml:space="preserve">. </w:t>
      </w:r>
    </w:p>
    <w:p w14:paraId="5FB9386C" w14:textId="5F74894B" w:rsidR="007717BB" w:rsidRPr="00582BC2" w:rsidRDefault="00211A3B" w:rsidP="007717BB">
      <w:pPr>
        <w:widowControl w:val="0"/>
        <w:spacing w:after="240"/>
        <w:rPr>
          <w:u w:val="single"/>
          <w:lang w:val="fr-CA"/>
        </w:rPr>
      </w:pPr>
      <w:r w:rsidRPr="00582BC2">
        <w:rPr>
          <w:u w:val="single"/>
          <w:lang w:val="fr-CA"/>
        </w:rPr>
        <w:t>Nigé</w:t>
      </w:r>
      <w:r w:rsidR="007717BB" w:rsidRPr="00582BC2">
        <w:rPr>
          <w:u w:val="single"/>
          <w:lang w:val="fr-CA"/>
        </w:rPr>
        <w:t>ria</w:t>
      </w:r>
      <w:r w:rsidRPr="00582BC2">
        <w:rPr>
          <w:u w:val="single"/>
          <w:lang w:val="fr-CA"/>
        </w:rPr>
        <w:t xml:space="preserve"> </w:t>
      </w:r>
      <w:r w:rsidR="00606C55">
        <w:rPr>
          <w:u w:val="single"/>
          <w:lang w:val="fr-CA"/>
        </w:rPr>
        <w:t>:</w:t>
      </w:r>
      <w:r w:rsidRPr="00582BC2">
        <w:rPr>
          <w:u w:val="single"/>
          <w:lang w:val="fr-CA"/>
        </w:rPr>
        <w:t xml:space="preserve"> Rapport final sur le projet de démonstration pilote sur l’élimination des SAO non désirées </w:t>
      </w:r>
      <w:r w:rsidR="007717BB" w:rsidRPr="00582BC2">
        <w:rPr>
          <w:lang w:val="fr-CA"/>
        </w:rPr>
        <w:t>(</w:t>
      </w:r>
      <w:r w:rsidRPr="00582BC2">
        <w:rPr>
          <w:lang w:val="fr-CA"/>
        </w:rPr>
        <w:t>ONUDI</w:t>
      </w:r>
      <w:r w:rsidR="007717BB" w:rsidRPr="00582BC2">
        <w:rPr>
          <w:lang w:val="fr-CA"/>
        </w:rPr>
        <w:t>)</w:t>
      </w:r>
    </w:p>
    <w:p w14:paraId="5FB66784" w14:textId="0E702ED3" w:rsidR="007717BB" w:rsidRPr="00582BC2" w:rsidRDefault="00900C03" w:rsidP="007717BB">
      <w:pPr>
        <w:pStyle w:val="Heading1"/>
        <w:rPr>
          <w:lang w:val="fr-CA"/>
        </w:rPr>
      </w:pPr>
      <w:r w:rsidRPr="00582BC2">
        <w:rPr>
          <w:lang w:val="fr-CA" w:eastAsia="zh-CN"/>
        </w:rPr>
        <w:t xml:space="preserve">Le projet pilote avait comme objectif de faire la démonstration d’un modèle </w:t>
      </w:r>
      <w:r w:rsidR="00734458">
        <w:rPr>
          <w:lang w:val="fr-CA" w:eastAsia="zh-CN"/>
        </w:rPr>
        <w:t>de gestion</w:t>
      </w:r>
      <w:r w:rsidRPr="00582BC2">
        <w:rPr>
          <w:lang w:val="fr-CA" w:eastAsia="zh-CN"/>
        </w:rPr>
        <w:t xml:space="preserve"> durable pour la gestion des résidus de SAO, depuis la collecte jusqu’à l’élimination, en utilisant l’assistance du Fonds multilatéral comme capital de départ pour détruire les stocks actuels </w:t>
      </w:r>
      <w:proofErr w:type="gramStart"/>
      <w:r w:rsidRPr="00582BC2">
        <w:rPr>
          <w:lang w:val="fr-CA" w:eastAsia="zh-CN"/>
        </w:rPr>
        <w:t>de  SAO</w:t>
      </w:r>
      <w:proofErr w:type="gramEnd"/>
      <w:r w:rsidRPr="00582BC2">
        <w:rPr>
          <w:lang w:val="fr-CA" w:eastAsia="zh-CN"/>
        </w:rPr>
        <w:t xml:space="preserve"> non désiré</w:t>
      </w:r>
      <w:r w:rsidR="00606C55">
        <w:rPr>
          <w:lang w:val="fr-CA" w:eastAsia="zh-CN"/>
        </w:rPr>
        <w:t>e</w:t>
      </w:r>
      <w:r w:rsidRPr="00582BC2">
        <w:rPr>
          <w:lang w:val="fr-CA" w:eastAsia="zh-CN"/>
        </w:rPr>
        <w:t>s et obtenir des crédits de carbone. Ces crédits serai</w:t>
      </w:r>
      <w:r w:rsidR="00734458">
        <w:rPr>
          <w:lang w:val="fr-CA" w:eastAsia="zh-CN"/>
        </w:rPr>
        <w:t>ent utilisés pour mettre sur pi</w:t>
      </w:r>
      <w:r w:rsidRPr="00582BC2">
        <w:rPr>
          <w:lang w:val="fr-CA" w:eastAsia="zh-CN"/>
        </w:rPr>
        <w:t>ed un programme de remplacement des appareils</w:t>
      </w:r>
      <w:r w:rsidR="00F371A3" w:rsidRPr="00582BC2">
        <w:rPr>
          <w:lang w:val="fr-CA" w:eastAsia="zh-CN"/>
        </w:rPr>
        <w:t xml:space="preserve"> ménagers (pour </w:t>
      </w:r>
      <w:r w:rsidR="00606C55">
        <w:rPr>
          <w:lang w:val="fr-CA" w:eastAsia="zh-CN"/>
        </w:rPr>
        <w:t>remplacer l</w:t>
      </w:r>
      <w:r w:rsidRPr="00582BC2">
        <w:rPr>
          <w:lang w:val="fr-CA" w:eastAsia="zh-CN"/>
        </w:rPr>
        <w:t>es réfrigérateurs et climatiseurs domestiques par des appareils plus éconergétiques)</w:t>
      </w:r>
      <w:r w:rsidR="00F371A3" w:rsidRPr="00582BC2">
        <w:rPr>
          <w:lang w:val="fr-CA" w:eastAsia="zh-CN"/>
        </w:rPr>
        <w:t xml:space="preserve"> </w:t>
      </w:r>
      <w:r w:rsidR="00606C55">
        <w:rPr>
          <w:lang w:val="fr-CA" w:eastAsia="zh-CN"/>
        </w:rPr>
        <w:t>en soutien au</w:t>
      </w:r>
      <w:r w:rsidR="00F371A3" w:rsidRPr="00582BC2">
        <w:rPr>
          <w:lang w:val="fr-CA" w:eastAsia="zh-CN"/>
        </w:rPr>
        <w:t xml:space="preserve"> système actuel de récupération et de collecte des SAO, en vue d’y intégrer éventuellement d’autres frigorigènes. Le projet envisageait de détruire les futurs résidus de SAO dans des incinérateurs locaux dont les capacités seraient augmentées grâce aux recettes créées par ces crédits de carbone. Ce projet visait comme résultat la destruction de 84,0 tm de CFC-12 qui avaient déj</w:t>
      </w:r>
      <w:r w:rsidR="00A652DF" w:rsidRPr="00582BC2">
        <w:rPr>
          <w:lang w:val="fr-CA" w:eastAsia="zh-CN"/>
        </w:rPr>
        <w:t>à été déclarées recuei</w:t>
      </w:r>
      <w:r w:rsidR="00F371A3" w:rsidRPr="00582BC2">
        <w:rPr>
          <w:lang w:val="fr-CA" w:eastAsia="zh-CN"/>
        </w:rPr>
        <w:t>llies</w:t>
      </w:r>
      <w:r w:rsidR="00A652DF" w:rsidRPr="00582BC2">
        <w:rPr>
          <w:lang w:val="fr-CA" w:eastAsia="zh-CN"/>
        </w:rPr>
        <w:t xml:space="preserve"> auprès de sources indust</w:t>
      </w:r>
      <w:r w:rsidR="00606C55">
        <w:rPr>
          <w:lang w:val="fr-CA" w:eastAsia="zh-CN"/>
        </w:rPr>
        <w:t>rielles, surtout d</w:t>
      </w:r>
      <w:r w:rsidR="00A652DF" w:rsidRPr="00582BC2">
        <w:rPr>
          <w:lang w:val="fr-CA" w:eastAsia="zh-CN"/>
        </w:rPr>
        <w:t>es raffineries de pétrole,</w:t>
      </w:r>
      <w:r w:rsidR="00F371A3" w:rsidRPr="00582BC2">
        <w:rPr>
          <w:lang w:val="fr-CA" w:eastAsia="zh-CN"/>
        </w:rPr>
        <w:t xml:space="preserve"> lors de la préparation du projet</w:t>
      </w:r>
      <w:r w:rsidR="007717BB" w:rsidRPr="00582BC2">
        <w:rPr>
          <w:lang w:val="fr-CA"/>
        </w:rPr>
        <w:t xml:space="preserve">. </w:t>
      </w:r>
    </w:p>
    <w:p w14:paraId="73AE1C73" w14:textId="22666B22" w:rsidR="007717BB" w:rsidRPr="00582BC2" w:rsidRDefault="00F31586" w:rsidP="007717BB">
      <w:pPr>
        <w:widowControl w:val="0"/>
        <w:numPr>
          <w:ilvl w:val="0"/>
          <w:numId w:val="1"/>
        </w:numPr>
        <w:tabs>
          <w:tab w:val="clear" w:pos="0"/>
        </w:tabs>
        <w:spacing w:after="240"/>
        <w:outlineLvl w:val="0"/>
        <w:rPr>
          <w:lang w:val="fr-CA"/>
        </w:rPr>
      </w:pPr>
      <w:r w:rsidRPr="00582BC2">
        <w:rPr>
          <w:lang w:val="fr-CA"/>
        </w:rPr>
        <w:t>Un atelier de démarrage a été organisé en novembre 2013, auquel ont participé des agences gouvernementales, des entreprises d’entretien, des entreprises de gestion des déchets et des utilisateurs finaux. Un entrepreneur local a été embauché pour regroupe</w:t>
      </w:r>
      <w:r w:rsidR="00BA7B12">
        <w:rPr>
          <w:lang w:val="fr-CA"/>
        </w:rPr>
        <w:t>r</w:t>
      </w:r>
      <w:r w:rsidRPr="00582BC2">
        <w:rPr>
          <w:lang w:val="fr-CA"/>
        </w:rPr>
        <w:t xml:space="preserve"> les résidus de SAO du </w:t>
      </w:r>
      <w:proofErr w:type="gramStart"/>
      <w:r w:rsidRPr="00582BC2">
        <w:rPr>
          <w:lang w:val="fr-CA"/>
        </w:rPr>
        <w:t>pays;</w:t>
      </w:r>
      <w:proofErr w:type="gramEnd"/>
      <w:r w:rsidRPr="00582BC2">
        <w:rPr>
          <w:lang w:val="fr-CA"/>
        </w:rPr>
        <w:t xml:space="preserve"> un atelier de formation </w:t>
      </w:r>
      <w:r w:rsidR="000354AC" w:rsidRPr="00582BC2">
        <w:rPr>
          <w:lang w:val="fr-CA"/>
        </w:rPr>
        <w:t>sur la c</w:t>
      </w:r>
      <w:r w:rsidRPr="00582BC2">
        <w:rPr>
          <w:lang w:val="fr-CA"/>
        </w:rPr>
        <w:t>ollecte, le transport et le stockage sécuritaires des résidu</w:t>
      </w:r>
      <w:r w:rsidR="000354AC" w:rsidRPr="00582BC2">
        <w:rPr>
          <w:lang w:val="fr-CA"/>
        </w:rPr>
        <w:t>s de SAO comprenant les essais</w:t>
      </w:r>
      <w:r w:rsidRPr="00582BC2">
        <w:rPr>
          <w:lang w:val="fr-CA"/>
        </w:rPr>
        <w:t>, l’étiquetage approprié</w:t>
      </w:r>
      <w:r w:rsidR="000354AC" w:rsidRPr="00582BC2">
        <w:rPr>
          <w:lang w:val="fr-CA"/>
        </w:rPr>
        <w:t xml:space="preserve"> et</w:t>
      </w:r>
      <w:r w:rsidRPr="00582BC2">
        <w:rPr>
          <w:lang w:val="fr-CA"/>
        </w:rPr>
        <w:t xml:space="preserve"> </w:t>
      </w:r>
      <w:r w:rsidR="000354AC" w:rsidRPr="00582BC2">
        <w:rPr>
          <w:lang w:val="fr-CA"/>
        </w:rPr>
        <w:t>la procédure de d</w:t>
      </w:r>
      <w:r w:rsidRPr="00582BC2">
        <w:rPr>
          <w:lang w:val="fr-CA"/>
        </w:rPr>
        <w:t>ocumentation a été offert aux techniciens, et un atelier de renforcement des capacités</w:t>
      </w:r>
      <w:r w:rsidR="000354AC" w:rsidRPr="00582BC2">
        <w:rPr>
          <w:lang w:val="fr-CA"/>
        </w:rPr>
        <w:t xml:space="preserve"> de collecte et de regroupement des SAO a été présenté en juin 2014. Les entreprises et les utilisateurs finaux recensés pendant l’étape de la préparation ont été invités à fournir des informations sur leurs stocks de SAO. Cependant, les stocks de SAO déclarés dans la plupart des cas n’ont pas été trouvés. La quantité totale de </w:t>
      </w:r>
      <w:r w:rsidR="00BA7B12">
        <w:rPr>
          <w:lang w:val="fr-CA"/>
        </w:rPr>
        <w:t>SAO recueillie n’a été que de 1,</w:t>
      </w:r>
      <w:r w:rsidR="000354AC" w:rsidRPr="00582BC2">
        <w:rPr>
          <w:lang w:val="fr-CA"/>
        </w:rPr>
        <w:t xml:space="preserve">66 tm de CFC-12. Les activités de collecte ont cessé car aucun nouveau stock ni CFC-12 n’a été trouvé et les enquêtes ont toujours abouti à des </w:t>
      </w:r>
      <w:r w:rsidR="004774CB" w:rsidRPr="00582BC2">
        <w:rPr>
          <w:lang w:val="fr-CA"/>
        </w:rPr>
        <w:t xml:space="preserve">stocks </w:t>
      </w:r>
      <w:r w:rsidR="000354AC" w:rsidRPr="00582BC2">
        <w:rPr>
          <w:lang w:val="fr-CA"/>
        </w:rPr>
        <w:t>halons (stockés auprès des agences gouvernementales</w:t>
      </w:r>
      <w:r w:rsidR="007717BB" w:rsidRPr="00582BC2">
        <w:rPr>
          <w:lang w:val="fr-CA"/>
        </w:rPr>
        <w:t>).</w:t>
      </w:r>
    </w:p>
    <w:p w14:paraId="79865E63" w14:textId="20A83EEE" w:rsidR="007717BB" w:rsidRPr="00582BC2" w:rsidRDefault="004774CB" w:rsidP="007717BB">
      <w:pPr>
        <w:widowControl w:val="0"/>
        <w:numPr>
          <w:ilvl w:val="0"/>
          <w:numId w:val="1"/>
        </w:numPr>
        <w:tabs>
          <w:tab w:val="clear" w:pos="0"/>
        </w:tabs>
        <w:spacing w:after="240"/>
        <w:outlineLvl w:val="0"/>
        <w:rPr>
          <w:lang w:val="fr-CA"/>
        </w:rPr>
      </w:pPr>
      <w:r w:rsidRPr="00582BC2">
        <w:rPr>
          <w:lang w:val="fr-CA"/>
        </w:rPr>
        <w:t>La réglementation révisée sur les SAO (2016) contient des dispositions sur la destruction obligatoire des résidus, des lignes directrices à l’intention des installations de destruction comprenant des limites d’émissions et étendent la responsabilité de l’équipement en fin de vie aux fabricants et fournisseurs. La réglementation sur la responsabilit</w:t>
      </w:r>
      <w:r w:rsidR="00D42723" w:rsidRPr="00582BC2">
        <w:rPr>
          <w:lang w:val="fr-CA"/>
        </w:rPr>
        <w:t>é</w:t>
      </w:r>
      <w:r w:rsidRPr="00582BC2">
        <w:rPr>
          <w:lang w:val="fr-CA"/>
        </w:rPr>
        <w:t xml:space="preserve"> à long terme des fabricants est </w:t>
      </w:r>
      <w:r w:rsidR="0065562F">
        <w:rPr>
          <w:lang w:val="fr-CA"/>
        </w:rPr>
        <w:t>maintenant</w:t>
      </w:r>
      <w:r w:rsidRPr="00582BC2">
        <w:rPr>
          <w:lang w:val="fr-CA"/>
        </w:rPr>
        <w:t xml:space="preserve"> en </w:t>
      </w:r>
      <w:r w:rsidR="00D42723" w:rsidRPr="00582BC2">
        <w:rPr>
          <w:lang w:val="fr-CA"/>
        </w:rPr>
        <w:t>place</w:t>
      </w:r>
      <w:r w:rsidRPr="00582BC2">
        <w:rPr>
          <w:lang w:val="fr-CA"/>
        </w:rPr>
        <w:t xml:space="preserve"> pour le secteu</w:t>
      </w:r>
      <w:r w:rsidR="00F536E3">
        <w:rPr>
          <w:lang w:val="fr-CA"/>
        </w:rPr>
        <w:t>r de l’électronique/électricité,</w:t>
      </w:r>
      <w:r w:rsidRPr="00582BC2">
        <w:rPr>
          <w:lang w:val="fr-CA"/>
        </w:rPr>
        <w:t xml:space="preserve"> </w:t>
      </w:r>
      <w:r w:rsidR="0065562F">
        <w:rPr>
          <w:lang w:val="fr-CA"/>
        </w:rPr>
        <w:t xml:space="preserve">de sorte que </w:t>
      </w:r>
      <w:r w:rsidR="0065562F" w:rsidRPr="00582BC2">
        <w:rPr>
          <w:lang w:val="fr-CA"/>
        </w:rPr>
        <w:t xml:space="preserve">la récupération éventuelle des frigorigènes en fin de vie relève </w:t>
      </w:r>
      <w:r w:rsidR="0065562F">
        <w:rPr>
          <w:lang w:val="fr-CA"/>
        </w:rPr>
        <w:t xml:space="preserve">désormais </w:t>
      </w:r>
      <w:r w:rsidR="0065562F" w:rsidRPr="00582BC2">
        <w:rPr>
          <w:lang w:val="fr-CA"/>
        </w:rPr>
        <w:t>du secteur privé</w:t>
      </w:r>
      <w:r w:rsidR="0065562F">
        <w:rPr>
          <w:lang w:val="fr-CA"/>
        </w:rPr>
        <w:t xml:space="preserve"> </w:t>
      </w:r>
      <w:r w:rsidRPr="00582BC2">
        <w:rPr>
          <w:lang w:val="fr-CA"/>
        </w:rPr>
        <w:t>en ce q</w:t>
      </w:r>
      <w:r w:rsidR="0065562F">
        <w:rPr>
          <w:lang w:val="fr-CA"/>
        </w:rPr>
        <w:t>ui concerne les nouveaux réfrigérateurs</w:t>
      </w:r>
      <w:r w:rsidRPr="00582BC2">
        <w:rPr>
          <w:lang w:val="fr-CA"/>
        </w:rPr>
        <w:t xml:space="preserve">. </w:t>
      </w:r>
      <w:r w:rsidR="00D42723" w:rsidRPr="00582BC2">
        <w:rPr>
          <w:lang w:val="fr-CA"/>
        </w:rPr>
        <w:t>Des séances de formation en ligne sur la collecte et la gestion ont été offertes</w:t>
      </w:r>
      <w:r w:rsidR="007717BB" w:rsidRPr="00582BC2">
        <w:rPr>
          <w:lang w:val="fr-CA"/>
        </w:rPr>
        <w:t>.</w:t>
      </w:r>
    </w:p>
    <w:p w14:paraId="32DFEA7C" w14:textId="4E28B5C4" w:rsidR="007717BB" w:rsidRPr="00582BC2" w:rsidRDefault="00D42723" w:rsidP="007717BB">
      <w:pPr>
        <w:widowControl w:val="0"/>
        <w:numPr>
          <w:ilvl w:val="0"/>
          <w:numId w:val="1"/>
        </w:numPr>
        <w:tabs>
          <w:tab w:val="clear" w:pos="0"/>
        </w:tabs>
        <w:spacing w:after="240"/>
        <w:outlineLvl w:val="0"/>
        <w:rPr>
          <w:lang w:val="fr-CA"/>
        </w:rPr>
      </w:pPr>
      <w:r w:rsidRPr="00582BC2">
        <w:rPr>
          <w:lang w:val="fr-CA"/>
        </w:rPr>
        <w:t>Des représentants du ministère de l’Environnement et de l’ONUDI ont inspecté quatre installations d’élimination et invité deux d’</w:t>
      </w:r>
      <w:r w:rsidR="00BA7B12">
        <w:rPr>
          <w:lang w:val="fr-CA"/>
        </w:rPr>
        <w:t>entre-</w:t>
      </w:r>
      <w:r w:rsidRPr="00582BC2">
        <w:rPr>
          <w:lang w:val="fr-CA"/>
        </w:rPr>
        <w:t>elles à présenter une soumission pour l’élimination des CFC. L’entreprise choisie a de l’expérience manifeste en gestion des déchets dangereux de multinationales et de l’expérience en gestion des résidus de CFC, en particulier de la collecte au recyclage</w:t>
      </w:r>
      <w:r w:rsidR="007717BB" w:rsidRPr="00582BC2">
        <w:rPr>
          <w:lang w:val="fr-CA"/>
        </w:rPr>
        <w:t>.</w:t>
      </w:r>
      <w:r w:rsidRPr="00582BC2">
        <w:rPr>
          <w:lang w:val="fr-CA"/>
        </w:rPr>
        <w:t xml:space="preserve"> Les stocks de CFC recueillis ont subi des essais de pureté </w:t>
      </w:r>
      <w:r w:rsidR="00C55DFD" w:rsidRPr="00582BC2">
        <w:rPr>
          <w:lang w:val="fr-CA"/>
        </w:rPr>
        <w:t>dans les installations de sto</w:t>
      </w:r>
      <w:r w:rsidRPr="00582BC2">
        <w:rPr>
          <w:lang w:val="fr-CA"/>
        </w:rPr>
        <w:t xml:space="preserve">ckage avant le chargement et ont été transportés aux installations de destruction à Port </w:t>
      </w:r>
      <w:proofErr w:type="spellStart"/>
      <w:r w:rsidRPr="00582BC2">
        <w:rPr>
          <w:lang w:val="fr-CA"/>
        </w:rPr>
        <w:t>Hancourt</w:t>
      </w:r>
      <w:proofErr w:type="spellEnd"/>
      <w:r w:rsidRPr="00582BC2">
        <w:rPr>
          <w:lang w:val="fr-CA"/>
        </w:rPr>
        <w:t xml:space="preserve">, au Nigéria. </w:t>
      </w:r>
      <w:r w:rsidR="00C55DFD" w:rsidRPr="00582BC2">
        <w:rPr>
          <w:lang w:val="fr-CA"/>
        </w:rPr>
        <w:t>La destruction a été réalisée par incinération dans un four à ciment.</w:t>
      </w:r>
    </w:p>
    <w:p w14:paraId="53336DE3" w14:textId="60D00E26" w:rsidR="007717BB" w:rsidRPr="00582BC2" w:rsidRDefault="00C55DFD" w:rsidP="007717BB">
      <w:pPr>
        <w:widowControl w:val="0"/>
        <w:numPr>
          <w:ilvl w:val="0"/>
          <w:numId w:val="1"/>
        </w:numPr>
        <w:tabs>
          <w:tab w:val="clear" w:pos="0"/>
        </w:tabs>
        <w:spacing w:after="240"/>
        <w:outlineLvl w:val="0"/>
        <w:rPr>
          <w:lang w:val="fr-CA"/>
        </w:rPr>
      </w:pPr>
      <w:r w:rsidRPr="00582BC2">
        <w:rPr>
          <w:lang w:val="fr-CA"/>
        </w:rPr>
        <w:t>Une part de 25</w:t>
      </w:r>
      <w:r w:rsidR="0065562F">
        <w:rPr>
          <w:lang w:val="fr-CA"/>
        </w:rPr>
        <w:t>3</w:t>
      </w:r>
      <w:r w:rsidRPr="00582BC2">
        <w:rPr>
          <w:lang w:val="fr-CA"/>
        </w:rPr>
        <w:t> 965 $US seulement des 911 724 $US approuvés pour le projet a été utilisée. Selon ce décaissement, le coût réel de destruction pour ce projet a été de 153 $US/kg de résidu de SAO. Le rapport financier sera mis à jour lorsque la destruction sera terminée et que tous les paiements en instance auront été effectués. Le solde sera remis à la 82</w:t>
      </w:r>
      <w:r w:rsidRPr="00582BC2">
        <w:rPr>
          <w:vertAlign w:val="superscript"/>
          <w:lang w:val="fr-CA"/>
        </w:rPr>
        <w:t>e</w:t>
      </w:r>
      <w:r w:rsidRPr="00582BC2">
        <w:rPr>
          <w:lang w:val="fr-CA"/>
        </w:rPr>
        <w:t xml:space="preserve"> réunion</w:t>
      </w:r>
      <w:r w:rsidR="007717BB" w:rsidRPr="00582BC2">
        <w:rPr>
          <w:lang w:val="fr-CA"/>
        </w:rPr>
        <w:t>.</w:t>
      </w:r>
    </w:p>
    <w:p w14:paraId="770B8B4F" w14:textId="00EB67C4" w:rsidR="007717BB" w:rsidRPr="00582BC2" w:rsidRDefault="00C55DFD" w:rsidP="003B4D22">
      <w:pPr>
        <w:keepNext/>
        <w:keepLines/>
        <w:widowControl w:val="0"/>
        <w:autoSpaceDE w:val="0"/>
        <w:autoSpaceDN w:val="0"/>
        <w:adjustRightInd w:val="0"/>
        <w:jc w:val="left"/>
        <w:rPr>
          <w:bCs/>
          <w:lang w:val="fr-CA"/>
        </w:rPr>
      </w:pPr>
      <w:r w:rsidRPr="00582BC2">
        <w:rPr>
          <w:bCs/>
          <w:u w:val="single"/>
          <w:lang w:val="fr-CA"/>
        </w:rPr>
        <w:lastRenderedPageBreak/>
        <w:t xml:space="preserve">Indonésie et Philippines </w:t>
      </w:r>
      <w:r w:rsidR="007717BB" w:rsidRPr="00582BC2">
        <w:rPr>
          <w:bCs/>
          <w:u w:val="single"/>
          <w:lang w:val="fr-CA"/>
        </w:rPr>
        <w:t xml:space="preserve">: </w:t>
      </w:r>
      <w:r w:rsidRPr="00582BC2">
        <w:rPr>
          <w:bCs/>
          <w:u w:val="single"/>
          <w:lang w:val="fr-CA"/>
        </w:rPr>
        <w:t>Rapports finaux sur les projets d’élimination des SAO</w:t>
      </w:r>
      <w:r w:rsidR="007717BB" w:rsidRPr="00582BC2">
        <w:rPr>
          <w:bCs/>
          <w:lang w:val="fr-CA"/>
        </w:rPr>
        <w:t xml:space="preserve"> (</w:t>
      </w:r>
      <w:r w:rsidRPr="00582BC2">
        <w:rPr>
          <w:bCs/>
          <w:lang w:val="fr-CA"/>
        </w:rPr>
        <w:t>Banque mondiale</w:t>
      </w:r>
      <w:r w:rsidR="007717BB" w:rsidRPr="00582BC2">
        <w:rPr>
          <w:bCs/>
          <w:lang w:val="fr-CA"/>
        </w:rPr>
        <w:t>)</w:t>
      </w:r>
    </w:p>
    <w:p w14:paraId="10EC3A7B" w14:textId="77777777" w:rsidR="007717BB" w:rsidRPr="00582BC2" w:rsidRDefault="007717BB" w:rsidP="003B4D22">
      <w:pPr>
        <w:keepNext/>
        <w:keepLines/>
        <w:widowControl w:val="0"/>
        <w:autoSpaceDE w:val="0"/>
        <w:autoSpaceDN w:val="0"/>
        <w:adjustRightInd w:val="0"/>
        <w:jc w:val="left"/>
        <w:rPr>
          <w:b/>
          <w:bCs/>
          <w:lang w:val="fr-CA"/>
        </w:rPr>
      </w:pPr>
    </w:p>
    <w:p w14:paraId="518C3FFF" w14:textId="43AB1789" w:rsidR="007717BB" w:rsidRPr="00582BC2" w:rsidRDefault="00C55DFD" w:rsidP="003B4D22">
      <w:pPr>
        <w:pStyle w:val="Heading1"/>
        <w:keepNext/>
        <w:keepLines/>
        <w:rPr>
          <w:lang w:val="fr-CA"/>
        </w:rPr>
      </w:pPr>
      <w:r w:rsidRPr="00582BC2">
        <w:rPr>
          <w:lang w:val="fr-CA"/>
        </w:rPr>
        <w:t>Le Comité exécutif, à sa 57</w:t>
      </w:r>
      <w:r w:rsidRPr="00582BC2">
        <w:rPr>
          <w:vertAlign w:val="superscript"/>
          <w:lang w:val="fr-CA"/>
        </w:rPr>
        <w:t>e</w:t>
      </w:r>
      <w:r w:rsidRPr="00582BC2">
        <w:rPr>
          <w:lang w:val="fr-CA"/>
        </w:rPr>
        <w:t xml:space="preserve"> réunion, a approuvé des sommes pour la préparation de projets de démonstration pilotes sur la gestion et l’élimination des résidus de SAO pour l’Indonésie et les Philippines. Au cours de cette réunion, la Banque mondiale a indiqué que ces sommes seraient utilisées pour produire des données et</w:t>
      </w:r>
      <w:r w:rsidR="0006398F" w:rsidRPr="00582BC2">
        <w:rPr>
          <w:lang w:val="fr-CA"/>
        </w:rPr>
        <w:t xml:space="preserve"> acquérir de l’expérience en gestion et modalités de financement, et qu’elle examinerait les occasions de mobiliser du cofinancement</w:t>
      </w:r>
      <w:r w:rsidR="007717BB" w:rsidRPr="00582BC2">
        <w:rPr>
          <w:lang w:val="fr-CA"/>
        </w:rPr>
        <w:t>.</w:t>
      </w:r>
    </w:p>
    <w:p w14:paraId="0C800623" w14:textId="0100AB2F" w:rsidR="007717BB" w:rsidRPr="00582BC2" w:rsidRDefault="0006398F" w:rsidP="007717BB">
      <w:pPr>
        <w:pStyle w:val="Heading1"/>
        <w:widowControl w:val="0"/>
        <w:tabs>
          <w:tab w:val="clear" w:pos="0"/>
        </w:tabs>
        <w:autoSpaceDE w:val="0"/>
        <w:autoSpaceDN w:val="0"/>
        <w:adjustRightInd w:val="0"/>
        <w:rPr>
          <w:lang w:val="fr-CA"/>
        </w:rPr>
      </w:pPr>
      <w:r w:rsidRPr="00582BC2">
        <w:rPr>
          <w:lang w:val="fr-CA"/>
        </w:rPr>
        <w:t xml:space="preserve">La Banque mondiale a remis des rapports finaux contenant des documents décrivant les stocks actuels de résidus de SAO pour l’Indonésie et </w:t>
      </w:r>
      <w:proofErr w:type="gramStart"/>
      <w:r w:rsidRPr="00582BC2">
        <w:rPr>
          <w:lang w:val="fr-CA"/>
        </w:rPr>
        <w:t>les  Philippines</w:t>
      </w:r>
      <w:proofErr w:type="gramEnd"/>
      <w:r w:rsidRPr="00582BC2">
        <w:rPr>
          <w:lang w:val="fr-CA"/>
        </w:rPr>
        <w:t xml:space="preserve">, des informations sur les moyens </w:t>
      </w:r>
      <w:r w:rsidR="008639B0">
        <w:rPr>
          <w:lang w:val="fr-CA"/>
        </w:rPr>
        <w:t>de dresser</w:t>
      </w:r>
      <w:r w:rsidRPr="00582BC2">
        <w:rPr>
          <w:lang w:val="fr-CA"/>
        </w:rPr>
        <w:t xml:space="preserve"> les inventaires et </w:t>
      </w:r>
      <w:r w:rsidR="008639B0">
        <w:rPr>
          <w:lang w:val="fr-CA"/>
        </w:rPr>
        <w:t xml:space="preserve">d’effectuer </w:t>
      </w:r>
      <w:r w:rsidRPr="00582BC2">
        <w:rPr>
          <w:lang w:val="fr-CA"/>
        </w:rPr>
        <w:t>la collecte de données, des lignes directrices sur la</w:t>
      </w:r>
      <w:r w:rsidR="008639B0">
        <w:rPr>
          <w:lang w:val="fr-CA"/>
        </w:rPr>
        <w:t xml:space="preserve"> gestion des SAO non désirées, d</w:t>
      </w:r>
      <w:r w:rsidRPr="00582BC2">
        <w:rPr>
          <w:lang w:val="fr-CA"/>
        </w:rPr>
        <w:t>es solutions de financement pour détruire les SAO non désirées comprenant de l’information sur les marchés existants, des questions liées aux coûts et les prix du marché. Les rapports proposaient aussi des solutions spécifiques pour chaque pays, une évaluation de ces solutions et les prochaines étapes nécessaires à la mise en œuvre</w:t>
      </w:r>
      <w:r w:rsidR="007717BB" w:rsidRPr="00582BC2">
        <w:rPr>
          <w:lang w:val="fr-CA"/>
        </w:rPr>
        <w:t xml:space="preserve">. </w:t>
      </w:r>
    </w:p>
    <w:p w14:paraId="267820CB" w14:textId="1DE1B7C3" w:rsidR="007717BB" w:rsidRPr="00582BC2" w:rsidRDefault="0006398F" w:rsidP="007717BB">
      <w:pPr>
        <w:keepNext/>
        <w:rPr>
          <w:u w:val="single"/>
          <w:lang w:val="fr-CA" w:eastAsia="zh-CN"/>
        </w:rPr>
      </w:pPr>
      <w:r w:rsidRPr="00582BC2">
        <w:rPr>
          <w:u w:val="single"/>
          <w:lang w:val="fr-CA" w:eastAsia="zh-CN"/>
        </w:rPr>
        <w:t xml:space="preserve">Turquie </w:t>
      </w:r>
      <w:r w:rsidR="007717BB" w:rsidRPr="00582BC2">
        <w:rPr>
          <w:u w:val="single"/>
          <w:lang w:val="fr-CA" w:eastAsia="zh-CN"/>
        </w:rPr>
        <w:t xml:space="preserve">: </w:t>
      </w:r>
      <w:r w:rsidRPr="00582BC2">
        <w:rPr>
          <w:u w:val="single"/>
          <w:lang w:val="fr-CA" w:eastAsia="zh-CN"/>
        </w:rPr>
        <w:t xml:space="preserve">Rapport final sur le projet de </w:t>
      </w:r>
      <w:r w:rsidR="00F61DC3" w:rsidRPr="00582BC2">
        <w:rPr>
          <w:u w:val="single"/>
          <w:lang w:val="fr-CA" w:eastAsia="zh-CN"/>
        </w:rPr>
        <w:t>dé</w:t>
      </w:r>
      <w:r w:rsidRPr="00582BC2">
        <w:rPr>
          <w:u w:val="single"/>
          <w:lang w:val="fr-CA" w:eastAsia="zh-CN"/>
        </w:rPr>
        <w:t>monstration pilote sur l’élimination des SAO non désirées</w:t>
      </w:r>
      <w:r w:rsidR="007717BB" w:rsidRPr="00582BC2">
        <w:rPr>
          <w:lang w:val="fr-CA" w:eastAsia="zh-CN"/>
        </w:rPr>
        <w:t xml:space="preserve"> (</w:t>
      </w:r>
      <w:r w:rsidRPr="00582BC2">
        <w:rPr>
          <w:lang w:val="fr-CA" w:eastAsia="zh-CN"/>
        </w:rPr>
        <w:t>ONUDI</w:t>
      </w:r>
      <w:r w:rsidR="007717BB" w:rsidRPr="00582BC2">
        <w:rPr>
          <w:lang w:val="fr-CA" w:eastAsia="zh-CN"/>
        </w:rPr>
        <w:t>)</w:t>
      </w:r>
    </w:p>
    <w:p w14:paraId="698EC870" w14:textId="77777777" w:rsidR="007717BB" w:rsidRPr="00582BC2" w:rsidRDefault="007717BB" w:rsidP="007717BB">
      <w:pPr>
        <w:keepNext/>
        <w:outlineLvl w:val="0"/>
        <w:rPr>
          <w:lang w:val="fr-CA"/>
        </w:rPr>
      </w:pPr>
    </w:p>
    <w:p w14:paraId="25AC4F79" w14:textId="01191A3E" w:rsidR="007717BB" w:rsidRPr="00582BC2" w:rsidRDefault="00F61DC3" w:rsidP="007717BB">
      <w:pPr>
        <w:pStyle w:val="Heading1"/>
        <w:keepNext/>
        <w:rPr>
          <w:lang w:val="fr-CA"/>
        </w:rPr>
      </w:pPr>
      <w:r w:rsidRPr="00582BC2">
        <w:rPr>
          <w:lang w:val="fr-CA"/>
        </w:rPr>
        <w:t xml:space="preserve">Le projet avait pour objectif de créer un modèle </w:t>
      </w:r>
      <w:r w:rsidR="00734458">
        <w:rPr>
          <w:lang w:val="fr-CA"/>
        </w:rPr>
        <w:t>de gestion</w:t>
      </w:r>
      <w:r w:rsidRPr="00582BC2">
        <w:rPr>
          <w:lang w:val="fr-CA"/>
        </w:rPr>
        <w:t xml:space="preserve"> durable et intégré pour un programme de gestion efficace des SAO en appliquant des mesures institutionnelles pour organiser les programmes de récupération et de collecte existants au pays en un programme efficace de validation et d’établissement de la valeur de la collecte.</w:t>
      </w:r>
    </w:p>
    <w:p w14:paraId="5E71A62E" w14:textId="59C171BB" w:rsidR="007717BB" w:rsidRPr="00582BC2" w:rsidRDefault="00F61DC3" w:rsidP="007717BB">
      <w:pPr>
        <w:widowControl w:val="0"/>
        <w:numPr>
          <w:ilvl w:val="0"/>
          <w:numId w:val="1"/>
        </w:numPr>
        <w:tabs>
          <w:tab w:val="clear" w:pos="0"/>
        </w:tabs>
        <w:spacing w:after="240"/>
        <w:outlineLvl w:val="0"/>
        <w:rPr>
          <w:lang w:val="fr-CA"/>
        </w:rPr>
      </w:pPr>
      <w:r w:rsidRPr="00582BC2">
        <w:rPr>
          <w:lang w:val="fr-CA"/>
        </w:rPr>
        <w:t xml:space="preserve">La Turquie avait déjà recueilli des résidus de SAO dans des centres gouvernementaux autorisés de récupération et de régénération établis dans </w:t>
      </w:r>
      <w:r w:rsidR="009B4C91" w:rsidRPr="00582BC2">
        <w:rPr>
          <w:lang w:val="fr-CA"/>
        </w:rPr>
        <w:t>trois</w:t>
      </w:r>
      <w:r w:rsidRPr="00582BC2">
        <w:rPr>
          <w:lang w:val="fr-CA"/>
        </w:rPr>
        <w:t xml:space="preserve"> villes : Ankara (TUHAB), Istanbul (ISISO) et Izmir (ESSIAD</w:t>
      </w:r>
      <w:proofErr w:type="gramStart"/>
      <w:r w:rsidRPr="00582BC2">
        <w:rPr>
          <w:lang w:val="fr-CA"/>
        </w:rPr>
        <w:t>);</w:t>
      </w:r>
      <w:proofErr w:type="gramEnd"/>
      <w:r w:rsidRPr="00582BC2">
        <w:rPr>
          <w:lang w:val="fr-CA"/>
        </w:rPr>
        <w:t xml:space="preserve"> </w:t>
      </w:r>
      <w:r w:rsidR="009B4C91" w:rsidRPr="00582BC2">
        <w:rPr>
          <w:lang w:val="fr-CA"/>
        </w:rPr>
        <w:t xml:space="preserve">la quantité de résidus de SAO à détruire devait être de </w:t>
      </w:r>
      <w:r w:rsidR="00477CEE">
        <w:rPr>
          <w:lang w:val="fr-CA"/>
        </w:rPr>
        <w:t>103,72</w:t>
      </w:r>
      <w:r w:rsidRPr="00582BC2">
        <w:rPr>
          <w:lang w:val="fr-CA"/>
        </w:rPr>
        <w:t xml:space="preserve"> tonnes de CFC-12</w:t>
      </w:r>
      <w:r w:rsidR="007717BB" w:rsidRPr="00582BC2">
        <w:rPr>
          <w:lang w:val="fr-CA"/>
        </w:rPr>
        <w:t>.</w:t>
      </w:r>
      <w:r w:rsidR="009B4C91" w:rsidRPr="00582BC2">
        <w:rPr>
          <w:lang w:val="fr-CA"/>
        </w:rPr>
        <w:t xml:space="preserve"> Cependant, au cours de la mise en œuvre, on a découvert que plusieurs résidus de SAO étaient en fait des mélanges de plusieurs types de frigorigènes</w:t>
      </w:r>
      <w:r w:rsidR="00A42A06">
        <w:rPr>
          <w:lang w:val="fr-CA"/>
        </w:rPr>
        <w:t>. L</w:t>
      </w:r>
      <w:r w:rsidR="009B4C91" w:rsidRPr="00582BC2">
        <w:rPr>
          <w:lang w:val="fr-CA"/>
        </w:rPr>
        <w:t xml:space="preserve">a quantité actuelle à détruire </w:t>
      </w:r>
      <w:r w:rsidR="00A42A06">
        <w:rPr>
          <w:lang w:val="fr-CA"/>
        </w:rPr>
        <w:t xml:space="preserve">a donc été </w:t>
      </w:r>
      <w:r w:rsidR="009B4C91" w:rsidRPr="00582BC2">
        <w:rPr>
          <w:lang w:val="fr-CA"/>
        </w:rPr>
        <w:t>de 9,162 tm de CFC-12</w:t>
      </w:r>
      <w:r w:rsidR="007717BB" w:rsidRPr="00582BC2">
        <w:rPr>
          <w:lang w:val="fr-CA"/>
        </w:rPr>
        <w:t xml:space="preserve"> </w:t>
      </w:r>
    </w:p>
    <w:p w14:paraId="490108A7" w14:textId="6343ADA1" w:rsidR="007717BB" w:rsidRPr="00582BC2" w:rsidRDefault="009B4C91" w:rsidP="007717BB">
      <w:pPr>
        <w:widowControl w:val="0"/>
        <w:numPr>
          <w:ilvl w:val="0"/>
          <w:numId w:val="1"/>
        </w:numPr>
        <w:tabs>
          <w:tab w:val="clear" w:pos="0"/>
        </w:tabs>
        <w:spacing w:after="240"/>
        <w:outlineLvl w:val="0"/>
        <w:rPr>
          <w:lang w:val="fr-CA"/>
        </w:rPr>
      </w:pPr>
      <w:r w:rsidRPr="00582BC2">
        <w:rPr>
          <w:lang w:val="fr-CA"/>
        </w:rPr>
        <w:t>Le projet prévoyait l’exportation des résidus de SAO vers les États-Unis d’Amérique aux fins de destruction</w:t>
      </w:r>
      <w:r w:rsidR="007717BB" w:rsidRPr="00582BC2">
        <w:rPr>
          <w:lang w:val="fr-CA"/>
        </w:rPr>
        <w:t>.</w:t>
      </w:r>
      <w:r w:rsidRPr="00582BC2">
        <w:rPr>
          <w:lang w:val="fr-CA"/>
        </w:rPr>
        <w:t xml:space="preserve"> Cependant, les revenus attendus des marchés du</w:t>
      </w:r>
      <w:r w:rsidR="00A95D9C" w:rsidRPr="00582BC2">
        <w:rPr>
          <w:lang w:val="fr-CA"/>
        </w:rPr>
        <w:t xml:space="preserve"> carbo</w:t>
      </w:r>
      <w:r w:rsidRPr="00582BC2">
        <w:rPr>
          <w:lang w:val="fr-CA"/>
        </w:rPr>
        <w:t xml:space="preserve">ne </w:t>
      </w:r>
      <w:r w:rsidR="00A95D9C" w:rsidRPr="00582BC2">
        <w:rPr>
          <w:lang w:val="fr-CA"/>
        </w:rPr>
        <w:t xml:space="preserve">ne se sont pas concrétisés et les quantités de SAO à détruire </w:t>
      </w:r>
      <w:r w:rsidR="00A42A06">
        <w:rPr>
          <w:lang w:val="fr-CA"/>
        </w:rPr>
        <w:t>ont été très</w:t>
      </w:r>
      <w:r w:rsidR="00A95D9C" w:rsidRPr="00582BC2">
        <w:rPr>
          <w:lang w:val="fr-CA"/>
        </w:rPr>
        <w:t xml:space="preserve"> faibles, ce qui a mené au remaniement de la stratégie d’élimination. Il a été décidé de détruire les résidus recueillis en Europe dans le cadre d’un processus de soumission international.</w:t>
      </w:r>
    </w:p>
    <w:p w14:paraId="47B5D59F" w14:textId="265262FB" w:rsidR="007717BB" w:rsidRPr="00582BC2" w:rsidRDefault="00A95D9C" w:rsidP="007717BB">
      <w:pPr>
        <w:widowControl w:val="0"/>
        <w:numPr>
          <w:ilvl w:val="0"/>
          <w:numId w:val="1"/>
        </w:numPr>
        <w:tabs>
          <w:tab w:val="clear" w:pos="0"/>
        </w:tabs>
        <w:spacing w:after="240"/>
        <w:outlineLvl w:val="0"/>
        <w:rPr>
          <w:lang w:val="fr-CA"/>
        </w:rPr>
      </w:pPr>
      <w:r w:rsidRPr="00582BC2">
        <w:rPr>
          <w:lang w:val="fr-CA"/>
        </w:rPr>
        <w:t>Les résidus de SAO de la Turquie ont été ajoutés aux résidus de SAO du Monténégro aux fins d’économie</w:t>
      </w:r>
      <w:r w:rsidR="0009139C" w:rsidRPr="00582BC2">
        <w:rPr>
          <w:lang w:val="fr-CA"/>
        </w:rPr>
        <w:t>. Ces derniers faisaient l’objet d’un projet de démonstration pilote régional sur l’élimination des résidus de SAO dans la région de l’Europe et de l’Asie centrale, également financé par le Fonds multilatéral. D’autres activités telles que la mise en commun des enseignements tirés et la sensibilisation ont aussi été menées en étroite collaboration avec la région de l’Europe et de l’Asie centrale.</w:t>
      </w:r>
    </w:p>
    <w:p w14:paraId="25D0FE45" w14:textId="3668E10A" w:rsidR="007717BB" w:rsidRPr="00582BC2" w:rsidRDefault="00A26536" w:rsidP="007717BB">
      <w:pPr>
        <w:widowControl w:val="0"/>
        <w:numPr>
          <w:ilvl w:val="0"/>
          <w:numId w:val="1"/>
        </w:numPr>
        <w:tabs>
          <w:tab w:val="clear" w:pos="0"/>
        </w:tabs>
        <w:spacing w:after="240"/>
        <w:outlineLvl w:val="0"/>
        <w:rPr>
          <w:u w:val="single"/>
          <w:lang w:val="fr-CA"/>
        </w:rPr>
      </w:pPr>
      <w:r w:rsidRPr="00582BC2">
        <w:rPr>
          <w:lang w:val="fr-CA"/>
        </w:rPr>
        <w:t xml:space="preserve">Le projet a abouti à la destruction de 9,162 tm de CFC-12 et </w:t>
      </w:r>
      <w:r w:rsidR="00A42A06">
        <w:rPr>
          <w:lang w:val="fr-CA"/>
        </w:rPr>
        <w:t xml:space="preserve">a </w:t>
      </w:r>
      <w:r w:rsidRPr="00582BC2">
        <w:rPr>
          <w:lang w:val="fr-CA"/>
        </w:rPr>
        <w:t>engagé des coûts de 598 345 $US sur les 1 076 250 $US approuvés (coûts d’appui à l’agence en sus), pour un rapport coût-efficacité de 65 $US/kg de résidus détruits</w:t>
      </w:r>
      <w:r w:rsidR="00B64157" w:rsidRPr="00582BC2">
        <w:rPr>
          <w:lang w:val="fr-CA"/>
        </w:rPr>
        <w:t>.</w:t>
      </w:r>
    </w:p>
    <w:p w14:paraId="5DB757CF" w14:textId="3294BE7F" w:rsidR="007717BB" w:rsidRPr="00582BC2" w:rsidRDefault="00A26536" w:rsidP="007717BB">
      <w:pPr>
        <w:widowControl w:val="0"/>
        <w:rPr>
          <w:u w:val="single"/>
          <w:lang w:val="fr-CA"/>
        </w:rPr>
      </w:pPr>
      <w:r w:rsidRPr="00582BC2">
        <w:rPr>
          <w:u w:val="single"/>
          <w:lang w:val="fr-CA"/>
        </w:rPr>
        <w:t>Région de l’Europe et de l’Asie centrale : Démonstration d’une stratégie régionale de gestion et d’élimination des SAO</w:t>
      </w:r>
      <w:r w:rsidRPr="00582BC2">
        <w:rPr>
          <w:lang w:val="fr-CA"/>
        </w:rPr>
        <w:t xml:space="preserve"> (ONUDI</w:t>
      </w:r>
      <w:r w:rsidR="007717BB" w:rsidRPr="00582BC2">
        <w:rPr>
          <w:lang w:val="fr-CA"/>
        </w:rPr>
        <w:t>)</w:t>
      </w:r>
    </w:p>
    <w:p w14:paraId="5DB0899F" w14:textId="77777777" w:rsidR="007717BB" w:rsidRPr="00582BC2" w:rsidRDefault="007717BB" w:rsidP="007717BB">
      <w:pPr>
        <w:widowControl w:val="0"/>
        <w:rPr>
          <w:u w:val="single"/>
          <w:lang w:val="fr-CA"/>
        </w:rPr>
      </w:pPr>
    </w:p>
    <w:p w14:paraId="589C8867" w14:textId="403C2CD8" w:rsidR="007717BB" w:rsidRPr="00582BC2" w:rsidRDefault="00A26536" w:rsidP="007717BB">
      <w:pPr>
        <w:pStyle w:val="Heading1"/>
        <w:rPr>
          <w:lang w:val="fr-CA"/>
        </w:rPr>
      </w:pPr>
      <w:r w:rsidRPr="00582BC2">
        <w:rPr>
          <w:lang w:val="fr-CA"/>
        </w:rPr>
        <w:t>Ce projet de démonstration pilote avait pour objet d’évaluer</w:t>
      </w:r>
      <w:r w:rsidR="009F23B6" w:rsidRPr="00582BC2">
        <w:rPr>
          <w:lang w:val="fr-CA"/>
        </w:rPr>
        <w:t xml:space="preserve"> l’approche régionale à utiliser pour l’élimination des ré</w:t>
      </w:r>
      <w:r w:rsidRPr="00582BC2">
        <w:rPr>
          <w:lang w:val="fr-CA"/>
        </w:rPr>
        <w:t>sidus de SAO</w:t>
      </w:r>
      <w:r w:rsidR="009F23B6" w:rsidRPr="00582BC2">
        <w:rPr>
          <w:lang w:val="fr-CA"/>
        </w:rPr>
        <w:t xml:space="preserve"> dans trois pays de la région de l’Europe et de l’Asie centrale, à savoir la Bosnie-Herzégovine, la Croatie et le Monténégro, en ce qui a trait au rapport coût-efficacité et la durabilité, </w:t>
      </w:r>
      <w:r w:rsidR="009F23B6" w:rsidRPr="00582BC2">
        <w:rPr>
          <w:lang w:val="fr-CA"/>
        </w:rPr>
        <w:lastRenderedPageBreak/>
        <w:t>surtout dans les pays à faible volume de consommation qui n’ont pas leurs propres installations de destruction des SAO</w:t>
      </w:r>
      <w:r w:rsidR="007717BB" w:rsidRPr="00582BC2">
        <w:rPr>
          <w:lang w:val="fr-CA"/>
        </w:rPr>
        <w:t xml:space="preserve">. </w:t>
      </w:r>
    </w:p>
    <w:p w14:paraId="0829C9FD" w14:textId="39A5FA3B" w:rsidR="007717BB" w:rsidRPr="00582BC2" w:rsidRDefault="00610D05" w:rsidP="007717BB">
      <w:pPr>
        <w:pStyle w:val="Heading1"/>
        <w:widowControl w:val="0"/>
        <w:tabs>
          <w:tab w:val="clear" w:pos="0"/>
        </w:tabs>
        <w:rPr>
          <w:lang w:val="fr-CA"/>
        </w:rPr>
      </w:pPr>
      <w:r w:rsidRPr="00582BC2">
        <w:rPr>
          <w:lang w:val="fr-CA"/>
        </w:rPr>
        <w:t>Il avait également pour but de détruire 29,07 tm de résidus de SAO</w:t>
      </w:r>
      <w:r w:rsidR="002662E8">
        <w:rPr>
          <w:lang w:val="fr-CA"/>
        </w:rPr>
        <w:t xml:space="preserve"> provenant </w:t>
      </w:r>
      <w:r w:rsidRPr="00582BC2">
        <w:rPr>
          <w:lang w:val="fr-CA"/>
        </w:rPr>
        <w:t>de</w:t>
      </w:r>
      <w:r w:rsidR="00A42A06">
        <w:rPr>
          <w:lang w:val="fr-CA"/>
        </w:rPr>
        <w:t>s</w:t>
      </w:r>
      <w:r w:rsidRPr="00582BC2">
        <w:rPr>
          <w:lang w:val="fr-CA"/>
        </w:rPr>
        <w:t xml:space="preserve"> trois pays. Les substances recueillies consistaient surtout en des CFC, des HCFC et de petites quantités de HFC. Au total, 41,37 tm de résidus ont été détruit</w:t>
      </w:r>
      <w:r w:rsidR="00A42A06">
        <w:rPr>
          <w:lang w:val="fr-CA"/>
        </w:rPr>
        <w:t>e</w:t>
      </w:r>
      <w:r w:rsidRPr="00582BC2">
        <w:rPr>
          <w:lang w:val="fr-CA"/>
        </w:rPr>
        <w:t xml:space="preserve">s, dont 32,79 tm de résidus de SAO. Il n’a été </w:t>
      </w:r>
      <w:r w:rsidR="00EA6793">
        <w:rPr>
          <w:lang w:val="fr-CA"/>
        </w:rPr>
        <w:t>possible</w:t>
      </w:r>
      <w:r w:rsidRPr="00582BC2">
        <w:rPr>
          <w:lang w:val="fr-CA"/>
        </w:rPr>
        <w:t xml:space="preserve"> de séparer les résidus de SAO des autres résidus, de sorte que toutes les quantités recueillies ont été détr</w:t>
      </w:r>
      <w:r w:rsidR="00D56C2C" w:rsidRPr="00582BC2">
        <w:rPr>
          <w:lang w:val="fr-CA"/>
        </w:rPr>
        <w:t>u</w:t>
      </w:r>
      <w:r w:rsidRPr="00582BC2">
        <w:rPr>
          <w:lang w:val="fr-CA"/>
        </w:rPr>
        <w:t xml:space="preserve">ites dans le cadre du projet. </w:t>
      </w:r>
      <w:r w:rsidR="00D56C2C" w:rsidRPr="00582BC2">
        <w:rPr>
          <w:lang w:val="fr-CA"/>
        </w:rPr>
        <w:t>Le rapport coût-efficacité du projet a été de 8,01 $US/kg, calculé seulement en fonction de la portion de résidus de SAO détruits, ce qui a dépassé le rapport coût-efficacité prévu de 12,02 $US/kg. Par conséquent, le coût global du projet est évalué à 262 622 $US. Le solde sera retourné au Fonds multilatéral après l’achèvement du projet</w:t>
      </w:r>
      <w:r w:rsidR="007717BB" w:rsidRPr="00582BC2">
        <w:rPr>
          <w:lang w:val="fr-CA"/>
        </w:rPr>
        <w:t>.</w:t>
      </w:r>
    </w:p>
    <w:p w14:paraId="463697F9" w14:textId="29475D53" w:rsidR="007717BB" w:rsidRPr="00582BC2" w:rsidRDefault="00D56C2C" w:rsidP="007717BB">
      <w:pPr>
        <w:pStyle w:val="Heading1"/>
        <w:widowControl w:val="0"/>
        <w:tabs>
          <w:tab w:val="clear" w:pos="0"/>
        </w:tabs>
        <w:rPr>
          <w:lang w:val="fr-CA"/>
        </w:rPr>
      </w:pPr>
      <w:r w:rsidRPr="00582BC2">
        <w:rPr>
          <w:lang w:val="fr-CA"/>
        </w:rPr>
        <w:t>Le rapport final met en évidence</w:t>
      </w:r>
      <w:r w:rsidR="00273ACE" w:rsidRPr="00582BC2">
        <w:rPr>
          <w:lang w:val="fr-CA"/>
        </w:rPr>
        <w:t xml:space="preserve"> que les lois et les arrangements institutionnels des pays bénéficiaires n’appuyaient pas le regroupement des résidus d</w:t>
      </w:r>
      <w:r w:rsidR="00EA6793">
        <w:rPr>
          <w:lang w:val="fr-CA"/>
        </w:rPr>
        <w:t xml:space="preserve">e SAO au niveau régional, la </w:t>
      </w:r>
      <w:proofErr w:type="spellStart"/>
      <w:r w:rsidR="00EA6793">
        <w:rPr>
          <w:lang w:val="fr-CA"/>
        </w:rPr>
        <w:t>sy</w:t>
      </w:r>
      <w:r w:rsidR="00273ACE" w:rsidRPr="00582BC2">
        <w:rPr>
          <w:lang w:val="fr-CA"/>
        </w:rPr>
        <w:t>nchronisaiton</w:t>
      </w:r>
      <w:proofErr w:type="spellEnd"/>
      <w:r w:rsidR="00273ACE" w:rsidRPr="00582BC2">
        <w:rPr>
          <w:lang w:val="fr-CA"/>
        </w:rPr>
        <w:t xml:space="preserve"> des envois de différents pays et les synergies avec </w:t>
      </w:r>
      <w:r w:rsidR="00EA6793">
        <w:rPr>
          <w:lang w:val="fr-CA"/>
        </w:rPr>
        <w:t>la destruction d</w:t>
      </w:r>
      <w:r w:rsidR="00273ACE" w:rsidRPr="00582BC2">
        <w:rPr>
          <w:lang w:val="fr-CA"/>
        </w:rPr>
        <w:t>es polluan</w:t>
      </w:r>
      <w:r w:rsidR="00EA6793">
        <w:rPr>
          <w:lang w:val="fr-CA"/>
        </w:rPr>
        <w:t>ts organiques persistants (POP)</w:t>
      </w:r>
      <w:r w:rsidR="007717BB" w:rsidRPr="00582BC2">
        <w:rPr>
          <w:lang w:val="fr-CA"/>
        </w:rPr>
        <w:t>.</w:t>
      </w:r>
    </w:p>
    <w:p w14:paraId="3770F39D" w14:textId="2F6531E5" w:rsidR="007717BB" w:rsidRPr="00582BC2" w:rsidRDefault="00273ACE" w:rsidP="007717BB">
      <w:pPr>
        <w:pStyle w:val="Heading1"/>
        <w:widowControl w:val="0"/>
        <w:tabs>
          <w:tab w:val="clear" w:pos="0"/>
        </w:tabs>
        <w:rPr>
          <w:lang w:val="fr-CA"/>
        </w:rPr>
      </w:pPr>
      <w:r w:rsidRPr="00582BC2">
        <w:rPr>
          <w:lang w:val="fr-CA"/>
        </w:rPr>
        <w:t>Le projet a facilité la création du Forum de coopération régionale en tant que plateforme de communication offrant l’équipement et les outils nécessaires à un regroupement efficace des résidus, une liste de vérification pour les analyses en</w:t>
      </w:r>
      <w:r w:rsidR="00EA6793">
        <w:rPr>
          <w:lang w:val="fr-CA"/>
        </w:rPr>
        <w:t xml:space="preserve"> laboratoire des résidus de SAO,</w:t>
      </w:r>
      <w:r w:rsidRPr="00582BC2">
        <w:rPr>
          <w:lang w:val="fr-CA"/>
        </w:rPr>
        <w:t xml:space="preserve"> une liste des installations de</w:t>
      </w:r>
      <w:r w:rsidR="00971E33" w:rsidRPr="00582BC2">
        <w:rPr>
          <w:lang w:val="fr-CA"/>
        </w:rPr>
        <w:t xml:space="preserve"> destruction admissibles en Uni</w:t>
      </w:r>
      <w:r w:rsidRPr="00582BC2">
        <w:rPr>
          <w:lang w:val="fr-CA"/>
        </w:rPr>
        <w:t>on européenne (UE), des recommandations et les enseignements tirés</w:t>
      </w:r>
      <w:r w:rsidR="007717BB" w:rsidRPr="00582BC2">
        <w:rPr>
          <w:lang w:val="fr-CA"/>
        </w:rPr>
        <w:t>.</w:t>
      </w:r>
    </w:p>
    <w:p w14:paraId="033EA4CE" w14:textId="48D560AF" w:rsidR="007717BB" w:rsidRPr="00582BC2" w:rsidRDefault="00971E33" w:rsidP="007717BB">
      <w:pPr>
        <w:pStyle w:val="Heading1"/>
        <w:rPr>
          <w:lang w:val="fr-CA"/>
        </w:rPr>
      </w:pPr>
      <w:r w:rsidRPr="00582BC2">
        <w:rPr>
          <w:lang w:val="fr-CA"/>
        </w:rPr>
        <w:t>Les enseignements tirés portaient notamment sur une meilleure connaissance des lois de l’UE et</w:t>
      </w:r>
      <w:r w:rsidR="00F14181">
        <w:rPr>
          <w:lang w:val="fr-CA"/>
        </w:rPr>
        <w:t xml:space="preserve"> des pays participant au projet</w:t>
      </w:r>
      <w:r w:rsidRPr="00582BC2">
        <w:rPr>
          <w:lang w:val="fr-CA"/>
        </w:rPr>
        <w:t xml:space="preserve"> qui ne permettent pas de regrouper les résidus de SAO à l’échelle régionale car les résidus de SAO sont considérés comme des résidus dangereux; le besoin de lois nationales dans les pays où se fera la destruction afin de permettre l’importation de mélanges de r</w:t>
      </w:r>
      <w:r w:rsidR="00EA6793">
        <w:rPr>
          <w:lang w:val="fr-CA"/>
        </w:rPr>
        <w:t>ésidus contenant des SAO aux fi</w:t>
      </w:r>
      <w:r w:rsidRPr="00582BC2">
        <w:rPr>
          <w:lang w:val="fr-CA"/>
        </w:rPr>
        <w:t xml:space="preserve">ns de destruction; </w:t>
      </w:r>
      <w:r w:rsidR="00C4796F">
        <w:rPr>
          <w:lang w:val="fr-CA"/>
        </w:rPr>
        <w:t>les autres pays de la région de l’Europe et de l’Asie centrale pourraient profiter d’</w:t>
      </w:r>
      <w:r w:rsidRPr="00582BC2">
        <w:rPr>
          <w:lang w:val="fr-CA"/>
        </w:rPr>
        <w:t>une liste des installations de destruction dans les pays de l’UE qui acceptent les mélanges de résidus contenant des résidus</w:t>
      </w:r>
      <w:r w:rsidR="00C4796F">
        <w:rPr>
          <w:lang w:val="fr-CA"/>
        </w:rPr>
        <w:t xml:space="preserve"> de SAO aux fins de destruction</w:t>
      </w:r>
      <w:r w:rsidRPr="00582BC2">
        <w:rPr>
          <w:lang w:val="fr-CA"/>
        </w:rPr>
        <w:t>; et des taxes environnementales sur les frigorigènes contribuant à l’appauvrissement de la couche d’ozone et aux changements climatiques pourraient alimenter le fonds environnemental pour financer la saine élimination des résidus de frigorigènes à long terme</w:t>
      </w:r>
      <w:r w:rsidR="007717BB" w:rsidRPr="00582BC2">
        <w:rPr>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717BB" w:rsidRPr="00454C15" w14:paraId="5AE8D509" w14:textId="77777777" w:rsidTr="007717BB">
        <w:tc>
          <w:tcPr>
            <w:tcW w:w="1871" w:type="dxa"/>
          </w:tcPr>
          <w:p w14:paraId="1545335A" w14:textId="77777777" w:rsidR="007717BB" w:rsidRPr="00582BC2" w:rsidRDefault="007717BB" w:rsidP="007717BB">
            <w:pPr>
              <w:widowControl w:val="0"/>
              <w:rPr>
                <w:lang w:val="fr-CA"/>
              </w:rPr>
            </w:pPr>
          </w:p>
        </w:tc>
        <w:tc>
          <w:tcPr>
            <w:tcW w:w="1872" w:type="dxa"/>
          </w:tcPr>
          <w:p w14:paraId="1ACFC63D" w14:textId="77777777" w:rsidR="007717BB" w:rsidRPr="00582BC2" w:rsidRDefault="007717BB" w:rsidP="007717BB">
            <w:pPr>
              <w:widowControl w:val="0"/>
              <w:rPr>
                <w:lang w:val="fr-CA"/>
              </w:rPr>
            </w:pPr>
          </w:p>
        </w:tc>
        <w:tc>
          <w:tcPr>
            <w:tcW w:w="1872" w:type="dxa"/>
            <w:tcBorders>
              <w:bottom w:val="single" w:sz="4" w:space="0" w:color="auto"/>
            </w:tcBorders>
          </w:tcPr>
          <w:p w14:paraId="2FF4C1AA" w14:textId="77777777" w:rsidR="007717BB" w:rsidRPr="00582BC2" w:rsidRDefault="007717BB" w:rsidP="007717BB">
            <w:pPr>
              <w:widowControl w:val="0"/>
              <w:rPr>
                <w:lang w:val="fr-CA"/>
              </w:rPr>
            </w:pPr>
          </w:p>
        </w:tc>
        <w:tc>
          <w:tcPr>
            <w:tcW w:w="1872" w:type="dxa"/>
          </w:tcPr>
          <w:p w14:paraId="5BB676BD" w14:textId="77777777" w:rsidR="007717BB" w:rsidRPr="00582BC2" w:rsidRDefault="007717BB" w:rsidP="007717BB">
            <w:pPr>
              <w:widowControl w:val="0"/>
              <w:rPr>
                <w:lang w:val="fr-CA"/>
              </w:rPr>
            </w:pPr>
          </w:p>
        </w:tc>
        <w:tc>
          <w:tcPr>
            <w:tcW w:w="1873" w:type="dxa"/>
          </w:tcPr>
          <w:p w14:paraId="01F624A7" w14:textId="77777777" w:rsidR="007717BB" w:rsidRPr="00582BC2" w:rsidRDefault="007717BB" w:rsidP="007717BB">
            <w:pPr>
              <w:widowControl w:val="0"/>
              <w:rPr>
                <w:lang w:val="fr-CA"/>
              </w:rPr>
            </w:pPr>
          </w:p>
        </w:tc>
      </w:tr>
    </w:tbl>
    <w:p w14:paraId="179F78ED" w14:textId="77777777" w:rsidR="00E85409" w:rsidRPr="00582BC2" w:rsidRDefault="00E85409" w:rsidP="000609DB">
      <w:pPr>
        <w:rPr>
          <w:lang w:val="fr-CA"/>
        </w:rPr>
      </w:pPr>
      <w:bookmarkStart w:id="0" w:name="_GoBack"/>
      <w:bookmarkEnd w:id="0"/>
    </w:p>
    <w:sectPr w:rsidR="00E85409" w:rsidRPr="00582BC2" w:rsidSect="00253DC5">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DD586" w14:textId="77777777" w:rsidR="00895D8B" w:rsidRDefault="00895D8B" w:rsidP="004A504B">
      <w:r>
        <w:separator/>
      </w:r>
    </w:p>
  </w:endnote>
  <w:endnote w:type="continuationSeparator" w:id="0">
    <w:p w14:paraId="1AB8D029" w14:textId="77777777" w:rsidR="00895D8B" w:rsidRDefault="00895D8B"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66F0" w14:textId="346FBE4A" w:rsidR="00895D8B" w:rsidRPr="0033525D" w:rsidRDefault="00895D8B">
    <w:pPr>
      <w:jc w:val="center"/>
    </w:pPr>
    <w:r>
      <w:fldChar w:fldCharType="begin"/>
    </w:r>
    <w:r>
      <w:instrText xml:space="preserve"> PAGE </w:instrText>
    </w:r>
    <w:r>
      <w:fldChar w:fldCharType="separate"/>
    </w:r>
    <w:r w:rsidR="00454C15">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E76D" w14:textId="51737275" w:rsidR="00895D8B" w:rsidRPr="0033525D" w:rsidRDefault="00895D8B">
    <w:pPr>
      <w:jc w:val="center"/>
    </w:pPr>
    <w:r>
      <w:fldChar w:fldCharType="begin"/>
    </w:r>
    <w:r>
      <w:instrText xml:space="preserve"> PAGE </w:instrText>
    </w:r>
    <w:r>
      <w:fldChar w:fldCharType="separate"/>
    </w:r>
    <w:r w:rsidR="00454C15">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7A3A" w14:textId="77777777" w:rsidR="00895D8B" w:rsidRPr="004C7828" w:rsidRDefault="00895D8B" w:rsidP="00E3535B">
    <w:pPr>
      <w:pBdr>
        <w:top w:val="single" w:sz="4" w:space="1" w:color="auto"/>
        <w:left w:val="single" w:sz="4" w:space="4" w:color="auto"/>
        <w:bottom w:val="single" w:sz="4" w:space="1" w:color="auto"/>
        <w:right w:val="single" w:sz="4" w:space="4" w:color="auto"/>
      </w:pBdr>
      <w:jc w:val="center"/>
      <w:rPr>
        <w:rFonts w:cs="MS Serif"/>
        <w:sz w:val="18"/>
        <w:szCs w:val="18"/>
        <w:lang w:val="fr-FR"/>
      </w:rPr>
    </w:pPr>
    <w:r w:rsidRPr="004C7828">
      <w:rPr>
        <w:rFonts w:cs="MS Serif"/>
        <w:sz w:val="18"/>
        <w:szCs w:val="18"/>
        <w:lang w:val="fr-FR"/>
      </w:rPr>
      <w:t xml:space="preserve">Les documents de </w:t>
    </w:r>
    <w:proofErr w:type="spellStart"/>
    <w:r w:rsidRPr="004C7828">
      <w:rPr>
        <w:rFonts w:cs="MS Serif"/>
        <w:sz w:val="18"/>
        <w:szCs w:val="18"/>
        <w:lang w:val="fr-FR"/>
      </w:rPr>
      <w:t>présession</w:t>
    </w:r>
    <w:proofErr w:type="spellEnd"/>
    <w:r w:rsidRPr="004C7828">
      <w:rPr>
        <w:rFonts w:cs="MS Serif"/>
        <w:sz w:val="18"/>
        <w:szCs w:val="18"/>
        <w:lang w:val="fr-FR"/>
      </w:rPr>
      <w:t xml:space="preserve"> du Comité exécutif du Fonds multilatéral aux fins d’application du Protocole de </w:t>
    </w:r>
  </w:p>
  <w:p w14:paraId="26A6D2B4" w14:textId="03E4090C" w:rsidR="00895D8B" w:rsidRPr="00E3535B" w:rsidRDefault="00895D8B" w:rsidP="00E3535B">
    <w:pPr>
      <w:pBdr>
        <w:top w:val="single" w:sz="4" w:space="1" w:color="auto"/>
        <w:left w:val="single" w:sz="4" w:space="4" w:color="auto"/>
        <w:bottom w:val="single" w:sz="4" w:space="1" w:color="auto"/>
        <w:right w:val="single" w:sz="4" w:space="4" w:color="auto"/>
      </w:pBdr>
      <w:jc w:val="center"/>
      <w:rPr>
        <w:sz w:val="18"/>
        <w:szCs w:val="18"/>
        <w:lang w:val="fr-CA"/>
      </w:rPr>
    </w:pPr>
    <w:r w:rsidRPr="004C7828">
      <w:rPr>
        <w:rFonts w:cs="MS Serif"/>
        <w:sz w:val="18"/>
        <w:szCs w:val="18"/>
        <w:lang w:val="fr-FR"/>
      </w:rPr>
      <w:t>Montréal sont présentés sous réserve des décisions pouvant être prises par le Comité exécutif après leur publication</w:t>
    </w:r>
    <w:r w:rsidRPr="00E3535B">
      <w:rPr>
        <w:sz w:val="18"/>
        <w:szCs w:val="18"/>
        <w:lang w:val="fr-CA"/>
      </w:rPr>
      <w:t>.</w:t>
    </w:r>
  </w:p>
  <w:p w14:paraId="365902CE" w14:textId="77777777" w:rsidR="00895D8B" w:rsidRPr="00E3535B" w:rsidRDefault="00895D8B" w:rsidP="004E7F9C">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1807" w14:textId="08507DCD" w:rsidR="00895D8B" w:rsidRPr="0033525D" w:rsidRDefault="00895D8B">
    <w:pPr>
      <w:jc w:val="center"/>
    </w:pPr>
    <w:r>
      <w:fldChar w:fldCharType="begin"/>
    </w:r>
    <w:r>
      <w:instrText xml:space="preserve"> PAGE </w:instrText>
    </w:r>
    <w:r>
      <w:fldChar w:fldCharType="separate"/>
    </w:r>
    <w:r w:rsidR="00454C15">
      <w:rPr>
        <w:noProof/>
      </w:rPr>
      <w:t>12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A6F6" w14:textId="6D0AEB34" w:rsidR="00895D8B" w:rsidRPr="0033525D" w:rsidRDefault="00895D8B">
    <w:pPr>
      <w:jc w:val="center"/>
    </w:pPr>
    <w:r>
      <w:fldChar w:fldCharType="begin"/>
    </w:r>
    <w:r>
      <w:instrText xml:space="preserve"> PAGE </w:instrText>
    </w:r>
    <w:r>
      <w:fldChar w:fldCharType="separate"/>
    </w:r>
    <w:r w:rsidR="00454C15">
      <w:rPr>
        <w:noProof/>
      </w:rPr>
      <w:t>11</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21D6" w14:textId="77777777" w:rsidR="00895D8B" w:rsidRPr="006F4ADC" w:rsidRDefault="00895D8B" w:rsidP="006F4A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C2C7" w14:textId="77777777" w:rsidR="00895D8B" w:rsidRDefault="00895D8B" w:rsidP="004A504B">
      <w:r>
        <w:separator/>
      </w:r>
    </w:p>
  </w:footnote>
  <w:footnote w:type="continuationSeparator" w:id="0">
    <w:p w14:paraId="75BEA596" w14:textId="77777777" w:rsidR="00895D8B" w:rsidRDefault="00895D8B" w:rsidP="004A504B">
      <w:r>
        <w:continuationSeparator/>
      </w:r>
    </w:p>
  </w:footnote>
  <w:footnote w:id="1">
    <w:p w14:paraId="0B8BEA5F" w14:textId="77777777" w:rsidR="00895D8B" w:rsidRDefault="00895D8B" w:rsidP="00027229">
      <w:pPr>
        <w:pStyle w:val="FootnoteText"/>
        <w:rPr>
          <w:lang w:val="fr-CA"/>
        </w:rPr>
      </w:pPr>
      <w:r>
        <w:rPr>
          <w:rStyle w:val="FootnoteReference"/>
        </w:rPr>
        <w:footnoteRef/>
      </w:r>
      <w:r w:rsidRPr="003029F8">
        <w:rPr>
          <w:lang w:val="fr-CA"/>
        </w:rPr>
        <w:t xml:space="preserve"> </w:t>
      </w:r>
      <w:r w:rsidRPr="0004647F">
        <w:rPr>
          <w:lang w:val="fr-CA"/>
        </w:rPr>
        <w:t>Des réunions en ligne et un processus d’approbation intersessio</w:t>
      </w:r>
      <w:r>
        <w:rPr>
          <w:lang w:val="fr-CA"/>
        </w:rPr>
        <w:t xml:space="preserve">ns se tiendront </w:t>
      </w:r>
      <w:r w:rsidRPr="0004647F">
        <w:rPr>
          <w:lang w:val="fr-CA"/>
        </w:rPr>
        <w:t>e</w:t>
      </w:r>
      <w:r>
        <w:rPr>
          <w:lang w:val="fr-CA"/>
        </w:rPr>
        <w:t>n juin et juillet 2021 à cause du coronaviru</w:t>
      </w:r>
      <w:r w:rsidRPr="0004647F">
        <w:rPr>
          <w:lang w:val="fr-CA"/>
        </w:rPr>
        <w:t>s</w:t>
      </w:r>
      <w:r>
        <w:rPr>
          <w:lang w:val="fr-CA"/>
        </w:rPr>
        <w:t xml:space="preserve"> (COVID-19)</w:t>
      </w:r>
    </w:p>
    <w:p w14:paraId="11AAFB35" w14:textId="77777777" w:rsidR="00895D8B" w:rsidRPr="003029F8" w:rsidRDefault="00895D8B" w:rsidP="00027229">
      <w:pPr>
        <w:pStyle w:val="FootnoteText"/>
        <w:rPr>
          <w:lang w:val="fr-CA"/>
        </w:rPr>
      </w:pPr>
    </w:p>
  </w:footnote>
  <w:footnote w:id="2">
    <w:p w14:paraId="3CDF8BA3" w14:textId="5CC0CA72" w:rsidR="00895D8B" w:rsidRPr="00583EAF" w:rsidRDefault="00895D8B">
      <w:pPr>
        <w:pStyle w:val="FootnoteText"/>
        <w:rPr>
          <w:lang w:val="fr-CA"/>
        </w:rPr>
      </w:pPr>
      <w:r>
        <w:rPr>
          <w:rStyle w:val="FootnoteReference"/>
        </w:rPr>
        <w:footnoteRef/>
      </w:r>
      <w:r w:rsidRPr="00583EAF">
        <w:rPr>
          <w:lang w:val="fr-CA"/>
        </w:rPr>
        <w:t xml:space="preserve"> UNEP/</w:t>
      </w:r>
      <w:proofErr w:type="spellStart"/>
      <w:r w:rsidRPr="00583EAF">
        <w:rPr>
          <w:lang w:val="fr-CA"/>
        </w:rPr>
        <w:t>OzL.Pro</w:t>
      </w:r>
      <w:proofErr w:type="spellEnd"/>
      <w:r w:rsidRPr="00583EAF">
        <w:rPr>
          <w:lang w:val="fr-CA"/>
        </w:rPr>
        <w:t>/</w:t>
      </w:r>
      <w:proofErr w:type="spellStart"/>
      <w:r w:rsidRPr="00583EAF">
        <w:rPr>
          <w:lang w:val="fr-CA"/>
        </w:rPr>
        <w:t>ExCom</w:t>
      </w:r>
      <w:proofErr w:type="spellEnd"/>
      <w:r w:rsidRPr="00583EAF">
        <w:rPr>
          <w:lang w:val="fr-CA"/>
        </w:rPr>
        <w:t>/84/11</w:t>
      </w:r>
    </w:p>
  </w:footnote>
  <w:footnote w:id="3">
    <w:p w14:paraId="2BFB8469" w14:textId="20B3CC6E" w:rsidR="00895D8B" w:rsidRPr="00583EAF" w:rsidRDefault="00895D8B">
      <w:pPr>
        <w:pStyle w:val="FootnoteText"/>
        <w:rPr>
          <w:lang w:val="fr-CA"/>
        </w:rPr>
      </w:pPr>
      <w:r>
        <w:rPr>
          <w:rStyle w:val="FootnoteReference"/>
        </w:rPr>
        <w:footnoteRef/>
      </w:r>
      <w:r w:rsidRPr="00583EAF">
        <w:rPr>
          <w:lang w:val="fr-CA"/>
        </w:rPr>
        <w:t xml:space="preserve"> UNEP/OzL.Pro/ExCom/84/11 et Corr.1</w:t>
      </w:r>
    </w:p>
  </w:footnote>
  <w:footnote w:id="4">
    <w:p w14:paraId="3A8547A2" w14:textId="77777777" w:rsidR="00895D8B" w:rsidRPr="00D66C21" w:rsidRDefault="00895D8B" w:rsidP="00D66C21">
      <w:pPr>
        <w:pStyle w:val="FootnoteText"/>
        <w:rPr>
          <w:lang w:val="fr-CA"/>
        </w:rPr>
      </w:pPr>
      <w:r w:rsidRPr="00BC5217">
        <w:rPr>
          <w:rStyle w:val="FootnoteReference"/>
        </w:rPr>
        <w:footnoteRef/>
      </w:r>
      <w:r w:rsidRPr="00D66C21">
        <w:rPr>
          <w:lang w:val="fr-CA"/>
        </w:rPr>
        <w:t xml:space="preserve"> UNEP/OzL.Pro/ExCom/84/66</w:t>
      </w:r>
    </w:p>
  </w:footnote>
  <w:footnote w:id="5">
    <w:p w14:paraId="3AF1EFBB" w14:textId="79A453A5" w:rsidR="00895D8B" w:rsidRPr="00D66C21" w:rsidRDefault="00895D8B" w:rsidP="00D66C21">
      <w:pPr>
        <w:pStyle w:val="FootnoteText"/>
        <w:rPr>
          <w:lang w:val="fr-CA"/>
        </w:rPr>
      </w:pPr>
      <w:r>
        <w:rPr>
          <w:rStyle w:val="FootnoteReference"/>
        </w:rPr>
        <w:footnoteRef/>
      </w:r>
      <w:r w:rsidRPr="00D66C21">
        <w:rPr>
          <w:lang w:val="fr-CA"/>
        </w:rPr>
        <w:t xml:space="preserve"> </w:t>
      </w:r>
      <w:r>
        <w:rPr>
          <w:lang w:val="fr-CA"/>
        </w:rPr>
        <w:t>Demander au Comité exécutif d’envisager le financement de la gestion économique des stocks de substances réglementées usées ou non désirées, y compris leur destruction</w:t>
      </w:r>
      <w:r w:rsidRPr="00D66C21">
        <w:rPr>
          <w:lang w:val="fr-CA"/>
        </w:rPr>
        <w:t>.</w:t>
      </w:r>
    </w:p>
  </w:footnote>
  <w:footnote w:id="6">
    <w:p w14:paraId="610B9C1E" w14:textId="76B0C743" w:rsidR="00895D8B" w:rsidRPr="00215004" w:rsidRDefault="00895D8B" w:rsidP="001479A3">
      <w:pPr>
        <w:pStyle w:val="FootnoteText"/>
        <w:rPr>
          <w:lang w:val="fr-CA"/>
        </w:rPr>
      </w:pPr>
      <w:r>
        <w:rPr>
          <w:rStyle w:val="FootnoteReference"/>
        </w:rPr>
        <w:footnoteRef/>
      </w:r>
      <w:r w:rsidRPr="00215004">
        <w:rPr>
          <w:lang w:val="fr-CA"/>
        </w:rPr>
        <w:t xml:space="preserve"> </w:t>
      </w:r>
      <w:r>
        <w:rPr>
          <w:lang w:val="fr-CA"/>
        </w:rPr>
        <w:t>En raison</w:t>
      </w:r>
      <w:r w:rsidRPr="00895D8B">
        <w:rPr>
          <w:lang w:val="fr-CA"/>
        </w:rPr>
        <w:t xml:space="preserve"> de la pandémie de C</w:t>
      </w:r>
      <w:r>
        <w:rPr>
          <w:lang w:val="fr-CA"/>
        </w:rPr>
        <w:t>ovid</w:t>
      </w:r>
      <w:r w:rsidRPr="00895D8B">
        <w:rPr>
          <w:lang w:val="fr-CA"/>
        </w:rPr>
        <w:t>-19, le Comité exécutif a décidé de reporter sa 85</w:t>
      </w:r>
      <w:r w:rsidRPr="00895D8B">
        <w:rPr>
          <w:vertAlign w:val="superscript"/>
          <w:lang w:val="fr-CA"/>
        </w:rPr>
        <w:t>e</w:t>
      </w:r>
      <w:r>
        <w:rPr>
          <w:lang w:val="fr-CA"/>
        </w:rPr>
        <w:t xml:space="preserve"> </w:t>
      </w:r>
      <w:r w:rsidRPr="00895D8B">
        <w:rPr>
          <w:lang w:val="fr-CA"/>
        </w:rPr>
        <w:t>réunion, initialement prévue du 25 au 29 mai 2020, et de la tenir immédiatement après la 86</w:t>
      </w:r>
      <w:r w:rsidRPr="00895D8B">
        <w:rPr>
          <w:vertAlign w:val="superscript"/>
          <w:lang w:val="fr-CA"/>
        </w:rPr>
        <w:t>e</w:t>
      </w:r>
      <w:r>
        <w:rPr>
          <w:lang w:val="fr-CA"/>
        </w:rPr>
        <w:t xml:space="preserve">, </w:t>
      </w:r>
      <w:r w:rsidRPr="00895D8B">
        <w:rPr>
          <w:lang w:val="fr-CA"/>
        </w:rPr>
        <w:t>en novembre 2020. Afin d'assurer la continuité des activités liées au respect des dispositions dans les pays visés à l'article 5, et pour réduire sa charge de travail lorsqu'il s'est réuni, le Comité exécutif a décidé de mettre en œuvre un processus d'approbation intersessions pour les projets et activités qui devaient être soumis à la 85</w:t>
      </w:r>
      <w:r w:rsidRPr="00895D8B">
        <w:rPr>
          <w:vertAlign w:val="superscript"/>
          <w:lang w:val="fr-CA"/>
        </w:rPr>
        <w:t>e</w:t>
      </w:r>
      <w:r>
        <w:rPr>
          <w:lang w:val="fr-CA"/>
        </w:rPr>
        <w:t xml:space="preserve"> </w:t>
      </w:r>
      <w:r w:rsidRPr="00895D8B">
        <w:rPr>
          <w:lang w:val="fr-CA"/>
        </w:rPr>
        <w:t>réunion ; les points de l'ordre du jour qui n'ont pas été examinés entre les sessions seraient inscrits à l'ordre du jour de la 86</w:t>
      </w:r>
      <w:r w:rsidRPr="001479A3">
        <w:rPr>
          <w:vertAlign w:val="superscript"/>
          <w:lang w:val="fr-CA"/>
        </w:rPr>
        <w:t>e</w:t>
      </w:r>
      <w:r w:rsidRPr="00895D8B">
        <w:rPr>
          <w:lang w:val="fr-CA"/>
        </w:rPr>
        <w:t xml:space="preserve">réunion. Compte tenu de l'évolution de la pandémie, le Comité exécutif a </w:t>
      </w:r>
      <w:r w:rsidR="001479A3">
        <w:rPr>
          <w:lang w:val="fr-CA"/>
        </w:rPr>
        <w:t>encore</w:t>
      </w:r>
      <w:r w:rsidRPr="00895D8B">
        <w:rPr>
          <w:lang w:val="fr-CA"/>
        </w:rPr>
        <w:t xml:space="preserve"> reporté les deux réunions</w:t>
      </w:r>
      <w:r w:rsidR="001479A3">
        <w:rPr>
          <w:lang w:val="fr-CA"/>
        </w:rPr>
        <w:t>.</w:t>
      </w:r>
    </w:p>
  </w:footnote>
  <w:footnote w:id="7">
    <w:p w14:paraId="2A663261" w14:textId="4B46C3AC" w:rsidR="00895D8B" w:rsidRPr="00F044CF" w:rsidRDefault="00895D8B" w:rsidP="00F34FA2">
      <w:pPr>
        <w:pStyle w:val="FootnoteText"/>
        <w:rPr>
          <w:lang w:val="fr-CA"/>
        </w:rPr>
      </w:pPr>
      <w:r w:rsidRPr="00F044CF">
        <w:rPr>
          <w:rStyle w:val="FootnoteReference"/>
        </w:rPr>
        <w:footnoteRef/>
      </w:r>
      <w:r w:rsidRPr="00F044CF">
        <w:rPr>
          <w:lang w:val="fr-CA"/>
        </w:rPr>
        <w:t xml:space="preserve"> </w:t>
      </w:r>
      <w:r w:rsidRPr="00645FD1">
        <w:rPr>
          <w:lang w:val="fr-CA"/>
        </w:rPr>
        <w:t>Le présent document a été soumis à la 86</w:t>
      </w:r>
      <w:r w:rsidRPr="005D67D6">
        <w:rPr>
          <w:vertAlign w:val="superscript"/>
          <w:lang w:val="fr-CA"/>
        </w:rPr>
        <w:t>e</w:t>
      </w:r>
      <w:r>
        <w:rPr>
          <w:lang w:val="fr-CA"/>
        </w:rPr>
        <w:t xml:space="preserve"> </w:t>
      </w:r>
      <w:r w:rsidRPr="00645FD1">
        <w:rPr>
          <w:lang w:val="fr-CA"/>
        </w:rPr>
        <w:t>réunion mais son examen a été reporté à la 87</w:t>
      </w:r>
      <w:r w:rsidRPr="00645FD1">
        <w:rPr>
          <w:vertAlign w:val="superscript"/>
          <w:lang w:val="fr-CA"/>
        </w:rPr>
        <w:t>e</w:t>
      </w:r>
      <w:r w:rsidRPr="00645FD1">
        <w:rPr>
          <w:lang w:val="fr-CA"/>
        </w:rPr>
        <w:t xml:space="preserve"> conformément aux procédures convenues pour la conduite de la 86</w:t>
      </w:r>
      <w:r w:rsidRPr="00645FD1">
        <w:rPr>
          <w:vertAlign w:val="superscript"/>
          <w:lang w:val="fr-CA"/>
        </w:rPr>
        <w:t>e</w:t>
      </w:r>
      <w:r w:rsidRPr="00645FD1">
        <w:rPr>
          <w:lang w:val="fr-CA"/>
        </w:rPr>
        <w:t xml:space="preserve"> réunion, en raison de la pandémie de Covid-19.</w:t>
      </w:r>
    </w:p>
  </w:footnote>
  <w:footnote w:id="8">
    <w:p w14:paraId="4F495F59" w14:textId="10F30C28" w:rsidR="00895D8B" w:rsidRPr="00F044CF" w:rsidRDefault="00895D8B">
      <w:pPr>
        <w:pStyle w:val="FootnoteText"/>
        <w:rPr>
          <w:lang w:val="fr-CA"/>
        </w:rPr>
      </w:pPr>
      <w:r w:rsidRPr="00F044CF">
        <w:rPr>
          <w:rStyle w:val="FootnoteReference"/>
          <w:lang w:val="fr-CA"/>
        </w:rPr>
        <w:footnoteRef/>
      </w:r>
      <w:r w:rsidRPr="00F044CF">
        <w:rPr>
          <w:lang w:val="fr-CA"/>
        </w:rPr>
        <w:t xml:space="preserve"> Les substances qui appauvrissent la couche d’ozone (SAO) sont des substances réglementées au titre du Protocole de Montréal, </w:t>
      </w:r>
      <w:r>
        <w:rPr>
          <w:lang w:val="fr-CA"/>
        </w:rPr>
        <w:t>à l’exception</w:t>
      </w:r>
      <w:r w:rsidRPr="00F044CF">
        <w:rPr>
          <w:lang w:val="fr-CA"/>
        </w:rPr>
        <w:t xml:space="preserve"> les HFC, qui sont devenus des substances réglementées lors de l’entrée en vigueur de l’Amende</w:t>
      </w:r>
      <w:r>
        <w:rPr>
          <w:lang w:val="fr-CA"/>
        </w:rPr>
        <w:t>ment de Kigali. Par conséquent</w:t>
      </w:r>
      <w:r w:rsidRPr="00F044CF">
        <w:rPr>
          <w:lang w:val="fr-CA"/>
        </w:rPr>
        <w:t xml:space="preserve"> l’expression « substances réglementées » utilisée dans le présen</w:t>
      </w:r>
      <w:r>
        <w:rPr>
          <w:lang w:val="fr-CA"/>
        </w:rPr>
        <w:t>t</w:t>
      </w:r>
      <w:r w:rsidRPr="00F044CF">
        <w:rPr>
          <w:lang w:val="fr-CA"/>
        </w:rPr>
        <w:t xml:space="preserve"> document comprend les SAO et les HFC.</w:t>
      </w:r>
    </w:p>
  </w:footnote>
  <w:footnote w:id="9">
    <w:p w14:paraId="6B499D27" w14:textId="797F29F3" w:rsidR="00895D8B" w:rsidRPr="00F044CF" w:rsidRDefault="00895D8B" w:rsidP="009804DA">
      <w:pPr>
        <w:pStyle w:val="FootnoteText"/>
        <w:rPr>
          <w:lang w:val="fr-CA"/>
        </w:rPr>
      </w:pPr>
      <w:r w:rsidRPr="00F044CF">
        <w:rPr>
          <w:rStyle w:val="FootnoteReference"/>
          <w:lang w:val="fr-CA"/>
        </w:rPr>
        <w:footnoteRef/>
      </w:r>
      <w:r w:rsidRPr="00F044CF">
        <w:rPr>
          <w:lang w:val="fr-CA"/>
        </w:rPr>
        <w:t xml:space="preserve"> UNEP/OzL.Pro/ExCom/82/64</w:t>
      </w:r>
    </w:p>
  </w:footnote>
  <w:footnote w:id="10">
    <w:p w14:paraId="021ECD4B" w14:textId="0916B78D" w:rsidR="00895D8B" w:rsidRPr="00A8535A" w:rsidRDefault="00895D8B" w:rsidP="00E80DCA">
      <w:pPr>
        <w:pStyle w:val="FootnoteText"/>
        <w:rPr>
          <w:lang w:val="fr-CA"/>
        </w:rPr>
      </w:pPr>
      <w:r w:rsidRPr="00F044CF">
        <w:rPr>
          <w:rStyle w:val="FootnoteReference"/>
          <w:lang w:val="fr-CA"/>
        </w:rPr>
        <w:footnoteRef/>
      </w:r>
      <w:r w:rsidRPr="00F044CF">
        <w:rPr>
          <w:lang w:val="fr-CA"/>
        </w:rPr>
        <w:t xml:space="preserve"> UNEP/</w:t>
      </w:r>
      <w:proofErr w:type="spellStart"/>
      <w:r w:rsidRPr="00F044CF">
        <w:rPr>
          <w:lang w:val="fr-CA"/>
        </w:rPr>
        <w:t>OzL.Pro</w:t>
      </w:r>
      <w:proofErr w:type="spellEnd"/>
      <w:r w:rsidRPr="00F044CF">
        <w:rPr>
          <w:lang w:val="fr-CA"/>
        </w:rPr>
        <w:t>/</w:t>
      </w:r>
      <w:proofErr w:type="spellStart"/>
      <w:r w:rsidRPr="00F044CF">
        <w:rPr>
          <w:lang w:val="fr-CA"/>
        </w:rPr>
        <w:t>ExCom</w:t>
      </w:r>
      <w:proofErr w:type="spellEnd"/>
      <w:r w:rsidRPr="00F044CF">
        <w:rPr>
          <w:lang w:val="fr-CA"/>
        </w:rPr>
        <w:t>/8</w:t>
      </w:r>
      <w:r>
        <w:rPr>
          <w:lang w:val="fr-CA"/>
        </w:rPr>
        <w:t>7</w:t>
      </w:r>
      <w:r w:rsidRPr="00F044CF">
        <w:rPr>
          <w:lang w:val="fr-CA"/>
        </w:rPr>
        <w:t>/</w:t>
      </w:r>
      <w:r>
        <w:rPr>
          <w:lang w:val="fr-CA"/>
        </w:rPr>
        <w:t>47</w:t>
      </w:r>
    </w:p>
  </w:footnote>
  <w:footnote w:id="11">
    <w:p w14:paraId="3ACAB7C9" w14:textId="106830FB" w:rsidR="00895D8B" w:rsidRPr="00C43B03" w:rsidRDefault="00895D8B" w:rsidP="000F0A4C">
      <w:pPr>
        <w:pStyle w:val="FootnoteText"/>
        <w:rPr>
          <w:lang w:val="fr-CA"/>
        </w:rPr>
      </w:pPr>
      <w:r w:rsidRPr="00C65839">
        <w:rPr>
          <w:rStyle w:val="FootnoteReference"/>
          <w:lang w:val="fr-CA"/>
        </w:rPr>
        <w:footnoteRef/>
      </w:r>
      <w:r w:rsidRPr="00C65839">
        <w:rPr>
          <w:lang w:val="fr-CA"/>
        </w:rPr>
        <w:t xml:space="preserve"> </w:t>
      </w:r>
      <w:r w:rsidRPr="00C43B03">
        <w:rPr>
          <w:lang w:val="fr-CA"/>
        </w:rPr>
        <w:t>Le recyclage consiste à réutiliser les substances réglementées récupérées à la suite d’un processus de nettoyage de base tel que le filtrage et le séchage. En ce qui concerne les frigorigènes, le recyclage comprend normalement le rechargement de l’équipement, ce qui se fait souvent sur place.</w:t>
      </w:r>
    </w:p>
  </w:footnote>
  <w:footnote w:id="12">
    <w:p w14:paraId="7E1C984C" w14:textId="13613B4D" w:rsidR="00895D8B" w:rsidRPr="00C43B03" w:rsidRDefault="00895D8B" w:rsidP="00E7073F">
      <w:pPr>
        <w:pStyle w:val="FootnoteText"/>
        <w:rPr>
          <w:lang w:val="fr-CA"/>
        </w:rPr>
      </w:pPr>
      <w:r w:rsidRPr="00C43B03">
        <w:rPr>
          <w:rStyle w:val="FootnoteReference"/>
          <w:lang w:val="fr-CA"/>
        </w:rPr>
        <w:footnoteRef/>
      </w:r>
      <w:r w:rsidRPr="00C43B03">
        <w:rPr>
          <w:lang w:val="fr-CA"/>
        </w:rPr>
        <w:t xml:space="preserve"> La Convention de Bâle sur le contrôle des mouvements transfrontières de déchets dangereux et de leur élimination; la Convention de Bamako sur l’interdiction d’importer en Afrique des déchets dangereux et sur le contrôle des mouvement</w:t>
      </w:r>
      <w:r>
        <w:rPr>
          <w:lang w:val="fr-CA"/>
        </w:rPr>
        <w:t>s</w:t>
      </w:r>
      <w:r w:rsidRPr="00C43B03">
        <w:rPr>
          <w:lang w:val="fr-CA"/>
        </w:rPr>
        <w:t xml:space="preserve"> transfrontières et la gestion des déchets dangereux produits en Afrique</w:t>
      </w:r>
      <w:r>
        <w:rPr>
          <w:lang w:val="fr-CA"/>
        </w:rPr>
        <w:t>,</w:t>
      </w:r>
      <w:r w:rsidRPr="00C43B03">
        <w:rPr>
          <w:lang w:val="fr-CA"/>
        </w:rPr>
        <w:t xml:space="preserve"> la Convention en vue d’interdire l’importation de déchets dangereux et radioactifs dans les pays insulaires du Forum et de contrôler les mouvements transfrontières et la gestion des déchets dangereux dans la région du Pacifique Sud : Convention de </w:t>
      </w:r>
      <w:proofErr w:type="spellStart"/>
      <w:r w:rsidRPr="00C43B03">
        <w:rPr>
          <w:lang w:val="fr-CA"/>
        </w:rPr>
        <w:t>Waigani</w:t>
      </w:r>
      <w:proofErr w:type="spellEnd"/>
      <w:r w:rsidRPr="00C43B03">
        <w:rPr>
          <w:lang w:val="fr-CA"/>
        </w:rPr>
        <w:t>.</w:t>
      </w:r>
    </w:p>
  </w:footnote>
  <w:footnote w:id="13">
    <w:p w14:paraId="55871CAC" w14:textId="74B1B20B" w:rsidR="00895D8B" w:rsidRPr="00C43B03" w:rsidRDefault="00895D8B">
      <w:pPr>
        <w:pStyle w:val="FootnoteText"/>
        <w:rPr>
          <w:lang w:val="fr-CA"/>
        </w:rPr>
      </w:pPr>
      <w:r w:rsidRPr="00C43B03">
        <w:rPr>
          <w:rStyle w:val="FootnoteReference"/>
          <w:lang w:val="fr-CA"/>
        </w:rPr>
        <w:footnoteRef/>
      </w:r>
      <w:r w:rsidRPr="00C43B03">
        <w:rPr>
          <w:lang w:val="fr-CA"/>
        </w:rPr>
        <w:t xml:space="preserve"> Les pays visés à l'article 5 qui possèdent des fours à ciment pouvant être utilisés pour la destruction des substances réglementées non désirées </w:t>
      </w:r>
      <w:r>
        <w:rPr>
          <w:lang w:val="fr-CA"/>
        </w:rPr>
        <w:t>pourraient</w:t>
      </w:r>
      <w:r w:rsidRPr="00C43B03">
        <w:rPr>
          <w:lang w:val="fr-CA"/>
        </w:rPr>
        <w:t xml:space="preserve"> </w:t>
      </w:r>
      <w:r>
        <w:rPr>
          <w:lang w:val="fr-CA"/>
        </w:rPr>
        <w:t xml:space="preserve">être tenus de modifier leurs fours </w:t>
      </w:r>
      <w:r w:rsidRPr="00C43B03">
        <w:rPr>
          <w:lang w:val="fr-CA"/>
        </w:rPr>
        <w:t>afin d’atteindre les normes de destruction convenues par les Parties au Protocole de Montréal.</w:t>
      </w:r>
    </w:p>
  </w:footnote>
  <w:footnote w:id="14">
    <w:p w14:paraId="06975A8E" w14:textId="0A4E7B16" w:rsidR="00895D8B" w:rsidRPr="008927B5" w:rsidRDefault="00895D8B" w:rsidP="00E80DCA">
      <w:pPr>
        <w:pStyle w:val="FootnoteText"/>
        <w:rPr>
          <w:lang w:val="fr-CA"/>
        </w:rPr>
      </w:pPr>
      <w:r w:rsidRPr="008927B5">
        <w:rPr>
          <w:rStyle w:val="FootnoteReference"/>
          <w:lang w:val="fr-CA"/>
        </w:rPr>
        <w:footnoteRef/>
      </w:r>
      <w:r w:rsidRPr="008927B5">
        <w:rPr>
          <w:lang w:val="fr-CA"/>
        </w:rPr>
        <w:t xml:space="preserve"> UNEP/</w:t>
      </w:r>
      <w:proofErr w:type="spellStart"/>
      <w:r w:rsidRPr="008927B5">
        <w:rPr>
          <w:lang w:val="fr-CA"/>
        </w:rPr>
        <w:t>OzL.Pro</w:t>
      </w:r>
      <w:proofErr w:type="spellEnd"/>
      <w:r w:rsidRPr="008927B5">
        <w:rPr>
          <w:lang w:val="fr-CA"/>
        </w:rPr>
        <w:t>/</w:t>
      </w:r>
      <w:proofErr w:type="spellStart"/>
      <w:r w:rsidRPr="008927B5">
        <w:rPr>
          <w:lang w:val="fr-CA"/>
        </w:rPr>
        <w:t>ExCom</w:t>
      </w:r>
      <w:proofErr w:type="spellEnd"/>
      <w:r w:rsidRPr="008927B5">
        <w:rPr>
          <w:lang w:val="fr-CA"/>
        </w:rPr>
        <w:t>/87</w:t>
      </w:r>
      <w:r>
        <w:rPr>
          <w:lang w:val="fr-CA"/>
        </w:rPr>
        <w:t>/45</w:t>
      </w:r>
    </w:p>
  </w:footnote>
  <w:footnote w:id="15">
    <w:p w14:paraId="1DEFDC88" w14:textId="354E8C5C" w:rsidR="00895D8B" w:rsidRPr="008927B5" w:rsidRDefault="00895D8B" w:rsidP="005B612E">
      <w:pPr>
        <w:pStyle w:val="FootnoteText"/>
        <w:rPr>
          <w:lang w:val="fr-CA"/>
        </w:rPr>
      </w:pPr>
      <w:r w:rsidRPr="008927B5">
        <w:rPr>
          <w:rStyle w:val="FootnoteReference"/>
          <w:lang w:val="fr-CA"/>
        </w:rPr>
        <w:footnoteRef/>
      </w:r>
      <w:r w:rsidRPr="008927B5">
        <w:rPr>
          <w:lang w:val="fr-CA"/>
        </w:rPr>
        <w:t xml:space="preserve"> </w:t>
      </w:r>
      <w:r>
        <w:rPr>
          <w:lang w:val="fr-CA"/>
        </w:rPr>
        <w:t>Le rapport sur la protection de la couche d’ozone et du système climatique mondial (Groupe d’experts intergouvernemental sur l’évolution du climat (GIEC)/Groupe de l’évaluation technique et économique de 2005, définit les banques de SAO comme la quantité totale de substances contenue dans l’équipement existant, les stocks de produits chimiques, les mousses et autres produits, n’ayant pas encore été dégagée dans l’atmosphère</w:t>
      </w:r>
      <w:r w:rsidRPr="008927B5">
        <w:rPr>
          <w:lang w:val="fr-CA"/>
        </w:rPr>
        <w:t>.</w:t>
      </w:r>
    </w:p>
  </w:footnote>
  <w:footnote w:id="16">
    <w:p w14:paraId="375090B9" w14:textId="0099F169" w:rsidR="00895D8B" w:rsidRPr="002F109A" w:rsidRDefault="00895D8B" w:rsidP="00C36444">
      <w:pPr>
        <w:pStyle w:val="FootnoteText"/>
        <w:rPr>
          <w:lang w:val="fr-CA"/>
        </w:rPr>
      </w:pPr>
      <w:r>
        <w:rPr>
          <w:rStyle w:val="FootnoteReference"/>
        </w:rPr>
        <w:footnoteRef/>
      </w:r>
      <w:r w:rsidRPr="007B49F3">
        <w:rPr>
          <w:lang w:val="fr-CA"/>
        </w:rPr>
        <w:t xml:space="preserve"> </w:t>
      </w:r>
      <w:r w:rsidRPr="002F109A">
        <w:rPr>
          <w:lang w:val="fr-CA"/>
        </w:rPr>
        <w:t>De prier le Comité exécutif d’envisager d’urgence de démarrer des projets pilotes sur la collecte, le transport, le stockage et la destruction des substances qui appauvrissent la couche d’ozone. Dans un premier temps, le Comité exécutif pourrait envisager en priorité des projets axés sur les stocks de substances déjà constitués ayant un potentiel de réchauffement global net élevé, qui seraient menés dans un échantillon représentatif de la diversité régionale des Parties visé</w:t>
      </w:r>
      <w:r>
        <w:rPr>
          <w:lang w:val="fr-CA"/>
        </w:rPr>
        <w:t>e</w:t>
      </w:r>
      <w:r w:rsidRPr="002F109A">
        <w:rPr>
          <w:lang w:val="fr-CA"/>
        </w:rPr>
        <w:t>s à l'article 5. Il est entendu que cette priorité initiale n’empêcherait pas le démarrage d’autres types de projets pilotes, y compris des projets portant sur les halons et le tétrachlorure de carbone, au cas où ceux-ci auraient une grande utilité en tant que projets de démonstration. Outre la protection de la couche d’ozone, ces projets auront pour but d’acquérir des données et une expérience pratique sur la gestion et les modalités de financement, d’obtenir des bienfaits pour le climat et d’explorer les possibilités de mobiliser un cofinancement. De noter que t</w:t>
      </w:r>
      <w:r>
        <w:rPr>
          <w:lang w:val="fr-CA"/>
        </w:rPr>
        <w:t>out</w:t>
      </w:r>
      <w:r w:rsidRPr="002F109A">
        <w:rPr>
          <w:lang w:val="fr-CA"/>
        </w:rPr>
        <w:t xml:space="preserve"> projet mis en œuvre conformément à la présente décision devrait, le cas échéant, répondre aux exigences nationales, régionales et/ou internationales telles que celles imposées par la Convention de Bâle et la Convention de Rotterdam.</w:t>
      </w:r>
    </w:p>
  </w:footnote>
  <w:footnote w:id="17">
    <w:p w14:paraId="28CCD27D" w14:textId="2E6E3CA0" w:rsidR="00895D8B" w:rsidRPr="002F109A" w:rsidRDefault="00895D8B" w:rsidP="00C36444">
      <w:pPr>
        <w:pStyle w:val="FootnoteText"/>
        <w:rPr>
          <w:lang w:val="fr-CA"/>
        </w:rPr>
      </w:pPr>
      <w:r w:rsidRPr="002F109A">
        <w:rPr>
          <w:rStyle w:val="FootnoteReference"/>
          <w:lang w:val="fr-CA"/>
        </w:rPr>
        <w:footnoteRef/>
      </w:r>
      <w:r w:rsidRPr="002F109A">
        <w:rPr>
          <w:lang w:val="fr-CA"/>
        </w:rPr>
        <w:t xml:space="preserve"> D’établir une fenêtre pour la destruction des SAO pour les pays à faible volume de consommation, conformément à la décision XXI/2 de la vingt et unième réunion des Parties, pour la somme de 3 millions $</w:t>
      </w:r>
      <w:proofErr w:type="gramStart"/>
      <w:r w:rsidRPr="002F109A">
        <w:rPr>
          <w:lang w:val="fr-CA"/>
        </w:rPr>
        <w:t>US;</w:t>
      </w:r>
      <w:proofErr w:type="gramEnd"/>
    </w:p>
  </w:footnote>
  <w:footnote w:id="18">
    <w:p w14:paraId="54B3D19C" w14:textId="309C6584" w:rsidR="00895D8B" w:rsidRPr="002F109A" w:rsidRDefault="00895D8B" w:rsidP="00C36444">
      <w:pPr>
        <w:pStyle w:val="FootnoteText"/>
        <w:rPr>
          <w:lang w:val="fr-CA"/>
        </w:rPr>
      </w:pPr>
      <w:r w:rsidRPr="002F109A">
        <w:rPr>
          <w:rStyle w:val="FootnoteReference"/>
          <w:lang w:val="fr-CA"/>
        </w:rPr>
        <w:footnoteRef/>
      </w:r>
      <w:r w:rsidRPr="002F109A">
        <w:rPr>
          <w:lang w:val="fr-CA"/>
        </w:rPr>
        <w:t xml:space="preserve"> L’Inde et le projet de la région Asie et Pacifique proposé par le Japon.</w:t>
      </w:r>
    </w:p>
  </w:footnote>
  <w:footnote w:id="19">
    <w:p w14:paraId="117D4376" w14:textId="2ABCD068" w:rsidR="00895D8B" w:rsidRPr="002F109A" w:rsidRDefault="00895D8B" w:rsidP="00C36444">
      <w:pPr>
        <w:pStyle w:val="FootnoteText"/>
        <w:rPr>
          <w:lang w:val="fr-CA"/>
        </w:rPr>
      </w:pPr>
      <w:r w:rsidRPr="002F109A">
        <w:rPr>
          <w:rStyle w:val="FootnoteReference"/>
          <w:lang w:val="fr-CA"/>
        </w:rPr>
        <w:footnoteRef/>
      </w:r>
      <w:r w:rsidRPr="002F109A">
        <w:rPr>
          <w:lang w:val="fr-CA"/>
        </w:rPr>
        <w:t xml:space="preserve"> La stratégie d’élimination et de destruction des SAO pour cinq pays de l’Afrique centrale (Burundi, Cameroun, République centrafricaine, Congo et Guinée) a été présenté</w:t>
      </w:r>
      <w:r>
        <w:rPr>
          <w:lang w:val="fr-CA"/>
        </w:rPr>
        <w:t>e</w:t>
      </w:r>
      <w:r w:rsidRPr="002F109A">
        <w:rPr>
          <w:lang w:val="fr-CA"/>
        </w:rPr>
        <w:t xml:space="preserve"> </w:t>
      </w:r>
      <w:r>
        <w:rPr>
          <w:lang w:val="fr-CA"/>
        </w:rPr>
        <w:t>s</w:t>
      </w:r>
      <w:r w:rsidRPr="002F109A">
        <w:rPr>
          <w:lang w:val="fr-CA"/>
        </w:rPr>
        <w:t>ans financement pour la préparation du projet. Il est proposé d’élaborer une stratégie régionale pour les pays à faible volume de consommation afin d’éliminer les stocks de SAO non désiré</w:t>
      </w:r>
      <w:r>
        <w:rPr>
          <w:lang w:val="fr-CA"/>
        </w:rPr>
        <w:t>es</w:t>
      </w:r>
      <w:r w:rsidRPr="002F109A">
        <w:rPr>
          <w:lang w:val="fr-CA"/>
        </w:rPr>
        <w:t>. Le projet a été annulé à cause de difficultés dans la mise en œuvre.</w:t>
      </w:r>
    </w:p>
  </w:footnote>
  <w:footnote w:id="20">
    <w:p w14:paraId="0D91CE07" w14:textId="40D19F63" w:rsidR="00895D8B" w:rsidRPr="002F109A" w:rsidRDefault="00895D8B" w:rsidP="00C36444">
      <w:pPr>
        <w:pStyle w:val="FootnoteText"/>
        <w:rPr>
          <w:lang w:val="fr-CA"/>
        </w:rPr>
      </w:pPr>
      <w:r w:rsidRPr="002F109A">
        <w:rPr>
          <w:rStyle w:val="FootnoteReference"/>
          <w:lang w:val="fr-CA"/>
        </w:rPr>
        <w:footnoteRef/>
      </w:r>
      <w:r w:rsidRPr="002F109A">
        <w:rPr>
          <w:lang w:val="fr-CA"/>
        </w:rPr>
        <w:t xml:space="preserve"> Le projet mondial pour la Banque mondiale consistait en une étude visant à examiner les occasions de financement de la destruction des SAO. Il a été approuvé à l’extérieur des lignes directrices sur les projets d’élimination des SAO et n’était pas inclus dans le rapport de synthèse.</w:t>
      </w:r>
    </w:p>
  </w:footnote>
  <w:footnote w:id="21">
    <w:p w14:paraId="2D9992F3" w14:textId="476638A6" w:rsidR="00895D8B" w:rsidRPr="00BD6822" w:rsidRDefault="00895D8B" w:rsidP="007717BB">
      <w:pPr>
        <w:pStyle w:val="FootnoteText"/>
        <w:rPr>
          <w:lang w:val="fr-CA"/>
        </w:rPr>
      </w:pPr>
      <w:r>
        <w:rPr>
          <w:rStyle w:val="FootnoteReference"/>
        </w:rPr>
        <w:footnoteRef/>
      </w:r>
      <w:r w:rsidRPr="00BD6822">
        <w:rPr>
          <w:lang w:val="fr-CA"/>
        </w:rPr>
        <w:t xml:space="preserve"> UNEP/OzL.Pro/ExCom/64/49 </w:t>
      </w:r>
      <w:r>
        <w:rPr>
          <w:lang w:val="fr-CA"/>
        </w:rPr>
        <w:t>Rapport sur l’expérience acquise dans la mise en œuvre des projets de destruction des SAO</w:t>
      </w:r>
      <w:r w:rsidRPr="00BD6822">
        <w:rPr>
          <w:lang w:val="fr-CA"/>
        </w:rPr>
        <w:t xml:space="preserve"> (d</w:t>
      </w:r>
      <w:r>
        <w:rPr>
          <w:lang w:val="fr-CA"/>
        </w:rPr>
        <w:t>é</w:t>
      </w:r>
      <w:r w:rsidRPr="00BD6822">
        <w:rPr>
          <w:lang w:val="fr-CA"/>
        </w:rPr>
        <w:t>cision 58/10)</w:t>
      </w:r>
    </w:p>
  </w:footnote>
  <w:footnote w:id="22">
    <w:p w14:paraId="3492F3C0" w14:textId="5957B7FD" w:rsidR="00895D8B" w:rsidRPr="00BD6822" w:rsidRDefault="00895D8B" w:rsidP="00462F03">
      <w:pPr>
        <w:pStyle w:val="FootnoteText"/>
        <w:rPr>
          <w:lang w:val="fr-CA"/>
        </w:rPr>
      </w:pPr>
      <w:r w:rsidRPr="00BD6822">
        <w:rPr>
          <w:rStyle w:val="FootnoteReference"/>
          <w:lang w:val="fr-CA"/>
        </w:rPr>
        <w:footnoteRef/>
      </w:r>
      <w:r w:rsidRPr="00BD6822">
        <w:rPr>
          <w:lang w:val="fr-CA"/>
        </w:rPr>
        <w:t xml:space="preserve"> UNEP/OzL.Pro/ExCom/70/54 </w:t>
      </w:r>
      <w:r>
        <w:rPr>
          <w:lang w:val="fr-CA"/>
        </w:rPr>
        <w:t>Rapport sue les progrès accomplis et l’expérience acquise dans les projets de démonstration sur la destruction des SAO indésirables</w:t>
      </w:r>
      <w:r w:rsidRPr="00BD6822">
        <w:rPr>
          <w:lang w:val="fr-CA"/>
        </w:rPr>
        <w:t xml:space="preserve"> (d</w:t>
      </w:r>
      <w:r>
        <w:rPr>
          <w:lang w:val="fr-CA"/>
        </w:rPr>
        <w:t>é</w:t>
      </w:r>
      <w:r w:rsidRPr="00BD6822">
        <w:rPr>
          <w:lang w:val="fr-CA"/>
        </w:rPr>
        <w:t>cision 64/50)</w:t>
      </w:r>
    </w:p>
  </w:footnote>
  <w:footnote w:id="23">
    <w:p w14:paraId="12473963" w14:textId="7E7C1395" w:rsidR="00895D8B" w:rsidRPr="00A652DF" w:rsidRDefault="00895D8B" w:rsidP="000609DB">
      <w:pPr>
        <w:rPr>
          <w:lang w:val="fr-CA"/>
        </w:rPr>
      </w:pPr>
      <w:r>
        <w:rPr>
          <w:rStyle w:val="FootnoteReference"/>
        </w:rPr>
        <w:footnoteRef/>
      </w:r>
      <w:r w:rsidRPr="00A652DF">
        <w:rPr>
          <w:lang w:val="fr-CA"/>
        </w:rPr>
        <w:t xml:space="preserve"> </w:t>
      </w:r>
      <w:r>
        <w:rPr>
          <w:sz w:val="20"/>
          <w:szCs w:val="20"/>
          <w:lang w:val="fr-CA"/>
        </w:rPr>
        <w:t xml:space="preserve">Les développeurs de projets proposent un projet en </w:t>
      </w:r>
      <w:proofErr w:type="spellStart"/>
      <w:r>
        <w:rPr>
          <w:sz w:val="20"/>
          <w:szCs w:val="20"/>
          <w:lang w:val="fr-CA"/>
        </w:rPr>
        <w:t>téléversant</w:t>
      </w:r>
      <w:proofErr w:type="spellEnd"/>
      <w:r>
        <w:rPr>
          <w:sz w:val="20"/>
          <w:szCs w:val="20"/>
          <w:lang w:val="fr-CA"/>
        </w:rPr>
        <w:t xml:space="preserve"> les formulaires requis et les documents justificatifs demandés dans le programme en ligne de </w:t>
      </w:r>
      <w:proofErr w:type="spellStart"/>
      <w:r>
        <w:rPr>
          <w:sz w:val="20"/>
          <w:szCs w:val="20"/>
          <w:lang w:val="fr-CA"/>
        </w:rPr>
        <w:t>Climate</w:t>
      </w:r>
      <w:proofErr w:type="spellEnd"/>
      <w:r>
        <w:rPr>
          <w:sz w:val="20"/>
          <w:szCs w:val="20"/>
          <w:lang w:val="fr-CA"/>
        </w:rPr>
        <w:t xml:space="preserve"> Action Reverse</w:t>
      </w:r>
      <w:r w:rsidRPr="00A652DF">
        <w:rPr>
          <w:sz w:val="20"/>
          <w:szCs w:val="20"/>
          <w:lang w:val="fr-CA"/>
        </w:rPr>
        <w:t>.</w:t>
      </w:r>
      <w:r>
        <w:rPr>
          <w:sz w:val="20"/>
          <w:szCs w:val="20"/>
          <w:lang w:val="fr-CA"/>
        </w:rPr>
        <w:t xml:space="preserve"> Le personnel de la Reserve fait une première analyse du projet afin d’en déterminer l’admissibilité. Les projets admissibles sont affichés sur le site de la Reserve, où on leur attribue le statut « reçu ». La prochaine étape consiste à faire vérifier le projet par un organisme de vérification accrédité. Lorsque la vérification est terminée, le personnel de la Réserve examine les documents de vérification. Les projets qui réussissent ce dernier examen se voient attribuer le statut « inscrit » et une CRT est émise.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260A" w14:textId="0C0ECA2F" w:rsidR="00895D8B" w:rsidRDefault="00895D8B">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/87/48</w:t>
    </w:r>
    <w:r>
      <w:fldChar w:fldCharType="end"/>
    </w:r>
  </w:p>
  <w:p w14:paraId="076826F3" w14:textId="77777777" w:rsidR="00895D8B" w:rsidRPr="0033525D" w:rsidRDefault="00895D8B"/>
  <w:p w14:paraId="41AAFF89" w14:textId="77777777" w:rsidR="00895D8B" w:rsidRPr="0033525D" w:rsidRDefault="00895D8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578A" w14:textId="60750DF7" w:rsidR="00895D8B" w:rsidRDefault="00895D8B">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/87/48</w:t>
    </w:r>
    <w:r>
      <w:fldChar w:fldCharType="end"/>
    </w:r>
  </w:p>
  <w:p w14:paraId="697853E6" w14:textId="0C060373" w:rsidR="00895D8B" w:rsidRDefault="00895D8B">
    <w:pPr>
      <w:jc w:val="right"/>
    </w:pPr>
  </w:p>
  <w:p w14:paraId="5DBF01D5" w14:textId="77777777" w:rsidR="00895D8B" w:rsidRPr="0033525D" w:rsidRDefault="00895D8B">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3F68" w14:textId="77777777" w:rsidR="00090E3C" w:rsidRDefault="00090E3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7885" w14:textId="0F68B375" w:rsidR="00895D8B" w:rsidRDefault="00895D8B">
    <w:r>
      <w:fldChar w:fldCharType="begin"/>
    </w:r>
    <w:r>
      <w:instrText xml:space="preserve"> DOCPROPERTY "Document number"  \* MERGEFORMAT </w:instrText>
    </w:r>
    <w:r>
      <w:fldChar w:fldCharType="separate"/>
    </w:r>
    <w:r w:rsidR="00090E3C">
      <w:t>UNEP/</w:t>
    </w:r>
    <w:proofErr w:type="spellStart"/>
    <w:r w:rsidR="00090E3C">
      <w:t>OzL.Pro</w:t>
    </w:r>
    <w:proofErr w:type="spellEnd"/>
    <w:r w:rsidR="00090E3C">
      <w:t>/</w:t>
    </w:r>
    <w:proofErr w:type="spellStart"/>
    <w:r w:rsidR="00090E3C">
      <w:t>ExCom</w:t>
    </w:r>
    <w:proofErr w:type="spellEnd"/>
    <w:r w:rsidR="00090E3C">
      <w:t>/87/48</w:t>
    </w:r>
    <w:r>
      <w:fldChar w:fldCharType="end"/>
    </w:r>
  </w:p>
  <w:p w14:paraId="0AB235AD" w14:textId="071A7B72" w:rsidR="00895D8B" w:rsidRPr="0033525D" w:rsidRDefault="00895D8B">
    <w:r>
      <w:t>Annexe I</w:t>
    </w:r>
  </w:p>
  <w:p w14:paraId="71C1D987" w14:textId="77777777" w:rsidR="00895D8B" w:rsidRPr="0033525D" w:rsidRDefault="00895D8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AB990" w14:textId="4C44465D" w:rsidR="00895D8B" w:rsidRDefault="00895D8B">
    <w:pPr>
      <w:jc w:val="right"/>
    </w:pPr>
    <w:r>
      <w:fldChar w:fldCharType="begin"/>
    </w:r>
    <w:r>
      <w:instrText xml:space="preserve"> DOCPROPERTY "Document number"  \* MERGEFORMAT </w:instrText>
    </w:r>
    <w:r>
      <w:fldChar w:fldCharType="separate"/>
    </w:r>
    <w:r w:rsidR="00090E3C">
      <w:t>UNEP/</w:t>
    </w:r>
    <w:proofErr w:type="spellStart"/>
    <w:r w:rsidR="00090E3C">
      <w:t>OzL.Pro</w:t>
    </w:r>
    <w:proofErr w:type="spellEnd"/>
    <w:r w:rsidR="00090E3C">
      <w:t>/</w:t>
    </w:r>
    <w:proofErr w:type="spellStart"/>
    <w:r w:rsidR="00090E3C">
      <w:t>ExCom</w:t>
    </w:r>
    <w:proofErr w:type="spellEnd"/>
    <w:r w:rsidR="00090E3C">
      <w:t>/87/48</w:t>
    </w:r>
    <w:r>
      <w:fldChar w:fldCharType="end"/>
    </w:r>
  </w:p>
  <w:p w14:paraId="4B6DA4E0" w14:textId="335CB863" w:rsidR="00895D8B" w:rsidRPr="0033525D" w:rsidRDefault="00895D8B" w:rsidP="00253DC5">
    <w:pPr>
      <w:jc w:val="right"/>
    </w:pPr>
    <w:r>
      <w:t>Annexe I</w:t>
    </w:r>
  </w:p>
  <w:p w14:paraId="485AFDDD" w14:textId="77777777" w:rsidR="00895D8B" w:rsidRPr="0033525D" w:rsidRDefault="00895D8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C535" w14:textId="77777777" w:rsidR="00895D8B" w:rsidRDefault="00895D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0468D64"/>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rPr>
        <w:rFonts w:ascii="Times New Roman" w:eastAsia="Times New Roman" w:hAnsi="Times New Roman" w:cs="Times New Roman"/>
        <w:b w:val="0"/>
      </w:rPr>
    </w:lvl>
    <w:lvl w:ilvl="2">
      <w:start w:val="1"/>
      <w:numFmt w:val="lowerRoman"/>
      <w:pStyle w:val="Heading3"/>
      <w:lvlText w:val="%3)"/>
      <w:lvlJc w:val="left"/>
      <w:pPr>
        <w:tabs>
          <w:tab w:val="num" w:pos="0"/>
        </w:tabs>
        <w:ind w:left="2160" w:hanging="720"/>
      </w:pPr>
      <w:rPr>
        <w:rFonts w:ascii="Times New Roman" w:eastAsia="Times New Roman" w:hAnsi="Times New Roman" w:cs="Times New Roman"/>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0902CE"/>
    <w:multiLevelType w:val="hybridMultilevel"/>
    <w:tmpl w:val="51A489B0"/>
    <w:lvl w:ilvl="0" w:tplc="0809000F">
      <w:start w:val="1"/>
      <w:numFmt w:val="decimal"/>
      <w:lvlText w:val="%1."/>
      <w:lvlJc w:val="left"/>
      <w:pPr>
        <w:ind w:left="78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5"/>
  </w:num>
  <w:num w:numId="19">
    <w:abstractNumId w:val="16"/>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mwqAUAPF0b4SwAAAA="/>
  </w:docVars>
  <w:rsids>
    <w:rsidRoot w:val="00E73893"/>
    <w:rsid w:val="00000FED"/>
    <w:rsid w:val="000026AD"/>
    <w:rsid w:val="0000434E"/>
    <w:rsid w:val="000137CD"/>
    <w:rsid w:val="00013A32"/>
    <w:rsid w:val="0001432A"/>
    <w:rsid w:val="00015F35"/>
    <w:rsid w:val="00017DBE"/>
    <w:rsid w:val="000211A9"/>
    <w:rsid w:val="00021A4C"/>
    <w:rsid w:val="00023FB5"/>
    <w:rsid w:val="0002410A"/>
    <w:rsid w:val="00027229"/>
    <w:rsid w:val="00027C8A"/>
    <w:rsid w:val="00031260"/>
    <w:rsid w:val="00031EAB"/>
    <w:rsid w:val="00032CB9"/>
    <w:rsid w:val="000354AC"/>
    <w:rsid w:val="00036048"/>
    <w:rsid w:val="0003681A"/>
    <w:rsid w:val="000372B7"/>
    <w:rsid w:val="00047175"/>
    <w:rsid w:val="00047B3A"/>
    <w:rsid w:val="00050F6E"/>
    <w:rsid w:val="000609DB"/>
    <w:rsid w:val="00061EC2"/>
    <w:rsid w:val="0006398F"/>
    <w:rsid w:val="00080ED0"/>
    <w:rsid w:val="00083480"/>
    <w:rsid w:val="00085B8F"/>
    <w:rsid w:val="00090481"/>
    <w:rsid w:val="00090E3C"/>
    <w:rsid w:val="0009139C"/>
    <w:rsid w:val="00094939"/>
    <w:rsid w:val="000A3826"/>
    <w:rsid w:val="000A5391"/>
    <w:rsid w:val="000A6C26"/>
    <w:rsid w:val="000A7126"/>
    <w:rsid w:val="000B1BEB"/>
    <w:rsid w:val="000C5965"/>
    <w:rsid w:val="000C5AD6"/>
    <w:rsid w:val="000D52A4"/>
    <w:rsid w:val="000E07BC"/>
    <w:rsid w:val="000E5C41"/>
    <w:rsid w:val="000F0A4C"/>
    <w:rsid w:val="000F1CD4"/>
    <w:rsid w:val="000F2C79"/>
    <w:rsid w:val="000F4103"/>
    <w:rsid w:val="000F70A7"/>
    <w:rsid w:val="000F7A8E"/>
    <w:rsid w:val="00104C89"/>
    <w:rsid w:val="001117E4"/>
    <w:rsid w:val="00112285"/>
    <w:rsid w:val="00112B5E"/>
    <w:rsid w:val="00113CCA"/>
    <w:rsid w:val="00122F25"/>
    <w:rsid w:val="00123D47"/>
    <w:rsid w:val="00123FFF"/>
    <w:rsid w:val="00135980"/>
    <w:rsid w:val="001378D2"/>
    <w:rsid w:val="0014205B"/>
    <w:rsid w:val="00143978"/>
    <w:rsid w:val="001465C1"/>
    <w:rsid w:val="001479A3"/>
    <w:rsid w:val="00153EF5"/>
    <w:rsid w:val="00154FD5"/>
    <w:rsid w:val="00164719"/>
    <w:rsid w:val="00164DA3"/>
    <w:rsid w:val="00166FC4"/>
    <w:rsid w:val="001677AC"/>
    <w:rsid w:val="001804EA"/>
    <w:rsid w:val="001826A3"/>
    <w:rsid w:val="00187472"/>
    <w:rsid w:val="00190A61"/>
    <w:rsid w:val="00192D49"/>
    <w:rsid w:val="001943A8"/>
    <w:rsid w:val="001A29A5"/>
    <w:rsid w:val="001A3342"/>
    <w:rsid w:val="001A3E3D"/>
    <w:rsid w:val="001A7049"/>
    <w:rsid w:val="001B02EF"/>
    <w:rsid w:val="001B1E40"/>
    <w:rsid w:val="001B2382"/>
    <w:rsid w:val="001C764E"/>
    <w:rsid w:val="001D37B8"/>
    <w:rsid w:val="001D46D6"/>
    <w:rsid w:val="001D76D7"/>
    <w:rsid w:val="001E1052"/>
    <w:rsid w:val="001E21B1"/>
    <w:rsid w:val="001E2559"/>
    <w:rsid w:val="001E2F93"/>
    <w:rsid w:val="001E40CC"/>
    <w:rsid w:val="001E4554"/>
    <w:rsid w:val="001E61E5"/>
    <w:rsid w:val="001E7F37"/>
    <w:rsid w:val="001F1887"/>
    <w:rsid w:val="001F2159"/>
    <w:rsid w:val="001F5501"/>
    <w:rsid w:val="00202BC6"/>
    <w:rsid w:val="00210B8B"/>
    <w:rsid w:val="00211A3B"/>
    <w:rsid w:val="00214863"/>
    <w:rsid w:val="00215004"/>
    <w:rsid w:val="002156B4"/>
    <w:rsid w:val="002165D0"/>
    <w:rsid w:val="00221522"/>
    <w:rsid w:val="00223B7C"/>
    <w:rsid w:val="00230B40"/>
    <w:rsid w:val="002341BF"/>
    <w:rsid w:val="00234C36"/>
    <w:rsid w:val="00240F4A"/>
    <w:rsid w:val="00241672"/>
    <w:rsid w:val="002514B6"/>
    <w:rsid w:val="0025296C"/>
    <w:rsid w:val="00253222"/>
    <w:rsid w:val="00253DC5"/>
    <w:rsid w:val="00262847"/>
    <w:rsid w:val="002635FE"/>
    <w:rsid w:val="002662E8"/>
    <w:rsid w:val="002733BF"/>
    <w:rsid w:val="00273ACE"/>
    <w:rsid w:val="00274E2F"/>
    <w:rsid w:val="00276FCA"/>
    <w:rsid w:val="00280865"/>
    <w:rsid w:val="00281BB2"/>
    <w:rsid w:val="00282B18"/>
    <w:rsid w:val="00284BD5"/>
    <w:rsid w:val="002A0C59"/>
    <w:rsid w:val="002A3672"/>
    <w:rsid w:val="002A7454"/>
    <w:rsid w:val="002B0902"/>
    <w:rsid w:val="002B1A01"/>
    <w:rsid w:val="002B254E"/>
    <w:rsid w:val="002B72E9"/>
    <w:rsid w:val="002C230F"/>
    <w:rsid w:val="002C7998"/>
    <w:rsid w:val="002D3274"/>
    <w:rsid w:val="002D357D"/>
    <w:rsid w:val="002F0B44"/>
    <w:rsid w:val="002F109A"/>
    <w:rsid w:val="002F1E53"/>
    <w:rsid w:val="002F2CAA"/>
    <w:rsid w:val="002F4461"/>
    <w:rsid w:val="002F45C5"/>
    <w:rsid w:val="0030052C"/>
    <w:rsid w:val="003209FD"/>
    <w:rsid w:val="0032303A"/>
    <w:rsid w:val="00323D7A"/>
    <w:rsid w:val="00325596"/>
    <w:rsid w:val="00330449"/>
    <w:rsid w:val="003306E1"/>
    <w:rsid w:val="00331C8C"/>
    <w:rsid w:val="003320E4"/>
    <w:rsid w:val="0033525D"/>
    <w:rsid w:val="003414F3"/>
    <w:rsid w:val="00347F0D"/>
    <w:rsid w:val="003533DD"/>
    <w:rsid w:val="0035613E"/>
    <w:rsid w:val="00360984"/>
    <w:rsid w:val="00360AF4"/>
    <w:rsid w:val="0036114F"/>
    <w:rsid w:val="00363EE9"/>
    <w:rsid w:val="003737EB"/>
    <w:rsid w:val="00376128"/>
    <w:rsid w:val="0037742E"/>
    <w:rsid w:val="00377D56"/>
    <w:rsid w:val="0038245A"/>
    <w:rsid w:val="00382B1C"/>
    <w:rsid w:val="003840E6"/>
    <w:rsid w:val="00385104"/>
    <w:rsid w:val="003854AA"/>
    <w:rsid w:val="00385CFC"/>
    <w:rsid w:val="0039337A"/>
    <w:rsid w:val="0039558F"/>
    <w:rsid w:val="00396BDB"/>
    <w:rsid w:val="003A0A91"/>
    <w:rsid w:val="003A3024"/>
    <w:rsid w:val="003A3189"/>
    <w:rsid w:val="003A3CA7"/>
    <w:rsid w:val="003B33BD"/>
    <w:rsid w:val="003B4D22"/>
    <w:rsid w:val="003B569D"/>
    <w:rsid w:val="003C2AF4"/>
    <w:rsid w:val="003C2D96"/>
    <w:rsid w:val="003C3C0E"/>
    <w:rsid w:val="003D42A6"/>
    <w:rsid w:val="003D4F21"/>
    <w:rsid w:val="003D4FAC"/>
    <w:rsid w:val="003E2D14"/>
    <w:rsid w:val="003E578C"/>
    <w:rsid w:val="003E7906"/>
    <w:rsid w:val="003F18B0"/>
    <w:rsid w:val="003F1C5E"/>
    <w:rsid w:val="003F2433"/>
    <w:rsid w:val="003F3C50"/>
    <w:rsid w:val="003F6A1A"/>
    <w:rsid w:val="004025F3"/>
    <w:rsid w:val="00405CC0"/>
    <w:rsid w:val="0040661E"/>
    <w:rsid w:val="00406A6A"/>
    <w:rsid w:val="00406B22"/>
    <w:rsid w:val="00413E45"/>
    <w:rsid w:val="0041406D"/>
    <w:rsid w:val="004158F2"/>
    <w:rsid w:val="004328A7"/>
    <w:rsid w:val="00434C74"/>
    <w:rsid w:val="00437A3A"/>
    <w:rsid w:val="00446590"/>
    <w:rsid w:val="00452127"/>
    <w:rsid w:val="0045393E"/>
    <w:rsid w:val="00454C15"/>
    <w:rsid w:val="00456EB4"/>
    <w:rsid w:val="00462F03"/>
    <w:rsid w:val="00464F1A"/>
    <w:rsid w:val="00465E9F"/>
    <w:rsid w:val="004718F3"/>
    <w:rsid w:val="00475040"/>
    <w:rsid w:val="004774CB"/>
    <w:rsid w:val="00477CEE"/>
    <w:rsid w:val="00482459"/>
    <w:rsid w:val="00485988"/>
    <w:rsid w:val="00493D40"/>
    <w:rsid w:val="004967B6"/>
    <w:rsid w:val="004A3FF6"/>
    <w:rsid w:val="004A504B"/>
    <w:rsid w:val="004A6911"/>
    <w:rsid w:val="004B1956"/>
    <w:rsid w:val="004B54E0"/>
    <w:rsid w:val="004B7384"/>
    <w:rsid w:val="004C092B"/>
    <w:rsid w:val="004C299A"/>
    <w:rsid w:val="004C4269"/>
    <w:rsid w:val="004D3631"/>
    <w:rsid w:val="004D6236"/>
    <w:rsid w:val="004D7F90"/>
    <w:rsid w:val="004E12FB"/>
    <w:rsid w:val="004E2444"/>
    <w:rsid w:val="004E2CE7"/>
    <w:rsid w:val="004E4DBB"/>
    <w:rsid w:val="004E4E41"/>
    <w:rsid w:val="004E738E"/>
    <w:rsid w:val="004E7F9C"/>
    <w:rsid w:val="004F00F0"/>
    <w:rsid w:val="004F3493"/>
    <w:rsid w:val="004F5143"/>
    <w:rsid w:val="004F5E67"/>
    <w:rsid w:val="004F6159"/>
    <w:rsid w:val="004F6A4E"/>
    <w:rsid w:val="00500DF3"/>
    <w:rsid w:val="005125E7"/>
    <w:rsid w:val="00512B09"/>
    <w:rsid w:val="00512BB1"/>
    <w:rsid w:val="005160C0"/>
    <w:rsid w:val="00524B11"/>
    <w:rsid w:val="00533796"/>
    <w:rsid w:val="00533B89"/>
    <w:rsid w:val="00534299"/>
    <w:rsid w:val="00534D06"/>
    <w:rsid w:val="00535AD4"/>
    <w:rsid w:val="00537343"/>
    <w:rsid w:val="005439C8"/>
    <w:rsid w:val="005445A8"/>
    <w:rsid w:val="005445C2"/>
    <w:rsid w:val="0055002E"/>
    <w:rsid w:val="00550793"/>
    <w:rsid w:val="00555D75"/>
    <w:rsid w:val="00556638"/>
    <w:rsid w:val="00556B95"/>
    <w:rsid w:val="00560DF0"/>
    <w:rsid w:val="0056759C"/>
    <w:rsid w:val="005702AE"/>
    <w:rsid w:val="005757D5"/>
    <w:rsid w:val="00582BC2"/>
    <w:rsid w:val="00583EAF"/>
    <w:rsid w:val="00584DDD"/>
    <w:rsid w:val="00585FF1"/>
    <w:rsid w:val="00591040"/>
    <w:rsid w:val="00591E5B"/>
    <w:rsid w:val="0059513E"/>
    <w:rsid w:val="005A0D38"/>
    <w:rsid w:val="005A3A05"/>
    <w:rsid w:val="005A6D9F"/>
    <w:rsid w:val="005B48FF"/>
    <w:rsid w:val="005B612E"/>
    <w:rsid w:val="005B6FA2"/>
    <w:rsid w:val="005C1D41"/>
    <w:rsid w:val="005D363F"/>
    <w:rsid w:val="005D7B2E"/>
    <w:rsid w:val="005E7929"/>
    <w:rsid w:val="005F2262"/>
    <w:rsid w:val="006038B5"/>
    <w:rsid w:val="00604C15"/>
    <w:rsid w:val="00606C55"/>
    <w:rsid w:val="00610D05"/>
    <w:rsid w:val="0061514A"/>
    <w:rsid w:val="006158D5"/>
    <w:rsid w:val="00625D83"/>
    <w:rsid w:val="00627875"/>
    <w:rsid w:val="00635E74"/>
    <w:rsid w:val="0064012C"/>
    <w:rsid w:val="0065562F"/>
    <w:rsid w:val="00660650"/>
    <w:rsid w:val="006623E7"/>
    <w:rsid w:val="00662B80"/>
    <w:rsid w:val="00670CF0"/>
    <w:rsid w:val="00670F6C"/>
    <w:rsid w:val="006852C7"/>
    <w:rsid w:val="006852CE"/>
    <w:rsid w:val="00685CE4"/>
    <w:rsid w:val="00695E3E"/>
    <w:rsid w:val="006962BB"/>
    <w:rsid w:val="006B0FAF"/>
    <w:rsid w:val="006B3D3B"/>
    <w:rsid w:val="006C1727"/>
    <w:rsid w:val="006C236B"/>
    <w:rsid w:val="006C32FD"/>
    <w:rsid w:val="006C39CE"/>
    <w:rsid w:val="006C77F0"/>
    <w:rsid w:val="006D0FCC"/>
    <w:rsid w:val="006D21F5"/>
    <w:rsid w:val="006D4957"/>
    <w:rsid w:val="006E1FC3"/>
    <w:rsid w:val="006E2AA5"/>
    <w:rsid w:val="006E2C4A"/>
    <w:rsid w:val="006F0937"/>
    <w:rsid w:val="006F4ADC"/>
    <w:rsid w:val="006F73B4"/>
    <w:rsid w:val="006F7584"/>
    <w:rsid w:val="006F76C6"/>
    <w:rsid w:val="007032D1"/>
    <w:rsid w:val="00704CE9"/>
    <w:rsid w:val="0070517B"/>
    <w:rsid w:val="0070616B"/>
    <w:rsid w:val="00706295"/>
    <w:rsid w:val="00706FDA"/>
    <w:rsid w:val="00707889"/>
    <w:rsid w:val="00711F9A"/>
    <w:rsid w:val="00713810"/>
    <w:rsid w:val="00723C42"/>
    <w:rsid w:val="007303A5"/>
    <w:rsid w:val="00730B3E"/>
    <w:rsid w:val="00733223"/>
    <w:rsid w:val="0073420B"/>
    <w:rsid w:val="00734458"/>
    <w:rsid w:val="00735BC5"/>
    <w:rsid w:val="0074760E"/>
    <w:rsid w:val="007546A4"/>
    <w:rsid w:val="00754ABA"/>
    <w:rsid w:val="00764593"/>
    <w:rsid w:val="007717BB"/>
    <w:rsid w:val="00773F07"/>
    <w:rsid w:val="00776B36"/>
    <w:rsid w:val="00776F68"/>
    <w:rsid w:val="007868FA"/>
    <w:rsid w:val="00787E50"/>
    <w:rsid w:val="0079304A"/>
    <w:rsid w:val="007935C1"/>
    <w:rsid w:val="007A1546"/>
    <w:rsid w:val="007A228C"/>
    <w:rsid w:val="007A368E"/>
    <w:rsid w:val="007A4DC8"/>
    <w:rsid w:val="007A5868"/>
    <w:rsid w:val="007A682B"/>
    <w:rsid w:val="007B04CE"/>
    <w:rsid w:val="007B3B62"/>
    <w:rsid w:val="007B49F3"/>
    <w:rsid w:val="007B6871"/>
    <w:rsid w:val="007B7A2F"/>
    <w:rsid w:val="007B7F1E"/>
    <w:rsid w:val="007C04ED"/>
    <w:rsid w:val="007C07DF"/>
    <w:rsid w:val="007C2DC5"/>
    <w:rsid w:val="007C3D33"/>
    <w:rsid w:val="007D294A"/>
    <w:rsid w:val="007D47D2"/>
    <w:rsid w:val="007D63B8"/>
    <w:rsid w:val="007D6EC0"/>
    <w:rsid w:val="007D7E1D"/>
    <w:rsid w:val="007E45BE"/>
    <w:rsid w:val="007E784C"/>
    <w:rsid w:val="007F4B89"/>
    <w:rsid w:val="007F609B"/>
    <w:rsid w:val="00801B73"/>
    <w:rsid w:val="00802972"/>
    <w:rsid w:val="00811662"/>
    <w:rsid w:val="00831979"/>
    <w:rsid w:val="00840B11"/>
    <w:rsid w:val="008418A8"/>
    <w:rsid w:val="00844930"/>
    <w:rsid w:val="00851352"/>
    <w:rsid w:val="00857077"/>
    <w:rsid w:val="00860823"/>
    <w:rsid w:val="00860B90"/>
    <w:rsid w:val="00862098"/>
    <w:rsid w:val="00863230"/>
    <w:rsid w:val="008639B0"/>
    <w:rsid w:val="00865BD0"/>
    <w:rsid w:val="00865EFB"/>
    <w:rsid w:val="008700C4"/>
    <w:rsid w:val="00870A8A"/>
    <w:rsid w:val="008717D8"/>
    <w:rsid w:val="0087215C"/>
    <w:rsid w:val="00875D25"/>
    <w:rsid w:val="00880623"/>
    <w:rsid w:val="00880E35"/>
    <w:rsid w:val="008847AB"/>
    <w:rsid w:val="008875FE"/>
    <w:rsid w:val="00887F8E"/>
    <w:rsid w:val="008927B5"/>
    <w:rsid w:val="00895D8B"/>
    <w:rsid w:val="00896234"/>
    <w:rsid w:val="00897E43"/>
    <w:rsid w:val="008A0003"/>
    <w:rsid w:val="008A2452"/>
    <w:rsid w:val="008A475C"/>
    <w:rsid w:val="008A7DD4"/>
    <w:rsid w:val="008B2813"/>
    <w:rsid w:val="008C5738"/>
    <w:rsid w:val="008C7297"/>
    <w:rsid w:val="008C7EAD"/>
    <w:rsid w:val="008D0562"/>
    <w:rsid w:val="008D0CFE"/>
    <w:rsid w:val="008D6152"/>
    <w:rsid w:val="008F0F81"/>
    <w:rsid w:val="008F202D"/>
    <w:rsid w:val="008F27BF"/>
    <w:rsid w:val="00900C03"/>
    <w:rsid w:val="009142EC"/>
    <w:rsid w:val="009154C3"/>
    <w:rsid w:val="00915BEF"/>
    <w:rsid w:val="00920CAD"/>
    <w:rsid w:val="00923540"/>
    <w:rsid w:val="00926767"/>
    <w:rsid w:val="0093248E"/>
    <w:rsid w:val="009361D5"/>
    <w:rsid w:val="009428A4"/>
    <w:rsid w:val="00953DBF"/>
    <w:rsid w:val="00955757"/>
    <w:rsid w:val="0095575E"/>
    <w:rsid w:val="0096266E"/>
    <w:rsid w:val="009659F4"/>
    <w:rsid w:val="00970D60"/>
    <w:rsid w:val="00971E33"/>
    <w:rsid w:val="009804DA"/>
    <w:rsid w:val="00987FB8"/>
    <w:rsid w:val="009904F1"/>
    <w:rsid w:val="009909C2"/>
    <w:rsid w:val="00992E36"/>
    <w:rsid w:val="0099390E"/>
    <w:rsid w:val="009960E5"/>
    <w:rsid w:val="009962FE"/>
    <w:rsid w:val="009A20AB"/>
    <w:rsid w:val="009A7ADC"/>
    <w:rsid w:val="009B4C91"/>
    <w:rsid w:val="009B629B"/>
    <w:rsid w:val="009B6CEC"/>
    <w:rsid w:val="009B765A"/>
    <w:rsid w:val="009C13DF"/>
    <w:rsid w:val="009C19B7"/>
    <w:rsid w:val="009C5ABB"/>
    <w:rsid w:val="009D5E4E"/>
    <w:rsid w:val="009D5E8C"/>
    <w:rsid w:val="009D6B08"/>
    <w:rsid w:val="009D7C51"/>
    <w:rsid w:val="009E196C"/>
    <w:rsid w:val="009E3457"/>
    <w:rsid w:val="009F23B6"/>
    <w:rsid w:val="009F36BF"/>
    <w:rsid w:val="009F36F8"/>
    <w:rsid w:val="009F442E"/>
    <w:rsid w:val="009F7573"/>
    <w:rsid w:val="00A0423C"/>
    <w:rsid w:val="00A04356"/>
    <w:rsid w:val="00A04536"/>
    <w:rsid w:val="00A111B6"/>
    <w:rsid w:val="00A14AF7"/>
    <w:rsid w:val="00A17703"/>
    <w:rsid w:val="00A26536"/>
    <w:rsid w:val="00A26D27"/>
    <w:rsid w:val="00A35E24"/>
    <w:rsid w:val="00A376EE"/>
    <w:rsid w:val="00A377AF"/>
    <w:rsid w:val="00A42A06"/>
    <w:rsid w:val="00A42A99"/>
    <w:rsid w:val="00A512EF"/>
    <w:rsid w:val="00A5151A"/>
    <w:rsid w:val="00A57E0A"/>
    <w:rsid w:val="00A652DF"/>
    <w:rsid w:val="00A65D3C"/>
    <w:rsid w:val="00A667FC"/>
    <w:rsid w:val="00A77BB8"/>
    <w:rsid w:val="00A8235A"/>
    <w:rsid w:val="00A823F6"/>
    <w:rsid w:val="00A8535A"/>
    <w:rsid w:val="00A8719E"/>
    <w:rsid w:val="00A91C0C"/>
    <w:rsid w:val="00A93119"/>
    <w:rsid w:val="00A95D9C"/>
    <w:rsid w:val="00AA0A89"/>
    <w:rsid w:val="00AA0C4E"/>
    <w:rsid w:val="00AA16B0"/>
    <w:rsid w:val="00AA3435"/>
    <w:rsid w:val="00AA5EF3"/>
    <w:rsid w:val="00AA6429"/>
    <w:rsid w:val="00AA737E"/>
    <w:rsid w:val="00AB07BC"/>
    <w:rsid w:val="00AC01AA"/>
    <w:rsid w:val="00AC13D3"/>
    <w:rsid w:val="00AC1D44"/>
    <w:rsid w:val="00AC4F72"/>
    <w:rsid w:val="00AD04C6"/>
    <w:rsid w:val="00AD42D2"/>
    <w:rsid w:val="00AD5D13"/>
    <w:rsid w:val="00AD6390"/>
    <w:rsid w:val="00AD7EFB"/>
    <w:rsid w:val="00AF741A"/>
    <w:rsid w:val="00B01ADB"/>
    <w:rsid w:val="00B0343B"/>
    <w:rsid w:val="00B04161"/>
    <w:rsid w:val="00B056F9"/>
    <w:rsid w:val="00B11E3D"/>
    <w:rsid w:val="00B1288A"/>
    <w:rsid w:val="00B12F6D"/>
    <w:rsid w:val="00B1458B"/>
    <w:rsid w:val="00B14D9B"/>
    <w:rsid w:val="00B17E82"/>
    <w:rsid w:val="00B20648"/>
    <w:rsid w:val="00B32FC5"/>
    <w:rsid w:val="00B33E3D"/>
    <w:rsid w:val="00B3704A"/>
    <w:rsid w:val="00B4575A"/>
    <w:rsid w:val="00B47E84"/>
    <w:rsid w:val="00B50CE1"/>
    <w:rsid w:val="00B55091"/>
    <w:rsid w:val="00B575BA"/>
    <w:rsid w:val="00B62799"/>
    <w:rsid w:val="00B64157"/>
    <w:rsid w:val="00B7041D"/>
    <w:rsid w:val="00B71608"/>
    <w:rsid w:val="00B72952"/>
    <w:rsid w:val="00B76429"/>
    <w:rsid w:val="00B77BEA"/>
    <w:rsid w:val="00B805FC"/>
    <w:rsid w:val="00B813B4"/>
    <w:rsid w:val="00B81941"/>
    <w:rsid w:val="00B82463"/>
    <w:rsid w:val="00B93350"/>
    <w:rsid w:val="00B95554"/>
    <w:rsid w:val="00B956D4"/>
    <w:rsid w:val="00B97446"/>
    <w:rsid w:val="00BA63E9"/>
    <w:rsid w:val="00BA7432"/>
    <w:rsid w:val="00BA7B12"/>
    <w:rsid w:val="00BB2DA9"/>
    <w:rsid w:val="00BB5BC8"/>
    <w:rsid w:val="00BC1AA0"/>
    <w:rsid w:val="00BC2495"/>
    <w:rsid w:val="00BC29D5"/>
    <w:rsid w:val="00BC5217"/>
    <w:rsid w:val="00BC7EB9"/>
    <w:rsid w:val="00BD2643"/>
    <w:rsid w:val="00BD5633"/>
    <w:rsid w:val="00BD56B1"/>
    <w:rsid w:val="00BD6558"/>
    <w:rsid w:val="00BD6822"/>
    <w:rsid w:val="00BE3734"/>
    <w:rsid w:val="00BE3EC7"/>
    <w:rsid w:val="00BF2F76"/>
    <w:rsid w:val="00BF3022"/>
    <w:rsid w:val="00BF3214"/>
    <w:rsid w:val="00BF5573"/>
    <w:rsid w:val="00C02FBC"/>
    <w:rsid w:val="00C043E7"/>
    <w:rsid w:val="00C12643"/>
    <w:rsid w:val="00C15867"/>
    <w:rsid w:val="00C16EE4"/>
    <w:rsid w:val="00C2296D"/>
    <w:rsid w:val="00C23155"/>
    <w:rsid w:val="00C25695"/>
    <w:rsid w:val="00C32B1C"/>
    <w:rsid w:val="00C36444"/>
    <w:rsid w:val="00C37EDF"/>
    <w:rsid w:val="00C40C41"/>
    <w:rsid w:val="00C43B03"/>
    <w:rsid w:val="00C440ED"/>
    <w:rsid w:val="00C4532B"/>
    <w:rsid w:val="00C45885"/>
    <w:rsid w:val="00C4796F"/>
    <w:rsid w:val="00C50F22"/>
    <w:rsid w:val="00C528E5"/>
    <w:rsid w:val="00C55DFD"/>
    <w:rsid w:val="00C568AD"/>
    <w:rsid w:val="00C57971"/>
    <w:rsid w:val="00C65839"/>
    <w:rsid w:val="00C658C2"/>
    <w:rsid w:val="00C65BD7"/>
    <w:rsid w:val="00C7641C"/>
    <w:rsid w:val="00C76BA4"/>
    <w:rsid w:val="00C76F81"/>
    <w:rsid w:val="00C775B6"/>
    <w:rsid w:val="00C82F4E"/>
    <w:rsid w:val="00C83A48"/>
    <w:rsid w:val="00C85865"/>
    <w:rsid w:val="00C85E85"/>
    <w:rsid w:val="00C862CA"/>
    <w:rsid w:val="00C92251"/>
    <w:rsid w:val="00C94806"/>
    <w:rsid w:val="00CA2EAE"/>
    <w:rsid w:val="00CA4AC1"/>
    <w:rsid w:val="00CB0316"/>
    <w:rsid w:val="00CB0B11"/>
    <w:rsid w:val="00CB426A"/>
    <w:rsid w:val="00CB5354"/>
    <w:rsid w:val="00CC3C9E"/>
    <w:rsid w:val="00CC5BA0"/>
    <w:rsid w:val="00CC6A14"/>
    <w:rsid w:val="00CC70A3"/>
    <w:rsid w:val="00CC7BA8"/>
    <w:rsid w:val="00CD3A24"/>
    <w:rsid w:val="00CD4442"/>
    <w:rsid w:val="00CD53C3"/>
    <w:rsid w:val="00CD574E"/>
    <w:rsid w:val="00CE0619"/>
    <w:rsid w:val="00CE115B"/>
    <w:rsid w:val="00CE4C22"/>
    <w:rsid w:val="00CF3D1D"/>
    <w:rsid w:val="00CF41EC"/>
    <w:rsid w:val="00CF4AA1"/>
    <w:rsid w:val="00CF5D04"/>
    <w:rsid w:val="00D01FAE"/>
    <w:rsid w:val="00D025C7"/>
    <w:rsid w:val="00D036F8"/>
    <w:rsid w:val="00D04690"/>
    <w:rsid w:val="00D04DE4"/>
    <w:rsid w:val="00D063F1"/>
    <w:rsid w:val="00D064C5"/>
    <w:rsid w:val="00D14F22"/>
    <w:rsid w:val="00D26350"/>
    <w:rsid w:val="00D279CB"/>
    <w:rsid w:val="00D40092"/>
    <w:rsid w:val="00D41F6C"/>
    <w:rsid w:val="00D42723"/>
    <w:rsid w:val="00D43035"/>
    <w:rsid w:val="00D43D00"/>
    <w:rsid w:val="00D45417"/>
    <w:rsid w:val="00D4741C"/>
    <w:rsid w:val="00D5575C"/>
    <w:rsid w:val="00D56C2C"/>
    <w:rsid w:val="00D57589"/>
    <w:rsid w:val="00D57918"/>
    <w:rsid w:val="00D62628"/>
    <w:rsid w:val="00D62720"/>
    <w:rsid w:val="00D66C21"/>
    <w:rsid w:val="00D73DC6"/>
    <w:rsid w:val="00D74C1A"/>
    <w:rsid w:val="00D754C1"/>
    <w:rsid w:val="00D76332"/>
    <w:rsid w:val="00D7650F"/>
    <w:rsid w:val="00D77393"/>
    <w:rsid w:val="00D77A35"/>
    <w:rsid w:val="00D81B3E"/>
    <w:rsid w:val="00D856F7"/>
    <w:rsid w:val="00D90C70"/>
    <w:rsid w:val="00D90E49"/>
    <w:rsid w:val="00D934DE"/>
    <w:rsid w:val="00D963CD"/>
    <w:rsid w:val="00D96ADE"/>
    <w:rsid w:val="00D972BA"/>
    <w:rsid w:val="00D97A94"/>
    <w:rsid w:val="00DA0CE2"/>
    <w:rsid w:val="00DB018C"/>
    <w:rsid w:val="00DB2996"/>
    <w:rsid w:val="00DC6A10"/>
    <w:rsid w:val="00DC6C85"/>
    <w:rsid w:val="00DD22D6"/>
    <w:rsid w:val="00DD4A43"/>
    <w:rsid w:val="00DE5E44"/>
    <w:rsid w:val="00DE657E"/>
    <w:rsid w:val="00DF1FCB"/>
    <w:rsid w:val="00DF22FF"/>
    <w:rsid w:val="00DF4704"/>
    <w:rsid w:val="00DF4A99"/>
    <w:rsid w:val="00E0095B"/>
    <w:rsid w:val="00E024AA"/>
    <w:rsid w:val="00E15273"/>
    <w:rsid w:val="00E17D3D"/>
    <w:rsid w:val="00E250F1"/>
    <w:rsid w:val="00E3210B"/>
    <w:rsid w:val="00E32337"/>
    <w:rsid w:val="00E3535B"/>
    <w:rsid w:val="00E3550D"/>
    <w:rsid w:val="00E3620A"/>
    <w:rsid w:val="00E37DB9"/>
    <w:rsid w:val="00E466AC"/>
    <w:rsid w:val="00E501B2"/>
    <w:rsid w:val="00E52838"/>
    <w:rsid w:val="00E54B8E"/>
    <w:rsid w:val="00E6026F"/>
    <w:rsid w:val="00E606BB"/>
    <w:rsid w:val="00E611D8"/>
    <w:rsid w:val="00E614E0"/>
    <w:rsid w:val="00E63D28"/>
    <w:rsid w:val="00E63FB5"/>
    <w:rsid w:val="00E7073F"/>
    <w:rsid w:val="00E71F34"/>
    <w:rsid w:val="00E73893"/>
    <w:rsid w:val="00E73F7F"/>
    <w:rsid w:val="00E76315"/>
    <w:rsid w:val="00E80DCA"/>
    <w:rsid w:val="00E85409"/>
    <w:rsid w:val="00E915F1"/>
    <w:rsid w:val="00E950DB"/>
    <w:rsid w:val="00E97A0E"/>
    <w:rsid w:val="00EA429F"/>
    <w:rsid w:val="00EA4F9E"/>
    <w:rsid w:val="00EA63CA"/>
    <w:rsid w:val="00EA6793"/>
    <w:rsid w:val="00EA6D3B"/>
    <w:rsid w:val="00EB00AD"/>
    <w:rsid w:val="00EB136C"/>
    <w:rsid w:val="00EB480E"/>
    <w:rsid w:val="00EB5EC6"/>
    <w:rsid w:val="00EB7FC9"/>
    <w:rsid w:val="00EC0BB6"/>
    <w:rsid w:val="00EC3F90"/>
    <w:rsid w:val="00ED025E"/>
    <w:rsid w:val="00ED27E8"/>
    <w:rsid w:val="00ED319A"/>
    <w:rsid w:val="00ED7137"/>
    <w:rsid w:val="00EE6463"/>
    <w:rsid w:val="00EE6B33"/>
    <w:rsid w:val="00EE7DA5"/>
    <w:rsid w:val="00EF06EA"/>
    <w:rsid w:val="00EF1A28"/>
    <w:rsid w:val="00EF31AE"/>
    <w:rsid w:val="00F01099"/>
    <w:rsid w:val="00F044CF"/>
    <w:rsid w:val="00F0565F"/>
    <w:rsid w:val="00F05BD0"/>
    <w:rsid w:val="00F06BE3"/>
    <w:rsid w:val="00F10C17"/>
    <w:rsid w:val="00F11734"/>
    <w:rsid w:val="00F11AFD"/>
    <w:rsid w:val="00F12BB1"/>
    <w:rsid w:val="00F14181"/>
    <w:rsid w:val="00F1585A"/>
    <w:rsid w:val="00F16A73"/>
    <w:rsid w:val="00F21088"/>
    <w:rsid w:val="00F26596"/>
    <w:rsid w:val="00F31586"/>
    <w:rsid w:val="00F327E7"/>
    <w:rsid w:val="00F339D8"/>
    <w:rsid w:val="00F34772"/>
    <w:rsid w:val="00F34FA2"/>
    <w:rsid w:val="00F35746"/>
    <w:rsid w:val="00F371A3"/>
    <w:rsid w:val="00F41170"/>
    <w:rsid w:val="00F447C7"/>
    <w:rsid w:val="00F459B4"/>
    <w:rsid w:val="00F518CC"/>
    <w:rsid w:val="00F5211B"/>
    <w:rsid w:val="00F536E3"/>
    <w:rsid w:val="00F554A9"/>
    <w:rsid w:val="00F61DC3"/>
    <w:rsid w:val="00F61EE8"/>
    <w:rsid w:val="00F62838"/>
    <w:rsid w:val="00F63765"/>
    <w:rsid w:val="00F65032"/>
    <w:rsid w:val="00F66B04"/>
    <w:rsid w:val="00F716FD"/>
    <w:rsid w:val="00F80355"/>
    <w:rsid w:val="00F87C43"/>
    <w:rsid w:val="00F90F14"/>
    <w:rsid w:val="00F93887"/>
    <w:rsid w:val="00FB0C81"/>
    <w:rsid w:val="00FB4D4A"/>
    <w:rsid w:val="00FC2200"/>
    <w:rsid w:val="00FC2540"/>
    <w:rsid w:val="00FC5F37"/>
    <w:rsid w:val="00FD5149"/>
    <w:rsid w:val="00FE2A3A"/>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9B08EA"/>
  <w15:docId w15:val="{15E02754-8C74-404F-8F48-9EDBBE29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3"/>
    <w:basedOn w:val="Normal"/>
    <w:next w:val="Normal"/>
    <w:link w:val="Heading3Char"/>
    <w:uiPriority w:val="9"/>
    <w:qFormat/>
    <w:rsid w:val="0033525D"/>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rsid w:val="00E501B2"/>
    <w:rPr>
      <w:sz w:val="22"/>
      <w:szCs w:val="22"/>
      <w:lang w:val="en-GB"/>
    </w:rPr>
  </w:style>
  <w:style w:type="paragraph" w:styleId="FootnoteText">
    <w:name w:val="footnote text"/>
    <w:aliases w:val="Fußnotentextf,Char1,Char1 Char Char, Char1, Char1 Char Char,Geneva 9,Font: Geneva 9,Boston 10,f,-E Fußnotentext,Fußnotentext Ursprung,-E Fußnotentext1,-E Fußnotentext2,-E Fußnotentext3,Fußnotentext Char1,Fußnotentext Char Char,fn"/>
    <w:basedOn w:val="Normal"/>
    <w:link w:val="FootnoteTextChar"/>
    <w:uiPriority w:val="99"/>
    <w:unhideWhenUsed/>
    <w:qFormat/>
    <w:rsid w:val="00B32FC5"/>
    <w:rPr>
      <w:sz w:val="20"/>
      <w:szCs w:val="20"/>
    </w:rPr>
  </w:style>
  <w:style w:type="character" w:customStyle="1" w:styleId="FootnoteTextChar">
    <w:name w:val="Footnote Text Char"/>
    <w:aliases w:val="Fußnotentextf Char,Char1 Char,Char1 Char Char Char, Char1 Char, Char1 Char Char Char,Geneva 9 Char,Font: Geneva 9 Char,Boston 10 Char,f Char,-E Fußnotentext Char,Fußnotentext Ursprung Char,-E Fußnotentext1 Char,-E Fußnotentext2 Char"/>
    <w:basedOn w:val="DefaultParagraphFont"/>
    <w:link w:val="FootnoteText"/>
    <w:uiPriority w:val="99"/>
    <w:rsid w:val="00B32FC5"/>
    <w:rPr>
      <w:lang w:val="en-GB"/>
    </w:rPr>
  </w:style>
  <w:style w:type="character" w:styleId="FootnoteReference">
    <w:name w:val="footnote reference"/>
    <w:aliases w:val="Footnote text,16 Point,Superscript 6 Point,Footnote Text1,Footnote Text2,number,Footnote reference number,Footnote symbol,note TESI,-E Fußnotenzeichen,SUPERS,stylish,ftref,Footnote Reference Superscript,-E Fuﬂnotenzeichen,fr"/>
    <w:basedOn w:val="DefaultParagraphFont"/>
    <w:link w:val="CharCharCharCharCarChar"/>
    <w:uiPriority w:val="99"/>
    <w:unhideWhenUsed/>
    <w:qFormat/>
    <w:rsid w:val="00B32FC5"/>
    <w:rPr>
      <w:vertAlign w:val="superscript"/>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9804DA"/>
    <w:rPr>
      <w:sz w:val="22"/>
      <w:szCs w:val="22"/>
      <w:lang w:val="en-GB"/>
    </w:rPr>
  </w:style>
  <w:style w:type="character" w:customStyle="1" w:styleId="HeaderChar">
    <w:name w:val="Header Char"/>
    <w:basedOn w:val="DefaultParagraphFont"/>
    <w:link w:val="Header"/>
    <w:uiPriority w:val="99"/>
    <w:rsid w:val="000F2C79"/>
    <w:rPr>
      <w:sz w:val="22"/>
      <w:szCs w:val="22"/>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D036F8"/>
    <w:pPr>
      <w:spacing w:after="160" w:line="240" w:lineRule="exact"/>
    </w:pPr>
    <w:rPr>
      <w:sz w:val="20"/>
      <w:szCs w:val="20"/>
      <w:vertAlign w:val="superscript"/>
      <w:lang w:val="en-US"/>
    </w:rPr>
  </w:style>
  <w:style w:type="paragraph" w:styleId="Revision">
    <w:name w:val="Revision"/>
    <w:hidden/>
    <w:uiPriority w:val="99"/>
    <w:semiHidden/>
    <w:rsid w:val="0041406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UNEP/OzL.Pro/ExCom/87/48</Document_x0020_Number>
  </documentManagement>
</p:properties>
</file>

<file path=customXml/itemProps1.xml><?xml version="1.0" encoding="utf-8"?>
<ds:datastoreItem xmlns:ds="http://schemas.openxmlformats.org/officeDocument/2006/customXml" ds:itemID="{8F0AF9AA-786F-445A-BE41-EDD7E7FE7BED}"/>
</file>

<file path=customXml/itemProps2.xml><?xml version="1.0" encoding="utf-8"?>
<ds:datastoreItem xmlns:ds="http://schemas.openxmlformats.org/officeDocument/2006/customXml" ds:itemID="{D759F800-C895-4BE2-9D75-1AE2838527E9}"/>
</file>

<file path=customXml/itemProps3.xml><?xml version="1.0" encoding="utf-8"?>
<ds:datastoreItem xmlns:ds="http://schemas.openxmlformats.org/officeDocument/2006/customXml" ds:itemID="{7ADD7F33-DCA9-4183-9B2B-0FBFB866212B}"/>
</file>

<file path=customXml/itemProps4.xml><?xml version="1.0" encoding="utf-8"?>
<ds:datastoreItem xmlns:ds="http://schemas.openxmlformats.org/officeDocument/2006/customXml" ds:itemID="{6E5D6B83-F273-4E64-BC66-D3D8B4E64F7B}"/>
</file>

<file path=docProps/app.xml><?xml version="1.0" encoding="utf-8"?>
<Properties xmlns="http://schemas.openxmlformats.org/officeDocument/2006/extended-properties" xmlns:vt="http://schemas.openxmlformats.org/officeDocument/2006/docPropsVTypes">
  <Template>Normal</Template>
  <TotalTime>959</TotalTime>
  <Pages>20</Pages>
  <Words>9660</Words>
  <Characters>52000</Characters>
  <Application>Microsoft Office Word</Application>
  <DocSecurity>0</DocSecurity>
  <Lines>433</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sommaire décrivant les meilleures pratiques et moyens qui permettront au Comité exécutif d'envisager l'opérationnalisation du paragraphe 24 de la décision XXVIII/2</vt:lpstr>
      <vt:lpstr/>
    </vt:vector>
  </TitlesOfParts>
  <Company>UNMFS</Company>
  <LinksUpToDate>false</LinksUpToDate>
  <CharactersWithSpaces>61537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sommaire décrivant les meilleures pratiques et moyens qui permettront au Comité exécutif d'envisager l'opérationnalisation du paragraphe 24 de la décision XXVIII/2</dc:title>
  <dc:subject/>
  <dc:creator>Cecilia Mercado</dc:creator>
  <cp:keywords/>
  <dc:description/>
  <cp:lastModifiedBy>HB</cp:lastModifiedBy>
  <cp:revision>46</cp:revision>
  <cp:lastPrinted>2021-05-08T14:31:00Z</cp:lastPrinted>
  <dcterms:created xsi:type="dcterms:W3CDTF">2021-05-05T14:11:00Z</dcterms:created>
  <dcterms:modified xsi:type="dcterms:W3CDTF">2021-09-10T21:09:00Z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UNEP/OzL.Pro/ExCom/87/48</vt:lpwstr>
  </property>
  <property fmtid="{D5CDD505-2E9C-101B-9397-08002B2CF9AE}" pid="3" name="Revision date">
    <vt:lpwstr>7/21/2021</vt:lpwstr>
  </property>
  <property fmtid="{D5CDD505-2E9C-101B-9397-08002B2CF9AE}" pid="4" name="ContentTypeId">
    <vt:lpwstr>0x0101006D54131ACC863C4CBCCC233143506327</vt:lpwstr>
  </property>
</Properties>
</file>