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5" w:type="dxa"/>
        <w:tblInd w:w="-432" w:type="dxa"/>
        <w:tblLayout w:type="fixed"/>
        <w:tblLook w:val="0000" w:firstRow="0" w:lastRow="0" w:firstColumn="0" w:lastColumn="0" w:noHBand="0" w:noVBand="0"/>
      </w:tblPr>
      <w:tblGrid>
        <w:gridCol w:w="2070"/>
        <w:gridCol w:w="4991"/>
        <w:gridCol w:w="3544"/>
      </w:tblGrid>
      <w:tr w:rsidR="00441083" w:rsidRPr="00A52C0B" w14:paraId="7D4AF066" w14:textId="77777777">
        <w:trPr>
          <w:trHeight w:val="720"/>
        </w:trPr>
        <w:tc>
          <w:tcPr>
            <w:tcW w:w="7061" w:type="dxa"/>
            <w:gridSpan w:val="2"/>
            <w:tcBorders>
              <w:bottom w:val="single" w:sz="18" w:space="0" w:color="auto"/>
            </w:tcBorders>
          </w:tcPr>
          <w:p w14:paraId="26785E87" w14:textId="77777777" w:rsidR="00441083" w:rsidRPr="00A52C0B"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lang w:val="fr-CA"/>
              </w:rPr>
            </w:pPr>
            <w:r w:rsidRPr="00A52C0B">
              <w:rPr>
                <w:rFonts w:ascii="Univers" w:hAnsi="Univers"/>
                <w:b/>
                <w:sz w:val="28"/>
                <w:szCs w:val="28"/>
                <w:lang w:val="fr-CA"/>
              </w:rPr>
              <w:t>NATIONS</w:t>
            </w:r>
          </w:p>
          <w:p w14:paraId="72CF2D2B" w14:textId="77777777" w:rsidR="00441083" w:rsidRPr="00A52C0B"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fr-CA"/>
              </w:rPr>
            </w:pPr>
            <w:r w:rsidRPr="00A52C0B">
              <w:rPr>
                <w:rFonts w:ascii="Univers" w:hAnsi="Univers"/>
                <w:b/>
                <w:sz w:val="28"/>
                <w:szCs w:val="28"/>
                <w:lang w:val="fr-CA"/>
              </w:rPr>
              <w:t xml:space="preserve">UNIES </w:t>
            </w:r>
          </w:p>
        </w:tc>
        <w:tc>
          <w:tcPr>
            <w:tcW w:w="3544" w:type="dxa"/>
            <w:tcBorders>
              <w:bottom w:val="single" w:sz="18" w:space="0" w:color="auto"/>
            </w:tcBorders>
          </w:tcPr>
          <w:p w14:paraId="1104B971" w14:textId="77777777" w:rsidR="00441083" w:rsidRPr="00A52C0B" w:rsidRDefault="00E60D9C">
            <w:pPr>
              <w:tabs>
                <w:tab w:val="left" w:pos="3010"/>
              </w:tabs>
              <w:jc w:val="center"/>
              <w:rPr>
                <w:sz w:val="52"/>
                <w:szCs w:val="52"/>
                <w:lang w:val="fr-CA"/>
              </w:rPr>
            </w:pPr>
            <w:r w:rsidRPr="00A52C0B">
              <w:rPr>
                <w:rFonts w:ascii="Univers Bold" w:hAnsi="Univers Bold"/>
                <w:b/>
                <w:sz w:val="72"/>
                <w:lang w:val="fr-CA"/>
              </w:rPr>
              <w:t xml:space="preserve">          EP</w:t>
            </w:r>
          </w:p>
        </w:tc>
      </w:tr>
      <w:tr w:rsidR="00441083" w:rsidRPr="00A52C0B" w14:paraId="697BFA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3EF57CC7" w14:textId="77777777" w:rsidR="00441083" w:rsidRPr="00A52C0B" w:rsidRDefault="00C6443E">
            <w:pPr>
              <w:spacing w:before="120"/>
              <w:rPr>
                <w:lang w:val="fr-CA"/>
              </w:rPr>
            </w:pPr>
            <w:r w:rsidRPr="00A52C0B">
              <w:rPr>
                <w:noProof/>
                <w:lang w:val="en-US"/>
              </w:rPr>
              <w:drawing>
                <wp:anchor distT="0" distB="0" distL="114300" distR="114300" simplePos="0" relativeHeight="251660288" behindDoc="0" locked="0" layoutInCell="1" allowOverlap="1" wp14:anchorId="32E22C39" wp14:editId="3FD277EC">
                  <wp:simplePos x="0" y="0"/>
                  <wp:positionH relativeFrom="column">
                    <wp:posOffset>387985</wp:posOffset>
                  </wp:positionH>
                  <wp:positionV relativeFrom="paragraph">
                    <wp:posOffset>958215</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001C3D0C" w:rsidRPr="00A52C0B">
              <w:rPr>
                <w:noProof/>
                <w:lang w:val="en-US"/>
              </w:rPr>
              <w:drawing>
                <wp:anchor distT="0" distB="0" distL="114300" distR="114300" simplePos="0" relativeHeight="251661312" behindDoc="1" locked="0" layoutInCell="0" allowOverlap="1" wp14:anchorId="61BE41CC" wp14:editId="5AEF0BB8">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991" w:type="dxa"/>
            <w:tcBorders>
              <w:top w:val="nil"/>
              <w:left w:val="nil"/>
              <w:bottom w:val="single" w:sz="36" w:space="0" w:color="auto"/>
              <w:right w:val="nil"/>
            </w:tcBorders>
          </w:tcPr>
          <w:p w14:paraId="6AC0C4B8" w14:textId="77777777" w:rsidR="00441083" w:rsidRPr="00A52C0B" w:rsidRDefault="0044108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p>
          <w:p w14:paraId="0047AC4D" w14:textId="77777777" w:rsidR="00441083" w:rsidRPr="00A52C0B"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r w:rsidRPr="00A52C0B">
              <w:rPr>
                <w:rFonts w:ascii="Univers" w:hAnsi="Univers"/>
                <w:b/>
                <w:sz w:val="32"/>
                <w:lang w:val="fr-CA"/>
              </w:rPr>
              <w:t>Programme des</w:t>
            </w:r>
          </w:p>
          <w:p w14:paraId="58A9B733" w14:textId="77777777" w:rsidR="00441083" w:rsidRPr="00A52C0B" w:rsidRDefault="00E60D9C">
            <w:pPr>
              <w:rPr>
                <w:rFonts w:ascii="Univers" w:hAnsi="Univers"/>
                <w:b/>
                <w:sz w:val="32"/>
                <w:lang w:val="fr-CA"/>
              </w:rPr>
            </w:pPr>
            <w:r w:rsidRPr="00A52C0B">
              <w:rPr>
                <w:rFonts w:ascii="Univers" w:hAnsi="Univers"/>
                <w:b/>
                <w:sz w:val="32"/>
                <w:lang w:val="fr-CA"/>
              </w:rPr>
              <w:t>Nations Unies pour</w:t>
            </w:r>
          </w:p>
          <w:p w14:paraId="01E60656" w14:textId="77777777" w:rsidR="00441083" w:rsidRPr="00A52C0B" w:rsidRDefault="00E60D9C">
            <w:pPr>
              <w:rPr>
                <w:rFonts w:ascii="Univers" w:hAnsi="Univers"/>
                <w:b/>
                <w:sz w:val="32"/>
                <w:lang w:val="fr-CA"/>
              </w:rPr>
            </w:pPr>
            <w:r w:rsidRPr="00A52C0B">
              <w:rPr>
                <w:rFonts w:ascii="Univers" w:hAnsi="Univers"/>
                <w:b/>
                <w:sz w:val="32"/>
                <w:lang w:val="fr-CA"/>
              </w:rPr>
              <w:t>l’environnement</w:t>
            </w:r>
          </w:p>
          <w:p w14:paraId="708DB4D5" w14:textId="77777777" w:rsidR="00441083" w:rsidRPr="00A52C0B" w:rsidRDefault="00E60D9C">
            <w:pPr>
              <w:spacing w:before="720"/>
              <w:ind w:left="158"/>
              <w:rPr>
                <w:lang w:val="fr-CA"/>
              </w:rPr>
            </w:pPr>
            <w:r w:rsidRPr="00A52C0B">
              <w:rPr>
                <w:lang w:val="fr-CA"/>
              </w:rPr>
              <w:t xml:space="preserve"> </w:t>
            </w:r>
          </w:p>
        </w:tc>
        <w:tc>
          <w:tcPr>
            <w:tcW w:w="3544" w:type="dxa"/>
            <w:tcBorders>
              <w:top w:val="nil"/>
              <w:left w:val="nil"/>
              <w:bottom w:val="single" w:sz="36" w:space="0" w:color="auto"/>
              <w:right w:val="nil"/>
            </w:tcBorders>
          </w:tcPr>
          <w:p w14:paraId="075F33F0" w14:textId="77777777" w:rsidR="00441083" w:rsidRPr="00A52C0B" w:rsidRDefault="00441083">
            <w:pPr>
              <w:rPr>
                <w:lang w:val="fr-CA"/>
              </w:rPr>
            </w:pPr>
          </w:p>
          <w:p w14:paraId="6A583F99" w14:textId="77777777" w:rsidR="00441083" w:rsidRPr="00A52C0B" w:rsidRDefault="00E60D9C">
            <w:pPr>
              <w:rPr>
                <w:lang w:val="fr-CA"/>
              </w:rPr>
            </w:pPr>
            <w:r w:rsidRPr="00A52C0B">
              <w:rPr>
                <w:lang w:val="fr-CA"/>
              </w:rPr>
              <w:t>Distr.</w:t>
            </w:r>
          </w:p>
          <w:p w14:paraId="568CC060" w14:textId="77777777" w:rsidR="00441083" w:rsidRPr="00A52C0B" w:rsidRDefault="00E60D9C" w:rsidP="00DD3433">
            <w:pPr>
              <w:rPr>
                <w:lang w:val="fr-CA"/>
              </w:rPr>
            </w:pPr>
            <w:r w:rsidRPr="00A52C0B">
              <w:rPr>
                <w:lang w:val="fr-CA"/>
              </w:rPr>
              <w:t>G</w:t>
            </w:r>
            <w:r w:rsidR="00DD3433" w:rsidRPr="00A52C0B">
              <w:rPr>
                <w:lang w:val="fr-CA"/>
              </w:rPr>
              <w:t>É</w:t>
            </w:r>
            <w:r w:rsidRPr="00A52C0B">
              <w:rPr>
                <w:lang w:val="fr-CA"/>
              </w:rPr>
              <w:t>N</w:t>
            </w:r>
            <w:r w:rsidR="00DD3433" w:rsidRPr="00A52C0B">
              <w:rPr>
                <w:lang w:val="fr-CA"/>
              </w:rPr>
              <w:t>É</w:t>
            </w:r>
            <w:r w:rsidRPr="00A52C0B">
              <w:rPr>
                <w:lang w:val="fr-CA"/>
              </w:rPr>
              <w:t>RAL</w:t>
            </w:r>
            <w:r w:rsidR="00FF3CF1" w:rsidRPr="00A52C0B">
              <w:rPr>
                <w:lang w:val="fr-CA"/>
              </w:rPr>
              <w:t>E</w:t>
            </w:r>
          </w:p>
          <w:p w14:paraId="70BCFD03" w14:textId="77777777" w:rsidR="00441083" w:rsidRPr="00A52C0B" w:rsidRDefault="00441083">
            <w:pPr>
              <w:rPr>
                <w:lang w:val="fr-CA"/>
              </w:rPr>
            </w:pPr>
          </w:p>
          <w:p w14:paraId="1D4349A3" w14:textId="62AD1FB4" w:rsidR="00441083" w:rsidRPr="00A52C0B" w:rsidRDefault="00E60D9C">
            <w:pPr>
              <w:rPr>
                <w:lang w:val="fr-CA"/>
              </w:rPr>
            </w:pPr>
            <w:r w:rsidRPr="00A52C0B">
              <w:rPr>
                <w:lang w:val="fr-CA"/>
              </w:rPr>
              <w:fldChar w:fldCharType="begin"/>
            </w:r>
            <w:r w:rsidRPr="00A52C0B">
              <w:rPr>
                <w:lang w:val="fr-CA"/>
              </w:rPr>
              <w:instrText xml:space="preserve"> DOCPROPERTY "Document number"  \* MERGEFORMAT </w:instrText>
            </w:r>
            <w:r w:rsidRPr="00A52C0B">
              <w:rPr>
                <w:lang w:val="fr-CA"/>
              </w:rPr>
              <w:fldChar w:fldCharType="separate"/>
            </w:r>
            <w:r w:rsidR="007C68FA">
              <w:rPr>
                <w:lang w:val="fr-CA"/>
              </w:rPr>
              <w:t>UNEP/OzL.Pro/ExCom/87/47</w:t>
            </w:r>
            <w:r w:rsidRPr="00A52C0B">
              <w:rPr>
                <w:lang w:val="fr-CA"/>
              </w:rPr>
              <w:fldChar w:fldCharType="end"/>
            </w:r>
          </w:p>
          <w:p w14:paraId="396CBB45" w14:textId="3617F18F" w:rsidR="002F0B57" w:rsidRPr="00A52C0B" w:rsidRDefault="002F0B57" w:rsidP="000F6C8E">
            <w:pPr>
              <w:rPr>
                <w:lang w:val="fr-CA"/>
              </w:rPr>
            </w:pPr>
            <w:r w:rsidRPr="00A52C0B">
              <w:rPr>
                <w:lang w:val="fr-CA"/>
              </w:rPr>
              <w:fldChar w:fldCharType="begin"/>
            </w:r>
            <w:r w:rsidRPr="00A52C0B">
              <w:rPr>
                <w:lang w:val="fr-CA"/>
              </w:rPr>
              <w:instrText xml:space="preserve"> DOCPROPERTY "Revision date" \@ "d MMMM YYYY"  \* MERGEFORMAT </w:instrText>
            </w:r>
            <w:r w:rsidRPr="00A52C0B">
              <w:rPr>
                <w:lang w:val="fr-CA"/>
              </w:rPr>
              <w:fldChar w:fldCharType="separate"/>
            </w:r>
            <w:r w:rsidR="00E211D8">
              <w:rPr>
                <w:lang w:val="fr-CA"/>
              </w:rPr>
              <w:t>11 juin 2021</w:t>
            </w:r>
            <w:r w:rsidRPr="00A52C0B">
              <w:rPr>
                <w:lang w:val="fr-CA"/>
              </w:rPr>
              <w:fldChar w:fldCharType="end"/>
            </w:r>
          </w:p>
          <w:p w14:paraId="1B5923BB" w14:textId="77777777" w:rsidR="00441083" w:rsidRPr="00A52C0B" w:rsidRDefault="00FC5578">
            <w:pPr>
              <w:rPr>
                <w:caps/>
                <w:lang w:val="fr-CA"/>
              </w:rPr>
            </w:pPr>
            <w:r w:rsidRPr="00A52C0B">
              <w:rPr>
                <w:caps/>
                <w:lang w:val="fr-CA"/>
              </w:rPr>
              <w:br/>
            </w:r>
            <w:r w:rsidR="00E60D9C" w:rsidRPr="00A52C0B">
              <w:rPr>
                <w:caps/>
                <w:lang w:val="fr-CA"/>
              </w:rPr>
              <w:t>FRANÇAIS</w:t>
            </w:r>
          </w:p>
          <w:p w14:paraId="45BC725C" w14:textId="77777777" w:rsidR="00441083" w:rsidRPr="00A52C0B" w:rsidRDefault="00E60D9C">
            <w:pPr>
              <w:rPr>
                <w:lang w:val="fr-CA"/>
              </w:rPr>
            </w:pPr>
            <w:r w:rsidRPr="00A52C0B">
              <w:rPr>
                <w:lang w:val="fr-CA"/>
              </w:rPr>
              <w:t xml:space="preserve">ORIGINAL: </w:t>
            </w:r>
            <w:r w:rsidR="0091161A" w:rsidRPr="00A52C0B">
              <w:rPr>
                <w:lang w:val="fr-CA"/>
              </w:rPr>
              <w:t>ANGLAIS</w:t>
            </w:r>
          </w:p>
        </w:tc>
      </w:tr>
    </w:tbl>
    <w:p w14:paraId="54441579" w14:textId="77777777" w:rsidR="00441083" w:rsidRPr="00A52C0B" w:rsidRDefault="00441083">
      <w:pPr>
        <w:jc w:val="left"/>
        <w:rPr>
          <w:lang w:val="fr-CA"/>
        </w:rPr>
      </w:pPr>
    </w:p>
    <w:p w14:paraId="79C094DE" w14:textId="77777777" w:rsidR="00E211D8" w:rsidRDefault="00E60D9C" w:rsidP="00E211D8">
      <w:pPr>
        <w:jc w:val="left"/>
        <w:rPr>
          <w:lang w:val="fr-CA"/>
        </w:rPr>
      </w:pPr>
      <w:r w:rsidRPr="00A52C0B">
        <w:rPr>
          <w:lang w:val="fr-CA"/>
        </w:rPr>
        <w:t>COMIT</w:t>
      </w:r>
      <w:r w:rsidR="00DD3433" w:rsidRPr="00A52C0B">
        <w:rPr>
          <w:lang w:val="fr-CA"/>
        </w:rPr>
        <w:t>É</w:t>
      </w:r>
      <w:r w:rsidRPr="00A52C0B">
        <w:rPr>
          <w:lang w:val="fr-CA"/>
        </w:rPr>
        <w:t xml:space="preserve"> EX</w:t>
      </w:r>
      <w:r w:rsidR="00DD3433" w:rsidRPr="00A52C0B">
        <w:rPr>
          <w:lang w:val="fr-CA"/>
        </w:rPr>
        <w:t xml:space="preserve">ÉCUTIF </w:t>
      </w:r>
      <w:r w:rsidR="00DD3433" w:rsidRPr="00A52C0B">
        <w:rPr>
          <w:lang w:val="fr-CA"/>
        </w:rPr>
        <w:br/>
        <w:t xml:space="preserve">  DU FONDS MULTILATÉ</w:t>
      </w:r>
      <w:r w:rsidRPr="00A52C0B">
        <w:rPr>
          <w:lang w:val="fr-CA"/>
        </w:rPr>
        <w:t xml:space="preserve">RAL AUX FINS </w:t>
      </w:r>
      <w:r w:rsidRPr="00A52C0B">
        <w:rPr>
          <w:lang w:val="fr-CA"/>
        </w:rPr>
        <w:br/>
        <w:t xml:space="preserve">  D’APPLICATION DU PROTOCOLE DE MONTR</w:t>
      </w:r>
      <w:r w:rsidR="00DD3433" w:rsidRPr="00A52C0B">
        <w:rPr>
          <w:lang w:val="fr-CA"/>
        </w:rPr>
        <w:t>É</w:t>
      </w:r>
      <w:r w:rsidRPr="00A52C0B">
        <w:rPr>
          <w:lang w:val="fr-CA"/>
        </w:rPr>
        <w:t>AL</w:t>
      </w:r>
      <w:r w:rsidRPr="00A52C0B">
        <w:rPr>
          <w:lang w:val="fr-CA"/>
        </w:rPr>
        <w:br/>
      </w:r>
      <w:r w:rsidR="00E211D8">
        <w:rPr>
          <w:lang w:val="fr-CA"/>
        </w:rPr>
        <w:t>Quatre-vingt-septième</w:t>
      </w:r>
      <w:r w:rsidR="00E211D8" w:rsidRPr="00FC5578">
        <w:rPr>
          <w:lang w:val="fr-CA"/>
        </w:rPr>
        <w:t xml:space="preserve"> </w:t>
      </w:r>
      <w:r w:rsidR="00E211D8">
        <w:rPr>
          <w:lang w:val="fr-CA"/>
        </w:rPr>
        <w:t>réunion</w:t>
      </w:r>
    </w:p>
    <w:p w14:paraId="2937D684" w14:textId="6C1BF72A" w:rsidR="00441083" w:rsidRPr="00A52C0B" w:rsidRDefault="00E211D8" w:rsidP="00E211D8">
      <w:pPr>
        <w:jc w:val="left"/>
        <w:rPr>
          <w:lang w:val="fr-CA"/>
        </w:rPr>
      </w:pPr>
      <w:r>
        <w:rPr>
          <w:lang w:val="fr-CA"/>
        </w:rPr>
        <w:t>Montr</w:t>
      </w:r>
      <w:r w:rsidRPr="00AA6F65">
        <w:rPr>
          <w:lang w:val="fr-CA"/>
        </w:rPr>
        <w:t>é</w:t>
      </w:r>
      <w:r>
        <w:rPr>
          <w:lang w:val="fr-CA"/>
        </w:rPr>
        <w:t>al, 28 juin – 2 juillet 2021</w:t>
      </w:r>
      <w:r>
        <w:rPr>
          <w:rStyle w:val="FootnoteReference"/>
          <w:lang w:val="fr-CA"/>
        </w:rPr>
        <w:footnoteReference w:id="1"/>
      </w:r>
    </w:p>
    <w:p w14:paraId="0D566535" w14:textId="77777777" w:rsidR="00441083" w:rsidRPr="008C3DBB" w:rsidRDefault="00441083">
      <w:pPr>
        <w:pStyle w:val="Title1"/>
        <w:rPr>
          <w:lang w:val="fr-CA"/>
        </w:rPr>
      </w:pPr>
    </w:p>
    <w:p w14:paraId="4675544E" w14:textId="77777777" w:rsidR="00441083" w:rsidRPr="00A52C0B" w:rsidRDefault="00441083">
      <w:pPr>
        <w:pStyle w:val="Title1"/>
        <w:rPr>
          <w:lang w:val="fr-CA"/>
        </w:rPr>
      </w:pPr>
    </w:p>
    <w:p w14:paraId="483662CB" w14:textId="430D0CB9" w:rsidR="00E3465D" w:rsidRPr="00A52C0B" w:rsidRDefault="00BB651C" w:rsidP="00E3465D">
      <w:pPr>
        <w:jc w:val="center"/>
        <w:rPr>
          <w:b/>
          <w:lang w:val="fr-CA"/>
        </w:rPr>
      </w:pPr>
      <w:r w:rsidRPr="00A52C0B">
        <w:rPr>
          <w:b/>
          <w:lang w:val="fr-CA"/>
        </w:rPr>
        <w:t xml:space="preserve">ANALYSE DU NIVEAU ET </w:t>
      </w:r>
      <w:r w:rsidR="00CC1480">
        <w:rPr>
          <w:b/>
          <w:lang w:val="fr-CA"/>
        </w:rPr>
        <w:t xml:space="preserve">DES </w:t>
      </w:r>
      <w:r w:rsidRPr="00A52C0B">
        <w:rPr>
          <w:b/>
          <w:lang w:val="fr-CA"/>
        </w:rPr>
        <w:t>MODALITÉS DE FINANCEMENT</w:t>
      </w:r>
    </w:p>
    <w:p w14:paraId="2A89C4FA" w14:textId="77777777" w:rsidR="00E3465D" w:rsidRPr="00A52C0B" w:rsidRDefault="00BB651C" w:rsidP="00E3465D">
      <w:pPr>
        <w:jc w:val="center"/>
        <w:rPr>
          <w:b/>
          <w:lang w:val="fr-CA"/>
        </w:rPr>
      </w:pPr>
      <w:r w:rsidRPr="00A52C0B">
        <w:rPr>
          <w:b/>
          <w:lang w:val="fr-CA"/>
        </w:rPr>
        <w:t xml:space="preserve">DE LA RÉDUCTION PROGRESSIVE DES HFC </w:t>
      </w:r>
    </w:p>
    <w:p w14:paraId="1590C7F9" w14:textId="621714E7" w:rsidR="00E3465D" w:rsidRPr="00A52C0B" w:rsidRDefault="00BB651C" w:rsidP="00E3465D">
      <w:pPr>
        <w:jc w:val="center"/>
        <w:rPr>
          <w:b/>
          <w:lang w:val="fr-CA"/>
        </w:rPr>
      </w:pPr>
      <w:r w:rsidRPr="00A52C0B">
        <w:rPr>
          <w:b/>
          <w:lang w:val="fr-CA"/>
        </w:rPr>
        <w:t>DANS LE SECTEUR DE L’ENTRETIEN DE L’ÉQUIPEMENT DE RÉFRIGÉRATION</w:t>
      </w:r>
    </w:p>
    <w:p w14:paraId="6E5466E8" w14:textId="0DC360E7" w:rsidR="00B87C45" w:rsidRPr="00A52C0B" w:rsidRDefault="00B87C45" w:rsidP="00B87C45">
      <w:pPr>
        <w:jc w:val="center"/>
        <w:rPr>
          <w:b/>
          <w:lang w:val="fr-CA"/>
        </w:rPr>
      </w:pPr>
      <w:r w:rsidRPr="00A52C0B">
        <w:rPr>
          <w:b/>
          <w:lang w:val="fr-CA"/>
        </w:rPr>
        <w:t>(</w:t>
      </w:r>
      <w:r w:rsidR="00D46C01" w:rsidRPr="00A52C0B">
        <w:rPr>
          <w:b/>
          <w:lang w:val="fr-CA"/>
        </w:rPr>
        <w:t>DÉCISIONS </w:t>
      </w:r>
      <w:r w:rsidRPr="00A52C0B">
        <w:rPr>
          <w:b/>
          <w:lang w:val="fr-CA"/>
        </w:rPr>
        <w:t>83/65</w:t>
      </w:r>
      <w:r w:rsidR="00E3465D" w:rsidRPr="00A52C0B">
        <w:rPr>
          <w:b/>
          <w:lang w:val="fr-CA"/>
        </w:rPr>
        <w:t> b)</w:t>
      </w:r>
      <w:r w:rsidRPr="00A52C0B">
        <w:rPr>
          <w:b/>
          <w:lang w:val="fr-CA"/>
        </w:rPr>
        <w:t xml:space="preserve"> </w:t>
      </w:r>
      <w:r w:rsidR="007C09C1" w:rsidRPr="00A52C0B">
        <w:rPr>
          <w:b/>
          <w:lang w:val="fr-CA"/>
        </w:rPr>
        <w:t>ET</w:t>
      </w:r>
      <w:r w:rsidRPr="00A52C0B">
        <w:rPr>
          <w:b/>
          <w:lang w:val="fr-CA"/>
        </w:rPr>
        <w:t xml:space="preserve"> 84/86</w:t>
      </w:r>
      <w:r w:rsidR="00E3465D" w:rsidRPr="00A52C0B">
        <w:rPr>
          <w:b/>
          <w:lang w:val="fr-CA"/>
        </w:rPr>
        <w:t> b) ii)</w:t>
      </w:r>
      <w:r w:rsidRPr="00A52C0B">
        <w:rPr>
          <w:b/>
          <w:lang w:val="fr-CA"/>
        </w:rPr>
        <w:t>)</w:t>
      </w:r>
    </w:p>
    <w:p w14:paraId="3FD6210A" w14:textId="77777777" w:rsidR="00B87C45" w:rsidRPr="00A52C0B" w:rsidRDefault="00B87C45" w:rsidP="00B87C45">
      <w:pPr>
        <w:spacing w:after="240"/>
        <w:outlineLvl w:val="0"/>
        <w:rPr>
          <w:b/>
          <w:lang w:val="fr-CA"/>
        </w:rPr>
      </w:pPr>
    </w:p>
    <w:p w14:paraId="6F5BE588" w14:textId="3DBB6DCF" w:rsidR="0014281C" w:rsidRPr="00A52C0B" w:rsidRDefault="00BB651C" w:rsidP="0014281C">
      <w:pPr>
        <w:spacing w:after="240"/>
        <w:outlineLvl w:val="0"/>
        <w:rPr>
          <w:b/>
          <w:lang w:val="fr-CA"/>
        </w:rPr>
      </w:pPr>
      <w:r w:rsidRPr="00A52C0B">
        <w:rPr>
          <w:b/>
          <w:lang w:val="fr-CA"/>
        </w:rPr>
        <w:t>Contexte</w:t>
      </w:r>
    </w:p>
    <w:p w14:paraId="33819096" w14:textId="7C2B5830" w:rsidR="0014281C" w:rsidRPr="00A52C0B" w:rsidRDefault="00E3465D" w:rsidP="0014281C">
      <w:pPr>
        <w:pStyle w:val="Heading1"/>
        <w:numPr>
          <w:ilvl w:val="0"/>
          <w:numId w:val="2"/>
        </w:numPr>
        <w:rPr>
          <w:lang w:val="fr-CA"/>
        </w:rPr>
      </w:pPr>
      <w:r w:rsidRPr="00A52C0B">
        <w:rPr>
          <w:lang w:val="fr-CA"/>
        </w:rPr>
        <w:t>D</w:t>
      </w:r>
      <w:r w:rsidR="00BB651C" w:rsidRPr="00A52C0B">
        <w:rPr>
          <w:lang w:val="fr-CA"/>
        </w:rPr>
        <w:t>epuis sa 78</w:t>
      </w:r>
      <w:r w:rsidR="009D5892" w:rsidRPr="00A52C0B">
        <w:rPr>
          <w:vertAlign w:val="superscript"/>
          <w:lang w:val="fr-CA"/>
        </w:rPr>
        <w:t>e</w:t>
      </w:r>
      <w:r w:rsidR="009D5892" w:rsidRPr="00A52C0B">
        <w:rPr>
          <w:lang w:val="fr-CA"/>
        </w:rPr>
        <w:t> réuni</w:t>
      </w:r>
      <w:r w:rsidR="00BB651C" w:rsidRPr="00A52C0B">
        <w:rPr>
          <w:lang w:val="fr-CA"/>
        </w:rPr>
        <w:t>on, le Comité exécutif examine les questions se rapportant à la réduction progressive des HFC dans le secteur de l’entretien de l’équipement de réfrigération, dans le</w:t>
      </w:r>
      <w:r w:rsidR="00CC1480">
        <w:rPr>
          <w:lang w:val="fr-CA"/>
        </w:rPr>
        <w:t xml:space="preserve"> contexte de l’élaboration des l</w:t>
      </w:r>
      <w:r w:rsidR="00BB651C" w:rsidRPr="00A52C0B">
        <w:rPr>
          <w:lang w:val="fr-CA"/>
        </w:rPr>
        <w:t>ignes directrices sur les coûts de la réduction progressive des HFC.</w:t>
      </w:r>
      <w:r w:rsidR="0014281C" w:rsidRPr="00A52C0B">
        <w:rPr>
          <w:lang w:val="fr-CA"/>
        </w:rPr>
        <w:t xml:space="preserve"> </w:t>
      </w:r>
    </w:p>
    <w:p w14:paraId="4E07C58D" w14:textId="349F0081" w:rsidR="00C42D62" w:rsidRPr="00A52C0B" w:rsidRDefault="00BB651C" w:rsidP="00C42D62">
      <w:pPr>
        <w:pStyle w:val="Heading1"/>
        <w:numPr>
          <w:ilvl w:val="0"/>
          <w:numId w:val="2"/>
        </w:numPr>
        <w:rPr>
          <w:lang w:val="fr-CA"/>
        </w:rPr>
      </w:pPr>
      <w:r w:rsidRPr="00A52C0B">
        <w:rPr>
          <w:lang w:val="fr-CA"/>
        </w:rPr>
        <w:t>Le Comité exécutif à sa 80</w:t>
      </w:r>
      <w:r w:rsidR="009D5892" w:rsidRPr="00A52C0B">
        <w:rPr>
          <w:vertAlign w:val="superscript"/>
          <w:lang w:val="fr-CA"/>
        </w:rPr>
        <w:t>e</w:t>
      </w:r>
      <w:r w:rsidR="009D5892" w:rsidRPr="00A52C0B">
        <w:rPr>
          <w:lang w:val="fr-CA"/>
        </w:rPr>
        <w:t> réuni</w:t>
      </w:r>
      <w:r w:rsidRPr="00A52C0B">
        <w:rPr>
          <w:lang w:val="fr-CA"/>
        </w:rPr>
        <w:t>on</w:t>
      </w:r>
      <w:r w:rsidR="00A226CE" w:rsidRPr="00A52C0B">
        <w:rPr>
          <w:lang w:val="fr-CA"/>
        </w:rPr>
        <w:t> :</w:t>
      </w:r>
    </w:p>
    <w:p w14:paraId="1B3297E7" w14:textId="1BD887E0" w:rsidR="00C42D62" w:rsidRPr="00A52C0B" w:rsidRDefault="00CC1480" w:rsidP="00C42D62">
      <w:pPr>
        <w:pStyle w:val="Heading2"/>
        <w:rPr>
          <w:lang w:val="fr-CA"/>
        </w:rPr>
      </w:pPr>
      <w:r>
        <w:rPr>
          <w:lang w:val="fr-CA"/>
        </w:rPr>
        <w:t>a</w:t>
      </w:r>
      <w:r w:rsidR="00BB651C" w:rsidRPr="00A52C0B">
        <w:rPr>
          <w:lang w:val="fr-CA"/>
        </w:rPr>
        <w:t xml:space="preserve"> inclus dans le projet de lignes directrices sur les coûts de la réduction progressive des HFC les catégories suivantes</w:t>
      </w:r>
      <w:r>
        <w:rPr>
          <w:lang w:val="fr-CA"/>
        </w:rPr>
        <w:t>,</w:t>
      </w:r>
      <w:r w:rsidR="00BB651C" w:rsidRPr="00A52C0B">
        <w:rPr>
          <w:lang w:val="fr-CA"/>
        </w:rPr>
        <w:t xml:space="preserve"> pour le secteur de l’entretien de l’équipement de réfrigération, admissible</w:t>
      </w:r>
      <w:r w:rsidR="0080648A" w:rsidRPr="00A52C0B">
        <w:rPr>
          <w:lang w:val="fr-CA"/>
        </w:rPr>
        <w:t>s</w:t>
      </w:r>
      <w:r w:rsidR="00BB651C" w:rsidRPr="00A52C0B">
        <w:rPr>
          <w:lang w:val="fr-CA"/>
        </w:rPr>
        <w:t xml:space="preserve"> à un financement</w:t>
      </w:r>
      <w:r w:rsidR="00A226CE" w:rsidRPr="00A52C0B">
        <w:rPr>
          <w:lang w:val="fr-CA"/>
        </w:rPr>
        <w:t> :</w:t>
      </w:r>
      <w:r w:rsidR="00BB651C" w:rsidRPr="00A52C0B">
        <w:rPr>
          <w:lang w:val="fr-CA"/>
        </w:rPr>
        <w:t xml:space="preserve"> activités de sensibilisation du public, élaboration et mise en œuvre de politiques, programme</w:t>
      </w:r>
      <w:r w:rsidR="0080648A" w:rsidRPr="00A52C0B">
        <w:rPr>
          <w:lang w:val="fr-CA"/>
        </w:rPr>
        <w:t>s</w:t>
      </w:r>
      <w:r w:rsidR="00BB651C" w:rsidRPr="00A52C0B">
        <w:rPr>
          <w:lang w:val="fr-CA"/>
        </w:rPr>
        <w:t xml:space="preserve"> de certification et formation des techniciens, formation des douaniers,  prévention du commerce illicite de HFC, outils d’entretien,  matériel d’essai de frigorigènes et recyclage et récupération des HFC</w:t>
      </w:r>
      <w:r w:rsidR="00C42D62" w:rsidRPr="00A52C0B">
        <w:rPr>
          <w:vertAlign w:val="superscript"/>
          <w:lang w:val="fr-CA"/>
        </w:rPr>
        <w:footnoteReference w:id="2"/>
      </w:r>
      <w:r w:rsidR="0080648A" w:rsidRPr="00A52C0B">
        <w:rPr>
          <w:lang w:val="fr-CA"/>
        </w:rPr>
        <w:t>;</w:t>
      </w:r>
    </w:p>
    <w:p w14:paraId="7EFA3F0C" w14:textId="4A81F2B6" w:rsidR="00C42D62" w:rsidRPr="00A52C0B" w:rsidRDefault="00CC1480" w:rsidP="001F1661">
      <w:pPr>
        <w:pStyle w:val="Heading2"/>
        <w:keepNext/>
        <w:keepLines/>
        <w:rPr>
          <w:lang w:val="fr-CA"/>
        </w:rPr>
      </w:pPr>
      <w:r>
        <w:rPr>
          <w:lang w:val="fr-CA"/>
        </w:rPr>
        <w:lastRenderedPageBreak/>
        <w:t>a</w:t>
      </w:r>
      <w:r w:rsidR="00CD2804" w:rsidRPr="00A52C0B">
        <w:rPr>
          <w:lang w:val="fr-CA"/>
        </w:rPr>
        <w:t xml:space="preserve"> chargé le Secrétariat de préparer, en collaboration avec les agences bilatérales et d’exécution, un document préliminaire sur tous les aspects du secteur de l’entretien de l’équipement de réfrigération appuyant la réduction progressive des HFC (décision</w:t>
      </w:r>
      <w:r w:rsidR="0080648A" w:rsidRPr="00A52C0B">
        <w:rPr>
          <w:lang w:val="fr-CA"/>
        </w:rPr>
        <w:t> </w:t>
      </w:r>
      <w:r w:rsidR="00CD2804" w:rsidRPr="00A52C0B">
        <w:rPr>
          <w:lang w:val="fr-CA"/>
        </w:rPr>
        <w:t>80/76</w:t>
      </w:r>
      <w:r w:rsidR="00E3465D" w:rsidRPr="00A52C0B">
        <w:rPr>
          <w:lang w:val="fr-CA"/>
        </w:rPr>
        <w:t> c)</w:t>
      </w:r>
      <w:r w:rsidR="00CD2804" w:rsidRPr="00A52C0B">
        <w:rPr>
          <w:lang w:val="fr-CA"/>
        </w:rPr>
        <w:t>)</w:t>
      </w:r>
      <w:r w:rsidR="00C42D62" w:rsidRPr="00A52C0B">
        <w:rPr>
          <w:vertAlign w:val="superscript"/>
          <w:lang w:val="fr-CA"/>
        </w:rPr>
        <w:footnoteReference w:id="3"/>
      </w:r>
      <w:r w:rsidR="009A32D6" w:rsidRPr="00A52C0B">
        <w:rPr>
          <w:lang w:val="fr-CA"/>
        </w:rPr>
        <w:t>.</w:t>
      </w:r>
    </w:p>
    <w:p w14:paraId="6151B029" w14:textId="4A540065" w:rsidR="00C42D62" w:rsidRPr="00A52C0B" w:rsidRDefault="009558AE" w:rsidP="00C42D62">
      <w:pPr>
        <w:pStyle w:val="Heading1"/>
        <w:numPr>
          <w:ilvl w:val="0"/>
          <w:numId w:val="2"/>
        </w:numPr>
        <w:rPr>
          <w:lang w:val="fr-CA"/>
        </w:rPr>
      </w:pPr>
      <w:r w:rsidRPr="00A52C0B">
        <w:rPr>
          <w:lang w:val="fr-CA"/>
        </w:rPr>
        <w:t>Le Comité exécutif à sa 81</w:t>
      </w:r>
      <w:r w:rsidR="009D5892" w:rsidRPr="00A52C0B">
        <w:rPr>
          <w:vertAlign w:val="superscript"/>
          <w:lang w:val="fr-CA"/>
        </w:rPr>
        <w:t>e</w:t>
      </w:r>
      <w:r w:rsidR="009D5892" w:rsidRPr="00A52C0B">
        <w:rPr>
          <w:lang w:val="fr-CA"/>
        </w:rPr>
        <w:t> réuni</w:t>
      </w:r>
      <w:r w:rsidRPr="00A52C0B">
        <w:rPr>
          <w:lang w:val="fr-CA"/>
        </w:rPr>
        <w:t>on a décidé d’examiner, à sa 82</w:t>
      </w:r>
      <w:r w:rsidR="009D5892" w:rsidRPr="00A52C0B">
        <w:rPr>
          <w:vertAlign w:val="superscript"/>
          <w:lang w:val="fr-CA"/>
        </w:rPr>
        <w:t>e</w:t>
      </w:r>
      <w:r w:rsidR="009D5892" w:rsidRPr="00A52C0B">
        <w:rPr>
          <w:lang w:val="fr-CA"/>
        </w:rPr>
        <w:t> réuni</w:t>
      </w:r>
      <w:r w:rsidRPr="00A52C0B">
        <w:rPr>
          <w:lang w:val="fr-CA"/>
        </w:rPr>
        <w:t>on, la question de la priorité accordée à l’assistance technique et au renforcement des capacités pour traiter les questions de sécurité associée</w:t>
      </w:r>
      <w:r w:rsidR="00BD0323" w:rsidRPr="00A52C0B">
        <w:rPr>
          <w:lang w:val="fr-CA"/>
        </w:rPr>
        <w:t>s</w:t>
      </w:r>
      <w:r w:rsidRPr="00A52C0B">
        <w:rPr>
          <w:lang w:val="fr-CA"/>
        </w:rPr>
        <w:t xml:space="preserve"> aux produits de remplacement à </w:t>
      </w:r>
      <w:r w:rsidR="002152C0" w:rsidRPr="00A52C0B">
        <w:rPr>
          <w:lang w:val="fr-CA"/>
        </w:rPr>
        <w:t>faible </w:t>
      </w:r>
      <w:r w:rsidR="009F6770" w:rsidRPr="00A52C0B">
        <w:rPr>
          <w:lang w:val="fr-CA"/>
        </w:rPr>
        <w:t>PRG</w:t>
      </w:r>
      <w:r w:rsidRPr="00A52C0B">
        <w:rPr>
          <w:lang w:val="fr-CA"/>
        </w:rPr>
        <w:t xml:space="preserve"> ou à </w:t>
      </w:r>
      <w:r w:rsidR="009F6770" w:rsidRPr="00A52C0B">
        <w:rPr>
          <w:lang w:val="fr-CA"/>
        </w:rPr>
        <w:t>PRG</w:t>
      </w:r>
      <w:r w:rsidRPr="00A52C0B">
        <w:rPr>
          <w:lang w:val="fr-CA"/>
        </w:rPr>
        <w:t xml:space="preserve"> nul pour tous les secteurs (paragraphe</w:t>
      </w:r>
      <w:r w:rsidR="00BD0323" w:rsidRPr="00A52C0B">
        <w:rPr>
          <w:lang w:val="fr-CA"/>
        </w:rPr>
        <w:t> </w:t>
      </w:r>
      <w:r w:rsidRPr="00A52C0B">
        <w:rPr>
          <w:lang w:val="fr-CA"/>
        </w:rPr>
        <w:t xml:space="preserve">23 de la </w:t>
      </w:r>
      <w:r w:rsidR="009D5892" w:rsidRPr="00A52C0B">
        <w:rPr>
          <w:lang w:val="fr-CA"/>
        </w:rPr>
        <w:t>décision </w:t>
      </w:r>
      <w:r w:rsidRPr="00A52C0B">
        <w:rPr>
          <w:lang w:val="fr-CA"/>
        </w:rPr>
        <w:t xml:space="preserve">XXVIII/2), à la lumière du document que prépare le Secrétariat en réponse à la </w:t>
      </w:r>
      <w:r w:rsidR="009D5892" w:rsidRPr="00A52C0B">
        <w:rPr>
          <w:lang w:val="fr-CA"/>
        </w:rPr>
        <w:t>décision </w:t>
      </w:r>
      <w:r w:rsidRPr="00A52C0B">
        <w:rPr>
          <w:lang w:val="fr-CA"/>
        </w:rPr>
        <w:t>80/76 sur les aspects du secteur de l’entretien de l’équipement de réfrigération qui soutienne</w:t>
      </w:r>
      <w:r w:rsidR="00BD0323" w:rsidRPr="00A52C0B">
        <w:rPr>
          <w:lang w:val="fr-CA"/>
        </w:rPr>
        <w:t>nt</w:t>
      </w:r>
      <w:r w:rsidRPr="00A52C0B">
        <w:rPr>
          <w:lang w:val="fr-CA"/>
        </w:rPr>
        <w:t xml:space="preserve"> la réduction progressive des HFC (</w:t>
      </w:r>
      <w:r w:rsidR="009D5892" w:rsidRPr="00A52C0B">
        <w:rPr>
          <w:lang w:val="fr-CA"/>
        </w:rPr>
        <w:t>décision </w:t>
      </w:r>
      <w:r w:rsidRPr="00A52C0B">
        <w:rPr>
          <w:lang w:val="fr-CA"/>
        </w:rPr>
        <w:t>81/67</w:t>
      </w:r>
      <w:r w:rsidR="00E3465D" w:rsidRPr="00A52C0B">
        <w:rPr>
          <w:lang w:val="fr-CA"/>
        </w:rPr>
        <w:t> c)</w:t>
      </w:r>
      <w:r w:rsidRPr="00A52C0B">
        <w:rPr>
          <w:lang w:val="fr-CA"/>
        </w:rPr>
        <w:t>).</w:t>
      </w:r>
    </w:p>
    <w:p w14:paraId="15DFF807" w14:textId="13D73C1D" w:rsidR="00C42D62" w:rsidRPr="00A52C0B" w:rsidRDefault="009558AE" w:rsidP="00C42D62">
      <w:pPr>
        <w:pStyle w:val="Heading1"/>
        <w:numPr>
          <w:ilvl w:val="0"/>
          <w:numId w:val="2"/>
        </w:numPr>
        <w:rPr>
          <w:lang w:val="fr-CA"/>
        </w:rPr>
      </w:pPr>
      <w:r w:rsidRPr="00A52C0B">
        <w:rPr>
          <w:lang w:val="fr-CA"/>
        </w:rPr>
        <w:t xml:space="preserve">En réponse aux </w:t>
      </w:r>
      <w:r w:rsidR="00D46C01" w:rsidRPr="00A52C0B">
        <w:rPr>
          <w:lang w:val="fr-CA"/>
        </w:rPr>
        <w:t>décisions </w:t>
      </w:r>
      <w:r w:rsidRPr="00A52C0B">
        <w:rPr>
          <w:lang w:val="fr-CA"/>
        </w:rPr>
        <w:t>80/76</w:t>
      </w:r>
      <w:r w:rsidR="001C6DA0" w:rsidRPr="00A52C0B">
        <w:rPr>
          <w:lang w:val="fr-CA"/>
        </w:rPr>
        <w:t> c)</w:t>
      </w:r>
      <w:r w:rsidRPr="00A52C0B">
        <w:rPr>
          <w:lang w:val="fr-CA"/>
        </w:rPr>
        <w:t xml:space="preserve"> et 8</w:t>
      </w:r>
      <w:r w:rsidR="001C6DA0" w:rsidRPr="00A52C0B">
        <w:rPr>
          <w:lang w:val="fr-CA"/>
        </w:rPr>
        <w:t>1</w:t>
      </w:r>
      <w:r w:rsidRPr="00A52C0B">
        <w:rPr>
          <w:lang w:val="fr-CA"/>
        </w:rPr>
        <w:t>/67</w:t>
      </w:r>
      <w:r w:rsidR="001C6DA0" w:rsidRPr="00A52C0B">
        <w:rPr>
          <w:lang w:val="fr-CA"/>
        </w:rPr>
        <w:t> c)</w:t>
      </w:r>
      <w:r w:rsidRPr="00A52C0B">
        <w:rPr>
          <w:lang w:val="fr-CA"/>
        </w:rPr>
        <w:t>, le Secrétariat a présenté à la 82</w:t>
      </w:r>
      <w:r w:rsidR="009D5892" w:rsidRPr="00A52C0B">
        <w:rPr>
          <w:vertAlign w:val="superscript"/>
          <w:lang w:val="fr-CA"/>
        </w:rPr>
        <w:t>e</w:t>
      </w:r>
      <w:r w:rsidR="009D5892" w:rsidRPr="00A52C0B">
        <w:rPr>
          <w:lang w:val="fr-CA"/>
        </w:rPr>
        <w:t> réuni</w:t>
      </w:r>
      <w:r w:rsidRPr="00A52C0B">
        <w:rPr>
          <w:lang w:val="fr-CA"/>
        </w:rPr>
        <w:t>on le document</w:t>
      </w:r>
      <w:r w:rsidR="001C6DA0" w:rsidRPr="00A52C0B">
        <w:rPr>
          <w:lang w:val="fr-CA"/>
        </w:rPr>
        <w:t xml:space="preserve"> UNEP/OzL.Pro/ExCom/82/64 </w:t>
      </w:r>
      <w:r w:rsidRPr="00A52C0B">
        <w:rPr>
          <w:lang w:val="fr-CA"/>
        </w:rPr>
        <w:t>sur tous les aspects se rapportant au secteur de l’entretien de l’équipement de réfrigération qui appuie</w:t>
      </w:r>
      <w:r w:rsidR="001C6DA0" w:rsidRPr="00A52C0B">
        <w:rPr>
          <w:lang w:val="fr-CA"/>
        </w:rPr>
        <w:t>nt</w:t>
      </w:r>
      <w:r w:rsidRPr="00A52C0B">
        <w:rPr>
          <w:lang w:val="fr-CA"/>
        </w:rPr>
        <w:t xml:space="preserve"> la réduction progressive des HFC. À l’issue </w:t>
      </w:r>
      <w:r w:rsidR="002454E0">
        <w:rPr>
          <w:lang w:val="fr-CA"/>
        </w:rPr>
        <w:t>de</w:t>
      </w:r>
      <w:r w:rsidRPr="00A52C0B">
        <w:rPr>
          <w:lang w:val="fr-CA"/>
        </w:rPr>
        <w:t xml:space="preserve"> discussion</w:t>
      </w:r>
      <w:r w:rsidR="002454E0">
        <w:rPr>
          <w:lang w:val="fr-CA"/>
        </w:rPr>
        <w:t>s</w:t>
      </w:r>
      <w:r w:rsidRPr="00A52C0B">
        <w:rPr>
          <w:lang w:val="fr-CA"/>
        </w:rPr>
        <w:t>, le Comité exécutif a pris note du document.</w:t>
      </w:r>
    </w:p>
    <w:p w14:paraId="75C076A2" w14:textId="79E1E9DD" w:rsidR="00C42D62" w:rsidRPr="00A52C0B" w:rsidRDefault="009558AE" w:rsidP="00C42D62">
      <w:pPr>
        <w:pStyle w:val="Heading1"/>
        <w:numPr>
          <w:ilvl w:val="0"/>
          <w:numId w:val="2"/>
        </w:numPr>
        <w:rPr>
          <w:lang w:val="fr-CA"/>
        </w:rPr>
      </w:pPr>
      <w:r w:rsidRPr="00A52C0B">
        <w:rPr>
          <w:lang w:val="fr-CA"/>
        </w:rPr>
        <w:t>Le Comité exécutif à sa 83</w:t>
      </w:r>
      <w:r w:rsidR="009D5892" w:rsidRPr="00A52C0B">
        <w:rPr>
          <w:vertAlign w:val="superscript"/>
          <w:lang w:val="fr-CA"/>
        </w:rPr>
        <w:t>e</w:t>
      </w:r>
      <w:r w:rsidR="009D5892" w:rsidRPr="00A52C0B">
        <w:rPr>
          <w:lang w:val="fr-CA"/>
        </w:rPr>
        <w:t> réuni</w:t>
      </w:r>
      <w:r w:rsidRPr="00A52C0B">
        <w:rPr>
          <w:lang w:val="fr-CA"/>
        </w:rPr>
        <w:t xml:space="preserve">on a décidé de remettre sur pied le groupe de contact sur l’élaboration des lignes directrices sur les coûts de la réduction progressive des HFC dans les pays visés à l’article 5. </w:t>
      </w:r>
      <w:r w:rsidR="00C104D8" w:rsidRPr="00A52C0B">
        <w:rPr>
          <w:lang w:val="fr-CA"/>
        </w:rPr>
        <w:t>Suite au rapport du facilitateur du groupe de contact, le Comité a notamment chargé le Secrétariat de préparer pour la 85</w:t>
      </w:r>
      <w:r w:rsidR="009D5892" w:rsidRPr="00A52C0B">
        <w:rPr>
          <w:vertAlign w:val="superscript"/>
          <w:lang w:val="fr-CA"/>
        </w:rPr>
        <w:t>e</w:t>
      </w:r>
      <w:r w:rsidR="009D5892" w:rsidRPr="00A52C0B">
        <w:rPr>
          <w:lang w:val="fr-CA"/>
        </w:rPr>
        <w:t> réuni</w:t>
      </w:r>
      <w:r w:rsidR="00C104D8" w:rsidRPr="00A52C0B">
        <w:rPr>
          <w:lang w:val="fr-CA"/>
        </w:rPr>
        <w:t>on un d</w:t>
      </w:r>
      <w:r w:rsidR="002454E0">
        <w:rPr>
          <w:lang w:val="fr-CA"/>
        </w:rPr>
        <w:t>ocument d’analyse du niveau et d</w:t>
      </w:r>
      <w:r w:rsidR="00C104D8" w:rsidRPr="00A52C0B">
        <w:rPr>
          <w:lang w:val="fr-CA"/>
        </w:rPr>
        <w:t>es modalités de financement de la réduction progressive des HFC dans le secteur de l’entretien de l’équipement de réfrigération</w:t>
      </w:r>
      <w:r w:rsidR="002454E0">
        <w:rPr>
          <w:lang w:val="fr-CA"/>
        </w:rPr>
        <w:t>,</w:t>
      </w:r>
      <w:r w:rsidR="00C104D8" w:rsidRPr="00A52C0B">
        <w:rPr>
          <w:lang w:val="fr-CA"/>
        </w:rPr>
        <w:t xml:space="preserve"> à la lumière de l’information contenue dans le document</w:t>
      </w:r>
      <w:r w:rsidR="007A0BD4" w:rsidRPr="00A52C0B">
        <w:rPr>
          <w:lang w:val="fr-CA"/>
        </w:rPr>
        <w:t> </w:t>
      </w:r>
      <w:r w:rsidR="00C42D62" w:rsidRPr="00A52C0B">
        <w:rPr>
          <w:lang w:val="fr-CA"/>
        </w:rPr>
        <w:t xml:space="preserve">UNEP/OzL.Pro/ExCom/82/64 </w:t>
      </w:r>
      <w:r w:rsidR="00C104D8" w:rsidRPr="00A52C0B">
        <w:rPr>
          <w:lang w:val="fr-CA"/>
        </w:rPr>
        <w:t>et l</w:t>
      </w:r>
      <w:r w:rsidR="007A0BD4" w:rsidRPr="00A52C0B">
        <w:rPr>
          <w:lang w:val="fr-CA"/>
        </w:rPr>
        <w:t>’</w:t>
      </w:r>
      <w:r w:rsidR="00C104D8" w:rsidRPr="00A52C0B">
        <w:rPr>
          <w:lang w:val="fr-CA"/>
        </w:rPr>
        <w:t xml:space="preserve">orientation fournie par le Comité exécutif, notamment la souplesse dont jouissent les pays visés à l’article 5 pour mettre en œuvre </w:t>
      </w:r>
      <w:r w:rsidR="007A0BD4" w:rsidRPr="00A52C0B">
        <w:rPr>
          <w:lang w:val="fr-CA"/>
        </w:rPr>
        <w:t>l</w:t>
      </w:r>
      <w:r w:rsidR="00C104D8" w:rsidRPr="00A52C0B">
        <w:rPr>
          <w:lang w:val="fr-CA"/>
        </w:rPr>
        <w:t>es activités du secteur de l’entretien de l’équipement de réfrigération de leur pays</w:t>
      </w:r>
      <w:r w:rsidR="002454E0">
        <w:rPr>
          <w:lang w:val="fr-CA"/>
        </w:rPr>
        <w:t>,</w:t>
      </w:r>
      <w:r w:rsidR="00C104D8" w:rsidRPr="00A52C0B">
        <w:rPr>
          <w:lang w:val="fr-CA"/>
        </w:rPr>
        <w:t xml:space="preserve"> selon leurs circonstances nationales et les activités prévues au cours de leur plan de gestion de l’élimination des HCFC (PGEH) (</w:t>
      </w:r>
      <w:r w:rsidR="009D5892" w:rsidRPr="00A52C0B">
        <w:rPr>
          <w:lang w:val="fr-CA"/>
        </w:rPr>
        <w:t>décision </w:t>
      </w:r>
      <w:r w:rsidR="00C104D8" w:rsidRPr="00A52C0B">
        <w:rPr>
          <w:lang w:val="fr-CA"/>
        </w:rPr>
        <w:t>83/65</w:t>
      </w:r>
      <w:r w:rsidR="00E3465D" w:rsidRPr="00A52C0B">
        <w:rPr>
          <w:lang w:val="fr-CA"/>
        </w:rPr>
        <w:t> b)</w:t>
      </w:r>
      <w:r w:rsidR="00C104D8" w:rsidRPr="00A52C0B">
        <w:rPr>
          <w:lang w:val="fr-CA"/>
        </w:rPr>
        <w:t xml:space="preserve">). </w:t>
      </w:r>
    </w:p>
    <w:p w14:paraId="7394097A" w14:textId="56F3FA64" w:rsidR="00C42D62" w:rsidRPr="00A52C0B" w:rsidRDefault="00614A17" w:rsidP="00C42D62">
      <w:pPr>
        <w:pStyle w:val="Heading1"/>
        <w:numPr>
          <w:ilvl w:val="0"/>
          <w:numId w:val="2"/>
        </w:numPr>
        <w:rPr>
          <w:lang w:val="fr-CA"/>
        </w:rPr>
      </w:pPr>
      <w:r w:rsidRPr="00A52C0B">
        <w:rPr>
          <w:lang w:val="fr-CA"/>
        </w:rPr>
        <w:t>Le Comité exécutif à sa 84</w:t>
      </w:r>
      <w:r w:rsidR="009D5892" w:rsidRPr="00A52C0B">
        <w:rPr>
          <w:vertAlign w:val="superscript"/>
          <w:lang w:val="fr-CA"/>
        </w:rPr>
        <w:t>e</w:t>
      </w:r>
      <w:r w:rsidR="009D5892" w:rsidRPr="00A52C0B">
        <w:rPr>
          <w:lang w:val="fr-CA"/>
        </w:rPr>
        <w:t> réuni</w:t>
      </w:r>
      <w:r w:rsidRPr="00A52C0B">
        <w:rPr>
          <w:lang w:val="fr-CA"/>
        </w:rPr>
        <w:t>on a examiné le document</w:t>
      </w:r>
      <w:r w:rsidR="007A0BD4" w:rsidRPr="00A52C0B">
        <w:rPr>
          <w:lang w:val="fr-CA"/>
        </w:rPr>
        <w:t> </w:t>
      </w:r>
      <w:r w:rsidR="00C42D62" w:rsidRPr="00A52C0B">
        <w:rPr>
          <w:lang w:val="fr-CA"/>
        </w:rPr>
        <w:t xml:space="preserve">UNEP/OzL.Pro/ExCom/84/65 </w:t>
      </w:r>
      <w:r w:rsidRPr="00A52C0B">
        <w:rPr>
          <w:lang w:val="fr-CA"/>
        </w:rPr>
        <w:t>sur l’analyse des conséquences de la mise en œuvre en parallèle ou intégrée des activités d’élimination des HCFC et de réduction progressive des HFC. Au cours du débat qui a suivi, les membres se sont félicités de l’analyse et ont notamment souligné le potentiel de synergies des activités d’élimination des HCFC et de réduction progressive des HFC dans le secteur de l’entretien de l’équipement de réfrigération, tout en notant</w:t>
      </w:r>
      <w:r w:rsidR="00533825" w:rsidRPr="00A52C0B">
        <w:rPr>
          <w:lang w:val="fr-CA"/>
        </w:rPr>
        <w:t xml:space="preserve"> les possibilités offertes dans les secteurs </w:t>
      </w:r>
      <w:r w:rsidR="002454E0">
        <w:rPr>
          <w:lang w:val="fr-CA"/>
        </w:rPr>
        <w:t xml:space="preserve">manufacturiers </w:t>
      </w:r>
      <w:r w:rsidR="00533825" w:rsidRPr="00A52C0B">
        <w:rPr>
          <w:lang w:val="fr-CA"/>
        </w:rPr>
        <w:t xml:space="preserve">de la mousse, des climatiseurs de salle, et </w:t>
      </w:r>
      <w:r w:rsidR="002454E0">
        <w:rPr>
          <w:lang w:val="fr-CA"/>
        </w:rPr>
        <w:t>des</w:t>
      </w:r>
      <w:r w:rsidR="00533825" w:rsidRPr="00A52C0B">
        <w:rPr>
          <w:lang w:val="fr-CA"/>
        </w:rPr>
        <w:t xml:space="preserve"> refroidisseurs et appareils de réfrigération à usage commercial; les membres se sont par ailleurs montrés intéress</w:t>
      </w:r>
      <w:r w:rsidR="00A03446" w:rsidRPr="00A52C0B">
        <w:rPr>
          <w:lang w:val="fr-CA"/>
        </w:rPr>
        <w:t>és</w:t>
      </w:r>
      <w:r w:rsidR="00533825" w:rsidRPr="00A52C0B">
        <w:rPr>
          <w:lang w:val="fr-CA"/>
        </w:rPr>
        <w:t xml:space="preserve"> à </w:t>
      </w:r>
      <w:r w:rsidR="002454E0">
        <w:rPr>
          <w:lang w:val="fr-CA"/>
        </w:rPr>
        <w:t>poursuivre les discussions sur</w:t>
      </w:r>
      <w:r w:rsidR="00533825" w:rsidRPr="00A52C0B">
        <w:rPr>
          <w:lang w:val="fr-CA"/>
        </w:rPr>
        <w:t xml:space="preserve"> les moyens d’appuyer une approche </w:t>
      </w:r>
      <w:r w:rsidR="002454E0">
        <w:rPr>
          <w:lang w:val="fr-CA"/>
        </w:rPr>
        <w:t xml:space="preserve">d’un bon rapport coût-efficacité </w:t>
      </w:r>
      <w:r w:rsidR="00533825" w:rsidRPr="00A52C0B">
        <w:rPr>
          <w:lang w:val="fr-CA"/>
        </w:rPr>
        <w:t xml:space="preserve">pour les activités d’élimination des HCFC et de réduction progressive des HFC. Par la suite, le Comité a notamment chargé le Secrétariat de tenir compte des occasions de mise en œuvre intégrée de l’élimination des HCFC et de la réduction progressive des HFC dans le secteur de l’entretien en réfrigération, lors de l’élaboration du document sur l’analyse du niveau et des modalités de financement de la réduction progressive des HFC dans le secteur de l’entretien de l’équipement de réfrigération demandé conformément à la </w:t>
      </w:r>
      <w:r w:rsidR="009D5892" w:rsidRPr="00A52C0B">
        <w:rPr>
          <w:lang w:val="fr-CA"/>
        </w:rPr>
        <w:t>décision </w:t>
      </w:r>
      <w:r w:rsidR="00533825" w:rsidRPr="00A52C0B">
        <w:rPr>
          <w:lang w:val="fr-CA"/>
        </w:rPr>
        <w:t>83/65.</w:t>
      </w:r>
      <w:r w:rsidRPr="00A52C0B">
        <w:rPr>
          <w:lang w:val="fr-CA"/>
        </w:rPr>
        <w:t xml:space="preserve"> </w:t>
      </w:r>
    </w:p>
    <w:p w14:paraId="113C8B6E" w14:textId="07A133CE" w:rsidR="00C42D62" w:rsidRPr="00A52C0B" w:rsidRDefault="00533825" w:rsidP="00C42D62">
      <w:pPr>
        <w:pStyle w:val="Heading1"/>
        <w:numPr>
          <w:ilvl w:val="0"/>
          <w:numId w:val="0"/>
        </w:numPr>
        <w:tabs>
          <w:tab w:val="left" w:pos="720"/>
        </w:tabs>
        <w:rPr>
          <w:u w:val="single"/>
          <w:lang w:val="fr-CA"/>
        </w:rPr>
      </w:pPr>
      <w:r w:rsidRPr="00A52C0B">
        <w:rPr>
          <w:u w:val="single"/>
          <w:lang w:val="fr-CA"/>
        </w:rPr>
        <w:lastRenderedPageBreak/>
        <w:t>Réunion de coordination inter</w:t>
      </w:r>
      <w:r w:rsidR="00471A2B" w:rsidRPr="00A52C0B">
        <w:rPr>
          <w:u w:val="single"/>
          <w:lang w:val="fr-CA"/>
        </w:rPr>
        <w:noBreakHyphen/>
      </w:r>
      <w:r w:rsidRPr="00A52C0B">
        <w:rPr>
          <w:u w:val="single"/>
          <w:lang w:val="fr-CA"/>
        </w:rPr>
        <w:t>agence</w:t>
      </w:r>
      <w:r w:rsidR="00A03446" w:rsidRPr="00A52C0B">
        <w:rPr>
          <w:u w:val="single"/>
          <w:lang w:val="fr-CA"/>
        </w:rPr>
        <w:t>s</w:t>
      </w:r>
      <w:r w:rsidR="00C42D62" w:rsidRPr="00A52C0B">
        <w:rPr>
          <w:rStyle w:val="FootnoteReference"/>
          <w:lang w:val="fr-CA"/>
        </w:rPr>
        <w:footnoteReference w:id="4"/>
      </w:r>
    </w:p>
    <w:p w14:paraId="5ABDA30C" w14:textId="1A861640" w:rsidR="00C42D62" w:rsidRPr="00A52C0B" w:rsidRDefault="00533825" w:rsidP="00C42D62">
      <w:pPr>
        <w:pStyle w:val="Heading1"/>
        <w:numPr>
          <w:ilvl w:val="0"/>
          <w:numId w:val="2"/>
        </w:numPr>
        <w:rPr>
          <w:lang w:val="fr-CA"/>
        </w:rPr>
      </w:pPr>
      <w:r w:rsidRPr="00A52C0B">
        <w:rPr>
          <w:lang w:val="fr-CA"/>
        </w:rPr>
        <w:t xml:space="preserve">Afin de donner suite à la demande figurant dans la </w:t>
      </w:r>
      <w:r w:rsidR="009D5892" w:rsidRPr="00A52C0B">
        <w:rPr>
          <w:lang w:val="fr-CA"/>
        </w:rPr>
        <w:t>décision </w:t>
      </w:r>
      <w:r w:rsidRPr="00A52C0B">
        <w:rPr>
          <w:lang w:val="fr-CA"/>
        </w:rPr>
        <w:t>84/86</w:t>
      </w:r>
      <w:r w:rsidR="00E3465D" w:rsidRPr="00A52C0B">
        <w:rPr>
          <w:lang w:val="fr-CA"/>
        </w:rPr>
        <w:t> b) ii)</w:t>
      </w:r>
      <w:r w:rsidR="00D11827" w:rsidRPr="00A52C0B">
        <w:rPr>
          <w:lang w:val="fr-CA"/>
        </w:rPr>
        <w:t>, le Secrétariat a préparé une analyse du niveau et des modalités de financement des activités de réduction progressive des HFC dans le secteur de l’entretien de l’équipement de réfrigération, qui sera</w:t>
      </w:r>
      <w:r w:rsidR="005B3CAB" w:rsidRPr="00A52C0B">
        <w:rPr>
          <w:lang w:val="fr-CA"/>
        </w:rPr>
        <w:t>it</w:t>
      </w:r>
      <w:r w:rsidR="00D11827" w:rsidRPr="00A52C0B">
        <w:rPr>
          <w:lang w:val="fr-CA"/>
        </w:rPr>
        <w:t xml:space="preserve"> examinée lors d’un</w:t>
      </w:r>
      <w:r w:rsidR="009D5892" w:rsidRPr="00A52C0B">
        <w:rPr>
          <w:lang w:val="fr-CA"/>
        </w:rPr>
        <w:t>e réuni</w:t>
      </w:r>
      <w:r w:rsidR="00D11827" w:rsidRPr="00A52C0B">
        <w:rPr>
          <w:lang w:val="fr-CA"/>
        </w:rPr>
        <w:t xml:space="preserve">on de coordination </w:t>
      </w:r>
      <w:r w:rsidR="009D5892" w:rsidRPr="00A52C0B">
        <w:rPr>
          <w:lang w:val="fr-CA"/>
        </w:rPr>
        <w:t>inter</w:t>
      </w:r>
      <w:r w:rsidR="00471A2B" w:rsidRPr="00A52C0B">
        <w:rPr>
          <w:lang w:val="fr-CA"/>
        </w:rPr>
        <w:noBreakHyphen/>
      </w:r>
      <w:r w:rsidR="009D5892" w:rsidRPr="00A52C0B">
        <w:rPr>
          <w:lang w:val="fr-CA"/>
        </w:rPr>
        <w:t>agence</w:t>
      </w:r>
      <w:r w:rsidR="00D11827" w:rsidRPr="00A52C0B">
        <w:rPr>
          <w:lang w:val="fr-CA"/>
        </w:rPr>
        <w:t>s. On a demandé aux agences bilatérales et d’exécution d’exprimer leur point de vue sur les aspects suivants</w:t>
      </w:r>
      <w:r w:rsidR="00A226CE" w:rsidRPr="00A52C0B">
        <w:rPr>
          <w:lang w:val="fr-CA"/>
        </w:rPr>
        <w:t> :</w:t>
      </w:r>
      <w:r w:rsidR="00D11827" w:rsidRPr="00A52C0B">
        <w:rPr>
          <w:lang w:val="fr-CA"/>
        </w:rPr>
        <w:t xml:space="preserve"> points communs entre les activités d’élimination des HCFC et de réduction progressive des HFC dans le secteur de l’entretien de l’équipement de réfrigération, qui pourraient être pris en compte dans le calcul des niveaux de financement dans le secteur; autres activités admissibles qui n’ont pas été financées au titre d</w:t>
      </w:r>
      <w:r w:rsidR="005B3CAB" w:rsidRPr="00A52C0B">
        <w:rPr>
          <w:lang w:val="fr-CA"/>
        </w:rPr>
        <w:t>es</w:t>
      </w:r>
      <w:r w:rsidR="00D11827" w:rsidRPr="00A52C0B">
        <w:rPr>
          <w:lang w:val="fr-CA"/>
        </w:rPr>
        <w:t xml:space="preserve"> PGEH, et méthodologie visant à déterminer les niveaux de financement par pays visé</w:t>
      </w:r>
      <w:r w:rsidR="005B3CAB" w:rsidRPr="00A52C0B">
        <w:rPr>
          <w:lang w:val="fr-CA"/>
        </w:rPr>
        <w:t xml:space="preserve"> </w:t>
      </w:r>
      <w:r w:rsidR="00D11827" w:rsidRPr="00A52C0B">
        <w:rPr>
          <w:lang w:val="fr-CA"/>
        </w:rPr>
        <w:t>à l’article</w:t>
      </w:r>
      <w:r w:rsidR="00A64CD8" w:rsidRPr="00A52C0B">
        <w:rPr>
          <w:lang w:val="fr-CA"/>
        </w:rPr>
        <w:t> </w:t>
      </w:r>
      <w:r w:rsidR="00D11827" w:rsidRPr="00A52C0B">
        <w:rPr>
          <w:lang w:val="fr-CA"/>
        </w:rPr>
        <w:t>5, à partir de l’expérience acquise relativement à l’élimination des CFC et des HCFC.</w:t>
      </w:r>
      <w:r w:rsidR="00C42D62" w:rsidRPr="00A52C0B">
        <w:rPr>
          <w:lang w:val="fr-CA"/>
        </w:rPr>
        <w:t xml:space="preserve"> </w:t>
      </w:r>
    </w:p>
    <w:p w14:paraId="3824E405" w14:textId="007D2E4F" w:rsidR="00C42D62" w:rsidRPr="00A52C0B" w:rsidRDefault="00D11827" w:rsidP="00C42D62">
      <w:pPr>
        <w:pStyle w:val="Heading1"/>
        <w:numPr>
          <w:ilvl w:val="0"/>
          <w:numId w:val="2"/>
        </w:numPr>
        <w:rPr>
          <w:lang w:val="fr-CA"/>
        </w:rPr>
      </w:pPr>
      <w:r w:rsidRPr="00A52C0B">
        <w:rPr>
          <w:lang w:val="fr-CA"/>
        </w:rPr>
        <w:t>Au cours des discussions qui ont suivi, le PNUD a indiqué que la stratégie à adopter pour le secteur de l’entretien de l’équipement de réfrigération devrait être une stratégie unique couvrant toute la période</w:t>
      </w:r>
      <w:r w:rsidR="002152C0" w:rsidRPr="00A52C0B">
        <w:rPr>
          <w:lang w:val="fr-CA"/>
        </w:rPr>
        <w:t> </w:t>
      </w:r>
      <w:r w:rsidRPr="00A52C0B">
        <w:rPr>
          <w:lang w:val="fr-CA"/>
        </w:rPr>
        <w:t>2021</w:t>
      </w:r>
      <w:r w:rsidR="00471A2B" w:rsidRPr="00A52C0B">
        <w:rPr>
          <w:lang w:val="fr-CA"/>
        </w:rPr>
        <w:noBreakHyphen/>
      </w:r>
      <w:r w:rsidRPr="00A52C0B">
        <w:rPr>
          <w:lang w:val="fr-CA"/>
        </w:rPr>
        <w:t xml:space="preserve">2030, plutôt que d’opter pour plusieurs stratégies qui pourraient être appliquées progressivement. Le financement devrait être estimé en fonction de la stratégie globale, </w:t>
      </w:r>
      <w:r w:rsidR="004D3BD2" w:rsidRPr="00A52C0B">
        <w:rPr>
          <w:lang w:val="fr-CA"/>
        </w:rPr>
        <w:t xml:space="preserve">avec un plus grand décaissement au début, afin d’établir l’infrastructure permettant d’adopter des solutions de remplacement à </w:t>
      </w:r>
      <w:r w:rsidR="002152C0" w:rsidRPr="00A52C0B">
        <w:rPr>
          <w:lang w:val="fr-CA"/>
        </w:rPr>
        <w:t>faible </w:t>
      </w:r>
      <w:r w:rsidR="009F6770" w:rsidRPr="00A52C0B">
        <w:rPr>
          <w:lang w:val="fr-CA"/>
        </w:rPr>
        <w:t>PRG</w:t>
      </w:r>
      <w:r w:rsidR="004D3BD2" w:rsidRPr="00A52C0B">
        <w:rPr>
          <w:lang w:val="fr-CA"/>
        </w:rPr>
        <w:t>. Les activités cruciales à mettre en œuvre comprennent les suivantes</w:t>
      </w:r>
      <w:r w:rsidR="00A226CE" w:rsidRPr="00A52C0B">
        <w:rPr>
          <w:lang w:val="fr-CA"/>
        </w:rPr>
        <w:t> :</w:t>
      </w:r>
      <w:r w:rsidR="004D3BD2" w:rsidRPr="00A52C0B">
        <w:rPr>
          <w:lang w:val="fr-CA"/>
        </w:rPr>
        <w:t xml:space="preserve"> adoption de politiques et normes, </w:t>
      </w:r>
      <w:r w:rsidR="003C4DBC" w:rsidRPr="00A52C0B">
        <w:rPr>
          <w:lang w:val="fr-CA"/>
        </w:rPr>
        <w:t>p</w:t>
      </w:r>
      <w:r w:rsidR="004D3BD2" w:rsidRPr="00A52C0B">
        <w:rPr>
          <w:lang w:val="fr-CA"/>
        </w:rPr>
        <w:t>lan de gestion des frigorigènes assurant la couverture de la formation et de la certification des techniciens, stratégies de confinement des frigorigènes, projet</w:t>
      </w:r>
      <w:r w:rsidR="003C4DBC" w:rsidRPr="00A52C0B">
        <w:rPr>
          <w:lang w:val="fr-CA"/>
        </w:rPr>
        <w:t>s</w:t>
      </w:r>
      <w:r w:rsidR="004D3BD2" w:rsidRPr="00A52C0B">
        <w:rPr>
          <w:lang w:val="fr-CA"/>
        </w:rPr>
        <w:t xml:space="preserve"> </w:t>
      </w:r>
      <w:r w:rsidR="009F6770" w:rsidRPr="00A52C0B">
        <w:rPr>
          <w:lang w:val="fr-CA"/>
        </w:rPr>
        <w:t>pilote</w:t>
      </w:r>
      <w:r w:rsidR="003C4DBC" w:rsidRPr="00A52C0B">
        <w:rPr>
          <w:lang w:val="fr-CA"/>
        </w:rPr>
        <w:t xml:space="preserve"> et </w:t>
      </w:r>
      <w:r w:rsidR="004D3BD2" w:rsidRPr="00A52C0B">
        <w:rPr>
          <w:lang w:val="fr-CA"/>
        </w:rPr>
        <w:t xml:space="preserve">formation sur l’installation de l’équipement de réfrigération et de climatisation utilisant des frigorigènes à </w:t>
      </w:r>
      <w:r w:rsidR="002152C0" w:rsidRPr="00A52C0B">
        <w:rPr>
          <w:lang w:val="fr-CA"/>
        </w:rPr>
        <w:t>faible </w:t>
      </w:r>
      <w:r w:rsidR="009F6770" w:rsidRPr="00A52C0B">
        <w:rPr>
          <w:lang w:val="fr-CA"/>
        </w:rPr>
        <w:t>PRG</w:t>
      </w:r>
      <w:r w:rsidR="004D3BD2" w:rsidRPr="00A52C0B">
        <w:rPr>
          <w:lang w:val="fr-CA"/>
        </w:rPr>
        <w:t xml:space="preserve">, </w:t>
      </w:r>
      <w:r w:rsidR="003C4DBC" w:rsidRPr="00A52C0B">
        <w:rPr>
          <w:lang w:val="fr-CA"/>
        </w:rPr>
        <w:t xml:space="preserve">et </w:t>
      </w:r>
      <w:r w:rsidR="004D3BD2" w:rsidRPr="00A52C0B">
        <w:rPr>
          <w:lang w:val="fr-CA"/>
        </w:rPr>
        <w:t>élimination en toute sécurité des frigorigènes indésirables. Il faudra donc accroître le financement des activités de réduction progressive des HFC, en particulier dans les pays à faible volume de consommation (FVC).</w:t>
      </w:r>
      <w:r w:rsidR="00C42D62" w:rsidRPr="00A52C0B">
        <w:rPr>
          <w:lang w:val="fr-CA"/>
        </w:rPr>
        <w:t xml:space="preserve"> </w:t>
      </w:r>
    </w:p>
    <w:p w14:paraId="7A4C536D" w14:textId="7A62D384" w:rsidR="00C42D62" w:rsidRPr="00A52C0B" w:rsidRDefault="004D3BD2" w:rsidP="00C42D62">
      <w:pPr>
        <w:pStyle w:val="Heading1"/>
        <w:numPr>
          <w:ilvl w:val="0"/>
          <w:numId w:val="2"/>
        </w:numPr>
        <w:rPr>
          <w:lang w:val="fr-CA"/>
        </w:rPr>
      </w:pPr>
      <w:r w:rsidRPr="00A52C0B">
        <w:rPr>
          <w:lang w:val="fr-CA"/>
        </w:rPr>
        <w:t xml:space="preserve">L’ONUDI a indiqué que l’inflammabilité des frigorigènes serait le principal problème à </w:t>
      </w:r>
      <w:r w:rsidR="0049456D">
        <w:rPr>
          <w:lang w:val="fr-CA"/>
        </w:rPr>
        <w:t>traiter</w:t>
      </w:r>
      <w:r w:rsidRPr="00A52C0B">
        <w:rPr>
          <w:lang w:val="fr-CA"/>
        </w:rPr>
        <w:t xml:space="preserve"> en envisageant les technologies de remplacement des HFC. Une approche progressive serait préférable à une stratégie unique sur 10</w:t>
      </w:r>
      <w:r w:rsidR="00A64CD8" w:rsidRPr="00A52C0B">
        <w:rPr>
          <w:lang w:val="fr-CA"/>
        </w:rPr>
        <w:t> </w:t>
      </w:r>
      <w:r w:rsidRPr="00A52C0B">
        <w:rPr>
          <w:lang w:val="fr-CA"/>
        </w:rPr>
        <w:t xml:space="preserve">ans, car cela permettrait d’évaluer </w:t>
      </w:r>
      <w:r w:rsidR="00901002" w:rsidRPr="00A52C0B">
        <w:rPr>
          <w:lang w:val="fr-CA"/>
        </w:rPr>
        <w:t xml:space="preserve">la réussite du plan à la fin de chaque phase et d’intégrer des mesures correctrices au besoin. Selon l’ONUDI, il est nécessaire de définir les principales activités à inclure dans le secteur de l’entretien. Dans le cas des </w:t>
      </w:r>
      <w:r w:rsidR="009260EE" w:rsidRPr="00A52C0B">
        <w:rPr>
          <w:lang w:val="fr-CA"/>
        </w:rPr>
        <w:t>pays FVC</w:t>
      </w:r>
      <w:r w:rsidR="00901002" w:rsidRPr="00A52C0B">
        <w:rPr>
          <w:lang w:val="fr-CA"/>
        </w:rPr>
        <w:t xml:space="preserve">, le niveau de financement devrait être d’au moins trois fois celui approuvé par la </w:t>
      </w:r>
      <w:r w:rsidR="009D5892" w:rsidRPr="00A52C0B">
        <w:rPr>
          <w:lang w:val="fr-CA"/>
        </w:rPr>
        <w:t>décision </w:t>
      </w:r>
      <w:r w:rsidR="00901002" w:rsidRPr="00A52C0B">
        <w:rPr>
          <w:lang w:val="fr-CA"/>
        </w:rPr>
        <w:t>74/50, qui permettrait d’offrir une formation spécialisée échelonnée sur une</w:t>
      </w:r>
      <w:r w:rsidR="001355C9" w:rsidRPr="00A52C0B">
        <w:rPr>
          <w:lang w:val="fr-CA"/>
        </w:rPr>
        <w:t xml:space="preserve"> plus</w:t>
      </w:r>
      <w:r w:rsidR="00901002" w:rsidRPr="00A52C0B">
        <w:rPr>
          <w:lang w:val="fr-CA"/>
        </w:rPr>
        <w:t xml:space="preserve"> longue période, afin de couvrir la gestion des frigorigènes inflammables.</w:t>
      </w:r>
    </w:p>
    <w:p w14:paraId="5D2984F7" w14:textId="1DC2BD09" w:rsidR="00C42D62" w:rsidRPr="00A52C0B" w:rsidRDefault="00901002" w:rsidP="00C42D62">
      <w:pPr>
        <w:pStyle w:val="Heading1"/>
        <w:numPr>
          <w:ilvl w:val="0"/>
          <w:numId w:val="2"/>
        </w:numPr>
        <w:rPr>
          <w:lang w:val="fr-CA"/>
        </w:rPr>
      </w:pPr>
      <w:r w:rsidRPr="00A52C0B">
        <w:rPr>
          <w:lang w:val="fr-CA"/>
        </w:rPr>
        <w:t xml:space="preserve">Le PNUE a souligné que les </w:t>
      </w:r>
      <w:r w:rsidR="009260EE" w:rsidRPr="00A52C0B">
        <w:rPr>
          <w:lang w:val="fr-CA"/>
        </w:rPr>
        <w:t>pays FVC</w:t>
      </w:r>
      <w:r w:rsidRPr="00A52C0B">
        <w:rPr>
          <w:lang w:val="fr-CA"/>
        </w:rPr>
        <w:t xml:space="preserve"> feraient face à des coûts plus élevés, afin d’intensifier les systèmes de certification des techniciens actuellement établis au titre des PGEH. </w:t>
      </w:r>
    </w:p>
    <w:p w14:paraId="1CDEE80D" w14:textId="0E0AD077" w:rsidR="00C42D62" w:rsidRPr="00A52C0B" w:rsidRDefault="00C42D62" w:rsidP="00C42D62">
      <w:pPr>
        <w:spacing w:after="240"/>
        <w:outlineLvl w:val="0"/>
        <w:rPr>
          <w:u w:val="single"/>
          <w:lang w:val="fr-CA"/>
        </w:rPr>
      </w:pPr>
      <w:r w:rsidRPr="00A52C0B">
        <w:rPr>
          <w:u w:val="single"/>
          <w:lang w:val="fr-CA"/>
        </w:rPr>
        <w:t xml:space="preserve">Structure </w:t>
      </w:r>
      <w:r w:rsidR="001355C9" w:rsidRPr="00A52C0B">
        <w:rPr>
          <w:u w:val="single"/>
          <w:lang w:val="fr-CA"/>
        </w:rPr>
        <w:t xml:space="preserve">du </w:t>
      </w:r>
      <w:r w:rsidRPr="00A52C0B">
        <w:rPr>
          <w:u w:val="single"/>
          <w:lang w:val="fr-CA"/>
        </w:rPr>
        <w:t>document</w:t>
      </w:r>
    </w:p>
    <w:p w14:paraId="2E78F8EA" w14:textId="4940EA87" w:rsidR="00C42D62" w:rsidRPr="00A52C0B" w:rsidRDefault="00901002" w:rsidP="001522DB">
      <w:pPr>
        <w:pStyle w:val="Heading1"/>
        <w:numPr>
          <w:ilvl w:val="0"/>
          <w:numId w:val="2"/>
        </w:numPr>
        <w:rPr>
          <w:lang w:val="fr-CA"/>
        </w:rPr>
      </w:pPr>
      <w:r w:rsidRPr="00A52C0B">
        <w:rPr>
          <w:lang w:val="fr-CA"/>
        </w:rPr>
        <w:t xml:space="preserve">Afin de donner suite aux </w:t>
      </w:r>
      <w:r w:rsidR="00D46C01" w:rsidRPr="00A52C0B">
        <w:rPr>
          <w:lang w:val="fr-CA"/>
        </w:rPr>
        <w:t>décisions </w:t>
      </w:r>
      <w:r w:rsidRPr="00A52C0B">
        <w:rPr>
          <w:lang w:val="fr-CA"/>
        </w:rPr>
        <w:t>83/65</w:t>
      </w:r>
      <w:r w:rsidR="00E3465D" w:rsidRPr="00A52C0B">
        <w:rPr>
          <w:lang w:val="fr-CA"/>
        </w:rPr>
        <w:t> b)</w:t>
      </w:r>
      <w:r w:rsidRPr="00A52C0B">
        <w:rPr>
          <w:lang w:val="fr-CA"/>
        </w:rPr>
        <w:t xml:space="preserve"> et 84/86</w:t>
      </w:r>
      <w:r w:rsidR="00D46C01" w:rsidRPr="00A52C0B">
        <w:rPr>
          <w:lang w:val="fr-CA"/>
        </w:rPr>
        <w:t> b) </w:t>
      </w:r>
      <w:r w:rsidR="00E3465D" w:rsidRPr="00A52C0B">
        <w:rPr>
          <w:lang w:val="fr-CA"/>
        </w:rPr>
        <w:t>ii)</w:t>
      </w:r>
      <w:r w:rsidRPr="00A52C0B">
        <w:rPr>
          <w:lang w:val="fr-CA"/>
        </w:rPr>
        <w:t>, le Secrétariat a préparé le présent document qu’il a présenté à la 8</w:t>
      </w:r>
      <w:r w:rsidR="001522DB">
        <w:rPr>
          <w:lang w:val="fr-CA"/>
        </w:rPr>
        <w:t>7</w:t>
      </w:r>
      <w:r w:rsidR="009D5892" w:rsidRPr="00A52C0B">
        <w:rPr>
          <w:vertAlign w:val="superscript"/>
          <w:lang w:val="fr-CA"/>
        </w:rPr>
        <w:t>e</w:t>
      </w:r>
      <w:r w:rsidR="009D5892" w:rsidRPr="00A52C0B">
        <w:rPr>
          <w:lang w:val="fr-CA"/>
        </w:rPr>
        <w:t> réuni</w:t>
      </w:r>
      <w:r w:rsidRPr="00A52C0B">
        <w:rPr>
          <w:lang w:val="fr-CA"/>
        </w:rPr>
        <w:t>on</w:t>
      </w:r>
      <w:r w:rsidR="001522DB">
        <w:rPr>
          <w:rStyle w:val="FootnoteReference"/>
          <w:lang w:val="fr-CA"/>
        </w:rPr>
        <w:footnoteReference w:id="5"/>
      </w:r>
      <w:r w:rsidR="001522DB">
        <w:rPr>
          <w:lang w:val="fr-CA"/>
        </w:rPr>
        <w:t>.</w:t>
      </w:r>
      <w:r w:rsidR="00C42D62" w:rsidRPr="00A52C0B">
        <w:rPr>
          <w:vertAlign w:val="superscript"/>
          <w:lang w:val="fr-CA"/>
        </w:rPr>
        <w:t xml:space="preserve"> </w:t>
      </w:r>
    </w:p>
    <w:p w14:paraId="71F1F9B4" w14:textId="3216C6EB" w:rsidR="00C42D62" w:rsidRPr="00A52C0B" w:rsidRDefault="003D04C0" w:rsidP="00C42D62">
      <w:pPr>
        <w:pStyle w:val="Heading1"/>
        <w:numPr>
          <w:ilvl w:val="0"/>
          <w:numId w:val="2"/>
        </w:numPr>
        <w:rPr>
          <w:lang w:val="fr-CA"/>
        </w:rPr>
      </w:pPr>
      <w:r w:rsidRPr="00A52C0B">
        <w:rPr>
          <w:lang w:val="fr-CA"/>
        </w:rPr>
        <w:t>Le présent document se fonde sur le document</w:t>
      </w:r>
      <w:r w:rsidR="00CB6A00" w:rsidRPr="00A52C0B">
        <w:rPr>
          <w:lang w:val="fr-CA"/>
        </w:rPr>
        <w:t> </w:t>
      </w:r>
      <w:r w:rsidR="00C42D62" w:rsidRPr="00A52C0B">
        <w:rPr>
          <w:lang w:val="fr-CA"/>
        </w:rPr>
        <w:t xml:space="preserve">UNEP/OzL.Pro/ExCom/82/64, </w:t>
      </w:r>
      <w:r w:rsidRPr="00A52C0B">
        <w:rPr>
          <w:lang w:val="fr-CA"/>
        </w:rPr>
        <w:t>qui</w:t>
      </w:r>
      <w:r w:rsidR="00A226CE" w:rsidRPr="00A52C0B">
        <w:rPr>
          <w:lang w:val="fr-CA"/>
        </w:rPr>
        <w:t> :</w:t>
      </w:r>
      <w:r w:rsidRPr="00A52C0B">
        <w:rPr>
          <w:lang w:val="fr-CA"/>
        </w:rPr>
        <w:t xml:space="preserve"> </w:t>
      </w:r>
    </w:p>
    <w:p w14:paraId="6B056048" w14:textId="150473B7" w:rsidR="00C42D62" w:rsidRPr="00A52C0B" w:rsidRDefault="003D04C0" w:rsidP="00C42D62">
      <w:pPr>
        <w:pStyle w:val="Heading2"/>
        <w:rPr>
          <w:lang w:val="fr-CA"/>
        </w:rPr>
      </w:pPr>
      <w:r w:rsidRPr="00A52C0B">
        <w:rPr>
          <w:lang w:val="fr-CA"/>
        </w:rPr>
        <w:t>Décri</w:t>
      </w:r>
      <w:r w:rsidR="00CB6A00" w:rsidRPr="00A52C0B">
        <w:rPr>
          <w:lang w:val="fr-CA"/>
        </w:rPr>
        <w:t>t</w:t>
      </w:r>
      <w:r w:rsidRPr="00A52C0B">
        <w:rPr>
          <w:lang w:val="fr-CA"/>
        </w:rPr>
        <w:t xml:space="preserve"> l’évolution de l’assistance technique et financière fournie au secteur de l’entretien de l’équipement de réfrigération, depuis la création du Fonds; présente une analyse des caractéristiques des secteurs de la réfrigération et de la climatisation; et </w:t>
      </w:r>
      <w:r w:rsidR="00CB6A00" w:rsidRPr="00A52C0B">
        <w:rPr>
          <w:lang w:val="fr-CA"/>
        </w:rPr>
        <w:t>cerne</w:t>
      </w:r>
      <w:r w:rsidRPr="00A52C0B">
        <w:rPr>
          <w:lang w:val="fr-CA"/>
        </w:rPr>
        <w:t xml:space="preserve"> </w:t>
      </w:r>
      <w:r w:rsidR="00CB6A00" w:rsidRPr="00A52C0B">
        <w:rPr>
          <w:lang w:val="fr-CA"/>
        </w:rPr>
        <w:t>l</w:t>
      </w:r>
      <w:r w:rsidRPr="00A52C0B">
        <w:rPr>
          <w:lang w:val="fr-CA"/>
        </w:rPr>
        <w:t>es problèmes potentiels liés à la réduction progressive des HFC dans le secteur;</w:t>
      </w:r>
    </w:p>
    <w:p w14:paraId="484B8797" w14:textId="461F4091" w:rsidR="00C42D62" w:rsidRPr="00A52C0B" w:rsidRDefault="003D04C0" w:rsidP="00C42D62">
      <w:pPr>
        <w:pStyle w:val="Heading2"/>
        <w:rPr>
          <w:lang w:val="fr-CA"/>
        </w:rPr>
      </w:pPr>
      <w:r w:rsidRPr="00A52C0B">
        <w:rPr>
          <w:lang w:val="fr-CA"/>
        </w:rPr>
        <w:lastRenderedPageBreak/>
        <w:t>Décrit la capacité établie et renforcée dans les pays visés à l’article</w:t>
      </w:r>
      <w:r w:rsidR="00A64CD8" w:rsidRPr="00A52C0B">
        <w:rPr>
          <w:lang w:val="fr-CA"/>
        </w:rPr>
        <w:t> </w:t>
      </w:r>
      <w:r w:rsidRPr="00A52C0B">
        <w:rPr>
          <w:lang w:val="fr-CA"/>
        </w:rPr>
        <w:t>5 en lien avec les éléments suivants</w:t>
      </w:r>
      <w:r w:rsidR="00A226CE" w:rsidRPr="00A52C0B">
        <w:rPr>
          <w:lang w:val="fr-CA"/>
        </w:rPr>
        <w:t> :</w:t>
      </w:r>
      <w:r w:rsidRPr="00A52C0B">
        <w:rPr>
          <w:lang w:val="fr-CA"/>
        </w:rPr>
        <w:t xml:space="preserve"> cadre</w:t>
      </w:r>
      <w:r w:rsidR="00CB6A00" w:rsidRPr="00A52C0B">
        <w:rPr>
          <w:lang w:val="fr-CA"/>
        </w:rPr>
        <w:t>s</w:t>
      </w:r>
      <w:r w:rsidRPr="00A52C0B">
        <w:rPr>
          <w:lang w:val="fr-CA"/>
        </w:rPr>
        <w:t xml:space="preserve"> politique</w:t>
      </w:r>
      <w:r w:rsidR="00CB6A00" w:rsidRPr="00A52C0B">
        <w:rPr>
          <w:lang w:val="fr-CA"/>
        </w:rPr>
        <w:t>s et</w:t>
      </w:r>
      <w:r w:rsidRPr="00A52C0B">
        <w:rPr>
          <w:lang w:val="fr-CA"/>
        </w:rPr>
        <w:t xml:space="preserve"> réglementaire</w:t>
      </w:r>
      <w:r w:rsidR="00CB6A00" w:rsidRPr="00A52C0B">
        <w:rPr>
          <w:lang w:val="fr-CA"/>
        </w:rPr>
        <w:t>s</w:t>
      </w:r>
      <w:r w:rsidRPr="00A52C0B">
        <w:rPr>
          <w:lang w:val="fr-CA"/>
        </w:rPr>
        <w:t xml:space="preserve">, </w:t>
      </w:r>
      <w:r w:rsidR="00CB6A00" w:rsidRPr="00A52C0B">
        <w:rPr>
          <w:lang w:val="fr-CA"/>
        </w:rPr>
        <w:t>y compris</w:t>
      </w:r>
      <w:r w:rsidRPr="00A52C0B">
        <w:rPr>
          <w:lang w:val="fr-CA"/>
        </w:rPr>
        <w:t xml:space="preserve"> les normes; formation et certification des techniciens en réfrigération; </w:t>
      </w:r>
      <w:r w:rsidR="00A20522" w:rsidRPr="00A52C0B">
        <w:rPr>
          <w:lang w:val="fr-CA"/>
        </w:rPr>
        <w:t xml:space="preserve">et assistance technique, </w:t>
      </w:r>
      <w:r w:rsidR="00CB6A00" w:rsidRPr="00A52C0B">
        <w:rPr>
          <w:lang w:val="fr-CA"/>
        </w:rPr>
        <w:t>y compris</w:t>
      </w:r>
      <w:r w:rsidR="00A20522" w:rsidRPr="00A52C0B">
        <w:rPr>
          <w:lang w:val="fr-CA"/>
        </w:rPr>
        <w:t xml:space="preserve"> la fourniture d’outils d’entretien aux techniciens, la mise en place d</w:t>
      </w:r>
      <w:r w:rsidR="00CB6A00" w:rsidRPr="00A52C0B">
        <w:rPr>
          <w:lang w:val="fr-CA"/>
        </w:rPr>
        <w:t>e</w:t>
      </w:r>
      <w:r w:rsidR="00A20522" w:rsidRPr="00A52C0B">
        <w:rPr>
          <w:lang w:val="fr-CA"/>
        </w:rPr>
        <w:t xml:space="preserve"> programme</w:t>
      </w:r>
      <w:r w:rsidR="00CB6A00" w:rsidRPr="00A52C0B">
        <w:rPr>
          <w:lang w:val="fr-CA"/>
        </w:rPr>
        <w:t>s</w:t>
      </w:r>
      <w:r w:rsidR="00A20522" w:rsidRPr="00A52C0B">
        <w:rPr>
          <w:lang w:val="fr-CA"/>
        </w:rPr>
        <w:t xml:space="preserve"> de récupération, de recyclage et de régénération, la reconversion des systèmes de réfrigération, et le maintien de l’efficacité énergétique;</w:t>
      </w:r>
    </w:p>
    <w:p w14:paraId="149D992E" w14:textId="225F4B69" w:rsidR="00C42D62" w:rsidRPr="00A52C0B" w:rsidRDefault="00A20522" w:rsidP="00C42D62">
      <w:pPr>
        <w:pStyle w:val="Heading2"/>
        <w:rPr>
          <w:lang w:val="fr-CA"/>
        </w:rPr>
      </w:pPr>
      <w:r w:rsidRPr="00A52C0B">
        <w:rPr>
          <w:lang w:val="fr-CA"/>
        </w:rPr>
        <w:t>Présente une analyse de l’information nécessaire à l’élaboration de programmes de formation et de certification axé</w:t>
      </w:r>
      <w:r w:rsidR="00CB6A00" w:rsidRPr="00A52C0B">
        <w:rPr>
          <w:lang w:val="fr-CA"/>
        </w:rPr>
        <w:t>e</w:t>
      </w:r>
      <w:r w:rsidR="00B248CA">
        <w:rPr>
          <w:lang w:val="fr-CA"/>
        </w:rPr>
        <w:t>s</w:t>
      </w:r>
      <w:r w:rsidRPr="00A52C0B">
        <w:rPr>
          <w:lang w:val="fr-CA"/>
        </w:rPr>
        <w:t xml:space="preserve"> sur les compétences à l’intention des techniciens en entretien et des agents des douanes; </w:t>
      </w:r>
    </w:p>
    <w:p w14:paraId="7D0A2DB5" w14:textId="3CDCBEE1" w:rsidR="00C42D62" w:rsidRPr="00A52C0B" w:rsidRDefault="00A20522" w:rsidP="00C42D62">
      <w:pPr>
        <w:pStyle w:val="Heading2"/>
        <w:rPr>
          <w:lang w:val="fr-CA"/>
        </w:rPr>
      </w:pPr>
      <w:r w:rsidRPr="00A52C0B">
        <w:rPr>
          <w:lang w:val="fr-CA"/>
        </w:rPr>
        <w:t>Traite de la façon dont on pourrait appliquer des modules de formation comm</w:t>
      </w:r>
      <w:r w:rsidR="00666B59" w:rsidRPr="00A52C0B">
        <w:rPr>
          <w:lang w:val="fr-CA"/>
        </w:rPr>
        <w:t>uns</w:t>
      </w:r>
      <w:r w:rsidRPr="00A52C0B">
        <w:rPr>
          <w:lang w:val="fr-CA"/>
        </w:rPr>
        <w:t xml:space="preserve"> aux circonstances prévalant dans les </w:t>
      </w:r>
      <w:r w:rsidR="00B248CA">
        <w:rPr>
          <w:lang w:val="fr-CA"/>
        </w:rPr>
        <w:t xml:space="preserve">différents </w:t>
      </w:r>
      <w:r w:rsidRPr="00A52C0B">
        <w:rPr>
          <w:lang w:val="fr-CA"/>
        </w:rPr>
        <w:t>pays visés à l’article</w:t>
      </w:r>
      <w:r w:rsidR="00A64CD8" w:rsidRPr="00A52C0B">
        <w:rPr>
          <w:lang w:val="fr-CA"/>
        </w:rPr>
        <w:t> </w:t>
      </w:r>
      <w:r w:rsidRPr="00A52C0B">
        <w:rPr>
          <w:lang w:val="fr-CA"/>
        </w:rPr>
        <w:t xml:space="preserve">5, et analyse comment les produits mondiaux </w:t>
      </w:r>
      <w:r w:rsidR="00666B59" w:rsidRPr="00A52C0B">
        <w:rPr>
          <w:lang w:val="fr-CA"/>
        </w:rPr>
        <w:t xml:space="preserve">qui </w:t>
      </w:r>
      <w:r w:rsidRPr="00A52C0B">
        <w:rPr>
          <w:lang w:val="fr-CA"/>
        </w:rPr>
        <w:t>ont été élaborés par le PNUE, en partenariat avec d’autres organisations internationales</w:t>
      </w:r>
      <w:r w:rsidR="00666B59" w:rsidRPr="00A52C0B">
        <w:rPr>
          <w:lang w:val="fr-CA"/>
        </w:rPr>
        <w:t>,</w:t>
      </w:r>
      <w:r w:rsidRPr="00A52C0B">
        <w:rPr>
          <w:lang w:val="fr-CA"/>
        </w:rPr>
        <w:t xml:space="preserve"> pour</w:t>
      </w:r>
      <w:r w:rsidR="00666B59" w:rsidRPr="00A52C0B">
        <w:rPr>
          <w:lang w:val="fr-CA"/>
        </w:rPr>
        <w:t>raient</w:t>
      </w:r>
      <w:r w:rsidRPr="00A52C0B">
        <w:rPr>
          <w:lang w:val="fr-CA"/>
        </w:rPr>
        <w:t xml:space="preserve"> appuyer les activités dans le secteur de l’entretien de l’équipement de réfrigération. </w:t>
      </w:r>
    </w:p>
    <w:p w14:paraId="0A887B35" w14:textId="3EA4E414" w:rsidR="00C42D62" w:rsidRPr="00A52C0B" w:rsidRDefault="00A20522" w:rsidP="00C42D62">
      <w:pPr>
        <w:pStyle w:val="Heading1"/>
        <w:numPr>
          <w:ilvl w:val="0"/>
          <w:numId w:val="2"/>
        </w:numPr>
        <w:rPr>
          <w:lang w:val="fr-CA"/>
        </w:rPr>
      </w:pPr>
      <w:r w:rsidRPr="00A52C0B">
        <w:rPr>
          <w:lang w:val="fr-CA"/>
        </w:rPr>
        <w:t>Même si le document</w:t>
      </w:r>
      <w:r w:rsidR="00666B59" w:rsidRPr="00A52C0B">
        <w:rPr>
          <w:lang w:val="fr-CA"/>
        </w:rPr>
        <w:t> </w:t>
      </w:r>
      <w:r w:rsidR="00C42D62" w:rsidRPr="00A52C0B">
        <w:rPr>
          <w:lang w:val="fr-CA"/>
        </w:rPr>
        <w:t xml:space="preserve">UNEP/OzL.Pro/ExCom/82/64 </w:t>
      </w:r>
      <w:r w:rsidRPr="00A52C0B">
        <w:rPr>
          <w:lang w:val="fr-CA"/>
        </w:rPr>
        <w:t xml:space="preserve">décrit les activités, les modalités et les niveaux de financement pour le secteur de l’entretien de l’équipement de réfrigération, </w:t>
      </w:r>
      <w:r w:rsidR="00666B59" w:rsidRPr="00A52C0B">
        <w:rPr>
          <w:lang w:val="fr-CA"/>
        </w:rPr>
        <w:t>il n’</w:t>
      </w:r>
      <w:r w:rsidRPr="00A52C0B">
        <w:rPr>
          <w:lang w:val="fr-CA"/>
        </w:rPr>
        <w:t>analyse pa</w:t>
      </w:r>
      <w:r w:rsidR="00666B59" w:rsidRPr="00A52C0B">
        <w:rPr>
          <w:lang w:val="fr-CA"/>
        </w:rPr>
        <w:t>s</w:t>
      </w:r>
      <w:r w:rsidRPr="00A52C0B">
        <w:rPr>
          <w:lang w:val="fr-CA"/>
        </w:rPr>
        <w:t xml:space="preserve"> le niveau et </w:t>
      </w:r>
      <w:r w:rsidR="00666B59" w:rsidRPr="00A52C0B">
        <w:rPr>
          <w:lang w:val="fr-CA"/>
        </w:rPr>
        <w:t>l</w:t>
      </w:r>
      <w:r w:rsidRPr="00A52C0B">
        <w:rPr>
          <w:lang w:val="fr-CA"/>
        </w:rPr>
        <w:t xml:space="preserve">es modalités de financement de la réduction progressive des HFC dans le secteur de l’entretien de l’équipement de réfrigération, </w:t>
      </w:r>
      <w:r w:rsidR="002A438C">
        <w:rPr>
          <w:lang w:val="fr-CA"/>
        </w:rPr>
        <w:t>comme cela est demandé dans</w:t>
      </w:r>
      <w:r w:rsidRPr="00A52C0B">
        <w:rPr>
          <w:lang w:val="fr-CA"/>
        </w:rPr>
        <w:t xml:space="preserve"> la </w:t>
      </w:r>
      <w:r w:rsidR="009D5892" w:rsidRPr="00A52C0B">
        <w:rPr>
          <w:lang w:val="fr-CA"/>
        </w:rPr>
        <w:t>décision </w:t>
      </w:r>
      <w:r w:rsidRPr="00A52C0B">
        <w:rPr>
          <w:lang w:val="fr-CA"/>
        </w:rPr>
        <w:t>83/65</w:t>
      </w:r>
      <w:r w:rsidR="00A64CD8" w:rsidRPr="00A52C0B">
        <w:rPr>
          <w:lang w:val="fr-CA"/>
        </w:rPr>
        <w:t> </w:t>
      </w:r>
      <w:r w:rsidRPr="00A52C0B">
        <w:rPr>
          <w:lang w:val="fr-CA"/>
        </w:rPr>
        <w:t>b). À cet égard, le présent document complète le document</w:t>
      </w:r>
      <w:r w:rsidR="00774013" w:rsidRPr="00A52C0B">
        <w:rPr>
          <w:lang w:val="fr-CA"/>
        </w:rPr>
        <w:t> </w:t>
      </w:r>
      <w:r w:rsidR="00C42D62" w:rsidRPr="00A52C0B">
        <w:rPr>
          <w:lang w:val="fr-CA"/>
        </w:rPr>
        <w:t>UNEP/OzL.Pro/ExCom/82/64.</w:t>
      </w:r>
    </w:p>
    <w:p w14:paraId="30EB5CDF" w14:textId="17C8D4B8" w:rsidR="00C42D62" w:rsidRPr="00A52C0B" w:rsidRDefault="00D2063C" w:rsidP="00C42D62">
      <w:pPr>
        <w:pStyle w:val="Heading1"/>
        <w:widowControl w:val="0"/>
        <w:numPr>
          <w:ilvl w:val="0"/>
          <w:numId w:val="2"/>
        </w:numPr>
        <w:rPr>
          <w:lang w:val="fr-CA"/>
        </w:rPr>
      </w:pPr>
      <w:r w:rsidRPr="00A52C0B">
        <w:rPr>
          <w:lang w:val="fr-CA"/>
        </w:rPr>
        <w:t>Outre le document</w:t>
      </w:r>
      <w:r w:rsidR="004E5044" w:rsidRPr="00A52C0B">
        <w:rPr>
          <w:lang w:val="fr-CA"/>
        </w:rPr>
        <w:t> </w:t>
      </w:r>
      <w:r w:rsidR="00C42D62" w:rsidRPr="00A52C0B">
        <w:rPr>
          <w:lang w:val="fr-CA"/>
        </w:rPr>
        <w:t xml:space="preserve">UNEP/OzL.Pro/ExCom/82/64, </w:t>
      </w:r>
      <w:r w:rsidRPr="00A52C0B">
        <w:rPr>
          <w:lang w:val="fr-CA"/>
        </w:rPr>
        <w:t>le Secrétariat a extrait l’information des sources suivantes</w:t>
      </w:r>
      <w:r w:rsidR="00A226CE" w:rsidRPr="00A52C0B">
        <w:rPr>
          <w:lang w:val="fr-CA"/>
        </w:rPr>
        <w:t> :</w:t>
      </w:r>
    </w:p>
    <w:p w14:paraId="5056AED4" w14:textId="30D825AC" w:rsidR="00C42D62" w:rsidRPr="00A52C0B" w:rsidRDefault="00D2063C" w:rsidP="00C42D62">
      <w:pPr>
        <w:pStyle w:val="Heading2"/>
        <w:rPr>
          <w:lang w:val="fr-CA"/>
        </w:rPr>
      </w:pPr>
      <w:r w:rsidRPr="00A52C0B">
        <w:rPr>
          <w:lang w:val="fr-CA"/>
        </w:rPr>
        <w:t xml:space="preserve">Document sur les principaux facteurs qui </w:t>
      </w:r>
      <w:r w:rsidR="004E5044" w:rsidRPr="00A52C0B">
        <w:rPr>
          <w:lang w:val="fr-CA"/>
        </w:rPr>
        <w:t>aideraient</w:t>
      </w:r>
      <w:r w:rsidRPr="00A52C0B">
        <w:rPr>
          <w:lang w:val="fr-CA"/>
        </w:rPr>
        <w:t xml:space="preserve"> le Comité exécutif </w:t>
      </w:r>
      <w:r w:rsidR="004E5044" w:rsidRPr="00A52C0B">
        <w:rPr>
          <w:lang w:val="fr-CA"/>
        </w:rPr>
        <w:t>à</w:t>
      </w:r>
      <w:r w:rsidRPr="00A52C0B">
        <w:rPr>
          <w:lang w:val="fr-CA"/>
        </w:rPr>
        <w:t xml:space="preserve"> développ</w:t>
      </w:r>
      <w:r w:rsidR="004E5044" w:rsidRPr="00A52C0B">
        <w:rPr>
          <w:lang w:val="fr-CA"/>
        </w:rPr>
        <w:t>er</w:t>
      </w:r>
      <w:r w:rsidRPr="00A52C0B">
        <w:rPr>
          <w:lang w:val="fr-CA"/>
        </w:rPr>
        <w:t xml:space="preserve"> une méthode pour fixer le point de départ de la réduction </w:t>
      </w:r>
      <w:r w:rsidR="004E5044" w:rsidRPr="00A52C0B">
        <w:rPr>
          <w:lang w:val="fr-CA"/>
        </w:rPr>
        <w:t xml:space="preserve">globale </w:t>
      </w:r>
      <w:r w:rsidRPr="00A52C0B">
        <w:rPr>
          <w:lang w:val="fr-CA"/>
        </w:rPr>
        <w:t>durable au titre de l’Amendement de Kigali (</w:t>
      </w:r>
      <w:r w:rsidR="009D5892" w:rsidRPr="00A52C0B">
        <w:rPr>
          <w:lang w:val="fr-CA"/>
        </w:rPr>
        <w:t>décision </w:t>
      </w:r>
      <w:r w:rsidRPr="00A52C0B">
        <w:rPr>
          <w:lang w:val="fr-CA"/>
        </w:rPr>
        <w:t>81/67</w:t>
      </w:r>
      <w:r w:rsidR="004E5044" w:rsidRPr="00A52C0B">
        <w:rPr>
          <w:lang w:val="fr-CA"/>
        </w:rPr>
        <w:t> </w:t>
      </w:r>
      <w:r w:rsidRPr="00A52C0B">
        <w:rPr>
          <w:lang w:val="fr-CA"/>
        </w:rPr>
        <w:t>e))</w:t>
      </w:r>
      <w:r w:rsidR="00C42D62" w:rsidRPr="00A52C0B">
        <w:rPr>
          <w:vertAlign w:val="superscript"/>
          <w:lang w:val="fr-CA"/>
        </w:rPr>
        <w:footnoteReference w:id="6"/>
      </w:r>
      <w:r w:rsidR="004E5044" w:rsidRPr="00A52C0B">
        <w:rPr>
          <w:lang w:val="fr-CA"/>
        </w:rPr>
        <w:t>,</w:t>
      </w:r>
      <w:r w:rsidR="00C42D62" w:rsidRPr="00A52C0B">
        <w:rPr>
          <w:lang w:val="fr-CA"/>
        </w:rPr>
        <w:t xml:space="preserve"> </w:t>
      </w:r>
      <w:r w:rsidRPr="00A52C0B">
        <w:rPr>
          <w:lang w:val="fr-CA"/>
        </w:rPr>
        <w:t>en particulier les discussions portant sur le rôle du point de départ dans le secteur de l’entretien, en considérant notamment que l</w:t>
      </w:r>
      <w:r w:rsidR="004E5044" w:rsidRPr="00A52C0B">
        <w:rPr>
          <w:lang w:val="fr-CA"/>
        </w:rPr>
        <w:t xml:space="preserve">es </w:t>
      </w:r>
      <w:r w:rsidRPr="00A52C0B">
        <w:rPr>
          <w:lang w:val="fr-CA"/>
        </w:rPr>
        <w:t>année</w:t>
      </w:r>
      <w:r w:rsidR="004E5044" w:rsidRPr="00A52C0B">
        <w:rPr>
          <w:lang w:val="fr-CA"/>
        </w:rPr>
        <w:t>s</w:t>
      </w:r>
      <w:r w:rsidRPr="00A52C0B">
        <w:rPr>
          <w:lang w:val="fr-CA"/>
        </w:rPr>
        <w:t xml:space="preserve"> initiale</w:t>
      </w:r>
      <w:r w:rsidR="004E5044" w:rsidRPr="00A52C0B">
        <w:rPr>
          <w:lang w:val="fr-CA"/>
        </w:rPr>
        <w:t>s</w:t>
      </w:r>
      <w:r w:rsidRPr="00A52C0B">
        <w:rPr>
          <w:lang w:val="fr-CA"/>
        </w:rPr>
        <w:t xml:space="preserve"> de l</w:t>
      </w:r>
      <w:r w:rsidR="004E5044" w:rsidRPr="00A52C0B">
        <w:rPr>
          <w:lang w:val="fr-CA"/>
        </w:rPr>
        <w:t>a</w:t>
      </w:r>
      <w:r w:rsidRPr="00A52C0B">
        <w:rPr>
          <w:lang w:val="fr-CA"/>
        </w:rPr>
        <w:t xml:space="preserve"> réduction progressive des HFC chevauche</w:t>
      </w:r>
      <w:r w:rsidR="004E5044" w:rsidRPr="00A52C0B">
        <w:rPr>
          <w:lang w:val="fr-CA"/>
        </w:rPr>
        <w:t>ront</w:t>
      </w:r>
      <w:r w:rsidRPr="00A52C0B">
        <w:rPr>
          <w:lang w:val="fr-CA"/>
        </w:rPr>
        <w:t xml:space="preserve"> </w:t>
      </w:r>
      <w:r w:rsidR="00691BEF">
        <w:rPr>
          <w:lang w:val="fr-CA"/>
        </w:rPr>
        <w:t>le processus d</w:t>
      </w:r>
      <w:r w:rsidRPr="00A52C0B">
        <w:rPr>
          <w:lang w:val="fr-CA"/>
        </w:rPr>
        <w:t>’élimination des HCFC, qui pour la majorité des pays visés à l’article</w:t>
      </w:r>
      <w:r w:rsidR="00A64CD8" w:rsidRPr="00A52C0B">
        <w:rPr>
          <w:lang w:val="fr-CA"/>
        </w:rPr>
        <w:t> </w:t>
      </w:r>
      <w:r w:rsidRPr="00A52C0B">
        <w:rPr>
          <w:lang w:val="fr-CA"/>
        </w:rPr>
        <w:t>5 sera</w:t>
      </w:r>
      <w:r w:rsidR="00126B62" w:rsidRPr="00A52C0B">
        <w:rPr>
          <w:lang w:val="fr-CA"/>
        </w:rPr>
        <w:t>i</w:t>
      </w:r>
      <w:r w:rsidR="00691BEF">
        <w:rPr>
          <w:lang w:val="fr-CA"/>
        </w:rPr>
        <w:t>en</w:t>
      </w:r>
      <w:r w:rsidR="00126B62" w:rsidRPr="00A52C0B">
        <w:rPr>
          <w:lang w:val="fr-CA"/>
        </w:rPr>
        <w:t>t</w:t>
      </w:r>
      <w:r w:rsidRPr="00A52C0B">
        <w:rPr>
          <w:lang w:val="fr-CA"/>
        </w:rPr>
        <w:t xml:space="preserve"> surtout utilisé</w:t>
      </w:r>
      <w:r w:rsidR="00691BEF">
        <w:rPr>
          <w:lang w:val="fr-CA"/>
        </w:rPr>
        <w:t>s</w:t>
      </w:r>
      <w:r w:rsidRPr="00A52C0B">
        <w:rPr>
          <w:lang w:val="fr-CA"/>
        </w:rPr>
        <w:t xml:space="preserve"> dans le secteur de l’entretien de l’équipement de réfrigération;</w:t>
      </w:r>
    </w:p>
    <w:p w14:paraId="287DD05C" w14:textId="69EBFA97" w:rsidR="00C42D62" w:rsidRPr="00A52C0B" w:rsidRDefault="00D2063C" w:rsidP="001F1661">
      <w:pPr>
        <w:pStyle w:val="Heading2"/>
        <w:keepNext/>
        <w:keepLines/>
        <w:rPr>
          <w:lang w:val="fr-CA"/>
        </w:rPr>
      </w:pPr>
      <w:r w:rsidRPr="00A52C0B">
        <w:rPr>
          <w:lang w:val="fr-CA"/>
        </w:rPr>
        <w:t>Document présentant une analyse des conséquences de la mise en œuvre en parallèle ou intégrée des activités d’élimination des HCFC et de réduction progressive des HFC</w:t>
      </w:r>
      <w:r w:rsidR="00C42D62" w:rsidRPr="00A52C0B">
        <w:rPr>
          <w:vertAlign w:val="superscript"/>
          <w:lang w:val="fr-CA"/>
        </w:rPr>
        <w:footnoteReference w:id="7"/>
      </w:r>
      <w:r w:rsidR="00126B62" w:rsidRPr="00A52C0B">
        <w:rPr>
          <w:lang w:val="fr-CA"/>
        </w:rPr>
        <w:t>,</w:t>
      </w:r>
      <w:r w:rsidR="00C42D62" w:rsidRPr="00A52C0B">
        <w:rPr>
          <w:lang w:val="fr-CA"/>
        </w:rPr>
        <w:t xml:space="preserve"> </w:t>
      </w:r>
      <w:r w:rsidR="00691BEF">
        <w:rPr>
          <w:lang w:val="fr-CA"/>
        </w:rPr>
        <w:t>dans la mesure où l</w:t>
      </w:r>
      <w:r w:rsidRPr="00A52C0B">
        <w:rPr>
          <w:lang w:val="fr-CA"/>
        </w:rPr>
        <w:t>’information, l’analyse et les discussions qui y figurent complète</w:t>
      </w:r>
      <w:r w:rsidR="00126B62" w:rsidRPr="00A52C0B">
        <w:rPr>
          <w:lang w:val="fr-CA"/>
        </w:rPr>
        <w:t>nt</w:t>
      </w:r>
      <w:r w:rsidR="00C42D62" w:rsidRPr="00A52C0B">
        <w:rPr>
          <w:vertAlign w:val="superscript"/>
          <w:lang w:val="fr-CA"/>
        </w:rPr>
        <w:footnoteReference w:id="8"/>
      </w:r>
      <w:r w:rsidR="00C42D62" w:rsidRPr="00A52C0B">
        <w:rPr>
          <w:lang w:val="fr-CA"/>
        </w:rPr>
        <w:t xml:space="preserve"> </w:t>
      </w:r>
      <w:r w:rsidR="00126B62" w:rsidRPr="00A52C0B">
        <w:rPr>
          <w:lang w:val="fr-CA"/>
        </w:rPr>
        <w:t>l</w:t>
      </w:r>
      <w:r w:rsidRPr="00A52C0B">
        <w:rPr>
          <w:lang w:val="fr-CA"/>
        </w:rPr>
        <w:t>e présent document;</w:t>
      </w:r>
      <w:r w:rsidR="00C42D62" w:rsidRPr="00A52C0B">
        <w:rPr>
          <w:lang w:val="fr-CA"/>
        </w:rPr>
        <w:t xml:space="preserve"> </w:t>
      </w:r>
    </w:p>
    <w:p w14:paraId="7DAF2EFD" w14:textId="05958985" w:rsidR="00C42D62" w:rsidRPr="00A52C0B" w:rsidRDefault="00AA5FE9" w:rsidP="001F1661">
      <w:pPr>
        <w:pStyle w:val="Heading2"/>
        <w:rPr>
          <w:lang w:val="fr-CA"/>
        </w:rPr>
      </w:pPr>
      <w:r w:rsidRPr="00A52C0B">
        <w:rPr>
          <w:lang w:val="fr-CA"/>
        </w:rPr>
        <w:t>Document sur les stratégies, politiques générales et engagements possibles, et projets et activités pouvant être intégré</w:t>
      </w:r>
      <w:r w:rsidR="00A64CD8" w:rsidRPr="00A52C0B">
        <w:rPr>
          <w:lang w:val="fr-CA"/>
        </w:rPr>
        <w:t>s</w:t>
      </w:r>
      <w:r w:rsidRPr="00A52C0B">
        <w:rPr>
          <w:lang w:val="fr-CA"/>
        </w:rPr>
        <w:t xml:space="preserve"> à la </w:t>
      </w:r>
      <w:r w:rsidR="009D5892" w:rsidRPr="00A52C0B">
        <w:rPr>
          <w:lang w:val="fr-CA"/>
        </w:rPr>
        <w:t>phase</w:t>
      </w:r>
      <w:r w:rsidR="00783218" w:rsidRPr="00A52C0B">
        <w:rPr>
          <w:lang w:val="fr-CA"/>
        </w:rPr>
        <w:t> I</w:t>
      </w:r>
      <w:r w:rsidRPr="00A52C0B">
        <w:rPr>
          <w:lang w:val="fr-CA"/>
        </w:rPr>
        <w:t xml:space="preserve"> des plans de réduction progressive des HFC dans les pays visés à l’article</w:t>
      </w:r>
      <w:r w:rsidR="00A64CD8" w:rsidRPr="00A52C0B">
        <w:rPr>
          <w:lang w:val="fr-CA"/>
        </w:rPr>
        <w:t> </w:t>
      </w:r>
      <w:r w:rsidRPr="00A52C0B">
        <w:rPr>
          <w:lang w:val="fr-CA"/>
        </w:rPr>
        <w:t>5</w:t>
      </w:r>
      <w:r w:rsidR="00C42D62" w:rsidRPr="00A52C0B">
        <w:rPr>
          <w:vertAlign w:val="superscript"/>
          <w:lang w:val="fr-CA"/>
        </w:rPr>
        <w:footnoteReference w:id="9"/>
      </w:r>
      <w:r w:rsidRPr="00A52C0B">
        <w:rPr>
          <w:lang w:val="fr-CA"/>
        </w:rPr>
        <w:t>, car il décrit</w:t>
      </w:r>
      <w:r w:rsidR="00C91462" w:rsidRPr="00A52C0B">
        <w:rPr>
          <w:lang w:val="fr-CA"/>
        </w:rPr>
        <w:t xml:space="preserve"> les avantages, pour les pays visés à </w:t>
      </w:r>
      <w:r w:rsidR="00C91462" w:rsidRPr="00A52C0B">
        <w:rPr>
          <w:lang w:val="fr-CA"/>
        </w:rPr>
        <w:lastRenderedPageBreak/>
        <w:t>l’article</w:t>
      </w:r>
      <w:r w:rsidR="00A64CD8" w:rsidRPr="00A52C0B">
        <w:rPr>
          <w:lang w:val="fr-CA"/>
        </w:rPr>
        <w:t> </w:t>
      </w:r>
      <w:r w:rsidR="00C91462" w:rsidRPr="00A52C0B">
        <w:rPr>
          <w:lang w:val="fr-CA"/>
        </w:rPr>
        <w:t xml:space="preserve">5, de mettre en </w:t>
      </w:r>
      <w:r w:rsidR="00A64CD8" w:rsidRPr="00A52C0B">
        <w:rPr>
          <w:lang w:val="fr-CA"/>
        </w:rPr>
        <w:t>œ</w:t>
      </w:r>
      <w:r w:rsidR="00C91462" w:rsidRPr="00A52C0B">
        <w:rPr>
          <w:lang w:val="fr-CA"/>
        </w:rPr>
        <w:t xml:space="preserve">uvre une stratégie intégrée dans le secteur de l’entretien de l’équipement de réfrigération couvrant la réduction des HCFC et des HFC, </w:t>
      </w:r>
      <w:r w:rsidR="00CB6A00" w:rsidRPr="00A52C0B">
        <w:rPr>
          <w:lang w:val="fr-CA"/>
        </w:rPr>
        <w:t>y compris</w:t>
      </w:r>
      <w:r w:rsidR="00C91462" w:rsidRPr="00A52C0B">
        <w:rPr>
          <w:lang w:val="fr-CA"/>
        </w:rPr>
        <w:t xml:space="preserve"> la possibilité d’établir un plan détaillé combinant les avantages sur le plan de </w:t>
      </w:r>
      <w:r w:rsidR="00691BEF">
        <w:rPr>
          <w:lang w:val="fr-CA"/>
        </w:rPr>
        <w:t>la couche d’</w:t>
      </w:r>
      <w:r w:rsidR="00C91462" w:rsidRPr="00A52C0B">
        <w:rPr>
          <w:lang w:val="fr-CA"/>
        </w:rPr>
        <w:t>ozone et du climat, de renforcer et/ou d’étendre l’infrastructure existante au besoin, et de combiner le financement de l’élimination des HCFC et de la réduction progressive des HFC et la diminution du nombre de tranches synchronisées afin d’abaisser les coûts de transaction pour la remise de rapports et les vérifications;</w:t>
      </w:r>
    </w:p>
    <w:p w14:paraId="44AA8A62" w14:textId="00E89D69" w:rsidR="00C42D62" w:rsidRPr="00A52C0B" w:rsidRDefault="00A87F9D" w:rsidP="00C42D62">
      <w:pPr>
        <w:pStyle w:val="Heading2"/>
        <w:rPr>
          <w:lang w:val="fr-CA"/>
        </w:rPr>
      </w:pPr>
      <w:r w:rsidRPr="00A52C0B">
        <w:rPr>
          <w:lang w:val="fr-CA"/>
        </w:rPr>
        <w:t>Projet de lignes directrices sur la préparation des plans de réduction progressive des HFC pour les pays visés à l’article</w:t>
      </w:r>
      <w:r w:rsidR="00A64CD8" w:rsidRPr="00A52C0B">
        <w:rPr>
          <w:lang w:val="fr-CA"/>
        </w:rPr>
        <w:t> </w:t>
      </w:r>
      <w:r w:rsidRPr="00A52C0B">
        <w:rPr>
          <w:lang w:val="fr-CA"/>
        </w:rPr>
        <w:t>5</w:t>
      </w:r>
      <w:r w:rsidR="00C42D62" w:rsidRPr="00A52C0B">
        <w:rPr>
          <w:vertAlign w:val="superscript"/>
          <w:lang w:val="fr-CA"/>
        </w:rPr>
        <w:footnoteReference w:id="10"/>
      </w:r>
      <w:r w:rsidR="00280B5B" w:rsidRPr="00A52C0B">
        <w:rPr>
          <w:lang w:val="fr-CA"/>
        </w:rPr>
        <w:t>,</w:t>
      </w:r>
      <w:r w:rsidR="00C42D62" w:rsidRPr="00A52C0B">
        <w:rPr>
          <w:lang w:val="fr-CA"/>
        </w:rPr>
        <w:t xml:space="preserve"> </w:t>
      </w:r>
      <w:r w:rsidRPr="00A52C0B">
        <w:rPr>
          <w:lang w:val="fr-CA"/>
        </w:rPr>
        <w:t>présenté à la 86</w:t>
      </w:r>
      <w:r w:rsidR="009D5892" w:rsidRPr="00A52C0B">
        <w:rPr>
          <w:vertAlign w:val="superscript"/>
          <w:lang w:val="fr-CA"/>
        </w:rPr>
        <w:t>e</w:t>
      </w:r>
      <w:r w:rsidR="009D5892" w:rsidRPr="00A52C0B">
        <w:rPr>
          <w:lang w:val="fr-CA"/>
        </w:rPr>
        <w:t> réuni</w:t>
      </w:r>
      <w:r w:rsidRPr="00A52C0B">
        <w:rPr>
          <w:lang w:val="fr-CA"/>
        </w:rPr>
        <w:t xml:space="preserve">on en réponse à la </w:t>
      </w:r>
      <w:r w:rsidR="009D5892" w:rsidRPr="00A52C0B">
        <w:rPr>
          <w:lang w:val="fr-CA"/>
        </w:rPr>
        <w:t>décision </w:t>
      </w:r>
      <w:r w:rsidRPr="00A52C0B">
        <w:rPr>
          <w:lang w:val="fr-CA"/>
        </w:rPr>
        <w:t>84/54</w:t>
      </w:r>
      <w:r w:rsidR="00280B5B" w:rsidRPr="00A52C0B">
        <w:rPr>
          <w:lang w:val="fr-CA"/>
        </w:rPr>
        <w:t> a</w:t>
      </w:r>
      <w:r w:rsidRPr="00A52C0B">
        <w:rPr>
          <w:lang w:val="fr-CA"/>
        </w:rPr>
        <w:t>)</w:t>
      </w:r>
      <w:r w:rsidR="000C08EA">
        <w:rPr>
          <w:rStyle w:val="FootnoteReference"/>
          <w:lang w:val="fr-CA"/>
        </w:rPr>
        <w:footnoteReference w:id="11"/>
      </w:r>
      <w:r w:rsidRPr="00A52C0B">
        <w:rPr>
          <w:lang w:val="fr-CA"/>
        </w:rPr>
        <w:t xml:space="preserve">, </w:t>
      </w:r>
      <w:r w:rsidR="00691BEF">
        <w:rPr>
          <w:lang w:val="fr-CA"/>
        </w:rPr>
        <w:t>compte tenu du fait</w:t>
      </w:r>
      <w:r w:rsidRPr="00A52C0B">
        <w:rPr>
          <w:lang w:val="fr-CA"/>
        </w:rPr>
        <w:t xml:space="preserve"> que les plans de réduction progressive comprendront une stratégie globale, </w:t>
      </w:r>
      <w:r w:rsidR="00280B5B" w:rsidRPr="00A52C0B">
        <w:rPr>
          <w:lang w:val="fr-CA"/>
        </w:rPr>
        <w:t>un</w:t>
      </w:r>
      <w:r w:rsidRPr="00A52C0B">
        <w:rPr>
          <w:lang w:val="fr-CA"/>
        </w:rPr>
        <w:t xml:space="preserve"> plan d’action et un ensemble d’activités visant à s’acquitter des obligations initiales en matière de réduction progressive des HFC, notamment dans le secteur de l’entretien de l’équipement de réfrigération;</w:t>
      </w:r>
      <w:r w:rsidR="00C42D62" w:rsidRPr="00A52C0B">
        <w:rPr>
          <w:lang w:val="fr-CA"/>
        </w:rPr>
        <w:t xml:space="preserve"> </w:t>
      </w:r>
    </w:p>
    <w:p w14:paraId="5D8BAFC9" w14:textId="7958793E" w:rsidR="00C42D62" w:rsidRPr="00A52C0B" w:rsidRDefault="00EF62BF" w:rsidP="00CB19F3">
      <w:pPr>
        <w:pStyle w:val="Heading2"/>
        <w:widowControl/>
        <w:rPr>
          <w:lang w:val="fr-CA"/>
        </w:rPr>
      </w:pPr>
      <w:r w:rsidRPr="00A52C0B">
        <w:rPr>
          <w:lang w:val="fr-CA"/>
        </w:rPr>
        <w:t>Document décrivant les moyens d’opérationnaliser le paragraphe</w:t>
      </w:r>
      <w:r w:rsidR="00A64CD8" w:rsidRPr="00A52C0B">
        <w:rPr>
          <w:lang w:val="fr-CA"/>
        </w:rPr>
        <w:t> </w:t>
      </w:r>
      <w:r w:rsidRPr="00A52C0B">
        <w:rPr>
          <w:lang w:val="fr-CA"/>
        </w:rPr>
        <w:t xml:space="preserve">16 de la </w:t>
      </w:r>
      <w:r w:rsidR="009D5892" w:rsidRPr="00A52C0B">
        <w:rPr>
          <w:lang w:val="fr-CA"/>
        </w:rPr>
        <w:t>décision </w:t>
      </w:r>
      <w:r w:rsidRPr="00A52C0B">
        <w:rPr>
          <w:lang w:val="fr-CA"/>
        </w:rPr>
        <w:t>XXVIII/2 et le paragraphe</w:t>
      </w:r>
      <w:r w:rsidR="00A64CD8" w:rsidRPr="00A52C0B">
        <w:rPr>
          <w:lang w:val="fr-CA"/>
        </w:rPr>
        <w:t> </w:t>
      </w:r>
      <w:r w:rsidRPr="00A52C0B">
        <w:rPr>
          <w:lang w:val="fr-CA"/>
        </w:rPr>
        <w:t xml:space="preserve">2 de la </w:t>
      </w:r>
      <w:r w:rsidR="009D5892" w:rsidRPr="00A52C0B">
        <w:rPr>
          <w:lang w:val="fr-CA"/>
        </w:rPr>
        <w:t>décision </w:t>
      </w:r>
      <w:r w:rsidRPr="00A52C0B">
        <w:rPr>
          <w:lang w:val="fr-CA"/>
        </w:rPr>
        <w:t>XXX/5</w:t>
      </w:r>
      <w:r w:rsidR="00C42D62" w:rsidRPr="00A52C0B">
        <w:rPr>
          <w:vertAlign w:val="superscript"/>
          <w:lang w:val="fr-CA"/>
        </w:rPr>
        <w:footnoteReference w:id="12"/>
      </w:r>
      <w:r w:rsidR="00280B5B" w:rsidRPr="00A52C0B">
        <w:rPr>
          <w:lang w:val="fr-CA"/>
        </w:rPr>
        <w:t>,</w:t>
      </w:r>
      <w:r w:rsidRPr="00A52C0B">
        <w:rPr>
          <w:lang w:val="fr-CA"/>
        </w:rPr>
        <w:t xml:space="preserve"> présenté à la 8</w:t>
      </w:r>
      <w:r w:rsidR="00CB19F3">
        <w:rPr>
          <w:lang w:val="fr-CA"/>
        </w:rPr>
        <w:t>7</w:t>
      </w:r>
      <w:r w:rsidR="009D5892" w:rsidRPr="00A52C0B">
        <w:rPr>
          <w:vertAlign w:val="superscript"/>
          <w:lang w:val="fr-CA"/>
        </w:rPr>
        <w:t>e</w:t>
      </w:r>
      <w:r w:rsidR="009D5892" w:rsidRPr="00A52C0B">
        <w:rPr>
          <w:lang w:val="fr-CA"/>
        </w:rPr>
        <w:t> réuni</w:t>
      </w:r>
      <w:r w:rsidRPr="00A52C0B">
        <w:rPr>
          <w:lang w:val="fr-CA"/>
        </w:rPr>
        <w:t xml:space="preserve">on en réponse à la </w:t>
      </w:r>
      <w:r w:rsidR="009D5892" w:rsidRPr="00A52C0B">
        <w:rPr>
          <w:lang w:val="fr-CA"/>
        </w:rPr>
        <w:t>décision </w:t>
      </w:r>
      <w:r w:rsidRPr="00A52C0B">
        <w:rPr>
          <w:lang w:val="fr-CA"/>
        </w:rPr>
        <w:t xml:space="preserve">84/88, étant donné qu’il décrit les moyens d’accroître le financement disponible aux termes de la </w:t>
      </w:r>
      <w:r w:rsidR="009D5892" w:rsidRPr="00A52C0B">
        <w:rPr>
          <w:lang w:val="fr-CA"/>
        </w:rPr>
        <w:t>décision </w:t>
      </w:r>
      <w:r w:rsidRPr="00A52C0B">
        <w:rPr>
          <w:lang w:val="fr-CA"/>
        </w:rPr>
        <w:t xml:space="preserve">74/50 pour les </w:t>
      </w:r>
      <w:r w:rsidR="009260EE" w:rsidRPr="00A52C0B">
        <w:rPr>
          <w:lang w:val="fr-CA"/>
        </w:rPr>
        <w:t>pays FVC</w:t>
      </w:r>
      <w:r w:rsidRPr="00A52C0B">
        <w:rPr>
          <w:lang w:val="fr-CA"/>
        </w:rPr>
        <w:t>, au besoin, afin d’introduire de</w:t>
      </w:r>
      <w:r w:rsidR="00651548">
        <w:rPr>
          <w:lang w:val="fr-CA"/>
        </w:rPr>
        <w:t>s</w:t>
      </w:r>
      <w:r w:rsidR="00800CEF" w:rsidRPr="00A52C0B">
        <w:rPr>
          <w:lang w:val="fr-CA"/>
        </w:rPr>
        <w:t xml:space="preserve"> </w:t>
      </w:r>
      <w:r w:rsidRPr="00A52C0B">
        <w:rPr>
          <w:lang w:val="fr-CA"/>
        </w:rPr>
        <w:t>solutions de remplacement</w:t>
      </w:r>
      <w:r w:rsidR="00800CEF" w:rsidRPr="00A52C0B">
        <w:rPr>
          <w:lang w:val="fr-CA"/>
        </w:rPr>
        <w:t xml:space="preserve"> des HCFC ou HFC</w:t>
      </w:r>
      <w:r w:rsidRPr="00A52C0B">
        <w:rPr>
          <w:lang w:val="fr-CA"/>
        </w:rPr>
        <w:t xml:space="preserve"> à </w:t>
      </w:r>
      <w:r w:rsidR="002152C0" w:rsidRPr="00A52C0B">
        <w:rPr>
          <w:lang w:val="fr-CA"/>
        </w:rPr>
        <w:t>faible </w:t>
      </w:r>
      <w:r w:rsidR="009F6770" w:rsidRPr="00A52C0B">
        <w:rPr>
          <w:lang w:val="fr-CA"/>
        </w:rPr>
        <w:t>PRG</w:t>
      </w:r>
      <w:r w:rsidRPr="00A52C0B">
        <w:rPr>
          <w:lang w:val="fr-CA"/>
        </w:rPr>
        <w:t xml:space="preserve"> ou </w:t>
      </w:r>
      <w:r w:rsidR="00280B5B" w:rsidRPr="00A52C0B">
        <w:rPr>
          <w:lang w:val="fr-CA"/>
        </w:rPr>
        <w:t xml:space="preserve">à </w:t>
      </w:r>
      <w:r w:rsidR="009F6770" w:rsidRPr="00A52C0B">
        <w:rPr>
          <w:lang w:val="fr-CA"/>
        </w:rPr>
        <w:t>PRG</w:t>
      </w:r>
      <w:r w:rsidR="00280B5B" w:rsidRPr="00A52C0B">
        <w:rPr>
          <w:lang w:val="fr-CA"/>
        </w:rPr>
        <w:t> </w:t>
      </w:r>
      <w:r w:rsidRPr="00A52C0B">
        <w:rPr>
          <w:lang w:val="fr-CA"/>
        </w:rPr>
        <w:t>nul et de maintenir l’efficacité énergétique dans le secteur</w:t>
      </w:r>
      <w:r w:rsidR="00A64CD8" w:rsidRPr="00A52C0B">
        <w:rPr>
          <w:lang w:val="fr-CA"/>
        </w:rPr>
        <w:t xml:space="preserve"> </w:t>
      </w:r>
      <w:r w:rsidRPr="00A52C0B">
        <w:rPr>
          <w:lang w:val="fr-CA"/>
        </w:rPr>
        <w:t>de l’entretien/</w:t>
      </w:r>
      <w:r w:rsidR="00651548">
        <w:rPr>
          <w:lang w:val="fr-CA"/>
        </w:rPr>
        <w:t>services aux uti</w:t>
      </w:r>
      <w:r w:rsidRPr="00A52C0B">
        <w:rPr>
          <w:lang w:val="fr-CA"/>
        </w:rPr>
        <w:t>lisateurs</w:t>
      </w:r>
      <w:r w:rsidR="00A64CD8" w:rsidRPr="00A52C0B">
        <w:rPr>
          <w:lang w:val="fr-CA"/>
        </w:rPr>
        <w:t>,</w:t>
      </w:r>
      <w:r w:rsidRPr="00A52C0B">
        <w:rPr>
          <w:lang w:val="fr-CA"/>
        </w:rPr>
        <w:t xml:space="preserve"> d’élaborer et </w:t>
      </w:r>
      <w:r w:rsidR="00800CEF" w:rsidRPr="00A52C0B">
        <w:rPr>
          <w:lang w:val="fr-CA"/>
        </w:rPr>
        <w:t>d’</w:t>
      </w:r>
      <w:r w:rsidRPr="00A52C0B">
        <w:rPr>
          <w:lang w:val="fr-CA"/>
        </w:rPr>
        <w:t>appliquer des politiques et des règlements destiné</w:t>
      </w:r>
      <w:r w:rsidR="00800CEF" w:rsidRPr="00A52C0B">
        <w:rPr>
          <w:lang w:val="fr-CA"/>
        </w:rPr>
        <w:t>s</w:t>
      </w:r>
      <w:r w:rsidRPr="00A52C0B">
        <w:rPr>
          <w:lang w:val="fr-CA"/>
        </w:rPr>
        <w:t xml:space="preserve"> à éviter la pénétration sur le marché d’équipement de réfrigération et de climatisation à faible rendement énergétique et de promouvoir l’équipement à efficacité énergétique élevée</w:t>
      </w:r>
      <w:r w:rsidR="00A64CD8" w:rsidRPr="00A52C0B">
        <w:rPr>
          <w:lang w:val="fr-CA"/>
        </w:rPr>
        <w:t>,</w:t>
      </w:r>
      <w:r w:rsidRPr="00A52C0B">
        <w:rPr>
          <w:lang w:val="fr-CA"/>
        </w:rPr>
        <w:t xml:space="preserve"> et de prendre en compte les critères, les indicateurs de rendement et les mécanismes de financement des plans du secteur de l’entretien </w:t>
      </w:r>
      <w:r w:rsidR="00BF3A2A" w:rsidRPr="00A52C0B">
        <w:rPr>
          <w:lang w:val="fr-CA"/>
        </w:rPr>
        <w:t>dans les PGEH;</w:t>
      </w:r>
    </w:p>
    <w:p w14:paraId="52E39839" w14:textId="22B61644" w:rsidR="00C42D62" w:rsidRPr="00A52C0B" w:rsidRDefault="00BF3A2A" w:rsidP="00C42D62">
      <w:pPr>
        <w:pStyle w:val="Heading2"/>
        <w:widowControl/>
        <w:rPr>
          <w:lang w:val="fr-CA"/>
        </w:rPr>
      </w:pPr>
      <w:r w:rsidRPr="00A52C0B">
        <w:rPr>
          <w:lang w:val="fr-CA"/>
        </w:rPr>
        <w:t>Document présentant un rapport de synthèse qui décrit les pratiques exemplaires et les façons dont le Comité exécutif pourrait envisager d’opérationnaliser le paragraphe</w:t>
      </w:r>
      <w:r w:rsidR="00A64CD8" w:rsidRPr="00A52C0B">
        <w:rPr>
          <w:lang w:val="fr-CA"/>
        </w:rPr>
        <w:t> </w:t>
      </w:r>
      <w:r w:rsidRPr="00A52C0B">
        <w:rPr>
          <w:lang w:val="fr-CA"/>
        </w:rPr>
        <w:t xml:space="preserve">24 de la </w:t>
      </w:r>
      <w:r w:rsidR="009D5892" w:rsidRPr="00A52C0B">
        <w:rPr>
          <w:lang w:val="fr-CA"/>
        </w:rPr>
        <w:t>décision </w:t>
      </w:r>
      <w:r w:rsidRPr="00A52C0B">
        <w:rPr>
          <w:lang w:val="fr-CA"/>
        </w:rPr>
        <w:t>XXVIII/2</w:t>
      </w:r>
      <w:r w:rsidR="00C42D62" w:rsidRPr="00A52C0B">
        <w:rPr>
          <w:vertAlign w:val="superscript"/>
          <w:lang w:val="fr-CA"/>
        </w:rPr>
        <w:footnoteReference w:id="13"/>
      </w:r>
      <w:r w:rsidRPr="00A52C0B">
        <w:rPr>
          <w:lang w:val="fr-CA"/>
        </w:rPr>
        <w:t xml:space="preserve"> car le document décrit les options de financement de la gestion écologique des déchets de SAO et d’autres substances réglementées, qui proviennent en grande partie </w:t>
      </w:r>
      <w:r w:rsidR="00651548">
        <w:rPr>
          <w:lang w:val="fr-CA"/>
        </w:rPr>
        <w:t>des activités d</w:t>
      </w:r>
      <w:r w:rsidRPr="00A52C0B">
        <w:rPr>
          <w:lang w:val="fr-CA"/>
        </w:rPr>
        <w:t xml:space="preserve">’entretien de l’équipement de réfrigération et de climatisation; </w:t>
      </w:r>
    </w:p>
    <w:p w14:paraId="00539342" w14:textId="2717BFE6" w:rsidR="00C42D62" w:rsidRPr="00A52C0B" w:rsidRDefault="00B72D57" w:rsidP="00C42D62">
      <w:pPr>
        <w:pStyle w:val="Heading2"/>
        <w:widowControl/>
        <w:rPr>
          <w:lang w:val="fr-CA"/>
        </w:rPr>
      </w:pPr>
      <w:r w:rsidRPr="00A52C0B">
        <w:rPr>
          <w:lang w:val="fr-CA"/>
        </w:rPr>
        <w:t>Document concernant le développement de directives sur les coûts de la réduction progressive des HFC dans les pays visés à l’article</w:t>
      </w:r>
      <w:r w:rsidR="00A91C38" w:rsidRPr="00A52C0B">
        <w:rPr>
          <w:lang w:val="fr-CA"/>
        </w:rPr>
        <w:t> </w:t>
      </w:r>
      <w:r w:rsidRPr="00A52C0B">
        <w:rPr>
          <w:lang w:val="fr-CA"/>
        </w:rPr>
        <w:t>5</w:t>
      </w:r>
      <w:r w:rsidR="00A91C38" w:rsidRPr="00A52C0B">
        <w:rPr>
          <w:lang w:val="fr-CA"/>
        </w:rPr>
        <w:t> </w:t>
      </w:r>
      <w:r w:rsidRPr="00A52C0B">
        <w:rPr>
          <w:lang w:val="fr-CA"/>
        </w:rPr>
        <w:t xml:space="preserve">: </w:t>
      </w:r>
      <w:r w:rsidR="00AC08FF" w:rsidRPr="00A52C0B">
        <w:rPr>
          <w:lang w:val="fr-CA"/>
        </w:rPr>
        <w:t>activités de facilitation</w:t>
      </w:r>
      <w:r w:rsidR="00C42D62" w:rsidRPr="00A52C0B">
        <w:rPr>
          <w:vertAlign w:val="superscript"/>
          <w:lang w:val="fr-CA"/>
        </w:rPr>
        <w:footnoteReference w:id="14"/>
      </w:r>
      <w:r w:rsidR="00AC08FF" w:rsidRPr="00A52C0B">
        <w:rPr>
          <w:lang w:val="fr-CA"/>
        </w:rPr>
        <w:t>,</w:t>
      </w:r>
      <w:r w:rsidR="00C42D62" w:rsidRPr="00A52C0B">
        <w:rPr>
          <w:lang w:val="fr-CA"/>
        </w:rPr>
        <w:t xml:space="preserve"> </w:t>
      </w:r>
      <w:r w:rsidRPr="00A52C0B">
        <w:rPr>
          <w:lang w:val="fr-CA"/>
        </w:rPr>
        <w:t>qui examine</w:t>
      </w:r>
      <w:r w:rsidR="00AC08FF" w:rsidRPr="00A52C0B">
        <w:rPr>
          <w:lang w:val="fr-CA"/>
        </w:rPr>
        <w:t>nt</w:t>
      </w:r>
      <w:r w:rsidRPr="00A52C0B">
        <w:rPr>
          <w:lang w:val="fr-CA"/>
        </w:rPr>
        <w:t xml:space="preserve"> toutes les politiques et lignes directrices adoptées par le Comité exécutif en lien avec les activités de facilitation (</w:t>
      </w:r>
      <w:r w:rsidR="003C686D" w:rsidRPr="00A52C0B">
        <w:rPr>
          <w:lang w:val="fr-CA"/>
        </w:rPr>
        <w:t>énumérées au paragraphe</w:t>
      </w:r>
      <w:r w:rsidR="00A91C38" w:rsidRPr="00A52C0B">
        <w:rPr>
          <w:lang w:val="fr-CA"/>
        </w:rPr>
        <w:t> </w:t>
      </w:r>
      <w:r w:rsidR="003C686D" w:rsidRPr="00A52C0B">
        <w:rPr>
          <w:lang w:val="fr-CA"/>
        </w:rPr>
        <w:t>20 de la décision</w:t>
      </w:r>
      <w:r w:rsidR="00A91C38" w:rsidRPr="00A52C0B">
        <w:rPr>
          <w:lang w:val="fr-CA"/>
        </w:rPr>
        <w:t> </w:t>
      </w:r>
      <w:r w:rsidR="003C686D" w:rsidRPr="00A52C0B">
        <w:rPr>
          <w:lang w:val="fr-CA"/>
        </w:rPr>
        <w:t xml:space="preserve">XXVIII/2), à l’appui de l’élimination des substances réglementées dans les pays </w:t>
      </w:r>
      <w:r w:rsidR="003C686D" w:rsidRPr="00A52C0B">
        <w:rPr>
          <w:lang w:val="fr-CA"/>
        </w:rPr>
        <w:lastRenderedPageBreak/>
        <w:t>visés à l’article</w:t>
      </w:r>
      <w:r w:rsidR="00A91C38" w:rsidRPr="00A52C0B">
        <w:rPr>
          <w:lang w:val="fr-CA"/>
        </w:rPr>
        <w:t> </w:t>
      </w:r>
      <w:r w:rsidR="003C686D" w:rsidRPr="00A52C0B">
        <w:rPr>
          <w:lang w:val="fr-CA"/>
        </w:rPr>
        <w:t xml:space="preserve">5, dont plusieurs se rapportent au secteur de l’entretien de l’équipement de réfrigération. </w:t>
      </w:r>
    </w:p>
    <w:p w14:paraId="21450892" w14:textId="3895FA8E" w:rsidR="00C42D62" w:rsidRPr="00A52C0B" w:rsidRDefault="003C686D" w:rsidP="00C42D62">
      <w:pPr>
        <w:pStyle w:val="Heading1"/>
        <w:numPr>
          <w:ilvl w:val="0"/>
          <w:numId w:val="2"/>
        </w:numPr>
        <w:rPr>
          <w:lang w:val="fr-CA"/>
        </w:rPr>
      </w:pPr>
      <w:r w:rsidRPr="00A52C0B">
        <w:rPr>
          <w:lang w:val="fr-CA"/>
        </w:rPr>
        <w:t>En préparant ce document, le Secrétariat a accordé une attention particulière aux commentaires et observations des agences d’exécution au cours de la réunion de coordination inter</w:t>
      </w:r>
      <w:r w:rsidR="00471A2B" w:rsidRPr="00A52C0B">
        <w:rPr>
          <w:lang w:val="fr-CA"/>
        </w:rPr>
        <w:noBreakHyphen/>
      </w:r>
      <w:r w:rsidRPr="00A52C0B">
        <w:rPr>
          <w:lang w:val="fr-CA"/>
        </w:rPr>
        <w:t>agenc</w:t>
      </w:r>
      <w:r w:rsidR="00A91C38" w:rsidRPr="00A52C0B">
        <w:rPr>
          <w:lang w:val="fr-CA"/>
        </w:rPr>
        <w:t>es</w:t>
      </w:r>
      <w:r w:rsidRPr="00A52C0B">
        <w:rPr>
          <w:lang w:val="fr-CA"/>
        </w:rPr>
        <w:t xml:space="preserve"> tenu</w:t>
      </w:r>
      <w:r w:rsidR="00AC08FF" w:rsidRPr="00A52C0B">
        <w:rPr>
          <w:lang w:val="fr-CA"/>
        </w:rPr>
        <w:t>e</w:t>
      </w:r>
      <w:r w:rsidRPr="00A52C0B">
        <w:rPr>
          <w:lang w:val="fr-CA"/>
        </w:rPr>
        <w:t xml:space="preserve"> du 25 au 27</w:t>
      </w:r>
      <w:r w:rsidR="00A91C38" w:rsidRPr="00A52C0B">
        <w:rPr>
          <w:lang w:val="fr-CA"/>
        </w:rPr>
        <w:t> </w:t>
      </w:r>
      <w:r w:rsidRPr="00A52C0B">
        <w:rPr>
          <w:lang w:val="fr-CA"/>
        </w:rPr>
        <w:t>février</w:t>
      </w:r>
      <w:r w:rsidR="00A91C38" w:rsidRPr="00A52C0B">
        <w:rPr>
          <w:lang w:val="fr-CA"/>
        </w:rPr>
        <w:t> </w:t>
      </w:r>
      <w:r w:rsidRPr="00A52C0B">
        <w:rPr>
          <w:lang w:val="fr-CA"/>
        </w:rPr>
        <w:t>2020</w:t>
      </w:r>
      <w:r w:rsidR="00C42D62" w:rsidRPr="00A52C0B">
        <w:rPr>
          <w:lang w:val="fr-CA"/>
        </w:rPr>
        <w:t>.</w:t>
      </w:r>
    </w:p>
    <w:p w14:paraId="7066885A" w14:textId="725A30DA" w:rsidR="00C42D62" w:rsidRPr="00A52C0B" w:rsidRDefault="003C686D" w:rsidP="00C42D62">
      <w:pPr>
        <w:pStyle w:val="Heading1"/>
        <w:numPr>
          <w:ilvl w:val="0"/>
          <w:numId w:val="2"/>
        </w:numPr>
        <w:rPr>
          <w:lang w:val="fr-CA"/>
        </w:rPr>
      </w:pPr>
      <w:r w:rsidRPr="00A52C0B">
        <w:rPr>
          <w:lang w:val="fr-CA"/>
        </w:rPr>
        <w:t>Le présent document se compose des sections suivantes</w:t>
      </w:r>
      <w:r w:rsidR="00A91C38" w:rsidRPr="00A52C0B">
        <w:rPr>
          <w:lang w:val="fr-CA"/>
        </w:rPr>
        <w:t> </w:t>
      </w:r>
      <w:r w:rsidRPr="00A52C0B">
        <w:rPr>
          <w:lang w:val="fr-CA"/>
        </w:rPr>
        <w:t xml:space="preserve">: </w:t>
      </w:r>
    </w:p>
    <w:p w14:paraId="2889DF94" w14:textId="09110B4B" w:rsidR="00C42D62" w:rsidRPr="00A52C0B" w:rsidRDefault="003C686D" w:rsidP="00C42D62">
      <w:pPr>
        <w:pStyle w:val="Heading2"/>
        <w:widowControl/>
        <w:rPr>
          <w:lang w:val="fr-CA"/>
        </w:rPr>
      </w:pPr>
      <w:r w:rsidRPr="00A52C0B">
        <w:rPr>
          <w:lang w:val="fr-CA"/>
        </w:rPr>
        <w:t xml:space="preserve">Aperçu de l’aide procurée au titre du Fonds multilatéral dans le secteur de l’entretien de l’équipement de réfrigération; </w:t>
      </w:r>
    </w:p>
    <w:p w14:paraId="4C530669" w14:textId="100263BE" w:rsidR="00C42D62" w:rsidRPr="00A52C0B" w:rsidRDefault="003C686D" w:rsidP="00C42D62">
      <w:pPr>
        <w:pStyle w:val="Heading2"/>
        <w:rPr>
          <w:lang w:val="fr-CA"/>
        </w:rPr>
      </w:pPr>
      <w:r w:rsidRPr="00A52C0B">
        <w:rPr>
          <w:lang w:val="fr-CA"/>
        </w:rPr>
        <w:t>Stratégie de conformité intégr</w:t>
      </w:r>
      <w:r w:rsidR="00AC08FF" w:rsidRPr="00A52C0B">
        <w:rPr>
          <w:lang w:val="fr-CA"/>
        </w:rPr>
        <w:t>ée</w:t>
      </w:r>
      <w:r w:rsidRPr="00A52C0B">
        <w:rPr>
          <w:lang w:val="fr-CA"/>
        </w:rPr>
        <w:t xml:space="preserve"> concernant </w:t>
      </w:r>
      <w:r w:rsidR="00AC08FF" w:rsidRPr="00A52C0B">
        <w:rPr>
          <w:lang w:val="fr-CA"/>
        </w:rPr>
        <w:t xml:space="preserve">les </w:t>
      </w:r>
      <w:r w:rsidRPr="00A52C0B">
        <w:rPr>
          <w:lang w:val="fr-CA"/>
        </w:rPr>
        <w:t xml:space="preserve">HCFC et HFC pour le secteur de l’entretien de l’équipement de réfrigération; </w:t>
      </w:r>
    </w:p>
    <w:p w14:paraId="2829B539" w14:textId="69D32075" w:rsidR="00C42D62" w:rsidRPr="00A52C0B" w:rsidRDefault="003C686D" w:rsidP="00C42D62">
      <w:pPr>
        <w:pStyle w:val="Heading2"/>
        <w:rPr>
          <w:lang w:val="fr-CA"/>
        </w:rPr>
      </w:pPr>
      <w:r w:rsidRPr="00A52C0B">
        <w:rPr>
          <w:lang w:val="fr-CA"/>
        </w:rPr>
        <w:t xml:space="preserve">Modalités </w:t>
      </w:r>
      <w:r w:rsidR="00AC08FF" w:rsidRPr="00A52C0B">
        <w:rPr>
          <w:lang w:val="fr-CA"/>
        </w:rPr>
        <w:t xml:space="preserve">et </w:t>
      </w:r>
      <w:r w:rsidRPr="00A52C0B">
        <w:rPr>
          <w:lang w:val="fr-CA"/>
        </w:rPr>
        <w:t>niveau</w:t>
      </w:r>
      <w:r w:rsidR="00AC08FF" w:rsidRPr="00A52C0B">
        <w:rPr>
          <w:lang w:val="fr-CA"/>
        </w:rPr>
        <w:t>x</w:t>
      </w:r>
      <w:r w:rsidRPr="00A52C0B">
        <w:rPr>
          <w:lang w:val="fr-CA"/>
        </w:rPr>
        <w:t xml:space="preserve"> de financement de la réduction progressive des HFC dans le secteur de l’entretien de l’équipement de réfrigération (phase</w:t>
      </w:r>
      <w:r w:rsidR="00082711" w:rsidRPr="00A52C0B">
        <w:rPr>
          <w:lang w:val="fr-CA"/>
        </w:rPr>
        <w:t> </w:t>
      </w:r>
      <w:r w:rsidRPr="00A52C0B">
        <w:rPr>
          <w:lang w:val="fr-CA"/>
        </w:rPr>
        <w:t xml:space="preserve">I); </w:t>
      </w:r>
    </w:p>
    <w:p w14:paraId="631A25B2" w14:textId="63911C31" w:rsidR="00C42D62" w:rsidRPr="00A52C0B" w:rsidRDefault="003C686D" w:rsidP="00C42D62">
      <w:pPr>
        <w:pStyle w:val="Heading2"/>
        <w:rPr>
          <w:lang w:val="fr-CA"/>
        </w:rPr>
      </w:pPr>
      <w:r w:rsidRPr="00A52C0B">
        <w:rPr>
          <w:lang w:val="fr-CA"/>
        </w:rPr>
        <w:t xml:space="preserve">Recommandation. </w:t>
      </w:r>
    </w:p>
    <w:p w14:paraId="7D24FD45" w14:textId="142B0B7A" w:rsidR="00C42D62" w:rsidRPr="00A52C0B" w:rsidRDefault="003C686D" w:rsidP="00C42D62">
      <w:pPr>
        <w:pStyle w:val="Heading1"/>
        <w:numPr>
          <w:ilvl w:val="0"/>
          <w:numId w:val="2"/>
        </w:numPr>
        <w:rPr>
          <w:lang w:val="fr-CA"/>
        </w:rPr>
      </w:pPr>
      <w:r w:rsidRPr="00A52C0B">
        <w:rPr>
          <w:lang w:val="fr-CA"/>
        </w:rPr>
        <w:t>L’annexe</w:t>
      </w:r>
      <w:r w:rsidR="006B58C9" w:rsidRPr="00A52C0B">
        <w:rPr>
          <w:lang w:val="fr-CA"/>
        </w:rPr>
        <w:t> </w:t>
      </w:r>
      <w:r w:rsidRPr="00A52C0B">
        <w:rPr>
          <w:lang w:val="fr-CA"/>
        </w:rPr>
        <w:t>I du présent document donne un aperçu des modalités potentielles d’intégration des activités d’élimination des HCFC et de réduction progressive des HFC dans le secteur de l’entretien de l’équipement de réfrigération.</w:t>
      </w:r>
    </w:p>
    <w:p w14:paraId="0F153795" w14:textId="21753EA5" w:rsidR="00C42D62" w:rsidRPr="00A52C0B" w:rsidRDefault="003C686D" w:rsidP="00C42D62">
      <w:pPr>
        <w:pStyle w:val="Heading2"/>
        <w:numPr>
          <w:ilvl w:val="0"/>
          <w:numId w:val="0"/>
        </w:numPr>
        <w:tabs>
          <w:tab w:val="left" w:pos="720"/>
        </w:tabs>
        <w:rPr>
          <w:b/>
          <w:lang w:val="fr-CA"/>
        </w:rPr>
      </w:pPr>
      <w:r w:rsidRPr="00A52C0B">
        <w:rPr>
          <w:b/>
          <w:lang w:val="fr-CA"/>
        </w:rPr>
        <w:t>Aperçu de l</w:t>
      </w:r>
      <w:r w:rsidR="006B58C9" w:rsidRPr="00A52C0B">
        <w:rPr>
          <w:b/>
          <w:lang w:val="fr-CA"/>
        </w:rPr>
        <w:t>’aide</w:t>
      </w:r>
      <w:r w:rsidRPr="00A52C0B">
        <w:rPr>
          <w:b/>
          <w:lang w:val="fr-CA"/>
        </w:rPr>
        <w:t xml:space="preserve"> procuré</w:t>
      </w:r>
      <w:r w:rsidR="006B58C9" w:rsidRPr="00A52C0B">
        <w:rPr>
          <w:b/>
          <w:lang w:val="fr-CA"/>
        </w:rPr>
        <w:t>e</w:t>
      </w:r>
      <w:r w:rsidRPr="00A52C0B">
        <w:rPr>
          <w:b/>
          <w:lang w:val="fr-CA"/>
        </w:rPr>
        <w:t xml:space="preserve"> au titre du </w:t>
      </w:r>
      <w:r w:rsidR="006B58C9" w:rsidRPr="00A52C0B">
        <w:rPr>
          <w:b/>
          <w:lang w:val="fr-CA"/>
        </w:rPr>
        <w:t>F</w:t>
      </w:r>
      <w:r w:rsidRPr="00A52C0B">
        <w:rPr>
          <w:b/>
          <w:lang w:val="fr-CA"/>
        </w:rPr>
        <w:t xml:space="preserve">onds multilatéral dans le secteur de l’entretien de l’équipement de réfrigération </w:t>
      </w:r>
    </w:p>
    <w:p w14:paraId="3C01F7D1" w14:textId="5F9A45F5" w:rsidR="00C42D62" w:rsidRPr="00A52C0B" w:rsidRDefault="003C686D" w:rsidP="00C42D62">
      <w:pPr>
        <w:pStyle w:val="Heading1"/>
        <w:numPr>
          <w:ilvl w:val="0"/>
          <w:numId w:val="2"/>
        </w:numPr>
        <w:rPr>
          <w:lang w:val="fr-CA"/>
        </w:rPr>
      </w:pPr>
      <w:r w:rsidRPr="00A52C0B">
        <w:rPr>
          <w:lang w:val="fr-CA"/>
        </w:rPr>
        <w:t xml:space="preserve">Depuis sa création, le Fonds multilatéral </w:t>
      </w:r>
      <w:r w:rsidR="00325E50" w:rsidRPr="00A52C0B">
        <w:rPr>
          <w:lang w:val="fr-CA"/>
        </w:rPr>
        <w:t xml:space="preserve">a fourni une </w:t>
      </w:r>
      <w:r w:rsidR="00651548">
        <w:rPr>
          <w:lang w:val="fr-CA"/>
        </w:rPr>
        <w:t>assistance</w:t>
      </w:r>
      <w:r w:rsidR="006B58C9" w:rsidRPr="00A52C0B">
        <w:rPr>
          <w:lang w:val="fr-CA"/>
        </w:rPr>
        <w:t xml:space="preserve"> </w:t>
      </w:r>
      <w:r w:rsidR="00325E50" w:rsidRPr="00A52C0B">
        <w:rPr>
          <w:lang w:val="fr-CA"/>
        </w:rPr>
        <w:t>aux pays visés à l’article</w:t>
      </w:r>
      <w:r w:rsidR="00A91C38" w:rsidRPr="00A52C0B">
        <w:rPr>
          <w:lang w:val="fr-CA"/>
        </w:rPr>
        <w:t> </w:t>
      </w:r>
      <w:r w:rsidR="00325E50" w:rsidRPr="00A52C0B">
        <w:rPr>
          <w:lang w:val="fr-CA"/>
        </w:rPr>
        <w:t>5 en vue d’éliminer les substances réglementées utilisées dans le secteur de l’entretien de l’équipement de réfrigération.</w:t>
      </w:r>
      <w:r w:rsidR="00C42D62" w:rsidRPr="00A52C0B">
        <w:rPr>
          <w:lang w:val="fr-CA"/>
        </w:rPr>
        <w:t xml:space="preserve"> </w:t>
      </w:r>
    </w:p>
    <w:p w14:paraId="328CD89B" w14:textId="2752B384" w:rsidR="00C42D62" w:rsidRPr="00A52C0B" w:rsidRDefault="00325E50" w:rsidP="00C42D62">
      <w:pPr>
        <w:rPr>
          <w:u w:val="single"/>
          <w:lang w:val="fr-CA"/>
        </w:rPr>
      </w:pPr>
      <w:r w:rsidRPr="00A52C0B">
        <w:rPr>
          <w:u w:val="single"/>
          <w:lang w:val="fr-CA"/>
        </w:rPr>
        <w:t xml:space="preserve">Modalités et niveaux de financement des activités d’élimination des CFC dans le secteur de l’entretien de l’équipement de réfrigération </w:t>
      </w:r>
    </w:p>
    <w:p w14:paraId="605E7751" w14:textId="77777777" w:rsidR="00C42D62" w:rsidRPr="00A52C0B" w:rsidRDefault="00C42D62" w:rsidP="00C42D62">
      <w:pPr>
        <w:rPr>
          <w:lang w:val="fr-CA"/>
        </w:rPr>
      </w:pPr>
    </w:p>
    <w:p w14:paraId="2314436E" w14:textId="3C7AA85D" w:rsidR="00C42D62" w:rsidRPr="00A52C0B" w:rsidRDefault="00325E50" w:rsidP="00C42D62">
      <w:pPr>
        <w:pStyle w:val="Heading1"/>
        <w:numPr>
          <w:ilvl w:val="0"/>
          <w:numId w:val="2"/>
        </w:numPr>
        <w:rPr>
          <w:lang w:val="fr-CA"/>
        </w:rPr>
      </w:pPr>
      <w:r w:rsidRPr="00A52C0B">
        <w:rPr>
          <w:lang w:val="fr-CA"/>
        </w:rPr>
        <w:t>Au départ, l’assistance visait à appuyer la mise en œuvre de projets autonomes (p.</w:t>
      </w:r>
      <w:r w:rsidR="006B58C9" w:rsidRPr="00A52C0B">
        <w:rPr>
          <w:lang w:val="fr-CA"/>
        </w:rPr>
        <w:t> </w:t>
      </w:r>
      <w:r w:rsidRPr="00A52C0B">
        <w:rPr>
          <w:lang w:val="fr-CA"/>
        </w:rPr>
        <w:t>ex.,</w:t>
      </w:r>
      <w:r w:rsidR="006B58C9" w:rsidRPr="00A52C0B">
        <w:rPr>
          <w:lang w:val="fr-CA"/>
        </w:rPr>
        <w:t> </w:t>
      </w:r>
      <w:r w:rsidRPr="00A52C0B">
        <w:rPr>
          <w:lang w:val="fr-CA"/>
        </w:rPr>
        <w:t>rédaction de règlement</w:t>
      </w:r>
      <w:r w:rsidR="006B58C9" w:rsidRPr="00A52C0B">
        <w:rPr>
          <w:lang w:val="fr-CA"/>
        </w:rPr>
        <w:t>s</w:t>
      </w:r>
      <w:r w:rsidRPr="00A52C0B">
        <w:rPr>
          <w:lang w:val="fr-CA"/>
        </w:rPr>
        <w:t xml:space="preserve"> à l’appui de l’élimination des CFC, formation à l’intention des agents des douanes et d’exécution de la loi, formation des techniciens en réfrigération sur les pratiques exemplaires d’entretien; distribution d’outils et d’équipement aux techniciens, programme</w:t>
      </w:r>
      <w:r w:rsidR="006B58C9" w:rsidRPr="00A52C0B">
        <w:rPr>
          <w:lang w:val="fr-CA"/>
        </w:rPr>
        <w:t>s</w:t>
      </w:r>
      <w:r w:rsidRPr="00A52C0B">
        <w:rPr>
          <w:lang w:val="fr-CA"/>
        </w:rPr>
        <w:t xml:space="preserve"> de récupération et de recyclage des frigorigènes), sans qu’il n’y ait de stratégie globale ni de plan de gestion. Le</w:t>
      </w:r>
      <w:r w:rsidR="006B58C9" w:rsidRPr="00A52C0B">
        <w:rPr>
          <w:lang w:val="fr-CA"/>
        </w:rPr>
        <w:t>s</w:t>
      </w:r>
      <w:r w:rsidRPr="00A52C0B">
        <w:rPr>
          <w:lang w:val="fr-CA"/>
        </w:rPr>
        <w:t xml:space="preserve"> niveau</w:t>
      </w:r>
      <w:r w:rsidR="006B58C9" w:rsidRPr="00A52C0B">
        <w:rPr>
          <w:lang w:val="fr-CA"/>
        </w:rPr>
        <w:t>x</w:t>
      </w:r>
      <w:r w:rsidRPr="00A52C0B">
        <w:rPr>
          <w:lang w:val="fr-CA"/>
        </w:rPr>
        <w:t xml:space="preserve"> de financement étai</w:t>
      </w:r>
      <w:r w:rsidR="006B58C9" w:rsidRPr="00A52C0B">
        <w:rPr>
          <w:lang w:val="fr-CA"/>
        </w:rPr>
        <w:t>en</w:t>
      </w:r>
      <w:r w:rsidRPr="00A52C0B">
        <w:rPr>
          <w:lang w:val="fr-CA"/>
        </w:rPr>
        <w:t>t approuvé</w:t>
      </w:r>
      <w:r w:rsidR="006B58C9" w:rsidRPr="00A52C0B">
        <w:rPr>
          <w:lang w:val="fr-CA"/>
        </w:rPr>
        <w:t>s</w:t>
      </w:r>
      <w:r w:rsidRPr="00A52C0B">
        <w:rPr>
          <w:lang w:val="fr-CA"/>
        </w:rPr>
        <w:t xml:space="preserve"> au cas par cas</w:t>
      </w:r>
      <w:r w:rsidR="00651548">
        <w:rPr>
          <w:lang w:val="fr-CA"/>
        </w:rPr>
        <w:t>,</w:t>
      </w:r>
      <w:r w:rsidRPr="00A52C0B">
        <w:rPr>
          <w:lang w:val="fr-CA"/>
        </w:rPr>
        <w:t xml:space="preserve"> selon les propositions de projet</w:t>
      </w:r>
      <w:r w:rsidR="00A91C38" w:rsidRPr="00A52C0B">
        <w:rPr>
          <w:lang w:val="fr-CA"/>
        </w:rPr>
        <w:t>s</w:t>
      </w:r>
      <w:r w:rsidRPr="00A52C0B">
        <w:rPr>
          <w:lang w:val="fr-CA"/>
        </w:rPr>
        <w:t xml:space="preserve"> soumis</w:t>
      </w:r>
      <w:r w:rsidR="00A91C38" w:rsidRPr="00A52C0B">
        <w:rPr>
          <w:lang w:val="fr-CA"/>
        </w:rPr>
        <w:t>es</w:t>
      </w:r>
      <w:r w:rsidRPr="00A52C0B">
        <w:rPr>
          <w:lang w:val="fr-CA"/>
        </w:rPr>
        <w:t>.</w:t>
      </w:r>
    </w:p>
    <w:p w14:paraId="5B6BA71B" w14:textId="04AA10A4" w:rsidR="00C42D62" w:rsidRPr="00A52C0B" w:rsidRDefault="00325E50" w:rsidP="00C42D62">
      <w:pPr>
        <w:pStyle w:val="Heading1"/>
        <w:numPr>
          <w:ilvl w:val="0"/>
          <w:numId w:val="2"/>
        </w:numPr>
        <w:rPr>
          <w:lang w:val="fr-CA"/>
        </w:rPr>
      </w:pPr>
      <w:r w:rsidRPr="00A52C0B">
        <w:rPr>
          <w:lang w:val="fr-CA"/>
        </w:rPr>
        <w:t xml:space="preserve">À mesure que l’élimination des CFC progressait, les projets autonomes ont été incorporés dans un plan de financement global applicable aux </w:t>
      </w:r>
      <w:r w:rsidR="009260EE" w:rsidRPr="00A52C0B">
        <w:rPr>
          <w:lang w:val="fr-CA"/>
        </w:rPr>
        <w:t>pays FVC</w:t>
      </w:r>
      <w:r w:rsidR="00651548">
        <w:rPr>
          <w:lang w:val="fr-CA"/>
        </w:rPr>
        <w:t xml:space="preserve">, </w:t>
      </w:r>
      <w:r w:rsidRPr="00A52C0B">
        <w:rPr>
          <w:lang w:val="fr-CA"/>
        </w:rPr>
        <w:t>un plan de gestion des frigorigènes. Ce plan suivait une approche déterminée par le pays qui offr</w:t>
      </w:r>
      <w:r w:rsidR="00D815BE" w:rsidRPr="00A52C0B">
        <w:rPr>
          <w:lang w:val="fr-CA"/>
        </w:rPr>
        <w:t>ait</w:t>
      </w:r>
      <w:r w:rsidRPr="00A52C0B">
        <w:rPr>
          <w:lang w:val="fr-CA"/>
        </w:rPr>
        <w:t xml:space="preserve"> une souplesse sur le plan de la mise en œuvre des activités, de manière à aider celui</w:t>
      </w:r>
      <w:r w:rsidR="00471A2B" w:rsidRPr="00A52C0B">
        <w:rPr>
          <w:lang w:val="fr-CA"/>
        </w:rPr>
        <w:noBreakHyphen/>
      </w:r>
      <w:r w:rsidRPr="00A52C0B">
        <w:rPr>
          <w:lang w:val="fr-CA"/>
        </w:rPr>
        <w:t xml:space="preserve">ci </w:t>
      </w:r>
      <w:r w:rsidR="00AA0453" w:rsidRPr="00A52C0B">
        <w:rPr>
          <w:lang w:val="fr-CA"/>
        </w:rPr>
        <w:t xml:space="preserve">à s’acquitter de ses obligations en matière de conformité en vertu du Protocole de Montréal. Les pays pouvaient présenter une mise à jour de leur plan de gestion des frigorigènes, afin d’atteindre </w:t>
      </w:r>
      <w:r w:rsidR="00651548">
        <w:rPr>
          <w:lang w:val="fr-CA"/>
        </w:rPr>
        <w:t>un objectif de</w:t>
      </w:r>
      <w:r w:rsidR="00AA0453" w:rsidRPr="00A52C0B">
        <w:rPr>
          <w:lang w:val="fr-CA"/>
        </w:rPr>
        <w:t xml:space="preserve"> réduction de la consommation de CFC, soit respectivement 50 et 85</w:t>
      </w:r>
      <w:r w:rsidR="00A91C38" w:rsidRPr="00A52C0B">
        <w:rPr>
          <w:lang w:val="fr-CA"/>
        </w:rPr>
        <w:t> </w:t>
      </w:r>
      <w:r w:rsidR="00AA0453" w:rsidRPr="00A52C0B">
        <w:rPr>
          <w:lang w:val="fr-CA"/>
        </w:rPr>
        <w:t>pour</w:t>
      </w:r>
      <w:r w:rsidR="00D815BE" w:rsidRPr="00A52C0B">
        <w:rPr>
          <w:lang w:val="fr-CA"/>
        </w:rPr>
        <w:t> </w:t>
      </w:r>
      <w:r w:rsidR="00AA0453" w:rsidRPr="00A52C0B">
        <w:rPr>
          <w:lang w:val="fr-CA"/>
        </w:rPr>
        <w:t xml:space="preserve">cent par </w:t>
      </w:r>
      <w:r w:rsidR="00651548">
        <w:rPr>
          <w:lang w:val="fr-CA"/>
        </w:rPr>
        <w:t>de</w:t>
      </w:r>
      <w:r w:rsidR="00AA0453" w:rsidRPr="00A52C0B">
        <w:rPr>
          <w:lang w:val="fr-CA"/>
        </w:rPr>
        <w:t xml:space="preserve"> la valeur de référence en</w:t>
      </w:r>
      <w:r w:rsidR="00D815BE" w:rsidRPr="00A52C0B">
        <w:rPr>
          <w:lang w:val="fr-CA"/>
        </w:rPr>
        <w:t> </w:t>
      </w:r>
      <w:r w:rsidR="00AA0453" w:rsidRPr="00A52C0B">
        <w:rPr>
          <w:lang w:val="fr-CA"/>
        </w:rPr>
        <w:t>2005 et</w:t>
      </w:r>
      <w:r w:rsidR="00D815BE" w:rsidRPr="00A52C0B">
        <w:rPr>
          <w:lang w:val="fr-CA"/>
        </w:rPr>
        <w:t> </w:t>
      </w:r>
      <w:r w:rsidR="00AA0453" w:rsidRPr="00A52C0B">
        <w:rPr>
          <w:lang w:val="fr-CA"/>
        </w:rPr>
        <w:t>2007. Enfin, afin de parvenir à l’élimination complète des CFC, des plans de gestion de l’élimination finale (PGEF) ét</w:t>
      </w:r>
      <w:r w:rsidR="00D815BE" w:rsidRPr="00A52C0B">
        <w:rPr>
          <w:lang w:val="fr-CA"/>
        </w:rPr>
        <w:t>aient</w:t>
      </w:r>
      <w:r w:rsidR="00AA0453" w:rsidRPr="00A52C0B">
        <w:rPr>
          <w:lang w:val="fr-CA"/>
        </w:rPr>
        <w:t xml:space="preserve"> élaboré</w:t>
      </w:r>
      <w:r w:rsidR="00D815BE" w:rsidRPr="00A52C0B">
        <w:rPr>
          <w:lang w:val="fr-CA"/>
        </w:rPr>
        <w:t>s</w:t>
      </w:r>
      <w:r w:rsidR="00AA0453" w:rsidRPr="00A52C0B">
        <w:rPr>
          <w:lang w:val="fr-CA"/>
        </w:rPr>
        <w:t xml:space="preserve"> pour les </w:t>
      </w:r>
      <w:r w:rsidR="009260EE" w:rsidRPr="00A52C0B">
        <w:rPr>
          <w:lang w:val="fr-CA"/>
        </w:rPr>
        <w:t>pays FVC</w:t>
      </w:r>
      <w:r w:rsidR="00651548">
        <w:rPr>
          <w:lang w:val="fr-CA"/>
        </w:rPr>
        <w:t>,</w:t>
      </w:r>
      <w:r w:rsidR="00AA0453" w:rsidRPr="00A52C0B">
        <w:rPr>
          <w:lang w:val="fr-CA"/>
        </w:rPr>
        <w:t xml:space="preserve"> et des plans nationaux d’élimination pour les pays qui ne sont pas des </w:t>
      </w:r>
      <w:r w:rsidR="009260EE" w:rsidRPr="00A52C0B">
        <w:rPr>
          <w:lang w:val="fr-CA"/>
        </w:rPr>
        <w:t>pays FVC</w:t>
      </w:r>
      <w:r w:rsidR="00AA0453" w:rsidRPr="00A52C0B">
        <w:rPr>
          <w:lang w:val="fr-CA"/>
        </w:rPr>
        <w:t>, à titre d’accord</w:t>
      </w:r>
      <w:r w:rsidR="00D815BE" w:rsidRPr="00A52C0B">
        <w:rPr>
          <w:lang w:val="fr-CA"/>
        </w:rPr>
        <w:t>s</w:t>
      </w:r>
      <w:r w:rsidR="00AA0453" w:rsidRPr="00A52C0B">
        <w:rPr>
          <w:lang w:val="fr-CA"/>
        </w:rPr>
        <w:t xml:space="preserve"> fondé</w:t>
      </w:r>
      <w:r w:rsidR="00D815BE" w:rsidRPr="00A52C0B">
        <w:rPr>
          <w:lang w:val="fr-CA"/>
        </w:rPr>
        <w:t>s</w:t>
      </w:r>
      <w:r w:rsidR="00AA0453" w:rsidRPr="00A52C0B">
        <w:rPr>
          <w:lang w:val="fr-CA"/>
        </w:rPr>
        <w:t xml:space="preserve"> sur le rendement </w:t>
      </w:r>
      <w:r w:rsidR="009E1BFF">
        <w:rPr>
          <w:lang w:val="fr-CA"/>
        </w:rPr>
        <w:t>en harmonie avec</w:t>
      </w:r>
      <w:r w:rsidR="00AA0453" w:rsidRPr="00A52C0B">
        <w:rPr>
          <w:lang w:val="fr-CA"/>
        </w:rPr>
        <w:t xml:space="preserve"> </w:t>
      </w:r>
      <w:r w:rsidR="00D815BE" w:rsidRPr="00A52C0B">
        <w:rPr>
          <w:lang w:val="fr-CA"/>
        </w:rPr>
        <w:t>l’</w:t>
      </w:r>
      <w:r w:rsidR="00AA0453" w:rsidRPr="00A52C0B">
        <w:rPr>
          <w:lang w:val="fr-CA"/>
        </w:rPr>
        <w:t>approche déterminée par le pays. Le financement de ces plans se faisait par tranche, après vérification de la conformité avec des objectifs de consommation spécifique</w:t>
      </w:r>
      <w:r w:rsidR="00D815BE" w:rsidRPr="00A52C0B">
        <w:rPr>
          <w:lang w:val="fr-CA"/>
        </w:rPr>
        <w:t>s</w:t>
      </w:r>
      <w:r w:rsidR="00AA0453" w:rsidRPr="00A52C0B">
        <w:rPr>
          <w:lang w:val="fr-CA"/>
        </w:rPr>
        <w:t xml:space="preserve">. </w:t>
      </w:r>
      <w:r w:rsidR="00C42D62" w:rsidRPr="00A52C0B">
        <w:rPr>
          <w:lang w:val="fr-CA"/>
        </w:rPr>
        <w:t xml:space="preserve"> </w:t>
      </w:r>
    </w:p>
    <w:p w14:paraId="4BF68FF9" w14:textId="2DF76930" w:rsidR="00C42D62" w:rsidRPr="00A52C0B" w:rsidRDefault="00AA0453" w:rsidP="00C42D62">
      <w:pPr>
        <w:pStyle w:val="Heading1"/>
        <w:widowControl w:val="0"/>
        <w:numPr>
          <w:ilvl w:val="0"/>
          <w:numId w:val="2"/>
        </w:numPr>
        <w:rPr>
          <w:lang w:val="fr-CA"/>
        </w:rPr>
      </w:pPr>
      <w:r w:rsidRPr="00A52C0B">
        <w:rPr>
          <w:lang w:val="fr-CA"/>
        </w:rPr>
        <w:lastRenderedPageBreak/>
        <w:t xml:space="preserve">Les niveaux de financement des mises à jour du plan de gestion des frigorigènes, des PGEF </w:t>
      </w:r>
      <w:r w:rsidR="00067150" w:rsidRPr="00A52C0B">
        <w:rPr>
          <w:lang w:val="fr-CA"/>
        </w:rPr>
        <w:t xml:space="preserve">et </w:t>
      </w:r>
      <w:r w:rsidRPr="00A52C0B">
        <w:rPr>
          <w:lang w:val="fr-CA"/>
        </w:rPr>
        <w:t>des plans nationaux d’élimination étai</w:t>
      </w:r>
      <w:r w:rsidR="00067150" w:rsidRPr="00A52C0B">
        <w:rPr>
          <w:lang w:val="fr-CA"/>
        </w:rPr>
        <w:t>en</w:t>
      </w:r>
      <w:r w:rsidRPr="00A52C0B">
        <w:rPr>
          <w:lang w:val="fr-CA"/>
        </w:rPr>
        <w:t>t prédéterminé</w:t>
      </w:r>
      <w:r w:rsidR="00067150" w:rsidRPr="00A52C0B">
        <w:rPr>
          <w:lang w:val="fr-CA"/>
        </w:rPr>
        <w:t>s</w:t>
      </w:r>
      <w:r w:rsidRPr="00A52C0B">
        <w:rPr>
          <w:lang w:val="fr-CA"/>
        </w:rPr>
        <w:t xml:space="preserve"> par le Comité exécutif, plutôt qu’octroy</w:t>
      </w:r>
      <w:r w:rsidR="00E04CFA" w:rsidRPr="00A52C0B">
        <w:rPr>
          <w:lang w:val="fr-CA"/>
        </w:rPr>
        <w:t>és</w:t>
      </w:r>
      <w:r w:rsidRPr="00A52C0B">
        <w:rPr>
          <w:lang w:val="fr-CA"/>
        </w:rPr>
        <w:t xml:space="preserve"> au cas par cas. En voici le sommaire</w:t>
      </w:r>
      <w:r w:rsidR="00A91C38" w:rsidRPr="00A52C0B">
        <w:rPr>
          <w:lang w:val="fr-CA"/>
        </w:rPr>
        <w:t> </w:t>
      </w:r>
      <w:r w:rsidRPr="00A52C0B">
        <w:rPr>
          <w:lang w:val="fr-CA"/>
        </w:rPr>
        <w:t xml:space="preserve">: </w:t>
      </w:r>
      <w:r w:rsidR="00C42D62" w:rsidRPr="00A52C0B">
        <w:rPr>
          <w:sz w:val="18"/>
          <w:szCs w:val="18"/>
          <w:lang w:val="fr-CA"/>
        </w:rPr>
        <w:t xml:space="preserve"> </w:t>
      </w:r>
    </w:p>
    <w:p w14:paraId="057D327A" w14:textId="7FC55C9C" w:rsidR="005A5A1E" w:rsidRPr="00A52C0B" w:rsidRDefault="005A5A1E" w:rsidP="005A5A1E">
      <w:pPr>
        <w:pStyle w:val="Heading1"/>
        <w:numPr>
          <w:ilvl w:val="0"/>
          <w:numId w:val="0"/>
        </w:numPr>
        <w:tabs>
          <w:tab w:val="left" w:pos="720"/>
        </w:tabs>
        <w:spacing w:after="0"/>
        <w:rPr>
          <w:b/>
          <w:lang w:val="fr-CA"/>
        </w:rPr>
      </w:pPr>
      <w:r w:rsidRPr="00A52C0B">
        <w:rPr>
          <w:b/>
          <w:lang w:val="fr-CA"/>
        </w:rPr>
        <w:t>Table</w:t>
      </w:r>
      <w:r w:rsidR="00C45C22" w:rsidRPr="00A52C0B">
        <w:rPr>
          <w:b/>
          <w:lang w:val="fr-CA"/>
        </w:rPr>
        <w:t>au</w:t>
      </w:r>
      <w:r w:rsidR="00A91C38" w:rsidRPr="00A52C0B">
        <w:rPr>
          <w:b/>
          <w:lang w:val="fr-CA"/>
        </w:rPr>
        <w:t> </w:t>
      </w:r>
      <w:r w:rsidRPr="00A52C0B">
        <w:rPr>
          <w:b/>
          <w:lang w:val="fr-CA"/>
        </w:rPr>
        <w:t xml:space="preserve">1. </w:t>
      </w:r>
      <w:r w:rsidR="00AA0453" w:rsidRPr="00A52C0B">
        <w:rPr>
          <w:b/>
          <w:lang w:val="fr-CA"/>
        </w:rPr>
        <w:t>Niveaux et modalités de financement approuvé</w:t>
      </w:r>
      <w:r w:rsidR="00E04CFA" w:rsidRPr="00A52C0B">
        <w:rPr>
          <w:b/>
          <w:lang w:val="fr-CA"/>
        </w:rPr>
        <w:t>s</w:t>
      </w:r>
      <w:r w:rsidR="00AA0453" w:rsidRPr="00A52C0B">
        <w:rPr>
          <w:b/>
          <w:lang w:val="fr-CA"/>
        </w:rPr>
        <w:t xml:space="preserve"> dans le secteur de l’entretien de l’équipement de réfrigération </w:t>
      </w:r>
    </w:p>
    <w:tbl>
      <w:tblPr>
        <w:tblStyle w:val="TableGrid"/>
        <w:tblW w:w="5050" w:type="pct"/>
        <w:tblLook w:val="04A0" w:firstRow="1" w:lastRow="0" w:firstColumn="1" w:lastColumn="0" w:noHBand="0" w:noVBand="1"/>
      </w:tblPr>
      <w:tblGrid>
        <w:gridCol w:w="1442"/>
        <w:gridCol w:w="1267"/>
        <w:gridCol w:w="865"/>
        <w:gridCol w:w="1738"/>
        <w:gridCol w:w="2284"/>
        <w:gridCol w:w="1975"/>
      </w:tblGrid>
      <w:tr w:rsidR="005A5A1E" w:rsidRPr="00A52C0B" w14:paraId="406C900F" w14:textId="77777777" w:rsidTr="001C1499">
        <w:trPr>
          <w:tblHeader/>
        </w:trPr>
        <w:tc>
          <w:tcPr>
            <w:tcW w:w="753"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2F061C95" w14:textId="35CAF03E" w:rsidR="005A5A1E" w:rsidRPr="00A52C0B" w:rsidRDefault="00AA0453" w:rsidP="005A5A1E">
            <w:pPr>
              <w:jc w:val="center"/>
              <w:rPr>
                <w:b/>
                <w:sz w:val="20"/>
                <w:szCs w:val="20"/>
                <w:lang w:val="fr-CA"/>
              </w:rPr>
            </w:pPr>
            <w:r w:rsidRPr="00A52C0B">
              <w:rPr>
                <w:b/>
                <w:sz w:val="20"/>
                <w:szCs w:val="20"/>
                <w:lang w:val="fr-CA"/>
              </w:rPr>
              <w:t>Modalité</w:t>
            </w:r>
          </w:p>
        </w:tc>
        <w:tc>
          <w:tcPr>
            <w:tcW w:w="662"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188344B1" w14:textId="1BC89BDE" w:rsidR="005A5A1E" w:rsidRPr="00A52C0B" w:rsidRDefault="00AA0453" w:rsidP="005A5A1E">
            <w:pPr>
              <w:jc w:val="center"/>
              <w:rPr>
                <w:b/>
                <w:sz w:val="20"/>
                <w:szCs w:val="20"/>
                <w:lang w:val="fr-CA"/>
              </w:rPr>
            </w:pPr>
            <w:r w:rsidRPr="00A52C0B">
              <w:rPr>
                <w:b/>
                <w:sz w:val="20"/>
                <w:szCs w:val="20"/>
                <w:lang w:val="fr-CA"/>
              </w:rPr>
              <w:t>Années d’application</w:t>
            </w:r>
          </w:p>
        </w:tc>
        <w:tc>
          <w:tcPr>
            <w:tcW w:w="452"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7EEEF57E" w14:textId="54085F40" w:rsidR="005A5A1E" w:rsidRPr="00A52C0B" w:rsidRDefault="00AA0453" w:rsidP="005A5A1E">
            <w:pPr>
              <w:jc w:val="center"/>
              <w:rPr>
                <w:b/>
                <w:sz w:val="20"/>
                <w:szCs w:val="20"/>
                <w:lang w:val="fr-CA"/>
              </w:rPr>
            </w:pPr>
            <w:r w:rsidRPr="00A52C0B">
              <w:rPr>
                <w:b/>
                <w:sz w:val="20"/>
                <w:szCs w:val="20"/>
                <w:lang w:val="fr-CA"/>
              </w:rPr>
              <w:t>Pays visés</w:t>
            </w:r>
          </w:p>
        </w:tc>
        <w:tc>
          <w:tcPr>
            <w:tcW w:w="908"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304CCFA5" w14:textId="63AA29BA" w:rsidR="005A5A1E" w:rsidRPr="00A52C0B" w:rsidRDefault="00AA0453" w:rsidP="005A5A1E">
            <w:pPr>
              <w:jc w:val="center"/>
              <w:rPr>
                <w:b/>
                <w:sz w:val="20"/>
                <w:szCs w:val="20"/>
                <w:lang w:val="fr-CA"/>
              </w:rPr>
            </w:pPr>
            <w:r w:rsidRPr="00A52C0B">
              <w:rPr>
                <w:b/>
                <w:sz w:val="20"/>
                <w:szCs w:val="20"/>
                <w:lang w:val="fr-CA"/>
              </w:rPr>
              <w:t>Modalité de financement</w:t>
            </w:r>
          </w:p>
        </w:tc>
        <w:tc>
          <w:tcPr>
            <w:tcW w:w="1193"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0DC6C3F0" w14:textId="7AF93846" w:rsidR="005A5A1E" w:rsidRPr="00A52C0B" w:rsidRDefault="00AA0453" w:rsidP="005A5A1E">
            <w:pPr>
              <w:jc w:val="center"/>
              <w:rPr>
                <w:b/>
                <w:sz w:val="20"/>
                <w:szCs w:val="20"/>
                <w:lang w:val="fr-CA"/>
              </w:rPr>
            </w:pPr>
            <w:r w:rsidRPr="00A52C0B">
              <w:rPr>
                <w:b/>
                <w:sz w:val="20"/>
                <w:szCs w:val="20"/>
                <w:lang w:val="fr-CA"/>
              </w:rPr>
              <w:t>Niveau de financement</w:t>
            </w:r>
          </w:p>
        </w:tc>
        <w:tc>
          <w:tcPr>
            <w:tcW w:w="1033"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1D577D3F" w14:textId="595BC502" w:rsidR="005A5A1E" w:rsidRPr="00A52C0B" w:rsidRDefault="00172F25" w:rsidP="005A5A1E">
            <w:pPr>
              <w:jc w:val="center"/>
              <w:rPr>
                <w:b/>
                <w:sz w:val="20"/>
                <w:szCs w:val="20"/>
                <w:lang w:val="fr-CA"/>
              </w:rPr>
            </w:pPr>
            <w:r w:rsidRPr="00A52C0B">
              <w:rPr>
                <w:b/>
                <w:sz w:val="20"/>
                <w:szCs w:val="20"/>
                <w:lang w:val="fr-CA"/>
              </w:rPr>
              <w:t>Engagement</w:t>
            </w:r>
          </w:p>
        </w:tc>
      </w:tr>
      <w:tr w:rsidR="005A5A1E" w:rsidRPr="00AA6F65" w14:paraId="442BCA44" w14:textId="77777777" w:rsidTr="001C1499">
        <w:tc>
          <w:tcPr>
            <w:tcW w:w="753"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hideMark/>
          </w:tcPr>
          <w:p w14:paraId="1FDF75CE" w14:textId="38C1441F" w:rsidR="005A5A1E" w:rsidRPr="00A52C0B" w:rsidRDefault="00172F25" w:rsidP="005A5A1E">
            <w:pPr>
              <w:jc w:val="left"/>
              <w:rPr>
                <w:sz w:val="20"/>
                <w:szCs w:val="20"/>
                <w:lang w:val="fr-CA"/>
              </w:rPr>
            </w:pPr>
            <w:r w:rsidRPr="00A52C0B">
              <w:rPr>
                <w:sz w:val="20"/>
                <w:szCs w:val="20"/>
                <w:lang w:val="fr-CA"/>
              </w:rPr>
              <w:t>Autonome</w:t>
            </w:r>
          </w:p>
        </w:tc>
        <w:tc>
          <w:tcPr>
            <w:tcW w:w="662"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hideMark/>
          </w:tcPr>
          <w:p w14:paraId="5AB717F5" w14:textId="63FCBC02" w:rsidR="005A5A1E" w:rsidRPr="00A52C0B" w:rsidRDefault="005A5A1E" w:rsidP="005A5A1E">
            <w:pPr>
              <w:jc w:val="left"/>
              <w:rPr>
                <w:sz w:val="20"/>
                <w:szCs w:val="20"/>
                <w:lang w:val="fr-CA"/>
              </w:rPr>
            </w:pPr>
            <w:r w:rsidRPr="00A52C0B">
              <w:rPr>
                <w:sz w:val="20"/>
                <w:szCs w:val="20"/>
                <w:lang w:val="fr-CA"/>
              </w:rPr>
              <w:t xml:space="preserve">1993 </w:t>
            </w:r>
            <w:r w:rsidR="000334FD" w:rsidRPr="00A52C0B">
              <w:rPr>
                <w:sz w:val="20"/>
                <w:szCs w:val="20"/>
                <w:lang w:val="fr-CA"/>
              </w:rPr>
              <w:t>à</w:t>
            </w:r>
            <w:r w:rsidRPr="00A52C0B">
              <w:rPr>
                <w:sz w:val="20"/>
                <w:szCs w:val="20"/>
                <w:lang w:val="fr-CA"/>
              </w:rPr>
              <w:t xml:space="preserve"> 1997</w:t>
            </w:r>
          </w:p>
        </w:tc>
        <w:tc>
          <w:tcPr>
            <w:tcW w:w="452"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hideMark/>
          </w:tcPr>
          <w:p w14:paraId="3D1EEDB7" w14:textId="1E55AD6A" w:rsidR="005A5A1E" w:rsidRPr="00A52C0B" w:rsidRDefault="000334FD" w:rsidP="005A5A1E">
            <w:pPr>
              <w:jc w:val="left"/>
              <w:rPr>
                <w:sz w:val="20"/>
                <w:szCs w:val="20"/>
                <w:lang w:val="fr-CA"/>
              </w:rPr>
            </w:pPr>
            <w:r w:rsidRPr="00A52C0B">
              <w:rPr>
                <w:sz w:val="20"/>
                <w:szCs w:val="20"/>
                <w:lang w:val="fr-CA"/>
              </w:rPr>
              <w:t>FVC</w:t>
            </w:r>
            <w:r w:rsidR="005A5A1E" w:rsidRPr="00A52C0B">
              <w:rPr>
                <w:sz w:val="20"/>
                <w:szCs w:val="20"/>
                <w:lang w:val="fr-CA"/>
              </w:rPr>
              <w:t xml:space="preserve"> </w:t>
            </w:r>
            <w:r w:rsidRPr="00A52C0B">
              <w:rPr>
                <w:sz w:val="20"/>
                <w:szCs w:val="20"/>
                <w:lang w:val="fr-CA"/>
              </w:rPr>
              <w:t>et</w:t>
            </w:r>
            <w:r w:rsidR="005A5A1E" w:rsidRPr="00A52C0B">
              <w:rPr>
                <w:sz w:val="20"/>
                <w:szCs w:val="20"/>
                <w:lang w:val="fr-CA"/>
              </w:rPr>
              <w:t xml:space="preserve"> </w:t>
            </w:r>
            <w:r w:rsidR="00172F25" w:rsidRPr="00A52C0B">
              <w:rPr>
                <w:sz w:val="20"/>
                <w:szCs w:val="20"/>
                <w:lang w:val="fr-CA"/>
              </w:rPr>
              <w:t>autres que</w:t>
            </w:r>
            <w:r w:rsidRPr="00A52C0B">
              <w:rPr>
                <w:sz w:val="20"/>
                <w:szCs w:val="20"/>
                <w:lang w:val="fr-CA"/>
              </w:rPr>
              <w:t xml:space="preserve"> FVC</w:t>
            </w:r>
          </w:p>
        </w:tc>
        <w:tc>
          <w:tcPr>
            <w:tcW w:w="908"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66926BE8" w14:textId="09C590D8" w:rsidR="005A5A1E" w:rsidRPr="00A52C0B" w:rsidRDefault="00172F25" w:rsidP="005A5A1E">
            <w:pPr>
              <w:jc w:val="left"/>
              <w:rPr>
                <w:sz w:val="20"/>
                <w:szCs w:val="20"/>
                <w:lang w:val="fr-CA"/>
              </w:rPr>
            </w:pPr>
            <w:r w:rsidRPr="00A52C0B">
              <w:rPr>
                <w:sz w:val="20"/>
                <w:szCs w:val="20"/>
                <w:lang w:val="fr-CA"/>
              </w:rPr>
              <w:t>Fondé</w:t>
            </w:r>
            <w:r w:rsidR="00E04CFA" w:rsidRPr="00A52C0B">
              <w:rPr>
                <w:sz w:val="20"/>
                <w:szCs w:val="20"/>
                <w:lang w:val="fr-CA"/>
              </w:rPr>
              <w:t>e</w:t>
            </w:r>
            <w:r w:rsidRPr="00A52C0B">
              <w:rPr>
                <w:sz w:val="20"/>
                <w:szCs w:val="20"/>
                <w:lang w:val="fr-CA"/>
              </w:rPr>
              <w:t xml:space="preserve"> sur des surcoûts d’activités spécifiques </w:t>
            </w:r>
          </w:p>
        </w:tc>
        <w:tc>
          <w:tcPr>
            <w:tcW w:w="1193"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hideMark/>
          </w:tcPr>
          <w:p w14:paraId="1A4288BD" w14:textId="2B306F98" w:rsidR="005A5A1E" w:rsidRPr="00A52C0B" w:rsidRDefault="00172F25" w:rsidP="005A5A1E">
            <w:pPr>
              <w:jc w:val="left"/>
              <w:rPr>
                <w:sz w:val="20"/>
                <w:szCs w:val="20"/>
                <w:lang w:val="fr-CA"/>
              </w:rPr>
            </w:pPr>
            <w:r w:rsidRPr="00A52C0B">
              <w:rPr>
                <w:sz w:val="20"/>
                <w:szCs w:val="20"/>
                <w:lang w:val="fr-CA"/>
              </w:rPr>
              <w:t>Au cas par cas</w:t>
            </w:r>
          </w:p>
        </w:tc>
        <w:tc>
          <w:tcPr>
            <w:tcW w:w="1033"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hideMark/>
          </w:tcPr>
          <w:p w14:paraId="05846BE4" w14:textId="5A964F5E" w:rsidR="005A5A1E" w:rsidRPr="00A52C0B" w:rsidRDefault="00172F25" w:rsidP="00C82721">
            <w:pPr>
              <w:jc w:val="left"/>
              <w:rPr>
                <w:sz w:val="20"/>
                <w:szCs w:val="20"/>
                <w:lang w:val="fr-CA"/>
              </w:rPr>
            </w:pPr>
            <w:r w:rsidRPr="00A52C0B">
              <w:rPr>
                <w:sz w:val="20"/>
                <w:szCs w:val="20"/>
                <w:lang w:val="fr-CA"/>
              </w:rPr>
              <w:t xml:space="preserve">Réduire un tonnage spécifique de consommation de CFC proposé dans le projet </w:t>
            </w:r>
          </w:p>
        </w:tc>
      </w:tr>
      <w:tr w:rsidR="005A5A1E" w:rsidRPr="00AA6F65" w14:paraId="52D5F2C7" w14:textId="77777777" w:rsidTr="001C1499">
        <w:tc>
          <w:tcPr>
            <w:tcW w:w="753"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hideMark/>
          </w:tcPr>
          <w:p w14:paraId="5EFB74A2" w14:textId="7ADA28A1" w:rsidR="005A5A1E" w:rsidRPr="00A52C0B" w:rsidRDefault="00172F25" w:rsidP="005A5A1E">
            <w:pPr>
              <w:jc w:val="left"/>
              <w:rPr>
                <w:sz w:val="20"/>
                <w:szCs w:val="20"/>
                <w:lang w:val="fr-CA"/>
              </w:rPr>
            </w:pPr>
            <w:r w:rsidRPr="00A52C0B">
              <w:rPr>
                <w:sz w:val="20"/>
                <w:szCs w:val="20"/>
                <w:lang w:val="fr-CA"/>
              </w:rPr>
              <w:t>Plan de gestion des frigorigènes</w:t>
            </w:r>
          </w:p>
        </w:tc>
        <w:tc>
          <w:tcPr>
            <w:tcW w:w="662"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hideMark/>
          </w:tcPr>
          <w:p w14:paraId="6FB65433" w14:textId="3DC5C20C" w:rsidR="005A5A1E" w:rsidRPr="00A52C0B" w:rsidRDefault="005A5A1E" w:rsidP="005A5A1E">
            <w:pPr>
              <w:jc w:val="left"/>
              <w:rPr>
                <w:sz w:val="20"/>
                <w:szCs w:val="20"/>
                <w:lang w:val="fr-CA"/>
              </w:rPr>
            </w:pPr>
            <w:r w:rsidRPr="00A52C0B">
              <w:rPr>
                <w:sz w:val="20"/>
                <w:szCs w:val="20"/>
                <w:lang w:val="fr-CA"/>
              </w:rPr>
              <w:t xml:space="preserve">1997 </w:t>
            </w:r>
            <w:r w:rsidR="000334FD" w:rsidRPr="00A52C0B">
              <w:rPr>
                <w:sz w:val="20"/>
                <w:szCs w:val="20"/>
                <w:lang w:val="fr-CA"/>
              </w:rPr>
              <w:t>à</w:t>
            </w:r>
            <w:r w:rsidRPr="00A52C0B">
              <w:rPr>
                <w:sz w:val="20"/>
                <w:szCs w:val="20"/>
                <w:lang w:val="fr-CA"/>
              </w:rPr>
              <w:t xml:space="preserve"> 2005</w:t>
            </w:r>
          </w:p>
        </w:tc>
        <w:tc>
          <w:tcPr>
            <w:tcW w:w="452"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hideMark/>
          </w:tcPr>
          <w:p w14:paraId="40C91134" w14:textId="524542B6" w:rsidR="005A5A1E" w:rsidRPr="00A52C0B" w:rsidRDefault="000334FD" w:rsidP="005A5A1E">
            <w:pPr>
              <w:jc w:val="left"/>
              <w:rPr>
                <w:sz w:val="20"/>
                <w:szCs w:val="20"/>
                <w:lang w:val="fr-CA"/>
              </w:rPr>
            </w:pPr>
            <w:r w:rsidRPr="00A52C0B">
              <w:rPr>
                <w:sz w:val="20"/>
                <w:szCs w:val="20"/>
                <w:lang w:val="fr-CA"/>
              </w:rPr>
              <w:t>FVC</w:t>
            </w:r>
            <w:r w:rsidR="005A5A1E" w:rsidRPr="00A52C0B">
              <w:rPr>
                <w:sz w:val="20"/>
                <w:szCs w:val="20"/>
                <w:lang w:val="fr-CA"/>
              </w:rPr>
              <w:t xml:space="preserve"> </w:t>
            </w:r>
            <w:r w:rsidRPr="00A52C0B">
              <w:rPr>
                <w:sz w:val="20"/>
                <w:szCs w:val="20"/>
                <w:lang w:val="fr-CA"/>
              </w:rPr>
              <w:t>et</w:t>
            </w:r>
            <w:r w:rsidR="005A5A1E" w:rsidRPr="00A52C0B">
              <w:rPr>
                <w:sz w:val="20"/>
                <w:szCs w:val="20"/>
                <w:lang w:val="fr-CA"/>
              </w:rPr>
              <w:t xml:space="preserve"> </w:t>
            </w:r>
            <w:r w:rsidR="00172F25" w:rsidRPr="00A52C0B">
              <w:rPr>
                <w:sz w:val="20"/>
                <w:szCs w:val="20"/>
                <w:lang w:val="fr-CA"/>
              </w:rPr>
              <w:t>autres que</w:t>
            </w:r>
            <w:r w:rsidRPr="00A52C0B">
              <w:rPr>
                <w:sz w:val="20"/>
                <w:szCs w:val="20"/>
                <w:lang w:val="fr-CA"/>
              </w:rPr>
              <w:t xml:space="preserve"> FVC</w:t>
            </w:r>
            <w:r w:rsidR="005A5A1E" w:rsidRPr="00A52C0B">
              <w:rPr>
                <w:sz w:val="20"/>
                <w:szCs w:val="20"/>
                <w:lang w:val="fr-CA"/>
              </w:rPr>
              <w:t xml:space="preserve"> </w:t>
            </w:r>
          </w:p>
        </w:tc>
        <w:tc>
          <w:tcPr>
            <w:tcW w:w="908"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7CA5C849" w14:textId="697E7DA9" w:rsidR="005A5A1E" w:rsidRPr="00A52C0B" w:rsidRDefault="001C1499" w:rsidP="005A5A1E">
            <w:pPr>
              <w:jc w:val="left"/>
              <w:rPr>
                <w:sz w:val="20"/>
                <w:szCs w:val="20"/>
                <w:lang w:val="fr-CA"/>
              </w:rPr>
            </w:pPr>
            <w:r w:rsidRPr="00A52C0B">
              <w:rPr>
                <w:sz w:val="20"/>
                <w:szCs w:val="20"/>
                <w:lang w:val="fr-CA"/>
              </w:rPr>
              <w:t>Fondé</w:t>
            </w:r>
            <w:r w:rsidR="00E04CFA" w:rsidRPr="00A52C0B">
              <w:rPr>
                <w:sz w:val="20"/>
                <w:szCs w:val="20"/>
                <w:lang w:val="fr-CA"/>
              </w:rPr>
              <w:t>e</w:t>
            </w:r>
            <w:r w:rsidRPr="00A52C0B">
              <w:rPr>
                <w:sz w:val="20"/>
                <w:szCs w:val="20"/>
                <w:lang w:val="fr-CA"/>
              </w:rPr>
              <w:t xml:space="preserve"> sur des surcoûts d’activités spécifiques </w:t>
            </w:r>
          </w:p>
        </w:tc>
        <w:tc>
          <w:tcPr>
            <w:tcW w:w="1193"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hideMark/>
          </w:tcPr>
          <w:p w14:paraId="7F0194E6" w14:textId="24528DD1" w:rsidR="005A5A1E" w:rsidRPr="00A52C0B" w:rsidRDefault="001C1499" w:rsidP="005A5A1E">
            <w:pPr>
              <w:jc w:val="left"/>
              <w:rPr>
                <w:sz w:val="20"/>
                <w:szCs w:val="20"/>
                <w:lang w:val="fr-CA"/>
              </w:rPr>
            </w:pPr>
            <w:r w:rsidRPr="00A52C0B">
              <w:rPr>
                <w:sz w:val="20"/>
                <w:szCs w:val="20"/>
                <w:lang w:val="fr-CA"/>
              </w:rPr>
              <w:t>Au cas par cas</w:t>
            </w:r>
          </w:p>
        </w:tc>
        <w:tc>
          <w:tcPr>
            <w:tcW w:w="1033"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hideMark/>
          </w:tcPr>
          <w:p w14:paraId="7ABA2979" w14:textId="7C5C7A9F" w:rsidR="005A5A1E" w:rsidRPr="00A52C0B" w:rsidRDefault="001C1499" w:rsidP="005A5A1E">
            <w:pPr>
              <w:jc w:val="left"/>
              <w:rPr>
                <w:sz w:val="20"/>
                <w:szCs w:val="20"/>
                <w:lang w:val="fr-CA"/>
              </w:rPr>
            </w:pPr>
            <w:r w:rsidRPr="00A52C0B">
              <w:rPr>
                <w:sz w:val="20"/>
                <w:szCs w:val="20"/>
                <w:lang w:val="fr-CA"/>
              </w:rPr>
              <w:t>Réduire un tonnage spécifique</w:t>
            </w:r>
            <w:r w:rsidR="00C82721">
              <w:rPr>
                <w:sz w:val="20"/>
                <w:szCs w:val="20"/>
                <w:lang w:val="fr-CA"/>
              </w:rPr>
              <w:t xml:space="preserve"> de consommation de CFC proposé</w:t>
            </w:r>
            <w:r w:rsidRPr="00A52C0B">
              <w:rPr>
                <w:sz w:val="20"/>
                <w:szCs w:val="20"/>
                <w:lang w:val="fr-CA"/>
              </w:rPr>
              <w:t xml:space="preserve"> dans le projet, fondé sur un cadre politique et réglementaire, avec des activités d’élimination </w:t>
            </w:r>
          </w:p>
        </w:tc>
      </w:tr>
      <w:tr w:rsidR="005A5A1E" w:rsidRPr="00AA6F65" w14:paraId="1EE31E94" w14:textId="77777777" w:rsidTr="001C1499">
        <w:tc>
          <w:tcPr>
            <w:tcW w:w="753"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hideMark/>
          </w:tcPr>
          <w:p w14:paraId="74CFA4D1" w14:textId="4B65DBED" w:rsidR="005A5A1E" w:rsidRPr="00A52C0B" w:rsidRDefault="001C1499" w:rsidP="005A5A1E">
            <w:pPr>
              <w:jc w:val="left"/>
              <w:rPr>
                <w:sz w:val="20"/>
                <w:szCs w:val="20"/>
                <w:lang w:val="fr-CA"/>
              </w:rPr>
            </w:pPr>
            <w:r w:rsidRPr="00A52C0B">
              <w:rPr>
                <w:sz w:val="20"/>
                <w:szCs w:val="20"/>
                <w:lang w:val="fr-CA"/>
              </w:rPr>
              <w:t xml:space="preserve">Mise à jour du plan de gestion des frigorigènes </w:t>
            </w:r>
            <w:r w:rsidR="005A5A1E" w:rsidRPr="00A52C0B">
              <w:rPr>
                <w:sz w:val="20"/>
                <w:szCs w:val="20"/>
                <w:lang w:val="fr-CA"/>
              </w:rPr>
              <w:t>(d</w:t>
            </w:r>
            <w:r w:rsidR="000334FD" w:rsidRPr="00A52C0B">
              <w:rPr>
                <w:sz w:val="20"/>
                <w:szCs w:val="20"/>
                <w:lang w:val="fr-CA"/>
              </w:rPr>
              <w:t>é</w:t>
            </w:r>
            <w:r w:rsidR="005A5A1E" w:rsidRPr="00A52C0B">
              <w:rPr>
                <w:sz w:val="20"/>
                <w:szCs w:val="20"/>
                <w:lang w:val="fr-CA"/>
              </w:rPr>
              <w:t>cision</w:t>
            </w:r>
            <w:r w:rsidR="000334FD" w:rsidRPr="00A52C0B">
              <w:rPr>
                <w:sz w:val="20"/>
                <w:szCs w:val="20"/>
                <w:lang w:val="fr-CA"/>
              </w:rPr>
              <w:t> </w:t>
            </w:r>
            <w:r w:rsidR="005A5A1E" w:rsidRPr="00A52C0B">
              <w:rPr>
                <w:sz w:val="20"/>
                <w:szCs w:val="20"/>
                <w:lang w:val="fr-CA"/>
              </w:rPr>
              <w:t xml:space="preserve">33/32) </w:t>
            </w:r>
          </w:p>
        </w:tc>
        <w:tc>
          <w:tcPr>
            <w:tcW w:w="662"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hideMark/>
          </w:tcPr>
          <w:p w14:paraId="5CF2CEAD" w14:textId="11E4BBE1" w:rsidR="005A5A1E" w:rsidRPr="00A52C0B" w:rsidRDefault="005A5A1E" w:rsidP="005A5A1E">
            <w:pPr>
              <w:jc w:val="left"/>
              <w:rPr>
                <w:sz w:val="20"/>
                <w:szCs w:val="20"/>
                <w:lang w:val="fr-CA"/>
              </w:rPr>
            </w:pPr>
            <w:r w:rsidRPr="00A52C0B">
              <w:rPr>
                <w:sz w:val="20"/>
                <w:szCs w:val="20"/>
                <w:lang w:val="fr-CA"/>
              </w:rPr>
              <w:t xml:space="preserve">2001 </w:t>
            </w:r>
            <w:r w:rsidR="000334FD" w:rsidRPr="00A52C0B">
              <w:rPr>
                <w:sz w:val="20"/>
                <w:szCs w:val="20"/>
                <w:lang w:val="fr-CA"/>
              </w:rPr>
              <w:t>à</w:t>
            </w:r>
            <w:r w:rsidRPr="00A52C0B">
              <w:rPr>
                <w:sz w:val="20"/>
                <w:szCs w:val="20"/>
                <w:lang w:val="fr-CA"/>
              </w:rPr>
              <w:t xml:space="preserve"> 2006 </w:t>
            </w:r>
          </w:p>
        </w:tc>
        <w:tc>
          <w:tcPr>
            <w:tcW w:w="452"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hideMark/>
          </w:tcPr>
          <w:p w14:paraId="69EF9A49" w14:textId="461D2113" w:rsidR="005A5A1E" w:rsidRPr="00A52C0B" w:rsidRDefault="000334FD" w:rsidP="005A5A1E">
            <w:pPr>
              <w:jc w:val="left"/>
              <w:rPr>
                <w:sz w:val="20"/>
                <w:szCs w:val="20"/>
                <w:lang w:val="fr-CA"/>
              </w:rPr>
            </w:pPr>
            <w:r w:rsidRPr="00A52C0B">
              <w:rPr>
                <w:sz w:val="20"/>
                <w:szCs w:val="20"/>
                <w:lang w:val="fr-CA"/>
              </w:rPr>
              <w:t>FVC</w:t>
            </w:r>
            <w:r w:rsidR="005A5A1E" w:rsidRPr="00A52C0B">
              <w:rPr>
                <w:sz w:val="20"/>
                <w:szCs w:val="20"/>
                <w:lang w:val="fr-CA"/>
              </w:rPr>
              <w:t xml:space="preserve"> </w:t>
            </w:r>
            <w:r w:rsidRPr="00A52C0B">
              <w:rPr>
                <w:sz w:val="20"/>
                <w:szCs w:val="20"/>
                <w:lang w:val="fr-CA"/>
              </w:rPr>
              <w:t>et</w:t>
            </w:r>
            <w:r w:rsidR="005A5A1E" w:rsidRPr="00A52C0B">
              <w:rPr>
                <w:sz w:val="20"/>
                <w:szCs w:val="20"/>
                <w:lang w:val="fr-CA"/>
              </w:rPr>
              <w:t xml:space="preserve"> </w:t>
            </w:r>
            <w:r w:rsidR="00172F25" w:rsidRPr="00A52C0B">
              <w:rPr>
                <w:sz w:val="20"/>
                <w:szCs w:val="20"/>
                <w:lang w:val="fr-CA"/>
              </w:rPr>
              <w:t>autres que</w:t>
            </w:r>
            <w:r w:rsidRPr="00A52C0B">
              <w:rPr>
                <w:sz w:val="20"/>
                <w:szCs w:val="20"/>
                <w:lang w:val="fr-CA"/>
              </w:rPr>
              <w:t xml:space="preserve"> FVC</w:t>
            </w:r>
            <w:r w:rsidR="005A5A1E" w:rsidRPr="00A52C0B">
              <w:rPr>
                <w:sz w:val="20"/>
                <w:szCs w:val="20"/>
                <w:lang w:val="fr-CA"/>
              </w:rPr>
              <w:t xml:space="preserve"> </w:t>
            </w:r>
          </w:p>
        </w:tc>
        <w:tc>
          <w:tcPr>
            <w:tcW w:w="908"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27FEE1C0" w14:textId="02D92CC9" w:rsidR="005A5A1E" w:rsidRPr="00A52C0B" w:rsidRDefault="001C1499" w:rsidP="005A5A1E">
            <w:pPr>
              <w:jc w:val="left"/>
              <w:rPr>
                <w:sz w:val="20"/>
                <w:szCs w:val="20"/>
                <w:lang w:val="fr-CA"/>
              </w:rPr>
            </w:pPr>
            <w:r w:rsidRPr="00A52C0B">
              <w:rPr>
                <w:sz w:val="20"/>
                <w:szCs w:val="20"/>
                <w:lang w:val="fr-CA"/>
              </w:rPr>
              <w:t>Accroissement des fonds approuvé</w:t>
            </w:r>
            <w:r w:rsidR="00C82721">
              <w:rPr>
                <w:sz w:val="20"/>
                <w:szCs w:val="20"/>
                <w:lang w:val="fr-CA"/>
              </w:rPr>
              <w:t>s</w:t>
            </w:r>
            <w:r w:rsidRPr="00A52C0B">
              <w:rPr>
                <w:sz w:val="20"/>
                <w:szCs w:val="20"/>
                <w:lang w:val="fr-CA"/>
              </w:rPr>
              <w:t xml:space="preserve"> pour le plan de gestion des frigorigènes </w:t>
            </w:r>
            <w:r w:rsidR="005A5A1E" w:rsidRPr="00A52C0B">
              <w:rPr>
                <w:sz w:val="20"/>
                <w:szCs w:val="20"/>
                <w:lang w:val="fr-CA"/>
              </w:rPr>
              <w:t xml:space="preserve"> </w:t>
            </w:r>
          </w:p>
        </w:tc>
        <w:tc>
          <w:tcPr>
            <w:tcW w:w="1193"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hideMark/>
          </w:tcPr>
          <w:p w14:paraId="7827468F" w14:textId="0EFE4958" w:rsidR="005A5A1E" w:rsidRPr="00A52C0B" w:rsidRDefault="001C1499" w:rsidP="005A5A1E">
            <w:pPr>
              <w:jc w:val="left"/>
              <w:rPr>
                <w:sz w:val="20"/>
                <w:szCs w:val="20"/>
                <w:lang w:val="fr-CA"/>
              </w:rPr>
            </w:pPr>
            <w:r w:rsidRPr="00A52C0B">
              <w:rPr>
                <w:sz w:val="20"/>
                <w:szCs w:val="20"/>
                <w:lang w:val="fr-CA"/>
              </w:rPr>
              <w:t>Jusqu’à 50</w:t>
            </w:r>
            <w:r w:rsidR="00A91C38" w:rsidRPr="00A52C0B">
              <w:rPr>
                <w:sz w:val="20"/>
                <w:szCs w:val="20"/>
                <w:lang w:val="fr-CA"/>
              </w:rPr>
              <w:t> </w:t>
            </w:r>
            <w:r w:rsidRPr="00A52C0B">
              <w:rPr>
                <w:sz w:val="20"/>
                <w:szCs w:val="20"/>
                <w:lang w:val="fr-CA"/>
              </w:rPr>
              <w:t>pour</w:t>
            </w:r>
            <w:r w:rsidR="00E04CFA" w:rsidRPr="00A52C0B">
              <w:rPr>
                <w:sz w:val="20"/>
                <w:szCs w:val="20"/>
                <w:lang w:val="fr-CA"/>
              </w:rPr>
              <w:t> </w:t>
            </w:r>
            <w:r w:rsidRPr="00A52C0B">
              <w:rPr>
                <w:sz w:val="20"/>
                <w:szCs w:val="20"/>
                <w:lang w:val="fr-CA"/>
              </w:rPr>
              <w:t xml:space="preserve">cent de la valeur approuvée dans le plan de gestion des frigorigènes </w:t>
            </w:r>
          </w:p>
        </w:tc>
        <w:tc>
          <w:tcPr>
            <w:tcW w:w="1033"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hideMark/>
          </w:tcPr>
          <w:p w14:paraId="15CAC48D" w14:textId="1EA6B0C6" w:rsidR="005A5A1E" w:rsidRPr="00A52C0B" w:rsidRDefault="001C1499" w:rsidP="00C82721">
            <w:pPr>
              <w:jc w:val="left"/>
              <w:rPr>
                <w:sz w:val="20"/>
                <w:szCs w:val="20"/>
                <w:lang w:val="fr-CA"/>
              </w:rPr>
            </w:pPr>
            <w:r w:rsidRPr="00A52C0B">
              <w:rPr>
                <w:sz w:val="20"/>
                <w:szCs w:val="20"/>
                <w:lang w:val="fr-CA"/>
              </w:rPr>
              <w:t xml:space="preserve">Atteindre </w:t>
            </w:r>
            <w:r w:rsidR="00C82721">
              <w:rPr>
                <w:sz w:val="20"/>
                <w:szCs w:val="20"/>
                <w:lang w:val="fr-CA"/>
              </w:rPr>
              <w:t>une</w:t>
            </w:r>
            <w:r w:rsidR="00E04CFA" w:rsidRPr="00A52C0B">
              <w:rPr>
                <w:sz w:val="20"/>
                <w:szCs w:val="20"/>
                <w:lang w:val="fr-CA"/>
              </w:rPr>
              <w:t xml:space="preserve"> </w:t>
            </w:r>
            <w:r w:rsidRPr="00A52C0B">
              <w:rPr>
                <w:sz w:val="20"/>
                <w:szCs w:val="20"/>
                <w:lang w:val="fr-CA"/>
              </w:rPr>
              <w:t>réduction de 50</w:t>
            </w:r>
            <w:r w:rsidR="00A91C38" w:rsidRPr="00A52C0B">
              <w:rPr>
                <w:sz w:val="20"/>
                <w:szCs w:val="20"/>
                <w:lang w:val="fr-CA"/>
              </w:rPr>
              <w:t> </w:t>
            </w:r>
            <w:r w:rsidR="00C82721">
              <w:rPr>
                <w:sz w:val="20"/>
                <w:szCs w:val="20"/>
                <w:lang w:val="fr-CA"/>
              </w:rPr>
              <w:t>%</w:t>
            </w:r>
            <w:r w:rsidRPr="00A52C0B">
              <w:rPr>
                <w:sz w:val="20"/>
                <w:szCs w:val="20"/>
                <w:lang w:val="fr-CA"/>
              </w:rPr>
              <w:t xml:space="preserve"> (2005) et de 85</w:t>
            </w:r>
            <w:r w:rsidR="00A91C38" w:rsidRPr="00A52C0B">
              <w:rPr>
                <w:sz w:val="20"/>
                <w:szCs w:val="20"/>
                <w:lang w:val="fr-CA"/>
              </w:rPr>
              <w:t> </w:t>
            </w:r>
            <w:r w:rsidR="00C82721">
              <w:rPr>
                <w:sz w:val="20"/>
                <w:szCs w:val="20"/>
                <w:lang w:val="fr-CA"/>
              </w:rPr>
              <w:t>%</w:t>
            </w:r>
            <w:r w:rsidRPr="00A52C0B">
              <w:rPr>
                <w:sz w:val="20"/>
                <w:szCs w:val="20"/>
                <w:lang w:val="fr-CA"/>
              </w:rPr>
              <w:t xml:space="preserve"> (2007) par rapport à la valeur de référence, élimination des CFC </w:t>
            </w:r>
          </w:p>
        </w:tc>
      </w:tr>
      <w:tr w:rsidR="005A5A1E" w:rsidRPr="00AA6F65" w14:paraId="7B6174AC" w14:textId="77777777" w:rsidTr="001C1499">
        <w:tc>
          <w:tcPr>
            <w:tcW w:w="753"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hideMark/>
          </w:tcPr>
          <w:p w14:paraId="0A18E6F1" w14:textId="58E3295A" w:rsidR="005A5A1E" w:rsidRPr="00A52C0B" w:rsidRDefault="001C1499" w:rsidP="005A5A1E">
            <w:pPr>
              <w:jc w:val="left"/>
              <w:rPr>
                <w:sz w:val="20"/>
                <w:szCs w:val="20"/>
                <w:lang w:val="fr-CA"/>
              </w:rPr>
            </w:pPr>
            <w:r w:rsidRPr="00A52C0B">
              <w:rPr>
                <w:sz w:val="20"/>
                <w:szCs w:val="20"/>
                <w:lang w:val="fr-CA"/>
              </w:rPr>
              <w:t xml:space="preserve">PGEF </w:t>
            </w:r>
            <w:r w:rsidR="005A5A1E" w:rsidRPr="00A52C0B">
              <w:rPr>
                <w:sz w:val="20"/>
                <w:szCs w:val="20"/>
                <w:lang w:val="fr-CA"/>
              </w:rPr>
              <w:t>(d</w:t>
            </w:r>
            <w:r w:rsidR="000334FD" w:rsidRPr="00A52C0B">
              <w:rPr>
                <w:sz w:val="20"/>
                <w:szCs w:val="20"/>
                <w:lang w:val="fr-CA"/>
              </w:rPr>
              <w:t>é</w:t>
            </w:r>
            <w:r w:rsidR="005A5A1E" w:rsidRPr="00A52C0B">
              <w:rPr>
                <w:sz w:val="20"/>
                <w:szCs w:val="20"/>
                <w:lang w:val="fr-CA"/>
              </w:rPr>
              <w:t>cision</w:t>
            </w:r>
            <w:r w:rsidR="000334FD" w:rsidRPr="00A52C0B">
              <w:rPr>
                <w:sz w:val="20"/>
                <w:szCs w:val="20"/>
                <w:lang w:val="fr-CA"/>
              </w:rPr>
              <w:t> </w:t>
            </w:r>
            <w:r w:rsidR="005A5A1E" w:rsidRPr="00A52C0B">
              <w:rPr>
                <w:sz w:val="20"/>
                <w:szCs w:val="20"/>
                <w:lang w:val="fr-CA"/>
              </w:rPr>
              <w:t>45/54)</w:t>
            </w:r>
          </w:p>
        </w:tc>
        <w:tc>
          <w:tcPr>
            <w:tcW w:w="662"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hideMark/>
          </w:tcPr>
          <w:p w14:paraId="7860507D" w14:textId="3F7C57C8" w:rsidR="005A5A1E" w:rsidRPr="00A52C0B" w:rsidRDefault="005A5A1E" w:rsidP="005A5A1E">
            <w:pPr>
              <w:jc w:val="left"/>
              <w:rPr>
                <w:sz w:val="20"/>
                <w:szCs w:val="20"/>
                <w:lang w:val="fr-CA"/>
              </w:rPr>
            </w:pPr>
            <w:r w:rsidRPr="00A52C0B">
              <w:rPr>
                <w:sz w:val="20"/>
                <w:szCs w:val="20"/>
                <w:lang w:val="fr-CA"/>
              </w:rPr>
              <w:t xml:space="preserve">2005 </w:t>
            </w:r>
            <w:r w:rsidR="000334FD" w:rsidRPr="00A52C0B">
              <w:rPr>
                <w:sz w:val="20"/>
                <w:szCs w:val="20"/>
                <w:lang w:val="fr-CA"/>
              </w:rPr>
              <w:t>à</w:t>
            </w:r>
            <w:r w:rsidRPr="00A52C0B">
              <w:rPr>
                <w:sz w:val="20"/>
                <w:szCs w:val="20"/>
                <w:lang w:val="fr-CA"/>
              </w:rPr>
              <w:t xml:space="preserve"> 2010</w:t>
            </w:r>
          </w:p>
        </w:tc>
        <w:tc>
          <w:tcPr>
            <w:tcW w:w="452"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hideMark/>
          </w:tcPr>
          <w:p w14:paraId="21FCBA4E" w14:textId="7AB8FC4A" w:rsidR="005A5A1E" w:rsidRPr="00A52C0B" w:rsidRDefault="000334FD" w:rsidP="005A5A1E">
            <w:pPr>
              <w:jc w:val="left"/>
              <w:rPr>
                <w:sz w:val="20"/>
                <w:szCs w:val="20"/>
                <w:lang w:val="fr-CA"/>
              </w:rPr>
            </w:pPr>
            <w:r w:rsidRPr="00A52C0B">
              <w:rPr>
                <w:sz w:val="20"/>
                <w:szCs w:val="20"/>
                <w:lang w:val="fr-CA"/>
              </w:rPr>
              <w:t>FVC</w:t>
            </w:r>
            <w:r w:rsidR="005A5A1E" w:rsidRPr="00A52C0B">
              <w:rPr>
                <w:sz w:val="20"/>
                <w:szCs w:val="20"/>
                <w:lang w:val="fr-CA"/>
              </w:rPr>
              <w:t xml:space="preserve"> </w:t>
            </w:r>
          </w:p>
        </w:tc>
        <w:tc>
          <w:tcPr>
            <w:tcW w:w="908"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77841594" w14:textId="53664DB3" w:rsidR="005A5A1E" w:rsidRPr="00A52C0B" w:rsidRDefault="001C1499" w:rsidP="005A5A1E">
            <w:pPr>
              <w:jc w:val="left"/>
              <w:rPr>
                <w:sz w:val="20"/>
                <w:szCs w:val="20"/>
                <w:lang w:val="fr-CA"/>
              </w:rPr>
            </w:pPr>
            <w:r w:rsidRPr="00A52C0B">
              <w:rPr>
                <w:sz w:val="20"/>
                <w:szCs w:val="20"/>
                <w:lang w:val="fr-CA"/>
              </w:rPr>
              <w:t xml:space="preserve">Financement fondé sur la consommation de référence des CFC </w:t>
            </w:r>
          </w:p>
        </w:tc>
        <w:tc>
          <w:tcPr>
            <w:tcW w:w="1193" w:type="pct"/>
            <w:tcBorders>
              <w:top w:val="single" w:sz="4" w:space="0" w:color="auto"/>
              <w:left w:val="single" w:sz="4" w:space="0" w:color="auto"/>
              <w:bottom w:val="single" w:sz="4" w:space="0" w:color="auto"/>
              <w:right w:val="single" w:sz="4" w:space="0" w:color="auto"/>
            </w:tcBorders>
            <w:tcMar>
              <w:top w:w="29" w:type="dxa"/>
              <w:left w:w="58" w:type="dxa"/>
              <w:bottom w:w="29" w:type="dxa"/>
              <w:right w:w="0" w:type="dxa"/>
            </w:tcMar>
            <w:hideMark/>
          </w:tcPr>
          <w:p w14:paraId="213CC767" w14:textId="68EB1BB1" w:rsidR="005A5A1E" w:rsidRPr="00A52C0B" w:rsidRDefault="001C1499" w:rsidP="005A5A1E">
            <w:pPr>
              <w:jc w:val="left"/>
              <w:rPr>
                <w:sz w:val="20"/>
                <w:szCs w:val="20"/>
                <w:lang w:val="fr-CA"/>
              </w:rPr>
            </w:pPr>
            <w:r w:rsidRPr="00A52C0B">
              <w:rPr>
                <w:sz w:val="20"/>
                <w:szCs w:val="20"/>
                <w:lang w:val="fr-CA"/>
              </w:rPr>
              <w:t>Sous </w:t>
            </w:r>
            <w:r w:rsidR="005A5A1E" w:rsidRPr="00A52C0B">
              <w:rPr>
                <w:sz w:val="20"/>
                <w:szCs w:val="20"/>
                <w:lang w:val="fr-CA"/>
              </w:rPr>
              <w:t>15</w:t>
            </w:r>
            <w:r w:rsidR="000334FD" w:rsidRPr="00A52C0B">
              <w:rPr>
                <w:sz w:val="20"/>
                <w:szCs w:val="20"/>
                <w:lang w:val="fr-CA"/>
              </w:rPr>
              <w:t> tm :</w:t>
            </w:r>
            <w:r w:rsidR="005A5A1E" w:rsidRPr="00A52C0B">
              <w:rPr>
                <w:sz w:val="20"/>
                <w:szCs w:val="20"/>
                <w:lang w:val="fr-CA"/>
              </w:rPr>
              <w:t xml:space="preserve"> 205</w:t>
            </w:r>
            <w:r w:rsidR="00C45C22" w:rsidRPr="00A52C0B">
              <w:rPr>
                <w:sz w:val="20"/>
                <w:szCs w:val="20"/>
                <w:lang w:val="fr-CA"/>
              </w:rPr>
              <w:t> </w:t>
            </w:r>
            <w:r w:rsidR="000334FD" w:rsidRPr="00A52C0B">
              <w:rPr>
                <w:sz w:val="20"/>
                <w:szCs w:val="20"/>
                <w:lang w:val="fr-CA"/>
              </w:rPr>
              <w:t>000 $US</w:t>
            </w:r>
          </w:p>
          <w:p w14:paraId="33BA7EFA" w14:textId="45CD2BD7" w:rsidR="005A5A1E" w:rsidRPr="00A52C0B" w:rsidRDefault="005A5A1E" w:rsidP="005A5A1E">
            <w:pPr>
              <w:jc w:val="left"/>
              <w:rPr>
                <w:sz w:val="20"/>
                <w:szCs w:val="20"/>
                <w:lang w:val="fr-CA"/>
              </w:rPr>
            </w:pPr>
            <w:r w:rsidRPr="00A52C0B">
              <w:rPr>
                <w:sz w:val="20"/>
                <w:szCs w:val="20"/>
                <w:lang w:val="fr-CA"/>
              </w:rPr>
              <w:t xml:space="preserve">15 </w:t>
            </w:r>
            <w:r w:rsidR="000334FD" w:rsidRPr="00A52C0B">
              <w:rPr>
                <w:sz w:val="20"/>
                <w:szCs w:val="20"/>
                <w:lang w:val="fr-CA"/>
              </w:rPr>
              <w:t>à</w:t>
            </w:r>
            <w:r w:rsidRPr="00A52C0B">
              <w:rPr>
                <w:sz w:val="20"/>
                <w:szCs w:val="20"/>
                <w:lang w:val="fr-CA"/>
              </w:rPr>
              <w:t xml:space="preserve"> 30</w:t>
            </w:r>
            <w:r w:rsidR="000334FD" w:rsidRPr="00A52C0B">
              <w:rPr>
                <w:sz w:val="20"/>
                <w:szCs w:val="20"/>
                <w:lang w:val="fr-CA"/>
              </w:rPr>
              <w:t> tm :</w:t>
            </w:r>
            <w:r w:rsidRPr="00A52C0B">
              <w:rPr>
                <w:sz w:val="20"/>
                <w:szCs w:val="20"/>
                <w:lang w:val="fr-CA"/>
              </w:rPr>
              <w:t xml:space="preserve"> 295</w:t>
            </w:r>
            <w:r w:rsidR="000334FD" w:rsidRPr="00A52C0B">
              <w:rPr>
                <w:sz w:val="20"/>
                <w:szCs w:val="20"/>
                <w:lang w:val="fr-CA"/>
              </w:rPr>
              <w:t> 000 $US</w:t>
            </w:r>
          </w:p>
          <w:p w14:paraId="14A61E61" w14:textId="046542B0" w:rsidR="005A5A1E" w:rsidRPr="00A52C0B" w:rsidRDefault="005A5A1E" w:rsidP="005A5A1E">
            <w:pPr>
              <w:jc w:val="left"/>
              <w:rPr>
                <w:sz w:val="20"/>
                <w:szCs w:val="20"/>
                <w:lang w:val="fr-CA"/>
              </w:rPr>
            </w:pPr>
            <w:r w:rsidRPr="00A52C0B">
              <w:rPr>
                <w:sz w:val="20"/>
                <w:szCs w:val="20"/>
                <w:lang w:val="fr-CA"/>
              </w:rPr>
              <w:t xml:space="preserve">30 </w:t>
            </w:r>
            <w:r w:rsidR="000334FD" w:rsidRPr="00A52C0B">
              <w:rPr>
                <w:sz w:val="20"/>
                <w:szCs w:val="20"/>
                <w:lang w:val="fr-CA"/>
              </w:rPr>
              <w:t>à</w:t>
            </w:r>
            <w:r w:rsidRPr="00A52C0B">
              <w:rPr>
                <w:sz w:val="20"/>
                <w:szCs w:val="20"/>
                <w:lang w:val="fr-CA"/>
              </w:rPr>
              <w:t xml:space="preserve"> 60</w:t>
            </w:r>
            <w:r w:rsidR="000334FD" w:rsidRPr="00A52C0B">
              <w:rPr>
                <w:sz w:val="20"/>
                <w:szCs w:val="20"/>
                <w:lang w:val="fr-CA"/>
              </w:rPr>
              <w:t> tm :</w:t>
            </w:r>
            <w:r w:rsidRPr="00A52C0B">
              <w:rPr>
                <w:sz w:val="20"/>
                <w:szCs w:val="20"/>
                <w:lang w:val="fr-CA"/>
              </w:rPr>
              <w:t xml:space="preserve"> 345</w:t>
            </w:r>
            <w:r w:rsidR="000334FD" w:rsidRPr="00A52C0B">
              <w:rPr>
                <w:sz w:val="20"/>
                <w:szCs w:val="20"/>
                <w:lang w:val="fr-CA"/>
              </w:rPr>
              <w:t> 000 $US</w:t>
            </w:r>
          </w:p>
          <w:p w14:paraId="43E835BF" w14:textId="39472293" w:rsidR="005A5A1E" w:rsidRPr="00A52C0B" w:rsidRDefault="005A5A1E" w:rsidP="005A5A1E">
            <w:pPr>
              <w:jc w:val="left"/>
              <w:rPr>
                <w:sz w:val="20"/>
                <w:szCs w:val="20"/>
                <w:lang w:val="fr-CA"/>
              </w:rPr>
            </w:pPr>
            <w:r w:rsidRPr="00A52C0B">
              <w:rPr>
                <w:sz w:val="20"/>
                <w:szCs w:val="20"/>
                <w:lang w:val="fr-CA"/>
              </w:rPr>
              <w:t xml:space="preserve">60 </w:t>
            </w:r>
            <w:r w:rsidR="000334FD" w:rsidRPr="00A52C0B">
              <w:rPr>
                <w:sz w:val="20"/>
                <w:szCs w:val="20"/>
                <w:lang w:val="fr-CA"/>
              </w:rPr>
              <w:t>à</w:t>
            </w:r>
            <w:r w:rsidRPr="00A52C0B">
              <w:rPr>
                <w:sz w:val="20"/>
                <w:szCs w:val="20"/>
                <w:lang w:val="fr-CA"/>
              </w:rPr>
              <w:t xml:space="preserve"> 120</w:t>
            </w:r>
            <w:r w:rsidR="000334FD" w:rsidRPr="00A52C0B">
              <w:rPr>
                <w:sz w:val="20"/>
                <w:szCs w:val="20"/>
                <w:lang w:val="fr-CA"/>
              </w:rPr>
              <w:t> tm :</w:t>
            </w:r>
            <w:r w:rsidRPr="00A52C0B">
              <w:rPr>
                <w:sz w:val="20"/>
                <w:szCs w:val="20"/>
                <w:lang w:val="fr-CA"/>
              </w:rPr>
              <w:t xml:space="preserve"> 520</w:t>
            </w:r>
            <w:r w:rsidR="000334FD" w:rsidRPr="00A52C0B">
              <w:rPr>
                <w:sz w:val="20"/>
                <w:szCs w:val="20"/>
                <w:lang w:val="fr-CA"/>
              </w:rPr>
              <w:t> 000 $US</w:t>
            </w:r>
          </w:p>
          <w:p w14:paraId="3E62B74E" w14:textId="62AA9C07" w:rsidR="005A5A1E" w:rsidRPr="00A52C0B" w:rsidRDefault="005A5A1E" w:rsidP="005A5A1E">
            <w:pPr>
              <w:jc w:val="left"/>
              <w:rPr>
                <w:sz w:val="20"/>
                <w:szCs w:val="20"/>
                <w:lang w:val="fr-CA"/>
              </w:rPr>
            </w:pPr>
            <w:r w:rsidRPr="00A52C0B">
              <w:rPr>
                <w:sz w:val="20"/>
                <w:szCs w:val="20"/>
                <w:lang w:val="fr-CA"/>
              </w:rPr>
              <w:t>A</w:t>
            </w:r>
            <w:r w:rsidR="008703C2" w:rsidRPr="00A52C0B">
              <w:rPr>
                <w:sz w:val="20"/>
                <w:szCs w:val="20"/>
                <w:lang w:val="fr-CA"/>
              </w:rPr>
              <w:t>u</w:t>
            </w:r>
            <w:r w:rsidR="00471A2B" w:rsidRPr="00A52C0B">
              <w:rPr>
                <w:sz w:val="20"/>
                <w:szCs w:val="20"/>
                <w:lang w:val="fr-CA"/>
              </w:rPr>
              <w:noBreakHyphen/>
            </w:r>
            <w:r w:rsidR="008703C2" w:rsidRPr="00A52C0B">
              <w:rPr>
                <w:sz w:val="20"/>
                <w:szCs w:val="20"/>
                <w:lang w:val="fr-CA"/>
              </w:rPr>
              <w:t>dessus de</w:t>
            </w:r>
            <w:r w:rsidRPr="00A52C0B">
              <w:rPr>
                <w:sz w:val="20"/>
                <w:szCs w:val="20"/>
                <w:lang w:val="fr-CA"/>
              </w:rPr>
              <w:t xml:space="preserve"> 120</w:t>
            </w:r>
            <w:r w:rsidR="000334FD" w:rsidRPr="00A52C0B">
              <w:rPr>
                <w:sz w:val="20"/>
                <w:szCs w:val="20"/>
                <w:lang w:val="fr-CA"/>
              </w:rPr>
              <w:t> tm :</w:t>
            </w:r>
            <w:r w:rsidRPr="00A52C0B">
              <w:rPr>
                <w:sz w:val="20"/>
                <w:szCs w:val="20"/>
                <w:lang w:val="fr-CA"/>
              </w:rPr>
              <w:t xml:space="preserve"> 565</w:t>
            </w:r>
            <w:r w:rsidR="000334FD" w:rsidRPr="00A52C0B">
              <w:rPr>
                <w:sz w:val="20"/>
                <w:szCs w:val="20"/>
                <w:lang w:val="fr-CA"/>
              </w:rPr>
              <w:t> 000 $US</w:t>
            </w:r>
          </w:p>
        </w:tc>
        <w:tc>
          <w:tcPr>
            <w:tcW w:w="1033"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hideMark/>
          </w:tcPr>
          <w:p w14:paraId="6C1EF9C9" w14:textId="16BFA7AB" w:rsidR="005A5A1E" w:rsidRPr="00A52C0B" w:rsidRDefault="008703C2" w:rsidP="005A5A1E">
            <w:pPr>
              <w:jc w:val="left"/>
              <w:rPr>
                <w:sz w:val="20"/>
                <w:szCs w:val="20"/>
                <w:lang w:val="fr-CA"/>
              </w:rPr>
            </w:pPr>
            <w:r w:rsidRPr="00A52C0B">
              <w:rPr>
                <w:sz w:val="20"/>
                <w:szCs w:val="20"/>
                <w:lang w:val="fr-CA"/>
              </w:rPr>
              <w:t xml:space="preserve">Fondé sur le rendement; objectifs annuels jusqu’à l’élimination complète des CFC </w:t>
            </w:r>
          </w:p>
        </w:tc>
      </w:tr>
      <w:tr w:rsidR="005A5A1E" w:rsidRPr="00AA6F65" w14:paraId="20F74FBF" w14:textId="77777777" w:rsidTr="001C1499">
        <w:tc>
          <w:tcPr>
            <w:tcW w:w="753"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hideMark/>
          </w:tcPr>
          <w:p w14:paraId="64C5F6F9" w14:textId="1EB70178" w:rsidR="005A5A1E" w:rsidRPr="00A52C0B" w:rsidRDefault="008703C2" w:rsidP="005A5A1E">
            <w:pPr>
              <w:jc w:val="left"/>
              <w:rPr>
                <w:sz w:val="20"/>
                <w:szCs w:val="20"/>
                <w:lang w:val="fr-CA"/>
              </w:rPr>
            </w:pPr>
            <w:r w:rsidRPr="00A52C0B">
              <w:rPr>
                <w:sz w:val="20"/>
                <w:szCs w:val="20"/>
                <w:lang w:val="fr-CA"/>
              </w:rPr>
              <w:t>Plan national d’élimination</w:t>
            </w:r>
          </w:p>
        </w:tc>
        <w:tc>
          <w:tcPr>
            <w:tcW w:w="662"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hideMark/>
          </w:tcPr>
          <w:p w14:paraId="19A09E7A" w14:textId="61D72923" w:rsidR="005A5A1E" w:rsidRPr="00A52C0B" w:rsidRDefault="005A5A1E" w:rsidP="005A5A1E">
            <w:pPr>
              <w:jc w:val="left"/>
              <w:rPr>
                <w:sz w:val="20"/>
                <w:szCs w:val="20"/>
                <w:lang w:val="fr-CA"/>
              </w:rPr>
            </w:pPr>
            <w:r w:rsidRPr="00A52C0B">
              <w:rPr>
                <w:sz w:val="20"/>
                <w:szCs w:val="20"/>
                <w:lang w:val="fr-CA"/>
              </w:rPr>
              <w:t xml:space="preserve">2003 </w:t>
            </w:r>
            <w:r w:rsidR="000334FD" w:rsidRPr="00A52C0B">
              <w:rPr>
                <w:sz w:val="20"/>
                <w:szCs w:val="20"/>
                <w:lang w:val="fr-CA"/>
              </w:rPr>
              <w:t>à</w:t>
            </w:r>
            <w:r w:rsidRPr="00A52C0B">
              <w:rPr>
                <w:sz w:val="20"/>
                <w:szCs w:val="20"/>
                <w:lang w:val="fr-CA"/>
              </w:rPr>
              <w:t xml:space="preserve"> 2010</w:t>
            </w:r>
          </w:p>
        </w:tc>
        <w:tc>
          <w:tcPr>
            <w:tcW w:w="452"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hideMark/>
          </w:tcPr>
          <w:p w14:paraId="41EC7700" w14:textId="668AB163" w:rsidR="005A5A1E" w:rsidRPr="00A52C0B" w:rsidRDefault="00172F25" w:rsidP="005A5A1E">
            <w:pPr>
              <w:jc w:val="left"/>
              <w:rPr>
                <w:sz w:val="20"/>
                <w:szCs w:val="20"/>
                <w:lang w:val="fr-CA"/>
              </w:rPr>
            </w:pPr>
            <w:r w:rsidRPr="00A52C0B">
              <w:rPr>
                <w:sz w:val="20"/>
                <w:szCs w:val="20"/>
                <w:lang w:val="fr-CA"/>
              </w:rPr>
              <w:t>Autres que</w:t>
            </w:r>
            <w:r w:rsidR="000334FD" w:rsidRPr="00A52C0B">
              <w:rPr>
                <w:sz w:val="20"/>
                <w:szCs w:val="20"/>
                <w:lang w:val="fr-CA"/>
              </w:rPr>
              <w:t xml:space="preserve"> FVC</w:t>
            </w:r>
            <w:r w:rsidR="005A5A1E" w:rsidRPr="00A52C0B">
              <w:rPr>
                <w:sz w:val="20"/>
                <w:szCs w:val="20"/>
                <w:lang w:val="fr-CA"/>
              </w:rPr>
              <w:t xml:space="preserve"> </w:t>
            </w:r>
          </w:p>
        </w:tc>
        <w:tc>
          <w:tcPr>
            <w:tcW w:w="908"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279E1C2F" w14:textId="5135C238" w:rsidR="005A5A1E" w:rsidRPr="00A52C0B" w:rsidRDefault="008703C2" w:rsidP="005A5A1E">
            <w:pPr>
              <w:jc w:val="left"/>
              <w:rPr>
                <w:sz w:val="20"/>
                <w:szCs w:val="20"/>
                <w:lang w:val="fr-CA"/>
              </w:rPr>
            </w:pPr>
            <w:r w:rsidRPr="00A52C0B">
              <w:rPr>
                <w:sz w:val="20"/>
                <w:szCs w:val="20"/>
                <w:lang w:val="fr-CA"/>
              </w:rPr>
              <w:t>Seuil fixe de coût</w:t>
            </w:r>
            <w:r w:rsidR="00471A2B" w:rsidRPr="00A52C0B">
              <w:rPr>
                <w:sz w:val="20"/>
                <w:szCs w:val="20"/>
                <w:lang w:val="fr-CA"/>
              </w:rPr>
              <w:noBreakHyphen/>
            </w:r>
            <w:r w:rsidRPr="00A52C0B">
              <w:rPr>
                <w:sz w:val="20"/>
                <w:szCs w:val="20"/>
                <w:lang w:val="fr-CA"/>
              </w:rPr>
              <w:t xml:space="preserve">efficacité </w:t>
            </w:r>
          </w:p>
        </w:tc>
        <w:tc>
          <w:tcPr>
            <w:tcW w:w="1193"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hideMark/>
          </w:tcPr>
          <w:p w14:paraId="77AC011A" w14:textId="7F036B74" w:rsidR="005A5A1E" w:rsidRPr="00A52C0B" w:rsidRDefault="005A5A1E" w:rsidP="005A5A1E">
            <w:pPr>
              <w:jc w:val="left"/>
              <w:rPr>
                <w:sz w:val="20"/>
                <w:szCs w:val="20"/>
                <w:lang w:val="fr-CA"/>
              </w:rPr>
            </w:pPr>
            <w:r w:rsidRPr="00A52C0B">
              <w:rPr>
                <w:sz w:val="20"/>
                <w:szCs w:val="20"/>
                <w:lang w:val="fr-CA"/>
              </w:rPr>
              <w:t>5</w:t>
            </w:r>
            <w:r w:rsidR="00371C64" w:rsidRPr="00A52C0B">
              <w:rPr>
                <w:sz w:val="20"/>
                <w:szCs w:val="20"/>
                <w:lang w:val="fr-CA"/>
              </w:rPr>
              <w:t>,</w:t>
            </w:r>
            <w:r w:rsidRPr="00A52C0B">
              <w:rPr>
                <w:sz w:val="20"/>
                <w:szCs w:val="20"/>
                <w:lang w:val="fr-CA"/>
              </w:rPr>
              <w:t>00</w:t>
            </w:r>
            <w:r w:rsidR="008703C2" w:rsidRPr="00A52C0B">
              <w:rPr>
                <w:sz w:val="20"/>
                <w:szCs w:val="20"/>
                <w:lang w:val="fr-CA"/>
              </w:rPr>
              <w:t> $US</w:t>
            </w:r>
            <w:r w:rsidRPr="00A52C0B">
              <w:rPr>
                <w:sz w:val="20"/>
                <w:szCs w:val="20"/>
                <w:lang w:val="fr-CA"/>
              </w:rPr>
              <w:t xml:space="preserve">/kg </w:t>
            </w:r>
          </w:p>
        </w:tc>
        <w:tc>
          <w:tcPr>
            <w:tcW w:w="1033" w:type="pct"/>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hideMark/>
          </w:tcPr>
          <w:p w14:paraId="1CB32DF8" w14:textId="685B3BCB" w:rsidR="005A5A1E" w:rsidRPr="00A52C0B" w:rsidRDefault="008703C2" w:rsidP="005A5A1E">
            <w:pPr>
              <w:jc w:val="left"/>
              <w:rPr>
                <w:sz w:val="20"/>
                <w:szCs w:val="20"/>
                <w:lang w:val="fr-CA"/>
              </w:rPr>
            </w:pPr>
            <w:r w:rsidRPr="00A52C0B">
              <w:rPr>
                <w:sz w:val="20"/>
                <w:szCs w:val="20"/>
                <w:lang w:val="fr-CA"/>
              </w:rPr>
              <w:t xml:space="preserve">Fondé sur le rendement; élimination complète des CFC </w:t>
            </w:r>
          </w:p>
        </w:tc>
      </w:tr>
    </w:tbl>
    <w:p w14:paraId="4ABB2542" w14:textId="77777777" w:rsidR="005A5A1E" w:rsidRPr="00A52C0B" w:rsidRDefault="005A5A1E" w:rsidP="005A5A1E">
      <w:pPr>
        <w:outlineLvl w:val="0"/>
        <w:rPr>
          <w:u w:val="single"/>
          <w:lang w:val="fr-CA"/>
        </w:rPr>
      </w:pPr>
    </w:p>
    <w:p w14:paraId="08912AC6" w14:textId="476012F5" w:rsidR="005A5A1E" w:rsidRPr="00A52C0B" w:rsidRDefault="008703C2" w:rsidP="005A5A1E">
      <w:pPr>
        <w:rPr>
          <w:u w:val="single"/>
          <w:lang w:val="fr-CA"/>
        </w:rPr>
      </w:pPr>
      <w:r w:rsidRPr="00A52C0B">
        <w:rPr>
          <w:u w:val="single"/>
          <w:lang w:val="fr-CA"/>
        </w:rPr>
        <w:t xml:space="preserve">Niveaux et modalités de financement de l’élimination des HCFC dans le secteur de l’entretien de l’équipement de réfrigération </w:t>
      </w:r>
    </w:p>
    <w:p w14:paraId="4422A095" w14:textId="77777777" w:rsidR="005A5A1E" w:rsidRPr="00A52C0B" w:rsidRDefault="005A5A1E" w:rsidP="005A5A1E">
      <w:pPr>
        <w:outlineLvl w:val="0"/>
        <w:rPr>
          <w:u w:val="single"/>
          <w:lang w:val="fr-CA"/>
        </w:rPr>
      </w:pPr>
    </w:p>
    <w:p w14:paraId="7F7745DF" w14:textId="4899449A" w:rsidR="005A5A1E" w:rsidRPr="00A52C0B" w:rsidRDefault="008703C2" w:rsidP="005A5A1E">
      <w:pPr>
        <w:pStyle w:val="Heading1"/>
        <w:numPr>
          <w:ilvl w:val="0"/>
          <w:numId w:val="2"/>
        </w:numPr>
        <w:rPr>
          <w:lang w:val="fr-CA"/>
        </w:rPr>
      </w:pPr>
      <w:r w:rsidRPr="00A52C0B">
        <w:rPr>
          <w:lang w:val="fr-CA"/>
        </w:rPr>
        <w:t>Pour l’élimination des HCFC, on a suivi une approche semblable à celle utilisée pour les PGEF et les plans nationaux d’élimination, la seule différence ét</w:t>
      </w:r>
      <w:r w:rsidR="00F54069" w:rsidRPr="00A52C0B">
        <w:rPr>
          <w:lang w:val="fr-CA"/>
        </w:rPr>
        <w:t>a</w:t>
      </w:r>
      <w:r w:rsidR="00395652" w:rsidRPr="00A52C0B">
        <w:rPr>
          <w:lang w:val="fr-CA"/>
        </w:rPr>
        <w:t>n</w:t>
      </w:r>
      <w:r w:rsidR="00F54069" w:rsidRPr="00A52C0B">
        <w:rPr>
          <w:lang w:val="fr-CA"/>
        </w:rPr>
        <w:t>t</w:t>
      </w:r>
      <w:r w:rsidRPr="00A52C0B">
        <w:rPr>
          <w:lang w:val="fr-CA"/>
        </w:rPr>
        <w:t xml:space="preserve"> que l’élimination des HCFC </w:t>
      </w:r>
      <w:r w:rsidR="00F54069" w:rsidRPr="00A52C0B">
        <w:rPr>
          <w:lang w:val="fr-CA"/>
        </w:rPr>
        <w:t xml:space="preserve">était </w:t>
      </w:r>
      <w:r w:rsidRPr="00A52C0B">
        <w:rPr>
          <w:lang w:val="fr-CA"/>
        </w:rPr>
        <w:t>exécuté</w:t>
      </w:r>
      <w:r w:rsidR="00F54069" w:rsidRPr="00A52C0B">
        <w:rPr>
          <w:lang w:val="fr-CA"/>
        </w:rPr>
        <w:t>e</w:t>
      </w:r>
      <w:r w:rsidRPr="00A52C0B">
        <w:rPr>
          <w:lang w:val="fr-CA"/>
        </w:rPr>
        <w:t xml:space="preserve"> par phase</w:t>
      </w:r>
      <w:r w:rsidR="00395652" w:rsidRPr="00A52C0B">
        <w:rPr>
          <w:lang w:val="fr-CA"/>
        </w:rPr>
        <w:t>s</w:t>
      </w:r>
      <w:r w:rsidRPr="00A52C0B">
        <w:rPr>
          <w:lang w:val="fr-CA"/>
        </w:rPr>
        <w:t>, chacune d’elle</w:t>
      </w:r>
      <w:r w:rsidR="00395652" w:rsidRPr="00A52C0B">
        <w:rPr>
          <w:lang w:val="fr-CA"/>
        </w:rPr>
        <w:t>s</w:t>
      </w:r>
      <w:r w:rsidRPr="00A52C0B">
        <w:rPr>
          <w:lang w:val="fr-CA"/>
        </w:rPr>
        <w:t xml:space="preserve"> </w:t>
      </w:r>
      <w:r w:rsidR="00F54069" w:rsidRPr="00A52C0B">
        <w:rPr>
          <w:lang w:val="fr-CA"/>
        </w:rPr>
        <w:t>étant</w:t>
      </w:r>
      <w:r w:rsidRPr="00A52C0B">
        <w:rPr>
          <w:lang w:val="fr-CA"/>
        </w:rPr>
        <w:t xml:space="preserve"> </w:t>
      </w:r>
      <w:r w:rsidR="00F54069" w:rsidRPr="00A52C0B">
        <w:rPr>
          <w:lang w:val="fr-CA"/>
        </w:rPr>
        <w:t>régie</w:t>
      </w:r>
      <w:r w:rsidRPr="00A52C0B">
        <w:rPr>
          <w:lang w:val="fr-CA"/>
        </w:rPr>
        <w:t xml:space="preserve"> par un accord fondé sur le rendement distinct assorti de lignes directrices sur les coûts spécifiques.</w:t>
      </w:r>
      <w:r w:rsidR="005A5A1E" w:rsidRPr="00A52C0B">
        <w:rPr>
          <w:lang w:val="fr-CA"/>
        </w:rPr>
        <w:t xml:space="preserve"> </w:t>
      </w:r>
    </w:p>
    <w:p w14:paraId="1DC082BC" w14:textId="209F1280" w:rsidR="005A5A1E" w:rsidRPr="00A52C0B" w:rsidRDefault="008703C2" w:rsidP="005A5A1E">
      <w:pPr>
        <w:pStyle w:val="Heading1"/>
        <w:numPr>
          <w:ilvl w:val="0"/>
          <w:numId w:val="2"/>
        </w:numPr>
        <w:rPr>
          <w:lang w:val="fr-CA"/>
        </w:rPr>
      </w:pPr>
      <w:r w:rsidRPr="00A52C0B">
        <w:rPr>
          <w:lang w:val="fr-CA"/>
        </w:rPr>
        <w:t>Les niveaux et modalités de financement de l’élimination des HCFC dans le secteur de l’entretien de l’équipement de réfrigération étaient déterminés par la décision</w:t>
      </w:r>
      <w:r w:rsidR="00A91C38" w:rsidRPr="00A52C0B">
        <w:rPr>
          <w:lang w:val="fr-CA"/>
        </w:rPr>
        <w:t> </w:t>
      </w:r>
      <w:r w:rsidRPr="00A52C0B">
        <w:rPr>
          <w:lang w:val="fr-CA"/>
        </w:rPr>
        <w:t>60/44 pour la phase</w:t>
      </w:r>
      <w:r w:rsidR="00F54069" w:rsidRPr="00A52C0B">
        <w:rPr>
          <w:lang w:val="fr-CA"/>
        </w:rPr>
        <w:t> </w:t>
      </w:r>
      <w:r w:rsidRPr="00A52C0B">
        <w:rPr>
          <w:lang w:val="fr-CA"/>
        </w:rPr>
        <w:t xml:space="preserve">I </w:t>
      </w:r>
      <w:r w:rsidR="00A91C38" w:rsidRPr="00A52C0B">
        <w:rPr>
          <w:lang w:val="fr-CA"/>
        </w:rPr>
        <w:t>des PGEH, et la décision 74/50 pour la phase</w:t>
      </w:r>
      <w:r w:rsidR="0001122C" w:rsidRPr="00A52C0B">
        <w:rPr>
          <w:lang w:val="fr-CA"/>
        </w:rPr>
        <w:t> </w:t>
      </w:r>
      <w:r w:rsidR="00A91C38" w:rsidRPr="00A52C0B">
        <w:rPr>
          <w:lang w:val="fr-CA"/>
        </w:rPr>
        <w:t xml:space="preserve">II des PGEH. Conformément à </w:t>
      </w:r>
      <w:r w:rsidR="0001122C" w:rsidRPr="00A52C0B">
        <w:rPr>
          <w:lang w:val="fr-CA"/>
        </w:rPr>
        <w:t>c</w:t>
      </w:r>
      <w:r w:rsidR="00A91C38" w:rsidRPr="00A52C0B">
        <w:rPr>
          <w:lang w:val="fr-CA"/>
        </w:rPr>
        <w:t>es décisions :</w:t>
      </w:r>
    </w:p>
    <w:p w14:paraId="7D64308C" w14:textId="3065BD2F" w:rsidR="005A5A1E" w:rsidRPr="00A52C0B" w:rsidRDefault="00D6199C" w:rsidP="005A5A1E">
      <w:pPr>
        <w:pStyle w:val="Heading2"/>
        <w:rPr>
          <w:lang w:val="fr-CA"/>
        </w:rPr>
      </w:pPr>
      <w:r w:rsidRPr="00A52C0B">
        <w:rPr>
          <w:lang w:val="fr-CA"/>
        </w:rPr>
        <w:t xml:space="preserve">Les niveaux de financement pour les </w:t>
      </w:r>
      <w:r w:rsidR="009260EE" w:rsidRPr="00A52C0B">
        <w:rPr>
          <w:lang w:val="fr-CA"/>
        </w:rPr>
        <w:t>pays FVC</w:t>
      </w:r>
      <w:r w:rsidRPr="00A52C0B">
        <w:rPr>
          <w:lang w:val="fr-CA"/>
        </w:rPr>
        <w:t xml:space="preserve"> (c.</w:t>
      </w:r>
      <w:r w:rsidR="00471A2B" w:rsidRPr="00A52C0B">
        <w:rPr>
          <w:lang w:val="fr-CA"/>
        </w:rPr>
        <w:noBreakHyphen/>
      </w:r>
      <w:r w:rsidRPr="00A52C0B">
        <w:rPr>
          <w:lang w:val="fr-CA"/>
        </w:rPr>
        <w:t>à</w:t>
      </w:r>
      <w:r w:rsidR="00471A2B" w:rsidRPr="00A52C0B">
        <w:rPr>
          <w:lang w:val="fr-CA"/>
        </w:rPr>
        <w:noBreakHyphen/>
      </w:r>
      <w:r w:rsidRPr="00A52C0B">
        <w:rPr>
          <w:lang w:val="fr-CA"/>
        </w:rPr>
        <w:t>d.,</w:t>
      </w:r>
      <w:r w:rsidR="007820CD" w:rsidRPr="00A52C0B">
        <w:rPr>
          <w:lang w:val="fr-CA"/>
        </w:rPr>
        <w:t> </w:t>
      </w:r>
      <w:r w:rsidRPr="00A52C0B">
        <w:rPr>
          <w:lang w:val="fr-CA"/>
        </w:rPr>
        <w:t xml:space="preserve">pays dont la consommation de HCFC est inférieure </w:t>
      </w:r>
      <w:r w:rsidR="007820CD" w:rsidRPr="00A52C0B">
        <w:rPr>
          <w:lang w:val="fr-CA"/>
        </w:rPr>
        <w:t>à </w:t>
      </w:r>
      <w:r w:rsidRPr="00A52C0B">
        <w:rPr>
          <w:lang w:val="fr-CA"/>
        </w:rPr>
        <w:t>360</w:t>
      </w:r>
      <w:r w:rsidR="009D1B98" w:rsidRPr="00A52C0B">
        <w:rPr>
          <w:lang w:val="fr-CA"/>
        </w:rPr>
        <w:t> </w:t>
      </w:r>
      <w:r w:rsidRPr="00A52C0B">
        <w:rPr>
          <w:lang w:val="fr-CA"/>
        </w:rPr>
        <w:t>tonnes métriques</w:t>
      </w:r>
      <w:r w:rsidR="007820CD" w:rsidRPr="00A52C0B">
        <w:rPr>
          <w:lang w:val="fr-CA"/>
        </w:rPr>
        <w:t> (tm)</w:t>
      </w:r>
      <w:r w:rsidRPr="00A52C0B">
        <w:rPr>
          <w:lang w:val="fr-CA"/>
        </w:rPr>
        <w:t xml:space="preserve"> dans le secteur de l’entretien de l’équipement de réfrigération seulement) étaient fix</w:t>
      </w:r>
      <w:r w:rsidR="007820CD" w:rsidRPr="00A52C0B">
        <w:rPr>
          <w:lang w:val="fr-CA"/>
        </w:rPr>
        <w:t xml:space="preserve">és </w:t>
      </w:r>
      <w:r w:rsidRPr="00A52C0B">
        <w:rPr>
          <w:lang w:val="fr-CA"/>
        </w:rPr>
        <w:t>en fonction de la valeur de référence, comme on peut le voir au tableau</w:t>
      </w:r>
      <w:r w:rsidR="009D1B98" w:rsidRPr="00A52C0B">
        <w:rPr>
          <w:lang w:val="fr-CA"/>
        </w:rPr>
        <w:t> </w:t>
      </w:r>
      <w:r w:rsidRPr="00A52C0B">
        <w:rPr>
          <w:lang w:val="fr-CA"/>
        </w:rPr>
        <w:t xml:space="preserve">2; </w:t>
      </w:r>
    </w:p>
    <w:p w14:paraId="07A76B4A" w14:textId="176A2136" w:rsidR="005A5A1E" w:rsidRPr="00A52C0B" w:rsidRDefault="00D6199C" w:rsidP="005A5A1E">
      <w:pPr>
        <w:pStyle w:val="Heading2"/>
        <w:rPr>
          <w:lang w:val="fr-CA"/>
        </w:rPr>
      </w:pPr>
      <w:r w:rsidRPr="00A52C0B">
        <w:rPr>
          <w:lang w:val="fr-CA"/>
        </w:rPr>
        <w:lastRenderedPageBreak/>
        <w:t>Le</w:t>
      </w:r>
      <w:r w:rsidR="007820CD" w:rsidRPr="00A52C0B">
        <w:rPr>
          <w:lang w:val="fr-CA"/>
        </w:rPr>
        <w:t>s</w:t>
      </w:r>
      <w:r w:rsidRPr="00A52C0B">
        <w:rPr>
          <w:lang w:val="fr-CA"/>
        </w:rPr>
        <w:t xml:space="preserve"> niveau</w:t>
      </w:r>
      <w:r w:rsidR="007820CD" w:rsidRPr="00A52C0B">
        <w:rPr>
          <w:lang w:val="fr-CA"/>
        </w:rPr>
        <w:t>x</w:t>
      </w:r>
      <w:r w:rsidRPr="00A52C0B">
        <w:rPr>
          <w:lang w:val="fr-CA"/>
        </w:rPr>
        <w:t xml:space="preserve"> de financement pour les pays qui ne sont pas des </w:t>
      </w:r>
      <w:r w:rsidR="009260EE" w:rsidRPr="00A52C0B">
        <w:rPr>
          <w:lang w:val="fr-CA"/>
        </w:rPr>
        <w:t>pays FVC</w:t>
      </w:r>
      <w:r w:rsidRPr="00A52C0B">
        <w:rPr>
          <w:lang w:val="fr-CA"/>
        </w:rPr>
        <w:t xml:space="preserve"> </w:t>
      </w:r>
      <w:r w:rsidR="00132935" w:rsidRPr="00A52C0B">
        <w:rPr>
          <w:lang w:val="fr-CA"/>
        </w:rPr>
        <w:t>étaient</w:t>
      </w:r>
      <w:r w:rsidRPr="00A52C0B">
        <w:rPr>
          <w:lang w:val="fr-CA"/>
        </w:rPr>
        <w:t xml:space="preserve"> fixé</w:t>
      </w:r>
      <w:r w:rsidR="00132935" w:rsidRPr="00A52C0B">
        <w:rPr>
          <w:lang w:val="fr-CA"/>
        </w:rPr>
        <w:t>s à</w:t>
      </w:r>
      <w:r w:rsidRPr="00A52C0B">
        <w:rPr>
          <w:lang w:val="fr-CA"/>
        </w:rPr>
        <w:t xml:space="preserve"> 4,50</w:t>
      </w:r>
      <w:r w:rsidR="009D1B98" w:rsidRPr="00A52C0B">
        <w:rPr>
          <w:lang w:val="fr-CA"/>
        </w:rPr>
        <w:t> </w:t>
      </w:r>
      <w:r w:rsidRPr="00A52C0B">
        <w:rPr>
          <w:lang w:val="fr-CA"/>
        </w:rPr>
        <w:t xml:space="preserve">$US/kg </w:t>
      </w:r>
      <w:r w:rsidR="00132935" w:rsidRPr="00A52C0B">
        <w:rPr>
          <w:lang w:val="fr-CA"/>
        </w:rPr>
        <w:t>métrique</w:t>
      </w:r>
      <w:r w:rsidRPr="00A52C0B">
        <w:rPr>
          <w:lang w:val="fr-CA"/>
        </w:rPr>
        <w:t xml:space="preserve"> pour la phase</w:t>
      </w:r>
      <w:r w:rsidR="00132935" w:rsidRPr="00A52C0B">
        <w:rPr>
          <w:lang w:val="fr-CA"/>
        </w:rPr>
        <w:t> </w:t>
      </w:r>
      <w:r w:rsidRPr="00A52C0B">
        <w:rPr>
          <w:lang w:val="fr-CA"/>
        </w:rPr>
        <w:t xml:space="preserve">I </w:t>
      </w:r>
      <w:r w:rsidR="005501A2" w:rsidRPr="00A52C0B">
        <w:rPr>
          <w:lang w:val="fr-CA"/>
        </w:rPr>
        <w:t>et</w:t>
      </w:r>
      <w:r w:rsidR="00132935" w:rsidRPr="00A52C0B">
        <w:rPr>
          <w:lang w:val="fr-CA"/>
        </w:rPr>
        <w:t xml:space="preserve"> à</w:t>
      </w:r>
      <w:r w:rsidR="005501A2" w:rsidRPr="00A52C0B">
        <w:rPr>
          <w:lang w:val="fr-CA"/>
        </w:rPr>
        <w:t xml:space="preserve"> 4,80</w:t>
      </w:r>
      <w:r w:rsidR="009D1B98" w:rsidRPr="00A52C0B">
        <w:rPr>
          <w:lang w:val="fr-CA"/>
        </w:rPr>
        <w:t> </w:t>
      </w:r>
      <w:r w:rsidR="005501A2" w:rsidRPr="00A52C0B">
        <w:rPr>
          <w:lang w:val="fr-CA"/>
        </w:rPr>
        <w:t xml:space="preserve">$US/kg </w:t>
      </w:r>
      <w:r w:rsidR="00132935" w:rsidRPr="00A52C0B">
        <w:rPr>
          <w:lang w:val="fr-CA"/>
        </w:rPr>
        <w:t>métrique</w:t>
      </w:r>
      <w:r w:rsidR="005501A2" w:rsidRPr="00A52C0B">
        <w:rPr>
          <w:lang w:val="fr-CA"/>
        </w:rPr>
        <w:t xml:space="preserve"> pour la phase II. </w:t>
      </w:r>
    </w:p>
    <w:p w14:paraId="3CCBB63F" w14:textId="6745464A" w:rsidR="005A5A1E" w:rsidRPr="00A52C0B" w:rsidRDefault="005A5A1E" w:rsidP="005A5A1E">
      <w:pPr>
        <w:keepNext/>
        <w:outlineLvl w:val="0"/>
        <w:rPr>
          <w:lang w:val="fr-CA"/>
        </w:rPr>
      </w:pPr>
      <w:r w:rsidRPr="00A52C0B">
        <w:rPr>
          <w:b/>
          <w:lang w:val="fr-CA"/>
        </w:rPr>
        <w:t>Table</w:t>
      </w:r>
      <w:r w:rsidR="00C45C22" w:rsidRPr="00A52C0B">
        <w:rPr>
          <w:b/>
          <w:lang w:val="fr-CA"/>
        </w:rPr>
        <w:t>au</w:t>
      </w:r>
      <w:r w:rsidR="009D1B98" w:rsidRPr="00A52C0B">
        <w:rPr>
          <w:b/>
          <w:lang w:val="fr-CA"/>
        </w:rPr>
        <w:t> </w:t>
      </w:r>
      <w:r w:rsidRPr="00A52C0B">
        <w:rPr>
          <w:b/>
          <w:lang w:val="fr-CA"/>
        </w:rPr>
        <w:t xml:space="preserve">2. </w:t>
      </w:r>
      <w:r w:rsidR="005501A2" w:rsidRPr="00A52C0B">
        <w:rPr>
          <w:b/>
          <w:lang w:val="fr-CA"/>
        </w:rPr>
        <w:t xml:space="preserve">Financement de l’élimination des HCFC dans le secteur de l’entretien de l’équipement de réfrigération pour les </w:t>
      </w:r>
      <w:r w:rsidR="009260EE" w:rsidRPr="00A52C0B">
        <w:rPr>
          <w:b/>
          <w:lang w:val="fr-CA"/>
        </w:rPr>
        <w:t>pays FVC</w:t>
      </w:r>
      <w:r w:rsidR="005501A2" w:rsidRPr="00A52C0B">
        <w:rPr>
          <w:b/>
          <w:lang w:val="fr-CA"/>
        </w:rPr>
        <w:t xml:space="preserve">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1418"/>
        <w:gridCol w:w="1276"/>
        <w:gridCol w:w="1156"/>
        <w:gridCol w:w="1537"/>
        <w:gridCol w:w="1138"/>
      </w:tblGrid>
      <w:tr w:rsidR="005A5A1E" w:rsidRPr="00A52C0B" w14:paraId="175ABD01" w14:textId="77777777" w:rsidTr="005501A2">
        <w:trPr>
          <w:tblHeader/>
        </w:trPr>
        <w:tc>
          <w:tcPr>
            <w:tcW w:w="1276"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14:paraId="6E1B69D9" w14:textId="7E060392" w:rsidR="005A5A1E" w:rsidRPr="00A52C0B" w:rsidRDefault="001527BF" w:rsidP="005A5A1E">
            <w:pPr>
              <w:widowControl w:val="0"/>
              <w:jc w:val="center"/>
              <w:rPr>
                <w:b/>
                <w:color w:val="000000" w:themeColor="text1"/>
                <w:sz w:val="20"/>
                <w:szCs w:val="20"/>
                <w:lang w:val="fr-CA"/>
              </w:rPr>
            </w:pPr>
            <w:r w:rsidRPr="00A52C0B">
              <w:rPr>
                <w:b/>
                <w:color w:val="000000" w:themeColor="text1"/>
                <w:sz w:val="20"/>
                <w:szCs w:val="20"/>
                <w:lang w:val="fr-CA"/>
              </w:rPr>
              <w:t xml:space="preserve">Valeur de référence </w:t>
            </w:r>
            <w:r w:rsidR="005A5A1E" w:rsidRPr="00A52C0B">
              <w:rPr>
                <w:b/>
                <w:color w:val="000000" w:themeColor="text1"/>
                <w:sz w:val="20"/>
                <w:szCs w:val="20"/>
                <w:lang w:val="fr-CA"/>
              </w:rPr>
              <w:t>HCFC</w:t>
            </w:r>
            <w:r w:rsidRPr="00A52C0B">
              <w:rPr>
                <w:b/>
                <w:color w:val="000000" w:themeColor="text1"/>
                <w:sz w:val="20"/>
                <w:szCs w:val="20"/>
                <w:lang w:val="fr-CA"/>
              </w:rPr>
              <w:t xml:space="preserve"> </w:t>
            </w:r>
            <w:r w:rsidR="005A5A1E" w:rsidRPr="00A52C0B">
              <w:rPr>
                <w:b/>
                <w:color w:val="000000" w:themeColor="text1"/>
                <w:sz w:val="20"/>
                <w:szCs w:val="20"/>
                <w:lang w:val="fr-CA"/>
              </w:rPr>
              <w:t>(t</w:t>
            </w:r>
            <w:r w:rsidR="00C45C22" w:rsidRPr="00A52C0B">
              <w:rPr>
                <w:b/>
                <w:color w:val="000000" w:themeColor="text1"/>
                <w:sz w:val="20"/>
                <w:szCs w:val="20"/>
                <w:lang w:val="fr-CA"/>
              </w:rPr>
              <w:t>m</w:t>
            </w:r>
            <w:r w:rsidR="005A5A1E" w:rsidRPr="00A52C0B">
              <w:rPr>
                <w:b/>
                <w:color w:val="000000" w:themeColor="text1"/>
                <w:sz w:val="20"/>
                <w:szCs w:val="20"/>
                <w:lang w:val="fr-CA"/>
              </w:rPr>
              <w:t>)*</w:t>
            </w:r>
          </w:p>
        </w:tc>
        <w:tc>
          <w:tcPr>
            <w:tcW w:w="4253" w:type="dxa"/>
            <w:gridSpan w:val="3"/>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14:paraId="2CB8974E" w14:textId="475B64A8" w:rsidR="005A5A1E" w:rsidRPr="00A52C0B" w:rsidRDefault="005A5A1E" w:rsidP="005A5A1E">
            <w:pPr>
              <w:keepNext/>
              <w:jc w:val="center"/>
              <w:rPr>
                <w:b/>
                <w:color w:val="000000" w:themeColor="text1"/>
                <w:sz w:val="20"/>
                <w:szCs w:val="20"/>
                <w:lang w:val="fr-CA"/>
              </w:rPr>
            </w:pPr>
            <w:r w:rsidRPr="00A52C0B">
              <w:rPr>
                <w:b/>
                <w:color w:val="000000" w:themeColor="text1"/>
                <w:sz w:val="20"/>
                <w:szCs w:val="20"/>
                <w:lang w:val="fr-CA"/>
              </w:rPr>
              <w:t>F</w:t>
            </w:r>
            <w:r w:rsidR="001527BF" w:rsidRPr="00A52C0B">
              <w:rPr>
                <w:b/>
                <w:color w:val="000000" w:themeColor="text1"/>
                <w:sz w:val="20"/>
                <w:szCs w:val="20"/>
                <w:lang w:val="fr-CA"/>
              </w:rPr>
              <w:t>inancement</w:t>
            </w:r>
            <w:r w:rsidRPr="00A52C0B">
              <w:rPr>
                <w:b/>
                <w:color w:val="000000" w:themeColor="text1"/>
                <w:sz w:val="20"/>
                <w:szCs w:val="20"/>
                <w:lang w:val="fr-CA"/>
              </w:rPr>
              <w:t xml:space="preserve"> (</w:t>
            </w:r>
            <w:r w:rsidR="001527BF" w:rsidRPr="00A52C0B">
              <w:rPr>
                <w:b/>
                <w:color w:val="000000" w:themeColor="text1"/>
                <w:sz w:val="20"/>
                <w:szCs w:val="20"/>
                <w:lang w:val="fr-CA"/>
              </w:rPr>
              <w:t>$</w:t>
            </w:r>
            <w:r w:rsidRPr="00A52C0B">
              <w:rPr>
                <w:b/>
                <w:color w:val="000000" w:themeColor="text1"/>
                <w:sz w:val="20"/>
                <w:szCs w:val="20"/>
                <w:lang w:val="fr-CA"/>
              </w:rPr>
              <w:t>US)</w:t>
            </w:r>
          </w:p>
        </w:tc>
        <w:tc>
          <w:tcPr>
            <w:tcW w:w="115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0914D59" w14:textId="5BC1476B" w:rsidR="005A5A1E" w:rsidRPr="00A52C0B" w:rsidRDefault="005A5A1E" w:rsidP="005A5A1E">
            <w:pPr>
              <w:keepNext/>
              <w:jc w:val="center"/>
              <w:rPr>
                <w:b/>
                <w:color w:val="000000" w:themeColor="text1"/>
                <w:sz w:val="20"/>
                <w:szCs w:val="20"/>
                <w:lang w:val="fr-CA"/>
              </w:rPr>
            </w:pPr>
            <w:r w:rsidRPr="00A52C0B">
              <w:rPr>
                <w:b/>
                <w:color w:val="000000" w:themeColor="text1"/>
                <w:sz w:val="20"/>
                <w:szCs w:val="20"/>
                <w:lang w:val="fr-CA"/>
              </w:rPr>
              <w:t>No</w:t>
            </w:r>
            <w:r w:rsidR="00C45C22" w:rsidRPr="00A52C0B">
              <w:rPr>
                <w:b/>
                <w:color w:val="000000" w:themeColor="text1"/>
                <w:sz w:val="20"/>
                <w:szCs w:val="20"/>
                <w:lang w:val="fr-CA"/>
              </w:rPr>
              <w:t>mbre</w:t>
            </w:r>
            <w:r w:rsidR="005501A2" w:rsidRPr="00A52C0B">
              <w:rPr>
                <w:b/>
                <w:color w:val="000000" w:themeColor="text1"/>
                <w:sz w:val="20"/>
                <w:szCs w:val="20"/>
                <w:lang w:val="fr-CA"/>
              </w:rPr>
              <w:t xml:space="preserve"> de pays</w:t>
            </w:r>
          </w:p>
        </w:tc>
        <w:tc>
          <w:tcPr>
            <w:tcW w:w="1537" w:type="dxa"/>
            <w:vMerge w:val="restart"/>
            <w:tcBorders>
              <w:top w:val="single" w:sz="4" w:space="0" w:color="auto"/>
              <w:left w:val="nil"/>
              <w:bottom w:val="single" w:sz="4" w:space="0" w:color="auto"/>
              <w:right w:val="nil"/>
            </w:tcBorders>
            <w:tcMar>
              <w:top w:w="0" w:type="dxa"/>
              <w:left w:w="0" w:type="dxa"/>
              <w:bottom w:w="0" w:type="dxa"/>
              <w:right w:w="0" w:type="dxa"/>
            </w:tcMar>
            <w:vAlign w:val="center"/>
            <w:hideMark/>
          </w:tcPr>
          <w:p w14:paraId="10FA0E67" w14:textId="77777777" w:rsidR="005501A2" w:rsidRPr="00A52C0B" w:rsidRDefault="005A5A1E" w:rsidP="005A5A1E">
            <w:pPr>
              <w:keepNext/>
              <w:jc w:val="center"/>
              <w:rPr>
                <w:b/>
                <w:color w:val="000000"/>
                <w:sz w:val="20"/>
                <w:szCs w:val="20"/>
                <w:lang w:val="fr-CA"/>
              </w:rPr>
            </w:pPr>
            <w:r w:rsidRPr="00A52C0B">
              <w:rPr>
                <w:b/>
                <w:color w:val="000000"/>
                <w:sz w:val="20"/>
                <w:szCs w:val="20"/>
                <w:lang w:val="fr-CA"/>
              </w:rPr>
              <w:t>Cons</w:t>
            </w:r>
            <w:r w:rsidR="00C45C22" w:rsidRPr="00A52C0B">
              <w:rPr>
                <w:b/>
                <w:color w:val="000000"/>
                <w:sz w:val="20"/>
                <w:szCs w:val="20"/>
                <w:lang w:val="fr-CA"/>
              </w:rPr>
              <w:t>ommation</w:t>
            </w:r>
          </w:p>
          <w:p w14:paraId="21512A26" w14:textId="5F2B08B6" w:rsidR="005A5A1E" w:rsidRPr="00A52C0B" w:rsidRDefault="005A5A1E" w:rsidP="005A5A1E">
            <w:pPr>
              <w:keepNext/>
              <w:jc w:val="center"/>
              <w:rPr>
                <w:b/>
                <w:color w:val="000000"/>
                <w:sz w:val="20"/>
                <w:szCs w:val="20"/>
                <w:lang w:val="fr-CA"/>
              </w:rPr>
            </w:pPr>
            <w:r w:rsidRPr="00A52C0B">
              <w:rPr>
                <w:b/>
                <w:color w:val="000000"/>
                <w:sz w:val="20"/>
                <w:szCs w:val="20"/>
                <w:lang w:val="fr-CA"/>
              </w:rPr>
              <w:t>(t</w:t>
            </w:r>
            <w:r w:rsidR="00C45C22" w:rsidRPr="00A52C0B">
              <w:rPr>
                <w:b/>
                <w:color w:val="000000"/>
                <w:sz w:val="20"/>
                <w:szCs w:val="20"/>
                <w:lang w:val="fr-CA"/>
              </w:rPr>
              <w:t>m</w:t>
            </w:r>
            <w:r w:rsidRPr="00A52C0B">
              <w:rPr>
                <w:b/>
                <w:color w:val="000000"/>
                <w:sz w:val="20"/>
                <w:szCs w:val="20"/>
                <w:lang w:val="fr-CA"/>
              </w:rPr>
              <w:t>)**</w:t>
            </w:r>
          </w:p>
        </w:tc>
        <w:tc>
          <w:tcPr>
            <w:tcW w:w="1138"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1CAACFA" w14:textId="6685FC2A" w:rsidR="005A5A1E" w:rsidRPr="00A52C0B" w:rsidRDefault="00C45C22" w:rsidP="005A5A1E">
            <w:pPr>
              <w:keepNext/>
              <w:jc w:val="center"/>
              <w:rPr>
                <w:b/>
                <w:color w:val="000000" w:themeColor="text1"/>
                <w:sz w:val="20"/>
                <w:szCs w:val="20"/>
                <w:lang w:val="fr-CA"/>
              </w:rPr>
            </w:pPr>
            <w:r w:rsidRPr="00A52C0B">
              <w:rPr>
                <w:b/>
                <w:color w:val="000000" w:themeColor="text1"/>
                <w:sz w:val="20"/>
                <w:szCs w:val="20"/>
                <w:lang w:val="fr-CA"/>
              </w:rPr>
              <w:t>Coût estimé</w:t>
            </w:r>
            <w:r w:rsidR="005A5A1E" w:rsidRPr="00A52C0B">
              <w:rPr>
                <w:b/>
                <w:color w:val="000000" w:themeColor="text1"/>
                <w:sz w:val="20"/>
                <w:szCs w:val="20"/>
                <w:lang w:val="fr-CA"/>
              </w:rPr>
              <w:t xml:space="preserve"> (</w:t>
            </w:r>
            <w:r w:rsidRPr="00A52C0B">
              <w:rPr>
                <w:b/>
                <w:color w:val="000000" w:themeColor="text1"/>
                <w:sz w:val="20"/>
                <w:szCs w:val="20"/>
                <w:lang w:val="fr-CA"/>
              </w:rPr>
              <w:t>$</w:t>
            </w:r>
            <w:r w:rsidR="005A5A1E" w:rsidRPr="00A52C0B">
              <w:rPr>
                <w:b/>
                <w:color w:val="000000" w:themeColor="text1"/>
                <w:sz w:val="20"/>
                <w:szCs w:val="20"/>
                <w:lang w:val="fr-CA"/>
              </w:rPr>
              <w:t>US)</w:t>
            </w:r>
          </w:p>
        </w:tc>
      </w:tr>
      <w:tr w:rsidR="005A5A1E" w:rsidRPr="00A52C0B" w14:paraId="74BD76F6" w14:textId="77777777" w:rsidTr="005501A2">
        <w:trPr>
          <w:tblHeader/>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0F117C19" w14:textId="77777777" w:rsidR="005A5A1E" w:rsidRPr="00A52C0B" w:rsidRDefault="005A5A1E" w:rsidP="005A5A1E">
            <w:pPr>
              <w:jc w:val="left"/>
              <w:rPr>
                <w:b/>
                <w:color w:val="000000" w:themeColor="text1"/>
                <w:sz w:val="20"/>
                <w:szCs w:val="20"/>
                <w:lang w:val="fr-CA"/>
              </w:rPr>
            </w:pPr>
          </w:p>
        </w:tc>
        <w:tc>
          <w:tcPr>
            <w:tcW w:w="1559"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58" w:type="dxa"/>
            </w:tcMar>
            <w:vAlign w:val="center"/>
            <w:hideMark/>
          </w:tcPr>
          <w:p w14:paraId="2CD28F6B" w14:textId="4A50C507" w:rsidR="005A5A1E" w:rsidRPr="00A52C0B" w:rsidRDefault="001527BF" w:rsidP="005A5A1E">
            <w:pPr>
              <w:keepNext/>
              <w:jc w:val="center"/>
              <w:rPr>
                <w:color w:val="000000" w:themeColor="text1"/>
                <w:sz w:val="20"/>
                <w:szCs w:val="20"/>
                <w:lang w:val="fr-CA"/>
              </w:rPr>
            </w:pPr>
            <w:r w:rsidRPr="00A52C0B">
              <w:rPr>
                <w:b/>
                <w:color w:val="000000" w:themeColor="text1"/>
                <w:sz w:val="20"/>
                <w:szCs w:val="20"/>
                <w:lang w:val="fr-CA"/>
              </w:rPr>
              <w:t>Jusqu’</w:t>
            </w:r>
            <w:r w:rsidR="005501A2" w:rsidRPr="00A52C0B">
              <w:rPr>
                <w:b/>
                <w:color w:val="000000" w:themeColor="text1"/>
                <w:sz w:val="20"/>
                <w:szCs w:val="20"/>
                <w:lang w:val="fr-CA"/>
              </w:rPr>
              <w:t>en </w:t>
            </w:r>
            <w:r w:rsidR="005A5A1E" w:rsidRPr="00A52C0B">
              <w:rPr>
                <w:b/>
                <w:color w:val="000000" w:themeColor="text1"/>
                <w:sz w:val="20"/>
                <w:szCs w:val="20"/>
                <w:lang w:val="fr-CA"/>
              </w:rPr>
              <w:t>2020 (</w:t>
            </w:r>
            <w:r w:rsidR="00C45C22" w:rsidRPr="00A52C0B">
              <w:rPr>
                <w:b/>
                <w:color w:val="000000" w:themeColor="text1"/>
                <w:sz w:val="20"/>
                <w:szCs w:val="20"/>
                <w:lang w:val="fr-CA"/>
              </w:rPr>
              <w:t>réduction</w:t>
            </w:r>
            <w:r w:rsidR="005501A2" w:rsidRPr="00A52C0B">
              <w:rPr>
                <w:b/>
                <w:color w:val="000000" w:themeColor="text1"/>
                <w:sz w:val="20"/>
                <w:szCs w:val="20"/>
                <w:lang w:val="fr-CA"/>
              </w:rPr>
              <w:br/>
            </w:r>
            <w:r w:rsidR="00C45C22" w:rsidRPr="00A52C0B">
              <w:rPr>
                <w:b/>
                <w:color w:val="000000" w:themeColor="text1"/>
                <w:sz w:val="20"/>
                <w:szCs w:val="20"/>
                <w:lang w:val="fr-CA"/>
              </w:rPr>
              <w:t xml:space="preserve">de </w:t>
            </w:r>
            <w:r w:rsidR="005A5A1E" w:rsidRPr="00A52C0B">
              <w:rPr>
                <w:b/>
                <w:color w:val="000000" w:themeColor="text1"/>
                <w:sz w:val="20"/>
                <w:szCs w:val="20"/>
                <w:lang w:val="fr-CA"/>
              </w:rPr>
              <w:t>35</w:t>
            </w:r>
            <w:r w:rsidR="00C45C22" w:rsidRPr="00A52C0B">
              <w:rPr>
                <w:b/>
                <w:color w:val="000000" w:themeColor="text1"/>
                <w:sz w:val="20"/>
                <w:szCs w:val="20"/>
                <w:lang w:val="fr-CA"/>
              </w:rPr>
              <w:t> </w:t>
            </w:r>
            <w:r w:rsidR="005A5A1E" w:rsidRPr="00A52C0B">
              <w:rPr>
                <w:b/>
                <w:color w:val="000000" w:themeColor="text1"/>
                <w:sz w:val="20"/>
                <w:szCs w:val="20"/>
                <w:lang w:val="fr-CA"/>
              </w:rPr>
              <w:t>%)</w:t>
            </w:r>
          </w:p>
        </w:tc>
        <w:tc>
          <w:tcPr>
            <w:tcW w:w="1418"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58" w:type="dxa"/>
            </w:tcMar>
            <w:vAlign w:val="center"/>
            <w:hideMark/>
          </w:tcPr>
          <w:p w14:paraId="24D4C886" w14:textId="7302B4F9" w:rsidR="005A5A1E" w:rsidRPr="00A52C0B" w:rsidRDefault="001527BF" w:rsidP="005A5A1E">
            <w:pPr>
              <w:keepNext/>
              <w:jc w:val="center"/>
              <w:rPr>
                <w:color w:val="000000" w:themeColor="text1"/>
                <w:sz w:val="20"/>
                <w:szCs w:val="20"/>
                <w:lang w:val="fr-CA"/>
              </w:rPr>
            </w:pPr>
            <w:r w:rsidRPr="00A52C0B">
              <w:rPr>
                <w:b/>
                <w:color w:val="000000" w:themeColor="text1"/>
                <w:sz w:val="20"/>
                <w:szCs w:val="20"/>
                <w:lang w:val="fr-CA"/>
              </w:rPr>
              <w:t>Jusqu’</w:t>
            </w:r>
            <w:r w:rsidR="005501A2" w:rsidRPr="00A52C0B">
              <w:rPr>
                <w:b/>
                <w:color w:val="000000" w:themeColor="text1"/>
                <w:sz w:val="20"/>
                <w:szCs w:val="20"/>
                <w:lang w:val="fr-CA"/>
              </w:rPr>
              <w:t>en</w:t>
            </w:r>
            <w:r w:rsidR="005A5A1E" w:rsidRPr="00A52C0B">
              <w:rPr>
                <w:b/>
                <w:color w:val="000000" w:themeColor="text1"/>
                <w:sz w:val="20"/>
                <w:szCs w:val="20"/>
                <w:lang w:val="fr-CA"/>
              </w:rPr>
              <w:t xml:space="preserve"> 2025 (</w:t>
            </w:r>
            <w:r w:rsidR="00C45C22" w:rsidRPr="00A52C0B">
              <w:rPr>
                <w:b/>
                <w:color w:val="000000" w:themeColor="text1"/>
                <w:sz w:val="20"/>
                <w:szCs w:val="20"/>
                <w:lang w:val="fr-CA"/>
              </w:rPr>
              <w:t>réduction</w:t>
            </w:r>
            <w:r w:rsidR="005501A2" w:rsidRPr="00A52C0B">
              <w:rPr>
                <w:b/>
                <w:color w:val="000000" w:themeColor="text1"/>
                <w:sz w:val="20"/>
                <w:szCs w:val="20"/>
                <w:lang w:val="fr-CA"/>
              </w:rPr>
              <w:br/>
            </w:r>
            <w:r w:rsidR="00C45C22" w:rsidRPr="00A52C0B">
              <w:rPr>
                <w:b/>
                <w:color w:val="000000" w:themeColor="text1"/>
                <w:sz w:val="20"/>
                <w:szCs w:val="20"/>
                <w:lang w:val="fr-CA"/>
              </w:rPr>
              <w:t xml:space="preserve">de </w:t>
            </w:r>
            <w:r w:rsidR="005A5A1E" w:rsidRPr="00A52C0B">
              <w:rPr>
                <w:b/>
                <w:color w:val="000000" w:themeColor="text1"/>
                <w:sz w:val="20"/>
                <w:szCs w:val="20"/>
                <w:lang w:val="fr-CA"/>
              </w:rPr>
              <w:t>67</w:t>
            </w:r>
            <w:r w:rsidR="00C45C22" w:rsidRPr="00A52C0B">
              <w:rPr>
                <w:b/>
                <w:color w:val="000000" w:themeColor="text1"/>
                <w:sz w:val="20"/>
                <w:szCs w:val="20"/>
                <w:lang w:val="fr-CA"/>
              </w:rPr>
              <w:t>,</w:t>
            </w:r>
            <w:r w:rsidR="005A5A1E" w:rsidRPr="00A52C0B">
              <w:rPr>
                <w:b/>
                <w:color w:val="000000" w:themeColor="text1"/>
                <w:sz w:val="20"/>
                <w:szCs w:val="20"/>
                <w:lang w:val="fr-CA"/>
              </w:rPr>
              <w:t>5</w:t>
            </w:r>
            <w:r w:rsidR="00C45C22" w:rsidRPr="00A52C0B">
              <w:rPr>
                <w:b/>
                <w:color w:val="000000" w:themeColor="text1"/>
                <w:sz w:val="20"/>
                <w:szCs w:val="20"/>
                <w:lang w:val="fr-CA"/>
              </w:rPr>
              <w:t> </w:t>
            </w:r>
            <w:r w:rsidR="005A5A1E" w:rsidRPr="00A52C0B">
              <w:rPr>
                <w:b/>
                <w:color w:val="000000" w:themeColor="text1"/>
                <w:sz w:val="20"/>
                <w:szCs w:val="20"/>
                <w:lang w:val="fr-CA"/>
              </w:rPr>
              <w:t>%</w:t>
            </w:r>
            <w:r w:rsidR="00C45C22" w:rsidRPr="00A52C0B">
              <w:rPr>
                <w:b/>
                <w:color w:val="000000" w:themeColor="text1"/>
                <w:sz w:val="20"/>
                <w:szCs w:val="20"/>
                <w:lang w:val="fr-CA"/>
              </w:rPr>
              <w:t>)</w:t>
            </w:r>
          </w:p>
        </w:tc>
        <w:tc>
          <w:tcPr>
            <w:tcW w:w="1276"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58" w:type="dxa"/>
            </w:tcMar>
            <w:vAlign w:val="center"/>
            <w:hideMark/>
          </w:tcPr>
          <w:p w14:paraId="121D8F8E" w14:textId="074AE475" w:rsidR="005A5A1E" w:rsidRPr="00A52C0B" w:rsidRDefault="001527BF" w:rsidP="005A5A1E">
            <w:pPr>
              <w:keepNext/>
              <w:jc w:val="center"/>
              <w:rPr>
                <w:color w:val="000000" w:themeColor="text1"/>
                <w:sz w:val="20"/>
                <w:szCs w:val="20"/>
                <w:lang w:val="fr-CA"/>
              </w:rPr>
            </w:pPr>
            <w:r w:rsidRPr="00A52C0B">
              <w:rPr>
                <w:b/>
                <w:color w:val="000000" w:themeColor="text1"/>
                <w:sz w:val="20"/>
                <w:szCs w:val="20"/>
                <w:lang w:val="fr-CA"/>
              </w:rPr>
              <w:t xml:space="preserve">Élimination </w:t>
            </w:r>
            <w:r w:rsidR="005501A2" w:rsidRPr="00A52C0B">
              <w:rPr>
                <w:b/>
                <w:color w:val="000000" w:themeColor="text1"/>
                <w:sz w:val="20"/>
                <w:szCs w:val="20"/>
                <w:lang w:val="fr-CA"/>
              </w:rPr>
              <w:t>complète des</w:t>
            </w:r>
            <w:r w:rsidRPr="00A52C0B">
              <w:rPr>
                <w:b/>
                <w:color w:val="000000" w:themeColor="text1"/>
                <w:sz w:val="20"/>
                <w:szCs w:val="20"/>
                <w:lang w:val="fr-CA"/>
              </w:rPr>
              <w:t xml:space="preserve"> H</w:t>
            </w:r>
            <w:r w:rsidR="005A5A1E" w:rsidRPr="00A52C0B">
              <w:rPr>
                <w:b/>
                <w:color w:val="000000" w:themeColor="text1"/>
                <w:sz w:val="20"/>
                <w:szCs w:val="20"/>
                <w:lang w:val="fr-CA"/>
              </w:rPr>
              <w:t>CFC</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1318EA05" w14:textId="77777777" w:rsidR="005A5A1E" w:rsidRPr="00A52C0B" w:rsidRDefault="005A5A1E" w:rsidP="005A5A1E">
            <w:pPr>
              <w:jc w:val="left"/>
              <w:rPr>
                <w:b/>
                <w:color w:val="000000" w:themeColor="text1"/>
                <w:sz w:val="20"/>
                <w:szCs w:val="20"/>
                <w:lang w:val="fr-CA"/>
              </w:rPr>
            </w:pPr>
          </w:p>
        </w:tc>
        <w:tc>
          <w:tcPr>
            <w:tcW w:w="1537" w:type="dxa"/>
            <w:vMerge/>
            <w:tcBorders>
              <w:top w:val="single" w:sz="4" w:space="0" w:color="auto"/>
              <w:left w:val="nil"/>
              <w:bottom w:val="single" w:sz="4" w:space="0" w:color="auto"/>
              <w:right w:val="nil"/>
            </w:tcBorders>
            <w:vAlign w:val="center"/>
            <w:hideMark/>
          </w:tcPr>
          <w:p w14:paraId="3DD67478" w14:textId="77777777" w:rsidR="005A5A1E" w:rsidRPr="00A52C0B" w:rsidRDefault="005A5A1E" w:rsidP="005A5A1E">
            <w:pPr>
              <w:jc w:val="left"/>
              <w:rPr>
                <w:b/>
                <w:color w:val="000000"/>
                <w:sz w:val="20"/>
                <w:szCs w:val="20"/>
                <w:lang w:val="fr-CA"/>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673EF157" w14:textId="77777777" w:rsidR="005A5A1E" w:rsidRPr="00A52C0B" w:rsidRDefault="005A5A1E" w:rsidP="005A5A1E">
            <w:pPr>
              <w:jc w:val="left"/>
              <w:rPr>
                <w:b/>
                <w:color w:val="000000" w:themeColor="text1"/>
                <w:sz w:val="20"/>
                <w:szCs w:val="20"/>
                <w:lang w:val="fr-CA"/>
              </w:rPr>
            </w:pPr>
          </w:p>
        </w:tc>
      </w:tr>
      <w:tr w:rsidR="005A5A1E" w:rsidRPr="00A52C0B" w14:paraId="585784AF" w14:textId="77777777" w:rsidTr="005501A2">
        <w:tc>
          <w:tcPr>
            <w:tcW w:w="1276"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58" w:type="dxa"/>
            </w:tcMar>
            <w:vAlign w:val="center"/>
            <w:hideMark/>
          </w:tcPr>
          <w:p w14:paraId="2389ABD6" w14:textId="77777777" w:rsidR="005A5A1E" w:rsidRPr="00A52C0B" w:rsidRDefault="005A5A1E" w:rsidP="005A5A1E">
            <w:pPr>
              <w:widowControl w:val="0"/>
              <w:rPr>
                <w:color w:val="000000" w:themeColor="text1"/>
                <w:sz w:val="20"/>
                <w:szCs w:val="20"/>
                <w:lang w:val="fr-CA"/>
              </w:rPr>
            </w:pPr>
            <w:r w:rsidRPr="00A52C0B">
              <w:rPr>
                <w:color w:val="000000" w:themeColor="text1"/>
                <w:sz w:val="20"/>
                <w:szCs w:val="20"/>
                <w:lang w:val="fr-CA"/>
              </w:rPr>
              <w:t>&gt;0 &lt;15</w:t>
            </w:r>
          </w:p>
        </w:tc>
        <w:tc>
          <w:tcPr>
            <w:tcW w:w="1559"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hideMark/>
          </w:tcPr>
          <w:p w14:paraId="7391FCF1" w14:textId="5355CB9C" w:rsidR="005A5A1E" w:rsidRPr="00A52C0B" w:rsidRDefault="005A5A1E" w:rsidP="005A5A1E">
            <w:pPr>
              <w:keepNext/>
              <w:jc w:val="right"/>
              <w:rPr>
                <w:color w:val="000000" w:themeColor="text1"/>
                <w:sz w:val="20"/>
                <w:szCs w:val="20"/>
                <w:lang w:val="fr-CA"/>
              </w:rPr>
            </w:pPr>
            <w:r w:rsidRPr="00A52C0B">
              <w:rPr>
                <w:color w:val="000000" w:themeColor="text1"/>
                <w:sz w:val="20"/>
                <w:szCs w:val="20"/>
                <w:lang w:val="fr-CA"/>
              </w:rPr>
              <w:t>205</w:t>
            </w:r>
            <w:r w:rsidR="00C45C22" w:rsidRPr="00A52C0B">
              <w:rPr>
                <w:color w:val="000000" w:themeColor="text1"/>
                <w:sz w:val="20"/>
                <w:szCs w:val="20"/>
                <w:lang w:val="fr-CA"/>
              </w:rPr>
              <w:t> </w:t>
            </w:r>
            <w:r w:rsidRPr="00A52C0B">
              <w:rPr>
                <w:color w:val="000000" w:themeColor="text1"/>
                <w:sz w:val="20"/>
                <w:szCs w:val="20"/>
                <w:lang w:val="fr-CA"/>
              </w:rPr>
              <w:t>625</w:t>
            </w:r>
          </w:p>
        </w:tc>
        <w:tc>
          <w:tcPr>
            <w:tcW w:w="1418"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hideMark/>
          </w:tcPr>
          <w:p w14:paraId="42A19F57" w14:textId="157F4178" w:rsidR="005A5A1E" w:rsidRPr="00A52C0B" w:rsidRDefault="005A5A1E" w:rsidP="005A5A1E">
            <w:pPr>
              <w:keepNext/>
              <w:jc w:val="right"/>
              <w:rPr>
                <w:color w:val="000000" w:themeColor="text1"/>
                <w:sz w:val="20"/>
                <w:szCs w:val="20"/>
                <w:lang w:val="fr-CA"/>
              </w:rPr>
            </w:pPr>
            <w:r w:rsidRPr="00A52C0B">
              <w:rPr>
                <w:color w:val="000000" w:themeColor="text1"/>
                <w:sz w:val="20"/>
                <w:szCs w:val="20"/>
                <w:lang w:val="fr-CA"/>
              </w:rPr>
              <w:t>396</w:t>
            </w:r>
            <w:r w:rsidR="00C45C22" w:rsidRPr="00A52C0B">
              <w:rPr>
                <w:color w:val="000000" w:themeColor="text1"/>
                <w:sz w:val="20"/>
                <w:szCs w:val="20"/>
                <w:lang w:val="fr-CA"/>
              </w:rPr>
              <w:t> </w:t>
            </w:r>
            <w:r w:rsidRPr="00A52C0B">
              <w:rPr>
                <w:color w:val="000000" w:themeColor="text1"/>
                <w:sz w:val="20"/>
                <w:szCs w:val="20"/>
                <w:lang w:val="fr-CA"/>
              </w:rPr>
              <w:t>500</w:t>
            </w:r>
          </w:p>
        </w:tc>
        <w:tc>
          <w:tcPr>
            <w:tcW w:w="1276"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hideMark/>
          </w:tcPr>
          <w:p w14:paraId="4D6A94C3" w14:textId="54B76FFD" w:rsidR="005A5A1E" w:rsidRPr="00A52C0B" w:rsidRDefault="005A5A1E" w:rsidP="005A5A1E">
            <w:pPr>
              <w:keepNext/>
              <w:jc w:val="right"/>
              <w:rPr>
                <w:color w:val="000000" w:themeColor="text1"/>
                <w:sz w:val="20"/>
                <w:szCs w:val="20"/>
                <w:lang w:val="fr-CA"/>
              </w:rPr>
            </w:pPr>
            <w:r w:rsidRPr="00A52C0B">
              <w:rPr>
                <w:color w:val="000000" w:themeColor="text1"/>
                <w:sz w:val="20"/>
                <w:szCs w:val="20"/>
                <w:lang w:val="fr-CA"/>
              </w:rPr>
              <w:t>587</w:t>
            </w:r>
            <w:r w:rsidR="00C45C22" w:rsidRPr="00A52C0B">
              <w:rPr>
                <w:color w:val="000000" w:themeColor="text1"/>
                <w:sz w:val="20"/>
                <w:szCs w:val="20"/>
                <w:lang w:val="fr-CA"/>
              </w:rPr>
              <w:t> </w:t>
            </w:r>
            <w:r w:rsidRPr="00A52C0B">
              <w:rPr>
                <w:color w:val="000000" w:themeColor="text1"/>
                <w:sz w:val="20"/>
                <w:szCs w:val="20"/>
                <w:lang w:val="fr-CA"/>
              </w:rPr>
              <w:t>500</w:t>
            </w:r>
          </w:p>
        </w:tc>
        <w:tc>
          <w:tcPr>
            <w:tcW w:w="1156" w:type="dxa"/>
            <w:tcBorders>
              <w:top w:val="single" w:sz="4" w:space="0" w:color="auto"/>
              <w:left w:val="single" w:sz="4" w:space="0" w:color="auto"/>
              <w:bottom w:val="single" w:sz="4" w:space="0" w:color="auto"/>
              <w:right w:val="single" w:sz="4" w:space="0" w:color="auto"/>
            </w:tcBorders>
            <w:tcMar>
              <w:top w:w="0" w:type="dxa"/>
              <w:left w:w="58" w:type="dxa"/>
              <w:bottom w:w="0" w:type="dxa"/>
              <w:right w:w="173" w:type="dxa"/>
            </w:tcMar>
            <w:hideMark/>
          </w:tcPr>
          <w:p w14:paraId="0CD9D39C" w14:textId="77777777" w:rsidR="005A5A1E" w:rsidRPr="00A52C0B" w:rsidRDefault="005A5A1E" w:rsidP="005A5A1E">
            <w:pPr>
              <w:keepNext/>
              <w:jc w:val="right"/>
              <w:rPr>
                <w:color w:val="000000"/>
                <w:sz w:val="20"/>
                <w:szCs w:val="20"/>
                <w:lang w:val="fr-CA"/>
              </w:rPr>
            </w:pPr>
            <w:r w:rsidRPr="00A52C0B">
              <w:rPr>
                <w:color w:val="000000"/>
                <w:sz w:val="20"/>
                <w:szCs w:val="20"/>
                <w:lang w:val="fr-CA"/>
              </w:rPr>
              <w:t>21</w:t>
            </w:r>
          </w:p>
        </w:tc>
        <w:tc>
          <w:tcPr>
            <w:tcW w:w="1537" w:type="dxa"/>
            <w:tcBorders>
              <w:top w:val="single" w:sz="4" w:space="0" w:color="auto"/>
              <w:left w:val="nil"/>
              <w:bottom w:val="single" w:sz="4" w:space="0" w:color="auto"/>
              <w:right w:val="nil"/>
            </w:tcBorders>
            <w:tcMar>
              <w:top w:w="0" w:type="dxa"/>
              <w:left w:w="58" w:type="dxa"/>
              <w:bottom w:w="0" w:type="dxa"/>
              <w:right w:w="173" w:type="dxa"/>
            </w:tcMar>
            <w:hideMark/>
          </w:tcPr>
          <w:p w14:paraId="1B97C830" w14:textId="1E7B4916" w:rsidR="005A5A1E" w:rsidRPr="00A52C0B" w:rsidRDefault="005A5A1E" w:rsidP="005A5A1E">
            <w:pPr>
              <w:keepNext/>
              <w:jc w:val="right"/>
              <w:rPr>
                <w:color w:val="000000" w:themeColor="text1"/>
                <w:sz w:val="20"/>
                <w:szCs w:val="20"/>
                <w:lang w:val="fr-CA"/>
              </w:rPr>
            </w:pPr>
            <w:r w:rsidRPr="00A52C0B">
              <w:rPr>
                <w:color w:val="000000"/>
                <w:sz w:val="20"/>
                <w:szCs w:val="20"/>
                <w:lang w:val="fr-CA"/>
              </w:rPr>
              <w:t>1</w:t>
            </w:r>
            <w:r w:rsidR="00C45C22" w:rsidRPr="00A52C0B">
              <w:rPr>
                <w:color w:val="000000"/>
                <w:sz w:val="20"/>
                <w:szCs w:val="20"/>
                <w:lang w:val="fr-CA"/>
              </w:rPr>
              <w:t> </w:t>
            </w:r>
            <w:r w:rsidRPr="00A52C0B">
              <w:rPr>
                <w:color w:val="000000"/>
                <w:sz w:val="20"/>
                <w:szCs w:val="20"/>
                <w:lang w:val="fr-CA"/>
              </w:rPr>
              <w:t>580</w:t>
            </w:r>
          </w:p>
        </w:tc>
        <w:tc>
          <w:tcPr>
            <w:tcW w:w="1138" w:type="dxa"/>
            <w:tcBorders>
              <w:top w:val="single" w:sz="4" w:space="0" w:color="auto"/>
              <w:left w:val="single" w:sz="4" w:space="0" w:color="auto"/>
              <w:bottom w:val="single" w:sz="4" w:space="0" w:color="auto"/>
              <w:right w:val="single" w:sz="4" w:space="0" w:color="auto"/>
            </w:tcBorders>
            <w:tcMar>
              <w:top w:w="0" w:type="dxa"/>
              <w:left w:w="58" w:type="dxa"/>
              <w:bottom w:w="0" w:type="dxa"/>
              <w:right w:w="173" w:type="dxa"/>
            </w:tcMar>
            <w:hideMark/>
          </w:tcPr>
          <w:p w14:paraId="28E79BFA" w14:textId="30D72632" w:rsidR="005A5A1E" w:rsidRPr="00A52C0B" w:rsidRDefault="005A5A1E" w:rsidP="005A5A1E">
            <w:pPr>
              <w:keepNext/>
              <w:jc w:val="right"/>
              <w:rPr>
                <w:color w:val="000000" w:themeColor="text1"/>
                <w:sz w:val="20"/>
                <w:szCs w:val="20"/>
                <w:lang w:val="fr-CA"/>
              </w:rPr>
            </w:pPr>
            <w:r w:rsidRPr="00A52C0B">
              <w:rPr>
                <w:color w:val="000000"/>
                <w:sz w:val="20"/>
                <w:szCs w:val="20"/>
                <w:lang w:val="fr-CA"/>
              </w:rPr>
              <w:t>12</w:t>
            </w:r>
            <w:r w:rsidR="00C45C22" w:rsidRPr="00A52C0B">
              <w:rPr>
                <w:color w:val="000000"/>
                <w:sz w:val="20"/>
                <w:szCs w:val="20"/>
                <w:lang w:val="fr-CA"/>
              </w:rPr>
              <w:t> </w:t>
            </w:r>
            <w:r w:rsidRPr="00A52C0B">
              <w:rPr>
                <w:color w:val="000000"/>
                <w:sz w:val="20"/>
                <w:szCs w:val="20"/>
                <w:lang w:val="fr-CA"/>
              </w:rPr>
              <w:t>337</w:t>
            </w:r>
            <w:r w:rsidR="00C45C22" w:rsidRPr="00A52C0B">
              <w:rPr>
                <w:color w:val="000000"/>
                <w:sz w:val="20"/>
                <w:szCs w:val="20"/>
                <w:lang w:val="fr-CA"/>
              </w:rPr>
              <w:t> </w:t>
            </w:r>
            <w:r w:rsidRPr="00A52C0B">
              <w:rPr>
                <w:color w:val="000000"/>
                <w:sz w:val="20"/>
                <w:szCs w:val="20"/>
                <w:lang w:val="fr-CA"/>
              </w:rPr>
              <w:t>500</w:t>
            </w:r>
          </w:p>
        </w:tc>
      </w:tr>
      <w:tr w:rsidR="005A5A1E" w:rsidRPr="00A52C0B" w14:paraId="21FA9E7E" w14:textId="77777777" w:rsidTr="005501A2">
        <w:tc>
          <w:tcPr>
            <w:tcW w:w="1276"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58" w:type="dxa"/>
            </w:tcMar>
            <w:vAlign w:val="center"/>
            <w:hideMark/>
          </w:tcPr>
          <w:p w14:paraId="308A16A0" w14:textId="77777777" w:rsidR="005A5A1E" w:rsidRPr="00A52C0B" w:rsidRDefault="005A5A1E" w:rsidP="005A5A1E">
            <w:pPr>
              <w:widowControl w:val="0"/>
              <w:rPr>
                <w:color w:val="000000" w:themeColor="text1"/>
                <w:sz w:val="20"/>
                <w:szCs w:val="20"/>
                <w:lang w:val="fr-CA"/>
              </w:rPr>
            </w:pPr>
            <w:r w:rsidRPr="00A52C0B">
              <w:rPr>
                <w:color w:val="000000" w:themeColor="text1"/>
                <w:sz w:val="20"/>
                <w:szCs w:val="20"/>
                <w:lang w:val="fr-CA"/>
              </w:rPr>
              <w:t>15 &lt;40</w:t>
            </w:r>
          </w:p>
        </w:tc>
        <w:tc>
          <w:tcPr>
            <w:tcW w:w="1559"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hideMark/>
          </w:tcPr>
          <w:p w14:paraId="3C92C4ED" w14:textId="480F8F37" w:rsidR="005A5A1E" w:rsidRPr="00A52C0B" w:rsidRDefault="005A5A1E" w:rsidP="005A5A1E">
            <w:pPr>
              <w:keepNext/>
              <w:jc w:val="right"/>
              <w:rPr>
                <w:color w:val="000000" w:themeColor="text1"/>
                <w:sz w:val="20"/>
                <w:szCs w:val="20"/>
                <w:lang w:val="fr-CA"/>
              </w:rPr>
            </w:pPr>
            <w:r w:rsidRPr="00A52C0B">
              <w:rPr>
                <w:color w:val="000000" w:themeColor="text1"/>
                <w:sz w:val="20"/>
                <w:szCs w:val="20"/>
                <w:lang w:val="fr-CA"/>
              </w:rPr>
              <w:t>262</w:t>
            </w:r>
            <w:r w:rsidR="00C45C22" w:rsidRPr="00A52C0B">
              <w:rPr>
                <w:color w:val="000000" w:themeColor="text1"/>
                <w:sz w:val="20"/>
                <w:szCs w:val="20"/>
                <w:lang w:val="fr-CA"/>
              </w:rPr>
              <w:t> </w:t>
            </w:r>
            <w:r w:rsidRPr="00A52C0B">
              <w:rPr>
                <w:color w:val="000000" w:themeColor="text1"/>
                <w:sz w:val="20"/>
                <w:szCs w:val="20"/>
                <w:lang w:val="fr-CA"/>
              </w:rPr>
              <w:t>500</w:t>
            </w:r>
          </w:p>
        </w:tc>
        <w:tc>
          <w:tcPr>
            <w:tcW w:w="1418"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hideMark/>
          </w:tcPr>
          <w:p w14:paraId="659998E7" w14:textId="5412B715" w:rsidR="005A5A1E" w:rsidRPr="00A52C0B" w:rsidRDefault="005A5A1E" w:rsidP="005A5A1E">
            <w:pPr>
              <w:keepNext/>
              <w:jc w:val="right"/>
              <w:rPr>
                <w:color w:val="000000" w:themeColor="text1"/>
                <w:sz w:val="20"/>
                <w:szCs w:val="20"/>
                <w:lang w:val="fr-CA"/>
              </w:rPr>
            </w:pPr>
            <w:r w:rsidRPr="00A52C0B">
              <w:rPr>
                <w:color w:val="000000" w:themeColor="text1"/>
                <w:sz w:val="20"/>
                <w:szCs w:val="20"/>
                <w:lang w:val="fr-CA"/>
              </w:rPr>
              <w:t>506</w:t>
            </w:r>
            <w:r w:rsidR="00C45C22" w:rsidRPr="00A52C0B">
              <w:rPr>
                <w:color w:val="000000" w:themeColor="text1"/>
                <w:sz w:val="20"/>
                <w:szCs w:val="20"/>
                <w:lang w:val="fr-CA"/>
              </w:rPr>
              <w:t> </w:t>
            </w:r>
            <w:r w:rsidRPr="00A52C0B">
              <w:rPr>
                <w:color w:val="000000" w:themeColor="text1"/>
                <w:sz w:val="20"/>
                <w:szCs w:val="20"/>
                <w:lang w:val="fr-CA"/>
              </w:rPr>
              <w:t>250</w:t>
            </w:r>
          </w:p>
        </w:tc>
        <w:tc>
          <w:tcPr>
            <w:tcW w:w="1276"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hideMark/>
          </w:tcPr>
          <w:p w14:paraId="508BC9D5" w14:textId="2DE29044" w:rsidR="005A5A1E" w:rsidRPr="00A52C0B" w:rsidRDefault="005A5A1E" w:rsidP="005A5A1E">
            <w:pPr>
              <w:keepNext/>
              <w:jc w:val="right"/>
              <w:rPr>
                <w:color w:val="000000" w:themeColor="text1"/>
                <w:sz w:val="20"/>
                <w:szCs w:val="20"/>
                <w:lang w:val="fr-CA"/>
              </w:rPr>
            </w:pPr>
            <w:r w:rsidRPr="00A52C0B">
              <w:rPr>
                <w:color w:val="000000" w:themeColor="text1"/>
                <w:sz w:val="20"/>
                <w:szCs w:val="20"/>
                <w:lang w:val="fr-CA"/>
              </w:rPr>
              <w:t>750</w:t>
            </w:r>
            <w:r w:rsidR="00C45C22" w:rsidRPr="00A52C0B">
              <w:rPr>
                <w:color w:val="000000" w:themeColor="text1"/>
                <w:sz w:val="20"/>
                <w:szCs w:val="20"/>
                <w:lang w:val="fr-CA"/>
              </w:rPr>
              <w:t> </w:t>
            </w:r>
            <w:r w:rsidRPr="00A52C0B">
              <w:rPr>
                <w:color w:val="000000" w:themeColor="text1"/>
                <w:sz w:val="20"/>
                <w:szCs w:val="20"/>
                <w:lang w:val="fr-CA"/>
              </w:rPr>
              <w:t>000</w:t>
            </w:r>
          </w:p>
        </w:tc>
        <w:tc>
          <w:tcPr>
            <w:tcW w:w="1156" w:type="dxa"/>
            <w:tcBorders>
              <w:top w:val="nil"/>
              <w:left w:val="single" w:sz="4" w:space="0" w:color="auto"/>
              <w:bottom w:val="single" w:sz="4" w:space="0" w:color="auto"/>
              <w:right w:val="single" w:sz="4" w:space="0" w:color="auto"/>
            </w:tcBorders>
            <w:tcMar>
              <w:top w:w="0" w:type="dxa"/>
              <w:left w:w="58" w:type="dxa"/>
              <w:bottom w:w="0" w:type="dxa"/>
              <w:right w:w="173" w:type="dxa"/>
            </w:tcMar>
            <w:hideMark/>
          </w:tcPr>
          <w:p w14:paraId="1DCACA25" w14:textId="77777777" w:rsidR="005A5A1E" w:rsidRPr="00A52C0B" w:rsidRDefault="005A5A1E" w:rsidP="005A5A1E">
            <w:pPr>
              <w:keepNext/>
              <w:jc w:val="right"/>
              <w:rPr>
                <w:color w:val="000000"/>
                <w:sz w:val="20"/>
                <w:szCs w:val="20"/>
                <w:lang w:val="fr-CA"/>
              </w:rPr>
            </w:pPr>
            <w:r w:rsidRPr="00A52C0B">
              <w:rPr>
                <w:color w:val="000000"/>
                <w:sz w:val="20"/>
                <w:szCs w:val="20"/>
                <w:lang w:val="fr-CA"/>
              </w:rPr>
              <w:t>17</w:t>
            </w:r>
          </w:p>
        </w:tc>
        <w:tc>
          <w:tcPr>
            <w:tcW w:w="1537" w:type="dxa"/>
            <w:tcBorders>
              <w:top w:val="single" w:sz="4" w:space="0" w:color="auto"/>
              <w:left w:val="nil"/>
              <w:bottom w:val="single" w:sz="4" w:space="0" w:color="auto"/>
              <w:right w:val="nil"/>
            </w:tcBorders>
            <w:tcMar>
              <w:top w:w="0" w:type="dxa"/>
              <w:left w:w="58" w:type="dxa"/>
              <w:bottom w:w="0" w:type="dxa"/>
              <w:right w:w="173" w:type="dxa"/>
            </w:tcMar>
            <w:hideMark/>
          </w:tcPr>
          <w:p w14:paraId="07B9B826" w14:textId="77777777" w:rsidR="005A5A1E" w:rsidRPr="00A52C0B" w:rsidRDefault="005A5A1E" w:rsidP="005A5A1E">
            <w:pPr>
              <w:keepNext/>
              <w:jc w:val="right"/>
              <w:rPr>
                <w:color w:val="000000" w:themeColor="text1"/>
                <w:sz w:val="20"/>
                <w:szCs w:val="20"/>
                <w:lang w:val="fr-CA"/>
              </w:rPr>
            </w:pPr>
            <w:r w:rsidRPr="00A52C0B">
              <w:rPr>
                <w:color w:val="000000"/>
                <w:sz w:val="20"/>
                <w:szCs w:val="20"/>
                <w:lang w:val="fr-CA"/>
              </w:rPr>
              <w:t>467</w:t>
            </w:r>
          </w:p>
        </w:tc>
        <w:tc>
          <w:tcPr>
            <w:tcW w:w="1138" w:type="dxa"/>
            <w:tcBorders>
              <w:top w:val="single" w:sz="4" w:space="0" w:color="auto"/>
              <w:left w:val="single" w:sz="4" w:space="0" w:color="auto"/>
              <w:bottom w:val="single" w:sz="4" w:space="0" w:color="auto"/>
              <w:right w:val="single" w:sz="4" w:space="0" w:color="auto"/>
            </w:tcBorders>
            <w:tcMar>
              <w:top w:w="0" w:type="dxa"/>
              <w:left w:w="58" w:type="dxa"/>
              <w:bottom w:w="0" w:type="dxa"/>
              <w:right w:w="173" w:type="dxa"/>
            </w:tcMar>
            <w:hideMark/>
          </w:tcPr>
          <w:p w14:paraId="7ADA40F3" w14:textId="667210FE" w:rsidR="005A5A1E" w:rsidRPr="00A52C0B" w:rsidRDefault="005A5A1E" w:rsidP="005A5A1E">
            <w:pPr>
              <w:keepNext/>
              <w:jc w:val="right"/>
              <w:rPr>
                <w:color w:val="000000" w:themeColor="text1"/>
                <w:sz w:val="20"/>
                <w:szCs w:val="20"/>
                <w:lang w:val="fr-CA"/>
              </w:rPr>
            </w:pPr>
            <w:r w:rsidRPr="00A52C0B">
              <w:rPr>
                <w:color w:val="000000"/>
                <w:sz w:val="20"/>
                <w:szCs w:val="20"/>
                <w:lang w:val="fr-CA"/>
              </w:rPr>
              <w:t>12</w:t>
            </w:r>
            <w:r w:rsidR="00C45C22" w:rsidRPr="00A52C0B">
              <w:rPr>
                <w:color w:val="000000"/>
                <w:sz w:val="20"/>
                <w:szCs w:val="20"/>
                <w:lang w:val="fr-CA"/>
              </w:rPr>
              <w:t> </w:t>
            </w:r>
            <w:r w:rsidRPr="00A52C0B">
              <w:rPr>
                <w:color w:val="000000"/>
                <w:sz w:val="20"/>
                <w:szCs w:val="20"/>
                <w:lang w:val="fr-CA"/>
              </w:rPr>
              <w:t>750</w:t>
            </w:r>
            <w:r w:rsidR="00C45C22" w:rsidRPr="00A52C0B">
              <w:rPr>
                <w:color w:val="000000"/>
                <w:sz w:val="20"/>
                <w:szCs w:val="20"/>
                <w:lang w:val="fr-CA"/>
              </w:rPr>
              <w:t> </w:t>
            </w:r>
            <w:r w:rsidRPr="00A52C0B">
              <w:rPr>
                <w:color w:val="000000"/>
                <w:sz w:val="20"/>
                <w:szCs w:val="20"/>
                <w:lang w:val="fr-CA"/>
              </w:rPr>
              <w:t>000</w:t>
            </w:r>
          </w:p>
        </w:tc>
      </w:tr>
      <w:tr w:rsidR="005A5A1E" w:rsidRPr="00A52C0B" w14:paraId="074AD10E" w14:textId="77777777" w:rsidTr="005501A2">
        <w:tc>
          <w:tcPr>
            <w:tcW w:w="1276"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58" w:type="dxa"/>
            </w:tcMar>
            <w:vAlign w:val="center"/>
            <w:hideMark/>
          </w:tcPr>
          <w:p w14:paraId="269F1720" w14:textId="77777777" w:rsidR="005A5A1E" w:rsidRPr="00A52C0B" w:rsidRDefault="005A5A1E" w:rsidP="005A5A1E">
            <w:pPr>
              <w:widowControl w:val="0"/>
              <w:rPr>
                <w:color w:val="000000" w:themeColor="text1"/>
                <w:sz w:val="20"/>
                <w:szCs w:val="20"/>
                <w:lang w:val="fr-CA"/>
              </w:rPr>
            </w:pPr>
            <w:r w:rsidRPr="00A52C0B">
              <w:rPr>
                <w:color w:val="000000" w:themeColor="text1"/>
                <w:sz w:val="20"/>
                <w:szCs w:val="20"/>
                <w:lang w:val="fr-CA"/>
              </w:rPr>
              <w:t>40 &lt;80</w:t>
            </w:r>
          </w:p>
        </w:tc>
        <w:tc>
          <w:tcPr>
            <w:tcW w:w="1559"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hideMark/>
          </w:tcPr>
          <w:p w14:paraId="4046E7D0" w14:textId="167D7736" w:rsidR="005A5A1E" w:rsidRPr="00A52C0B" w:rsidRDefault="005A5A1E" w:rsidP="005A5A1E">
            <w:pPr>
              <w:keepNext/>
              <w:jc w:val="right"/>
              <w:rPr>
                <w:color w:val="000000" w:themeColor="text1"/>
                <w:sz w:val="20"/>
                <w:szCs w:val="20"/>
                <w:lang w:val="fr-CA"/>
              </w:rPr>
            </w:pPr>
            <w:r w:rsidRPr="00A52C0B">
              <w:rPr>
                <w:color w:val="000000" w:themeColor="text1"/>
                <w:sz w:val="20"/>
                <w:szCs w:val="20"/>
                <w:lang w:val="fr-CA"/>
              </w:rPr>
              <w:t>280</w:t>
            </w:r>
            <w:r w:rsidR="00C45C22" w:rsidRPr="00A52C0B">
              <w:rPr>
                <w:color w:val="000000" w:themeColor="text1"/>
                <w:sz w:val="20"/>
                <w:szCs w:val="20"/>
                <w:lang w:val="fr-CA"/>
              </w:rPr>
              <w:t> </w:t>
            </w:r>
            <w:r w:rsidRPr="00A52C0B">
              <w:rPr>
                <w:color w:val="000000" w:themeColor="text1"/>
                <w:sz w:val="20"/>
                <w:szCs w:val="20"/>
                <w:lang w:val="fr-CA"/>
              </w:rPr>
              <w:t>000</w:t>
            </w:r>
          </w:p>
        </w:tc>
        <w:tc>
          <w:tcPr>
            <w:tcW w:w="1418"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hideMark/>
          </w:tcPr>
          <w:p w14:paraId="7B37F172" w14:textId="18CA67A7" w:rsidR="005A5A1E" w:rsidRPr="00A52C0B" w:rsidRDefault="005A5A1E" w:rsidP="005A5A1E">
            <w:pPr>
              <w:keepNext/>
              <w:jc w:val="right"/>
              <w:rPr>
                <w:color w:val="000000" w:themeColor="text1"/>
                <w:sz w:val="20"/>
                <w:szCs w:val="20"/>
                <w:lang w:val="fr-CA"/>
              </w:rPr>
            </w:pPr>
            <w:r w:rsidRPr="00A52C0B">
              <w:rPr>
                <w:color w:val="000000" w:themeColor="text1"/>
                <w:sz w:val="20"/>
                <w:szCs w:val="20"/>
                <w:lang w:val="fr-CA"/>
              </w:rPr>
              <w:t>540</w:t>
            </w:r>
            <w:r w:rsidR="00C45C22" w:rsidRPr="00A52C0B">
              <w:rPr>
                <w:color w:val="000000" w:themeColor="text1"/>
                <w:sz w:val="20"/>
                <w:szCs w:val="20"/>
                <w:lang w:val="fr-CA"/>
              </w:rPr>
              <w:t> </w:t>
            </w:r>
            <w:r w:rsidRPr="00A52C0B">
              <w:rPr>
                <w:color w:val="000000" w:themeColor="text1"/>
                <w:sz w:val="20"/>
                <w:szCs w:val="20"/>
                <w:lang w:val="fr-CA"/>
              </w:rPr>
              <w:t>000</w:t>
            </w:r>
          </w:p>
        </w:tc>
        <w:tc>
          <w:tcPr>
            <w:tcW w:w="1276"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hideMark/>
          </w:tcPr>
          <w:p w14:paraId="2C36AF48" w14:textId="532A2224" w:rsidR="005A5A1E" w:rsidRPr="00A52C0B" w:rsidRDefault="005A5A1E" w:rsidP="005A5A1E">
            <w:pPr>
              <w:keepNext/>
              <w:jc w:val="right"/>
              <w:rPr>
                <w:color w:val="000000" w:themeColor="text1"/>
                <w:sz w:val="20"/>
                <w:szCs w:val="20"/>
                <w:lang w:val="fr-CA"/>
              </w:rPr>
            </w:pPr>
            <w:r w:rsidRPr="00A52C0B">
              <w:rPr>
                <w:color w:val="000000" w:themeColor="text1"/>
                <w:sz w:val="20"/>
                <w:szCs w:val="20"/>
                <w:lang w:val="fr-CA"/>
              </w:rPr>
              <w:t>800</w:t>
            </w:r>
            <w:r w:rsidR="00C45C22" w:rsidRPr="00A52C0B">
              <w:rPr>
                <w:color w:val="000000" w:themeColor="text1"/>
                <w:sz w:val="20"/>
                <w:szCs w:val="20"/>
                <w:lang w:val="fr-CA"/>
              </w:rPr>
              <w:t> </w:t>
            </w:r>
            <w:r w:rsidRPr="00A52C0B">
              <w:rPr>
                <w:color w:val="000000" w:themeColor="text1"/>
                <w:sz w:val="20"/>
                <w:szCs w:val="20"/>
                <w:lang w:val="fr-CA"/>
              </w:rPr>
              <w:t>000</w:t>
            </w:r>
          </w:p>
        </w:tc>
        <w:tc>
          <w:tcPr>
            <w:tcW w:w="1156" w:type="dxa"/>
            <w:tcBorders>
              <w:top w:val="nil"/>
              <w:left w:val="single" w:sz="4" w:space="0" w:color="auto"/>
              <w:bottom w:val="single" w:sz="4" w:space="0" w:color="auto"/>
              <w:right w:val="single" w:sz="4" w:space="0" w:color="auto"/>
            </w:tcBorders>
            <w:tcMar>
              <w:top w:w="0" w:type="dxa"/>
              <w:left w:w="58" w:type="dxa"/>
              <w:bottom w:w="0" w:type="dxa"/>
              <w:right w:w="173" w:type="dxa"/>
            </w:tcMar>
            <w:hideMark/>
          </w:tcPr>
          <w:p w14:paraId="48EF2337" w14:textId="77777777" w:rsidR="005A5A1E" w:rsidRPr="00A52C0B" w:rsidRDefault="005A5A1E" w:rsidP="005A5A1E">
            <w:pPr>
              <w:keepNext/>
              <w:jc w:val="right"/>
              <w:rPr>
                <w:color w:val="000000"/>
                <w:sz w:val="20"/>
                <w:szCs w:val="20"/>
                <w:lang w:val="fr-CA"/>
              </w:rPr>
            </w:pPr>
            <w:r w:rsidRPr="00A52C0B">
              <w:rPr>
                <w:color w:val="000000"/>
                <w:sz w:val="20"/>
                <w:szCs w:val="20"/>
                <w:lang w:val="fr-CA"/>
              </w:rPr>
              <w:t>13</w:t>
            </w:r>
          </w:p>
        </w:tc>
        <w:tc>
          <w:tcPr>
            <w:tcW w:w="1537" w:type="dxa"/>
            <w:tcBorders>
              <w:top w:val="single" w:sz="4" w:space="0" w:color="auto"/>
              <w:left w:val="nil"/>
              <w:bottom w:val="single" w:sz="4" w:space="0" w:color="auto"/>
              <w:right w:val="nil"/>
            </w:tcBorders>
            <w:tcMar>
              <w:top w:w="0" w:type="dxa"/>
              <w:left w:w="58" w:type="dxa"/>
              <w:bottom w:w="0" w:type="dxa"/>
              <w:right w:w="173" w:type="dxa"/>
            </w:tcMar>
            <w:hideMark/>
          </w:tcPr>
          <w:p w14:paraId="1926C874" w14:textId="77777777" w:rsidR="005A5A1E" w:rsidRPr="00A52C0B" w:rsidRDefault="005A5A1E" w:rsidP="005A5A1E">
            <w:pPr>
              <w:keepNext/>
              <w:jc w:val="right"/>
              <w:rPr>
                <w:color w:val="000000" w:themeColor="text1"/>
                <w:sz w:val="20"/>
                <w:szCs w:val="20"/>
                <w:lang w:val="fr-CA"/>
              </w:rPr>
            </w:pPr>
            <w:r w:rsidRPr="00A52C0B">
              <w:rPr>
                <w:color w:val="000000"/>
                <w:sz w:val="20"/>
                <w:szCs w:val="20"/>
                <w:lang w:val="fr-CA"/>
              </w:rPr>
              <w:t>780</w:t>
            </w:r>
          </w:p>
        </w:tc>
        <w:tc>
          <w:tcPr>
            <w:tcW w:w="1138" w:type="dxa"/>
            <w:tcBorders>
              <w:top w:val="single" w:sz="4" w:space="0" w:color="auto"/>
              <w:left w:val="single" w:sz="4" w:space="0" w:color="auto"/>
              <w:bottom w:val="single" w:sz="4" w:space="0" w:color="auto"/>
              <w:right w:val="single" w:sz="4" w:space="0" w:color="auto"/>
            </w:tcBorders>
            <w:tcMar>
              <w:top w:w="0" w:type="dxa"/>
              <w:left w:w="58" w:type="dxa"/>
              <w:bottom w:w="0" w:type="dxa"/>
              <w:right w:w="173" w:type="dxa"/>
            </w:tcMar>
            <w:hideMark/>
          </w:tcPr>
          <w:p w14:paraId="7FE4CAF3" w14:textId="4CE49A76" w:rsidR="005A5A1E" w:rsidRPr="00A52C0B" w:rsidRDefault="005A5A1E" w:rsidP="005A5A1E">
            <w:pPr>
              <w:keepNext/>
              <w:jc w:val="right"/>
              <w:rPr>
                <w:color w:val="000000" w:themeColor="text1"/>
                <w:sz w:val="20"/>
                <w:szCs w:val="20"/>
                <w:lang w:val="fr-CA"/>
              </w:rPr>
            </w:pPr>
            <w:r w:rsidRPr="00A52C0B">
              <w:rPr>
                <w:color w:val="000000"/>
                <w:sz w:val="20"/>
                <w:szCs w:val="20"/>
                <w:lang w:val="fr-CA"/>
              </w:rPr>
              <w:t>10</w:t>
            </w:r>
            <w:r w:rsidR="00C45C22" w:rsidRPr="00A52C0B">
              <w:rPr>
                <w:color w:val="000000"/>
                <w:sz w:val="20"/>
                <w:szCs w:val="20"/>
                <w:lang w:val="fr-CA"/>
              </w:rPr>
              <w:t> </w:t>
            </w:r>
            <w:r w:rsidRPr="00A52C0B">
              <w:rPr>
                <w:color w:val="000000"/>
                <w:sz w:val="20"/>
                <w:szCs w:val="20"/>
                <w:lang w:val="fr-CA"/>
              </w:rPr>
              <w:t>400</w:t>
            </w:r>
            <w:r w:rsidR="00C45C22" w:rsidRPr="00A52C0B">
              <w:rPr>
                <w:color w:val="000000"/>
                <w:sz w:val="20"/>
                <w:szCs w:val="20"/>
                <w:lang w:val="fr-CA"/>
              </w:rPr>
              <w:t> </w:t>
            </w:r>
            <w:r w:rsidRPr="00A52C0B">
              <w:rPr>
                <w:color w:val="000000"/>
                <w:sz w:val="20"/>
                <w:szCs w:val="20"/>
                <w:lang w:val="fr-CA"/>
              </w:rPr>
              <w:t>000</w:t>
            </w:r>
          </w:p>
        </w:tc>
      </w:tr>
      <w:tr w:rsidR="005A5A1E" w:rsidRPr="00A52C0B" w14:paraId="09BB7CA2" w14:textId="77777777" w:rsidTr="005501A2">
        <w:tc>
          <w:tcPr>
            <w:tcW w:w="1276"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58" w:type="dxa"/>
            </w:tcMar>
            <w:vAlign w:val="center"/>
            <w:hideMark/>
          </w:tcPr>
          <w:p w14:paraId="5C42B477" w14:textId="77777777" w:rsidR="005A5A1E" w:rsidRPr="00A52C0B" w:rsidRDefault="005A5A1E" w:rsidP="005A5A1E">
            <w:pPr>
              <w:widowControl w:val="0"/>
              <w:rPr>
                <w:color w:val="000000" w:themeColor="text1"/>
                <w:sz w:val="20"/>
                <w:szCs w:val="20"/>
                <w:lang w:val="fr-CA"/>
              </w:rPr>
            </w:pPr>
            <w:r w:rsidRPr="00A52C0B">
              <w:rPr>
                <w:color w:val="000000" w:themeColor="text1"/>
                <w:sz w:val="20"/>
                <w:szCs w:val="20"/>
                <w:lang w:val="fr-CA"/>
              </w:rPr>
              <w:t>80 &lt;120</w:t>
            </w:r>
          </w:p>
        </w:tc>
        <w:tc>
          <w:tcPr>
            <w:tcW w:w="1559"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hideMark/>
          </w:tcPr>
          <w:p w14:paraId="061223C8" w14:textId="6DDF6243" w:rsidR="005A5A1E" w:rsidRPr="00A52C0B" w:rsidRDefault="005A5A1E" w:rsidP="005A5A1E">
            <w:pPr>
              <w:keepNext/>
              <w:jc w:val="right"/>
              <w:rPr>
                <w:color w:val="000000" w:themeColor="text1"/>
                <w:sz w:val="20"/>
                <w:szCs w:val="20"/>
                <w:lang w:val="fr-CA"/>
              </w:rPr>
            </w:pPr>
            <w:r w:rsidRPr="00A52C0B">
              <w:rPr>
                <w:color w:val="000000" w:themeColor="text1"/>
                <w:sz w:val="20"/>
                <w:szCs w:val="20"/>
                <w:lang w:val="fr-CA"/>
              </w:rPr>
              <w:t>315</w:t>
            </w:r>
            <w:r w:rsidR="00C45C22" w:rsidRPr="00A52C0B">
              <w:rPr>
                <w:color w:val="000000" w:themeColor="text1"/>
                <w:sz w:val="20"/>
                <w:szCs w:val="20"/>
                <w:lang w:val="fr-CA"/>
              </w:rPr>
              <w:t> </w:t>
            </w:r>
            <w:r w:rsidRPr="00A52C0B">
              <w:rPr>
                <w:color w:val="000000" w:themeColor="text1"/>
                <w:sz w:val="20"/>
                <w:szCs w:val="20"/>
                <w:lang w:val="fr-CA"/>
              </w:rPr>
              <w:t>000</w:t>
            </w:r>
          </w:p>
        </w:tc>
        <w:tc>
          <w:tcPr>
            <w:tcW w:w="1418"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hideMark/>
          </w:tcPr>
          <w:p w14:paraId="00F36E60" w14:textId="28676086" w:rsidR="005A5A1E" w:rsidRPr="00A52C0B" w:rsidRDefault="005A5A1E" w:rsidP="005A5A1E">
            <w:pPr>
              <w:keepNext/>
              <w:jc w:val="right"/>
              <w:rPr>
                <w:color w:val="000000" w:themeColor="text1"/>
                <w:sz w:val="20"/>
                <w:szCs w:val="20"/>
                <w:lang w:val="fr-CA"/>
              </w:rPr>
            </w:pPr>
            <w:r w:rsidRPr="00A52C0B">
              <w:rPr>
                <w:color w:val="000000" w:themeColor="text1"/>
                <w:sz w:val="20"/>
                <w:szCs w:val="20"/>
                <w:lang w:val="fr-CA"/>
              </w:rPr>
              <w:t>607</w:t>
            </w:r>
            <w:r w:rsidR="00C45C22" w:rsidRPr="00A52C0B">
              <w:rPr>
                <w:color w:val="000000" w:themeColor="text1"/>
                <w:sz w:val="20"/>
                <w:szCs w:val="20"/>
                <w:lang w:val="fr-CA"/>
              </w:rPr>
              <w:t> </w:t>
            </w:r>
            <w:r w:rsidRPr="00A52C0B">
              <w:rPr>
                <w:color w:val="000000" w:themeColor="text1"/>
                <w:sz w:val="20"/>
                <w:szCs w:val="20"/>
                <w:lang w:val="fr-CA"/>
              </w:rPr>
              <w:t>500</w:t>
            </w:r>
          </w:p>
        </w:tc>
        <w:tc>
          <w:tcPr>
            <w:tcW w:w="1276"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hideMark/>
          </w:tcPr>
          <w:p w14:paraId="15DE0DA1" w14:textId="0444B831" w:rsidR="005A5A1E" w:rsidRPr="00A52C0B" w:rsidRDefault="005A5A1E" w:rsidP="005A5A1E">
            <w:pPr>
              <w:keepNext/>
              <w:jc w:val="right"/>
              <w:rPr>
                <w:color w:val="000000" w:themeColor="text1"/>
                <w:sz w:val="20"/>
                <w:szCs w:val="20"/>
                <w:lang w:val="fr-CA"/>
              </w:rPr>
            </w:pPr>
            <w:r w:rsidRPr="00A52C0B">
              <w:rPr>
                <w:color w:val="000000" w:themeColor="text1"/>
                <w:sz w:val="20"/>
                <w:szCs w:val="20"/>
                <w:lang w:val="fr-CA"/>
              </w:rPr>
              <w:t>900</w:t>
            </w:r>
            <w:r w:rsidR="00C45C22" w:rsidRPr="00A52C0B">
              <w:rPr>
                <w:color w:val="000000" w:themeColor="text1"/>
                <w:sz w:val="20"/>
                <w:szCs w:val="20"/>
                <w:lang w:val="fr-CA"/>
              </w:rPr>
              <w:t> </w:t>
            </w:r>
            <w:r w:rsidRPr="00A52C0B">
              <w:rPr>
                <w:color w:val="000000" w:themeColor="text1"/>
                <w:sz w:val="20"/>
                <w:szCs w:val="20"/>
                <w:lang w:val="fr-CA"/>
              </w:rPr>
              <w:t>000</w:t>
            </w:r>
          </w:p>
        </w:tc>
        <w:tc>
          <w:tcPr>
            <w:tcW w:w="1156" w:type="dxa"/>
            <w:tcBorders>
              <w:top w:val="nil"/>
              <w:left w:val="single" w:sz="4" w:space="0" w:color="auto"/>
              <w:bottom w:val="single" w:sz="4" w:space="0" w:color="auto"/>
              <w:right w:val="single" w:sz="4" w:space="0" w:color="auto"/>
            </w:tcBorders>
            <w:tcMar>
              <w:top w:w="0" w:type="dxa"/>
              <w:left w:w="58" w:type="dxa"/>
              <w:bottom w:w="0" w:type="dxa"/>
              <w:right w:w="173" w:type="dxa"/>
            </w:tcMar>
            <w:hideMark/>
          </w:tcPr>
          <w:p w14:paraId="02BD882D" w14:textId="77777777" w:rsidR="005A5A1E" w:rsidRPr="00A52C0B" w:rsidRDefault="005A5A1E" w:rsidP="005A5A1E">
            <w:pPr>
              <w:keepNext/>
              <w:jc w:val="right"/>
              <w:rPr>
                <w:color w:val="000000"/>
                <w:sz w:val="20"/>
                <w:szCs w:val="20"/>
                <w:lang w:val="fr-CA"/>
              </w:rPr>
            </w:pPr>
            <w:r w:rsidRPr="00A52C0B">
              <w:rPr>
                <w:color w:val="000000"/>
                <w:sz w:val="20"/>
                <w:szCs w:val="20"/>
                <w:lang w:val="fr-CA"/>
              </w:rPr>
              <w:t>10</w:t>
            </w:r>
          </w:p>
        </w:tc>
        <w:tc>
          <w:tcPr>
            <w:tcW w:w="1537" w:type="dxa"/>
            <w:tcBorders>
              <w:top w:val="single" w:sz="4" w:space="0" w:color="auto"/>
              <w:left w:val="nil"/>
              <w:bottom w:val="single" w:sz="4" w:space="0" w:color="auto"/>
              <w:right w:val="nil"/>
            </w:tcBorders>
            <w:tcMar>
              <w:top w:w="0" w:type="dxa"/>
              <w:left w:w="58" w:type="dxa"/>
              <w:bottom w:w="0" w:type="dxa"/>
              <w:right w:w="173" w:type="dxa"/>
            </w:tcMar>
            <w:hideMark/>
          </w:tcPr>
          <w:p w14:paraId="3C1DC52E" w14:textId="3A03E692" w:rsidR="005A5A1E" w:rsidRPr="00A52C0B" w:rsidRDefault="005A5A1E" w:rsidP="005A5A1E">
            <w:pPr>
              <w:keepNext/>
              <w:jc w:val="right"/>
              <w:rPr>
                <w:color w:val="000000" w:themeColor="text1"/>
                <w:sz w:val="20"/>
                <w:szCs w:val="20"/>
                <w:lang w:val="fr-CA"/>
              </w:rPr>
            </w:pPr>
            <w:r w:rsidRPr="00A52C0B">
              <w:rPr>
                <w:color w:val="000000"/>
                <w:sz w:val="20"/>
                <w:szCs w:val="20"/>
                <w:lang w:val="fr-CA"/>
              </w:rPr>
              <w:t>1</w:t>
            </w:r>
            <w:r w:rsidR="00C45C22" w:rsidRPr="00A52C0B">
              <w:rPr>
                <w:color w:val="000000"/>
                <w:sz w:val="20"/>
                <w:szCs w:val="20"/>
                <w:lang w:val="fr-CA"/>
              </w:rPr>
              <w:t> </w:t>
            </w:r>
            <w:r w:rsidRPr="00A52C0B">
              <w:rPr>
                <w:color w:val="000000"/>
                <w:sz w:val="20"/>
                <w:szCs w:val="20"/>
                <w:lang w:val="fr-CA"/>
              </w:rPr>
              <w:t>000</w:t>
            </w:r>
          </w:p>
        </w:tc>
        <w:tc>
          <w:tcPr>
            <w:tcW w:w="1138" w:type="dxa"/>
            <w:tcBorders>
              <w:top w:val="single" w:sz="4" w:space="0" w:color="auto"/>
              <w:left w:val="single" w:sz="4" w:space="0" w:color="auto"/>
              <w:bottom w:val="single" w:sz="4" w:space="0" w:color="auto"/>
              <w:right w:val="single" w:sz="4" w:space="0" w:color="auto"/>
            </w:tcBorders>
            <w:tcMar>
              <w:top w:w="0" w:type="dxa"/>
              <w:left w:w="58" w:type="dxa"/>
              <w:bottom w:w="0" w:type="dxa"/>
              <w:right w:w="173" w:type="dxa"/>
            </w:tcMar>
            <w:hideMark/>
          </w:tcPr>
          <w:p w14:paraId="5D2258F4" w14:textId="39605DF7" w:rsidR="005A5A1E" w:rsidRPr="00A52C0B" w:rsidRDefault="005A5A1E" w:rsidP="005A5A1E">
            <w:pPr>
              <w:keepNext/>
              <w:jc w:val="right"/>
              <w:rPr>
                <w:color w:val="000000" w:themeColor="text1"/>
                <w:sz w:val="20"/>
                <w:szCs w:val="20"/>
                <w:lang w:val="fr-CA"/>
              </w:rPr>
            </w:pPr>
            <w:r w:rsidRPr="00A52C0B">
              <w:rPr>
                <w:color w:val="000000"/>
                <w:sz w:val="20"/>
                <w:szCs w:val="20"/>
                <w:lang w:val="fr-CA"/>
              </w:rPr>
              <w:t>9</w:t>
            </w:r>
            <w:r w:rsidR="00C45C22" w:rsidRPr="00A52C0B">
              <w:rPr>
                <w:color w:val="000000"/>
                <w:sz w:val="20"/>
                <w:szCs w:val="20"/>
                <w:lang w:val="fr-CA"/>
              </w:rPr>
              <w:t> </w:t>
            </w:r>
            <w:r w:rsidRPr="00A52C0B">
              <w:rPr>
                <w:color w:val="000000"/>
                <w:sz w:val="20"/>
                <w:szCs w:val="20"/>
                <w:lang w:val="fr-CA"/>
              </w:rPr>
              <w:t>000</w:t>
            </w:r>
            <w:r w:rsidR="00C45C22" w:rsidRPr="00A52C0B">
              <w:rPr>
                <w:color w:val="000000"/>
                <w:sz w:val="20"/>
                <w:szCs w:val="20"/>
                <w:lang w:val="fr-CA"/>
              </w:rPr>
              <w:t> </w:t>
            </w:r>
            <w:r w:rsidRPr="00A52C0B">
              <w:rPr>
                <w:color w:val="000000"/>
                <w:sz w:val="20"/>
                <w:szCs w:val="20"/>
                <w:lang w:val="fr-CA"/>
              </w:rPr>
              <w:t>000</w:t>
            </w:r>
          </w:p>
        </w:tc>
      </w:tr>
      <w:tr w:rsidR="005A5A1E" w:rsidRPr="00A52C0B" w14:paraId="1130490A" w14:textId="77777777" w:rsidTr="005501A2">
        <w:tc>
          <w:tcPr>
            <w:tcW w:w="1276"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58" w:type="dxa"/>
            </w:tcMar>
            <w:vAlign w:val="center"/>
            <w:hideMark/>
          </w:tcPr>
          <w:p w14:paraId="78A90D38" w14:textId="77777777" w:rsidR="005A5A1E" w:rsidRPr="00A52C0B" w:rsidRDefault="005A5A1E" w:rsidP="005A5A1E">
            <w:pPr>
              <w:widowControl w:val="0"/>
              <w:rPr>
                <w:color w:val="000000" w:themeColor="text1"/>
                <w:sz w:val="20"/>
                <w:szCs w:val="20"/>
                <w:lang w:val="fr-CA"/>
              </w:rPr>
            </w:pPr>
            <w:r w:rsidRPr="00A52C0B">
              <w:rPr>
                <w:color w:val="000000" w:themeColor="text1"/>
                <w:sz w:val="20"/>
                <w:szCs w:val="20"/>
                <w:lang w:val="fr-CA"/>
              </w:rPr>
              <w:t>120 &lt;160</w:t>
            </w:r>
          </w:p>
        </w:tc>
        <w:tc>
          <w:tcPr>
            <w:tcW w:w="1559"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hideMark/>
          </w:tcPr>
          <w:p w14:paraId="086D0A4B" w14:textId="47BCD8C0" w:rsidR="005A5A1E" w:rsidRPr="00A52C0B" w:rsidRDefault="005A5A1E" w:rsidP="005A5A1E">
            <w:pPr>
              <w:widowControl w:val="0"/>
              <w:jc w:val="right"/>
              <w:rPr>
                <w:color w:val="000000" w:themeColor="text1"/>
                <w:sz w:val="20"/>
                <w:szCs w:val="20"/>
                <w:lang w:val="fr-CA"/>
              </w:rPr>
            </w:pPr>
            <w:r w:rsidRPr="00A52C0B">
              <w:rPr>
                <w:color w:val="000000" w:themeColor="text1"/>
                <w:sz w:val="20"/>
                <w:szCs w:val="20"/>
                <w:lang w:val="fr-CA"/>
              </w:rPr>
              <w:t>332</w:t>
            </w:r>
            <w:r w:rsidR="00C45C22" w:rsidRPr="00A52C0B">
              <w:rPr>
                <w:color w:val="000000" w:themeColor="text1"/>
                <w:sz w:val="20"/>
                <w:szCs w:val="20"/>
                <w:lang w:val="fr-CA"/>
              </w:rPr>
              <w:t> </w:t>
            </w:r>
            <w:r w:rsidRPr="00A52C0B">
              <w:rPr>
                <w:color w:val="000000" w:themeColor="text1"/>
                <w:sz w:val="20"/>
                <w:szCs w:val="20"/>
                <w:lang w:val="fr-CA"/>
              </w:rPr>
              <w:t>500</w:t>
            </w:r>
          </w:p>
        </w:tc>
        <w:tc>
          <w:tcPr>
            <w:tcW w:w="1418"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hideMark/>
          </w:tcPr>
          <w:p w14:paraId="5A3096EB" w14:textId="0EB660BA" w:rsidR="005A5A1E" w:rsidRPr="00A52C0B" w:rsidRDefault="005A5A1E" w:rsidP="005A5A1E">
            <w:pPr>
              <w:widowControl w:val="0"/>
              <w:jc w:val="right"/>
              <w:rPr>
                <w:color w:val="000000" w:themeColor="text1"/>
                <w:sz w:val="20"/>
                <w:szCs w:val="20"/>
                <w:lang w:val="fr-CA"/>
              </w:rPr>
            </w:pPr>
            <w:r w:rsidRPr="00A52C0B">
              <w:rPr>
                <w:color w:val="000000" w:themeColor="text1"/>
                <w:sz w:val="20"/>
                <w:szCs w:val="20"/>
                <w:lang w:val="fr-CA"/>
              </w:rPr>
              <w:t>641</w:t>
            </w:r>
            <w:r w:rsidR="00C45C22" w:rsidRPr="00A52C0B">
              <w:rPr>
                <w:color w:val="000000" w:themeColor="text1"/>
                <w:sz w:val="20"/>
                <w:szCs w:val="20"/>
                <w:lang w:val="fr-CA"/>
              </w:rPr>
              <w:t> </w:t>
            </w:r>
            <w:r w:rsidRPr="00A52C0B">
              <w:rPr>
                <w:color w:val="000000" w:themeColor="text1"/>
                <w:sz w:val="20"/>
                <w:szCs w:val="20"/>
                <w:lang w:val="fr-CA"/>
              </w:rPr>
              <w:t>250</w:t>
            </w:r>
          </w:p>
        </w:tc>
        <w:tc>
          <w:tcPr>
            <w:tcW w:w="1276"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hideMark/>
          </w:tcPr>
          <w:p w14:paraId="151A8DA4" w14:textId="52B7AD9F" w:rsidR="005A5A1E" w:rsidRPr="00A52C0B" w:rsidRDefault="005A5A1E" w:rsidP="005A5A1E">
            <w:pPr>
              <w:widowControl w:val="0"/>
              <w:jc w:val="right"/>
              <w:rPr>
                <w:color w:val="000000" w:themeColor="text1"/>
                <w:sz w:val="20"/>
                <w:szCs w:val="20"/>
                <w:lang w:val="fr-CA"/>
              </w:rPr>
            </w:pPr>
            <w:r w:rsidRPr="00A52C0B">
              <w:rPr>
                <w:color w:val="000000" w:themeColor="text1"/>
                <w:sz w:val="20"/>
                <w:szCs w:val="20"/>
                <w:lang w:val="fr-CA"/>
              </w:rPr>
              <w:t>950</w:t>
            </w:r>
            <w:r w:rsidR="00C45C22" w:rsidRPr="00A52C0B">
              <w:rPr>
                <w:color w:val="000000" w:themeColor="text1"/>
                <w:sz w:val="20"/>
                <w:szCs w:val="20"/>
                <w:lang w:val="fr-CA"/>
              </w:rPr>
              <w:t> </w:t>
            </w:r>
            <w:r w:rsidRPr="00A52C0B">
              <w:rPr>
                <w:color w:val="000000" w:themeColor="text1"/>
                <w:sz w:val="20"/>
                <w:szCs w:val="20"/>
                <w:lang w:val="fr-CA"/>
              </w:rPr>
              <w:t>000</w:t>
            </w:r>
          </w:p>
        </w:tc>
        <w:tc>
          <w:tcPr>
            <w:tcW w:w="1156" w:type="dxa"/>
            <w:tcBorders>
              <w:top w:val="nil"/>
              <w:left w:val="single" w:sz="4" w:space="0" w:color="auto"/>
              <w:bottom w:val="single" w:sz="4" w:space="0" w:color="auto"/>
              <w:right w:val="single" w:sz="4" w:space="0" w:color="auto"/>
            </w:tcBorders>
            <w:tcMar>
              <w:top w:w="0" w:type="dxa"/>
              <w:left w:w="58" w:type="dxa"/>
              <w:bottom w:w="0" w:type="dxa"/>
              <w:right w:w="173" w:type="dxa"/>
            </w:tcMar>
            <w:hideMark/>
          </w:tcPr>
          <w:p w14:paraId="36B87F01" w14:textId="77777777" w:rsidR="005A5A1E" w:rsidRPr="00A52C0B" w:rsidRDefault="005A5A1E" w:rsidP="005A5A1E">
            <w:pPr>
              <w:widowControl w:val="0"/>
              <w:jc w:val="right"/>
              <w:rPr>
                <w:color w:val="000000"/>
                <w:sz w:val="20"/>
                <w:szCs w:val="20"/>
                <w:lang w:val="fr-CA"/>
              </w:rPr>
            </w:pPr>
            <w:r w:rsidRPr="00A52C0B">
              <w:rPr>
                <w:color w:val="000000"/>
                <w:sz w:val="20"/>
                <w:szCs w:val="20"/>
                <w:lang w:val="fr-CA"/>
              </w:rPr>
              <w:t>9</w:t>
            </w:r>
          </w:p>
        </w:tc>
        <w:tc>
          <w:tcPr>
            <w:tcW w:w="1537" w:type="dxa"/>
            <w:tcBorders>
              <w:top w:val="single" w:sz="4" w:space="0" w:color="auto"/>
              <w:left w:val="nil"/>
              <w:bottom w:val="single" w:sz="4" w:space="0" w:color="auto"/>
              <w:right w:val="nil"/>
            </w:tcBorders>
            <w:tcMar>
              <w:top w:w="0" w:type="dxa"/>
              <w:left w:w="58" w:type="dxa"/>
              <w:bottom w:w="0" w:type="dxa"/>
              <w:right w:w="173" w:type="dxa"/>
            </w:tcMar>
            <w:hideMark/>
          </w:tcPr>
          <w:p w14:paraId="5EED2C91" w14:textId="22CA9981" w:rsidR="005A5A1E" w:rsidRPr="00A52C0B" w:rsidRDefault="005A5A1E" w:rsidP="005A5A1E">
            <w:pPr>
              <w:widowControl w:val="0"/>
              <w:jc w:val="right"/>
              <w:rPr>
                <w:color w:val="000000" w:themeColor="text1"/>
                <w:sz w:val="20"/>
                <w:szCs w:val="20"/>
                <w:lang w:val="fr-CA"/>
              </w:rPr>
            </w:pPr>
            <w:r w:rsidRPr="00A52C0B">
              <w:rPr>
                <w:color w:val="000000"/>
                <w:sz w:val="20"/>
                <w:szCs w:val="20"/>
                <w:lang w:val="fr-CA"/>
              </w:rPr>
              <w:t>1</w:t>
            </w:r>
            <w:r w:rsidR="00C45C22" w:rsidRPr="00A52C0B">
              <w:rPr>
                <w:color w:val="000000"/>
                <w:sz w:val="20"/>
                <w:szCs w:val="20"/>
                <w:lang w:val="fr-CA"/>
              </w:rPr>
              <w:t> </w:t>
            </w:r>
            <w:r w:rsidRPr="00A52C0B">
              <w:rPr>
                <w:color w:val="000000"/>
                <w:sz w:val="20"/>
                <w:szCs w:val="20"/>
                <w:lang w:val="fr-CA"/>
              </w:rPr>
              <w:t>260</w:t>
            </w:r>
          </w:p>
        </w:tc>
        <w:tc>
          <w:tcPr>
            <w:tcW w:w="1138" w:type="dxa"/>
            <w:tcBorders>
              <w:top w:val="single" w:sz="4" w:space="0" w:color="auto"/>
              <w:left w:val="single" w:sz="4" w:space="0" w:color="auto"/>
              <w:bottom w:val="single" w:sz="4" w:space="0" w:color="auto"/>
              <w:right w:val="single" w:sz="4" w:space="0" w:color="auto"/>
            </w:tcBorders>
            <w:tcMar>
              <w:top w:w="0" w:type="dxa"/>
              <w:left w:w="58" w:type="dxa"/>
              <w:bottom w:w="0" w:type="dxa"/>
              <w:right w:w="173" w:type="dxa"/>
            </w:tcMar>
            <w:hideMark/>
          </w:tcPr>
          <w:p w14:paraId="4BD3A365" w14:textId="2E00DF25" w:rsidR="005A5A1E" w:rsidRPr="00A52C0B" w:rsidRDefault="005A5A1E" w:rsidP="005A5A1E">
            <w:pPr>
              <w:widowControl w:val="0"/>
              <w:jc w:val="right"/>
              <w:rPr>
                <w:color w:val="000000" w:themeColor="text1"/>
                <w:sz w:val="20"/>
                <w:szCs w:val="20"/>
                <w:lang w:val="fr-CA"/>
              </w:rPr>
            </w:pPr>
            <w:r w:rsidRPr="00A52C0B">
              <w:rPr>
                <w:color w:val="000000"/>
                <w:sz w:val="20"/>
                <w:szCs w:val="20"/>
                <w:lang w:val="fr-CA"/>
              </w:rPr>
              <w:t>8</w:t>
            </w:r>
            <w:r w:rsidR="00C45C22" w:rsidRPr="00A52C0B">
              <w:rPr>
                <w:color w:val="000000"/>
                <w:sz w:val="20"/>
                <w:szCs w:val="20"/>
                <w:lang w:val="fr-CA"/>
              </w:rPr>
              <w:t> </w:t>
            </w:r>
            <w:r w:rsidRPr="00A52C0B">
              <w:rPr>
                <w:color w:val="000000"/>
                <w:sz w:val="20"/>
                <w:szCs w:val="20"/>
                <w:lang w:val="fr-CA"/>
              </w:rPr>
              <w:t>550</w:t>
            </w:r>
            <w:r w:rsidR="00C45C22" w:rsidRPr="00A52C0B">
              <w:rPr>
                <w:color w:val="000000"/>
                <w:sz w:val="20"/>
                <w:szCs w:val="20"/>
                <w:lang w:val="fr-CA"/>
              </w:rPr>
              <w:t> </w:t>
            </w:r>
            <w:r w:rsidRPr="00A52C0B">
              <w:rPr>
                <w:color w:val="000000"/>
                <w:sz w:val="20"/>
                <w:szCs w:val="20"/>
                <w:lang w:val="fr-CA"/>
              </w:rPr>
              <w:t>000</w:t>
            </w:r>
          </w:p>
        </w:tc>
      </w:tr>
      <w:tr w:rsidR="005A5A1E" w:rsidRPr="00A52C0B" w14:paraId="0989F6D4" w14:textId="77777777" w:rsidTr="005501A2">
        <w:tc>
          <w:tcPr>
            <w:tcW w:w="1276"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58" w:type="dxa"/>
            </w:tcMar>
            <w:vAlign w:val="center"/>
            <w:hideMark/>
          </w:tcPr>
          <w:p w14:paraId="046EB4F7" w14:textId="77777777" w:rsidR="005A5A1E" w:rsidRPr="00A52C0B" w:rsidRDefault="005A5A1E" w:rsidP="005A5A1E">
            <w:pPr>
              <w:widowControl w:val="0"/>
              <w:rPr>
                <w:color w:val="000000" w:themeColor="text1"/>
                <w:sz w:val="20"/>
                <w:szCs w:val="20"/>
                <w:lang w:val="fr-CA"/>
              </w:rPr>
            </w:pPr>
            <w:r w:rsidRPr="00A52C0B">
              <w:rPr>
                <w:color w:val="000000" w:themeColor="text1"/>
                <w:sz w:val="20"/>
                <w:szCs w:val="20"/>
                <w:lang w:val="fr-CA"/>
              </w:rPr>
              <w:t>160 &lt;200</w:t>
            </w:r>
          </w:p>
        </w:tc>
        <w:tc>
          <w:tcPr>
            <w:tcW w:w="1559"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hideMark/>
          </w:tcPr>
          <w:p w14:paraId="26212147" w14:textId="0C368F8A" w:rsidR="005A5A1E" w:rsidRPr="00A52C0B" w:rsidRDefault="005A5A1E" w:rsidP="005A5A1E">
            <w:pPr>
              <w:widowControl w:val="0"/>
              <w:jc w:val="right"/>
              <w:rPr>
                <w:color w:val="000000" w:themeColor="text1"/>
                <w:sz w:val="20"/>
                <w:szCs w:val="20"/>
                <w:lang w:val="fr-CA"/>
              </w:rPr>
            </w:pPr>
            <w:r w:rsidRPr="00A52C0B">
              <w:rPr>
                <w:color w:val="000000" w:themeColor="text1"/>
                <w:sz w:val="20"/>
                <w:szCs w:val="20"/>
                <w:lang w:val="fr-CA"/>
              </w:rPr>
              <w:t>350</w:t>
            </w:r>
            <w:r w:rsidR="00C45C22" w:rsidRPr="00A52C0B">
              <w:rPr>
                <w:color w:val="000000" w:themeColor="text1"/>
                <w:sz w:val="20"/>
                <w:szCs w:val="20"/>
                <w:lang w:val="fr-CA"/>
              </w:rPr>
              <w:t> </w:t>
            </w:r>
            <w:r w:rsidRPr="00A52C0B">
              <w:rPr>
                <w:color w:val="000000" w:themeColor="text1"/>
                <w:sz w:val="20"/>
                <w:szCs w:val="20"/>
                <w:lang w:val="fr-CA"/>
              </w:rPr>
              <w:t>000</w:t>
            </w:r>
          </w:p>
        </w:tc>
        <w:tc>
          <w:tcPr>
            <w:tcW w:w="1418"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hideMark/>
          </w:tcPr>
          <w:p w14:paraId="60066773" w14:textId="7A30750C" w:rsidR="005A5A1E" w:rsidRPr="00A52C0B" w:rsidRDefault="005A5A1E" w:rsidP="005A5A1E">
            <w:pPr>
              <w:widowControl w:val="0"/>
              <w:jc w:val="right"/>
              <w:rPr>
                <w:color w:val="000000" w:themeColor="text1"/>
                <w:sz w:val="20"/>
                <w:szCs w:val="20"/>
                <w:lang w:val="fr-CA"/>
              </w:rPr>
            </w:pPr>
            <w:r w:rsidRPr="00A52C0B">
              <w:rPr>
                <w:color w:val="000000" w:themeColor="text1"/>
                <w:sz w:val="20"/>
                <w:szCs w:val="20"/>
                <w:lang w:val="fr-CA"/>
              </w:rPr>
              <w:t>675</w:t>
            </w:r>
            <w:r w:rsidR="00C45C22" w:rsidRPr="00A52C0B">
              <w:rPr>
                <w:color w:val="000000" w:themeColor="text1"/>
                <w:sz w:val="20"/>
                <w:szCs w:val="20"/>
                <w:lang w:val="fr-CA"/>
              </w:rPr>
              <w:t> </w:t>
            </w:r>
            <w:r w:rsidRPr="00A52C0B">
              <w:rPr>
                <w:color w:val="000000" w:themeColor="text1"/>
                <w:sz w:val="20"/>
                <w:szCs w:val="20"/>
                <w:lang w:val="fr-CA"/>
              </w:rPr>
              <w:t>000</w:t>
            </w:r>
          </w:p>
        </w:tc>
        <w:tc>
          <w:tcPr>
            <w:tcW w:w="1276"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hideMark/>
          </w:tcPr>
          <w:p w14:paraId="70BB8BA1" w14:textId="05C2E063" w:rsidR="005A5A1E" w:rsidRPr="00A52C0B" w:rsidRDefault="005A5A1E" w:rsidP="005A5A1E">
            <w:pPr>
              <w:widowControl w:val="0"/>
              <w:jc w:val="right"/>
              <w:rPr>
                <w:color w:val="000000" w:themeColor="text1"/>
                <w:sz w:val="20"/>
                <w:szCs w:val="20"/>
                <w:lang w:val="fr-CA"/>
              </w:rPr>
            </w:pPr>
            <w:r w:rsidRPr="00A52C0B">
              <w:rPr>
                <w:color w:val="000000" w:themeColor="text1"/>
                <w:sz w:val="20"/>
                <w:szCs w:val="20"/>
                <w:lang w:val="fr-CA"/>
              </w:rPr>
              <w:t>1</w:t>
            </w:r>
            <w:r w:rsidR="00C45C22" w:rsidRPr="00A52C0B">
              <w:rPr>
                <w:color w:val="000000" w:themeColor="text1"/>
                <w:sz w:val="20"/>
                <w:szCs w:val="20"/>
                <w:lang w:val="fr-CA"/>
              </w:rPr>
              <w:t> </w:t>
            </w:r>
            <w:r w:rsidRPr="00A52C0B">
              <w:rPr>
                <w:color w:val="000000" w:themeColor="text1"/>
                <w:sz w:val="20"/>
                <w:szCs w:val="20"/>
                <w:lang w:val="fr-CA"/>
              </w:rPr>
              <w:t>000</w:t>
            </w:r>
            <w:r w:rsidR="00C45C22" w:rsidRPr="00A52C0B">
              <w:rPr>
                <w:color w:val="000000" w:themeColor="text1"/>
                <w:sz w:val="20"/>
                <w:szCs w:val="20"/>
                <w:lang w:val="fr-CA"/>
              </w:rPr>
              <w:t> </w:t>
            </w:r>
            <w:r w:rsidRPr="00A52C0B">
              <w:rPr>
                <w:color w:val="000000" w:themeColor="text1"/>
                <w:sz w:val="20"/>
                <w:szCs w:val="20"/>
                <w:lang w:val="fr-CA"/>
              </w:rPr>
              <w:t>000</w:t>
            </w:r>
          </w:p>
        </w:tc>
        <w:tc>
          <w:tcPr>
            <w:tcW w:w="1156" w:type="dxa"/>
            <w:tcBorders>
              <w:top w:val="nil"/>
              <w:left w:val="single" w:sz="4" w:space="0" w:color="auto"/>
              <w:bottom w:val="single" w:sz="4" w:space="0" w:color="auto"/>
              <w:right w:val="single" w:sz="4" w:space="0" w:color="auto"/>
            </w:tcBorders>
            <w:tcMar>
              <w:top w:w="0" w:type="dxa"/>
              <w:left w:w="58" w:type="dxa"/>
              <w:bottom w:w="0" w:type="dxa"/>
              <w:right w:w="173" w:type="dxa"/>
            </w:tcMar>
            <w:hideMark/>
          </w:tcPr>
          <w:p w14:paraId="65E88C0F" w14:textId="77777777" w:rsidR="005A5A1E" w:rsidRPr="00A52C0B" w:rsidRDefault="005A5A1E" w:rsidP="005A5A1E">
            <w:pPr>
              <w:widowControl w:val="0"/>
              <w:jc w:val="right"/>
              <w:rPr>
                <w:color w:val="000000"/>
                <w:sz w:val="20"/>
                <w:szCs w:val="20"/>
                <w:lang w:val="fr-CA"/>
              </w:rPr>
            </w:pPr>
            <w:r w:rsidRPr="00A52C0B">
              <w:rPr>
                <w:color w:val="000000"/>
                <w:sz w:val="20"/>
                <w:szCs w:val="20"/>
                <w:lang w:val="fr-CA"/>
              </w:rPr>
              <w:t>3</w:t>
            </w:r>
          </w:p>
        </w:tc>
        <w:tc>
          <w:tcPr>
            <w:tcW w:w="1537" w:type="dxa"/>
            <w:tcBorders>
              <w:top w:val="single" w:sz="4" w:space="0" w:color="auto"/>
              <w:left w:val="nil"/>
              <w:bottom w:val="single" w:sz="4" w:space="0" w:color="auto"/>
              <w:right w:val="nil"/>
            </w:tcBorders>
            <w:tcMar>
              <w:top w:w="0" w:type="dxa"/>
              <w:left w:w="58" w:type="dxa"/>
              <w:bottom w:w="0" w:type="dxa"/>
              <w:right w:w="173" w:type="dxa"/>
            </w:tcMar>
            <w:hideMark/>
          </w:tcPr>
          <w:p w14:paraId="2551FCEF" w14:textId="77777777" w:rsidR="005A5A1E" w:rsidRPr="00A52C0B" w:rsidRDefault="005A5A1E" w:rsidP="005A5A1E">
            <w:pPr>
              <w:widowControl w:val="0"/>
              <w:jc w:val="right"/>
              <w:rPr>
                <w:color w:val="000000" w:themeColor="text1"/>
                <w:sz w:val="20"/>
                <w:szCs w:val="20"/>
                <w:lang w:val="fr-CA"/>
              </w:rPr>
            </w:pPr>
            <w:r w:rsidRPr="00A52C0B">
              <w:rPr>
                <w:color w:val="000000"/>
                <w:sz w:val="20"/>
                <w:szCs w:val="20"/>
                <w:lang w:val="fr-CA"/>
              </w:rPr>
              <w:t>540</w:t>
            </w:r>
          </w:p>
        </w:tc>
        <w:tc>
          <w:tcPr>
            <w:tcW w:w="1138" w:type="dxa"/>
            <w:tcBorders>
              <w:top w:val="single" w:sz="4" w:space="0" w:color="auto"/>
              <w:left w:val="single" w:sz="4" w:space="0" w:color="auto"/>
              <w:bottom w:val="single" w:sz="4" w:space="0" w:color="auto"/>
              <w:right w:val="single" w:sz="4" w:space="0" w:color="auto"/>
            </w:tcBorders>
            <w:tcMar>
              <w:top w:w="0" w:type="dxa"/>
              <w:left w:w="58" w:type="dxa"/>
              <w:bottom w:w="0" w:type="dxa"/>
              <w:right w:w="173" w:type="dxa"/>
            </w:tcMar>
            <w:hideMark/>
          </w:tcPr>
          <w:p w14:paraId="55611C5D" w14:textId="091307B3" w:rsidR="005A5A1E" w:rsidRPr="00A52C0B" w:rsidRDefault="005A5A1E" w:rsidP="005A5A1E">
            <w:pPr>
              <w:widowControl w:val="0"/>
              <w:jc w:val="right"/>
              <w:rPr>
                <w:color w:val="000000" w:themeColor="text1"/>
                <w:sz w:val="20"/>
                <w:szCs w:val="20"/>
                <w:lang w:val="fr-CA"/>
              </w:rPr>
            </w:pPr>
            <w:r w:rsidRPr="00A52C0B">
              <w:rPr>
                <w:color w:val="000000"/>
                <w:sz w:val="20"/>
                <w:szCs w:val="20"/>
                <w:lang w:val="fr-CA"/>
              </w:rPr>
              <w:t>3</w:t>
            </w:r>
            <w:r w:rsidR="00C45C22" w:rsidRPr="00A52C0B">
              <w:rPr>
                <w:color w:val="000000"/>
                <w:sz w:val="20"/>
                <w:szCs w:val="20"/>
                <w:lang w:val="fr-CA"/>
              </w:rPr>
              <w:t> </w:t>
            </w:r>
            <w:r w:rsidRPr="00A52C0B">
              <w:rPr>
                <w:color w:val="000000"/>
                <w:sz w:val="20"/>
                <w:szCs w:val="20"/>
                <w:lang w:val="fr-CA"/>
              </w:rPr>
              <w:t>000</w:t>
            </w:r>
            <w:r w:rsidR="00C45C22" w:rsidRPr="00A52C0B">
              <w:rPr>
                <w:color w:val="000000"/>
                <w:sz w:val="20"/>
                <w:szCs w:val="20"/>
                <w:lang w:val="fr-CA"/>
              </w:rPr>
              <w:t> </w:t>
            </w:r>
            <w:r w:rsidRPr="00A52C0B">
              <w:rPr>
                <w:color w:val="000000"/>
                <w:sz w:val="20"/>
                <w:szCs w:val="20"/>
                <w:lang w:val="fr-CA"/>
              </w:rPr>
              <w:t>000</w:t>
            </w:r>
          </w:p>
        </w:tc>
      </w:tr>
      <w:tr w:rsidR="005A5A1E" w:rsidRPr="00A52C0B" w14:paraId="22C7EB18" w14:textId="77777777" w:rsidTr="005501A2">
        <w:tc>
          <w:tcPr>
            <w:tcW w:w="1276"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58" w:type="dxa"/>
            </w:tcMar>
            <w:vAlign w:val="center"/>
            <w:hideMark/>
          </w:tcPr>
          <w:p w14:paraId="0CCECABB" w14:textId="77777777" w:rsidR="005A5A1E" w:rsidRPr="00A52C0B" w:rsidRDefault="005A5A1E" w:rsidP="005A5A1E">
            <w:pPr>
              <w:widowControl w:val="0"/>
              <w:rPr>
                <w:color w:val="000000" w:themeColor="text1"/>
                <w:sz w:val="20"/>
                <w:szCs w:val="20"/>
                <w:lang w:val="fr-CA"/>
              </w:rPr>
            </w:pPr>
            <w:r w:rsidRPr="00A52C0B">
              <w:rPr>
                <w:color w:val="000000" w:themeColor="text1"/>
                <w:sz w:val="20"/>
                <w:szCs w:val="20"/>
                <w:lang w:val="fr-CA"/>
              </w:rPr>
              <w:t>200 &lt;320</w:t>
            </w:r>
          </w:p>
        </w:tc>
        <w:tc>
          <w:tcPr>
            <w:tcW w:w="1559"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hideMark/>
          </w:tcPr>
          <w:p w14:paraId="744425BF" w14:textId="0E01DACE" w:rsidR="005A5A1E" w:rsidRPr="00A52C0B" w:rsidRDefault="005A5A1E" w:rsidP="005A5A1E">
            <w:pPr>
              <w:widowControl w:val="0"/>
              <w:jc w:val="right"/>
              <w:rPr>
                <w:color w:val="000000" w:themeColor="text1"/>
                <w:sz w:val="20"/>
                <w:szCs w:val="20"/>
                <w:lang w:val="fr-CA"/>
              </w:rPr>
            </w:pPr>
            <w:r w:rsidRPr="00A52C0B">
              <w:rPr>
                <w:color w:val="000000" w:themeColor="text1"/>
                <w:sz w:val="20"/>
                <w:szCs w:val="20"/>
                <w:lang w:val="fr-CA"/>
              </w:rPr>
              <w:t>560</w:t>
            </w:r>
            <w:r w:rsidR="00C45C22" w:rsidRPr="00A52C0B">
              <w:rPr>
                <w:color w:val="000000" w:themeColor="text1"/>
                <w:sz w:val="20"/>
                <w:szCs w:val="20"/>
                <w:lang w:val="fr-CA"/>
              </w:rPr>
              <w:t> </w:t>
            </w:r>
            <w:r w:rsidRPr="00A52C0B">
              <w:rPr>
                <w:color w:val="000000" w:themeColor="text1"/>
                <w:sz w:val="20"/>
                <w:szCs w:val="20"/>
                <w:lang w:val="fr-CA"/>
              </w:rPr>
              <w:t>000</w:t>
            </w:r>
          </w:p>
        </w:tc>
        <w:tc>
          <w:tcPr>
            <w:tcW w:w="1418"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hideMark/>
          </w:tcPr>
          <w:p w14:paraId="75690AF7" w14:textId="778554D0" w:rsidR="005A5A1E" w:rsidRPr="00A52C0B" w:rsidRDefault="005A5A1E" w:rsidP="005A5A1E">
            <w:pPr>
              <w:widowControl w:val="0"/>
              <w:jc w:val="right"/>
              <w:rPr>
                <w:color w:val="000000" w:themeColor="text1"/>
                <w:sz w:val="20"/>
                <w:szCs w:val="20"/>
                <w:lang w:val="fr-CA"/>
              </w:rPr>
            </w:pPr>
            <w:r w:rsidRPr="00A52C0B">
              <w:rPr>
                <w:color w:val="000000" w:themeColor="text1"/>
                <w:sz w:val="20"/>
                <w:szCs w:val="20"/>
                <w:lang w:val="fr-CA"/>
              </w:rPr>
              <w:t>1</w:t>
            </w:r>
            <w:r w:rsidR="00C45C22" w:rsidRPr="00A52C0B">
              <w:rPr>
                <w:color w:val="000000" w:themeColor="text1"/>
                <w:sz w:val="20"/>
                <w:szCs w:val="20"/>
                <w:lang w:val="fr-CA"/>
              </w:rPr>
              <w:t> </w:t>
            </w:r>
            <w:r w:rsidRPr="00A52C0B">
              <w:rPr>
                <w:color w:val="000000" w:themeColor="text1"/>
                <w:sz w:val="20"/>
                <w:szCs w:val="20"/>
                <w:lang w:val="fr-CA"/>
              </w:rPr>
              <w:t>080</w:t>
            </w:r>
            <w:r w:rsidR="00C45C22" w:rsidRPr="00A52C0B">
              <w:rPr>
                <w:color w:val="000000" w:themeColor="text1"/>
                <w:sz w:val="20"/>
                <w:szCs w:val="20"/>
                <w:lang w:val="fr-CA"/>
              </w:rPr>
              <w:t> </w:t>
            </w:r>
            <w:r w:rsidRPr="00A52C0B">
              <w:rPr>
                <w:color w:val="000000" w:themeColor="text1"/>
                <w:sz w:val="20"/>
                <w:szCs w:val="20"/>
                <w:lang w:val="fr-CA"/>
              </w:rPr>
              <w:t>000</w:t>
            </w:r>
          </w:p>
        </w:tc>
        <w:tc>
          <w:tcPr>
            <w:tcW w:w="1276"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hideMark/>
          </w:tcPr>
          <w:p w14:paraId="59D6AC3A" w14:textId="3B6851C9" w:rsidR="005A5A1E" w:rsidRPr="00A52C0B" w:rsidRDefault="005A5A1E" w:rsidP="005A5A1E">
            <w:pPr>
              <w:widowControl w:val="0"/>
              <w:jc w:val="right"/>
              <w:rPr>
                <w:color w:val="000000" w:themeColor="text1"/>
                <w:sz w:val="20"/>
                <w:szCs w:val="20"/>
                <w:lang w:val="fr-CA"/>
              </w:rPr>
            </w:pPr>
            <w:r w:rsidRPr="00A52C0B">
              <w:rPr>
                <w:color w:val="000000" w:themeColor="text1"/>
                <w:sz w:val="20"/>
                <w:szCs w:val="20"/>
                <w:lang w:val="fr-CA"/>
              </w:rPr>
              <w:t>1</w:t>
            </w:r>
            <w:r w:rsidR="00C45C22" w:rsidRPr="00A52C0B">
              <w:rPr>
                <w:color w:val="000000" w:themeColor="text1"/>
                <w:sz w:val="20"/>
                <w:szCs w:val="20"/>
                <w:lang w:val="fr-CA"/>
              </w:rPr>
              <w:t> </w:t>
            </w:r>
            <w:r w:rsidRPr="00A52C0B">
              <w:rPr>
                <w:color w:val="000000" w:themeColor="text1"/>
                <w:sz w:val="20"/>
                <w:szCs w:val="20"/>
                <w:lang w:val="fr-CA"/>
              </w:rPr>
              <w:t>600</w:t>
            </w:r>
            <w:r w:rsidR="00C45C22" w:rsidRPr="00A52C0B">
              <w:rPr>
                <w:color w:val="000000" w:themeColor="text1"/>
                <w:sz w:val="20"/>
                <w:szCs w:val="20"/>
                <w:lang w:val="fr-CA"/>
              </w:rPr>
              <w:t> </w:t>
            </w:r>
            <w:r w:rsidRPr="00A52C0B">
              <w:rPr>
                <w:color w:val="000000" w:themeColor="text1"/>
                <w:sz w:val="20"/>
                <w:szCs w:val="20"/>
                <w:lang w:val="fr-CA"/>
              </w:rPr>
              <w:t>000</w:t>
            </w:r>
          </w:p>
        </w:tc>
        <w:tc>
          <w:tcPr>
            <w:tcW w:w="1156" w:type="dxa"/>
            <w:tcBorders>
              <w:top w:val="nil"/>
              <w:left w:val="single" w:sz="4" w:space="0" w:color="auto"/>
              <w:bottom w:val="single" w:sz="4" w:space="0" w:color="auto"/>
              <w:right w:val="single" w:sz="4" w:space="0" w:color="auto"/>
            </w:tcBorders>
            <w:tcMar>
              <w:top w:w="0" w:type="dxa"/>
              <w:left w:w="58" w:type="dxa"/>
              <w:bottom w:w="0" w:type="dxa"/>
              <w:right w:w="173" w:type="dxa"/>
            </w:tcMar>
            <w:hideMark/>
          </w:tcPr>
          <w:p w14:paraId="1B9A08B6" w14:textId="77777777" w:rsidR="005A5A1E" w:rsidRPr="00A52C0B" w:rsidRDefault="005A5A1E" w:rsidP="005A5A1E">
            <w:pPr>
              <w:widowControl w:val="0"/>
              <w:jc w:val="right"/>
              <w:rPr>
                <w:color w:val="000000"/>
                <w:sz w:val="20"/>
                <w:szCs w:val="20"/>
                <w:lang w:val="fr-CA"/>
              </w:rPr>
            </w:pPr>
            <w:r w:rsidRPr="00A52C0B">
              <w:rPr>
                <w:color w:val="000000"/>
                <w:sz w:val="20"/>
                <w:szCs w:val="20"/>
                <w:lang w:val="fr-CA"/>
              </w:rPr>
              <w:t>12</w:t>
            </w:r>
          </w:p>
        </w:tc>
        <w:tc>
          <w:tcPr>
            <w:tcW w:w="1537" w:type="dxa"/>
            <w:tcBorders>
              <w:top w:val="single" w:sz="4" w:space="0" w:color="auto"/>
              <w:left w:val="nil"/>
              <w:bottom w:val="single" w:sz="4" w:space="0" w:color="auto"/>
              <w:right w:val="nil"/>
            </w:tcBorders>
            <w:tcMar>
              <w:top w:w="0" w:type="dxa"/>
              <w:left w:w="58" w:type="dxa"/>
              <w:bottom w:w="0" w:type="dxa"/>
              <w:right w:w="173" w:type="dxa"/>
            </w:tcMar>
            <w:hideMark/>
          </w:tcPr>
          <w:p w14:paraId="7F4CE736" w14:textId="439D5123" w:rsidR="005A5A1E" w:rsidRPr="00A52C0B" w:rsidRDefault="005A5A1E" w:rsidP="005A5A1E">
            <w:pPr>
              <w:widowControl w:val="0"/>
              <w:jc w:val="right"/>
              <w:rPr>
                <w:color w:val="000000" w:themeColor="text1"/>
                <w:sz w:val="20"/>
                <w:szCs w:val="20"/>
                <w:lang w:val="fr-CA"/>
              </w:rPr>
            </w:pPr>
            <w:r w:rsidRPr="00A52C0B">
              <w:rPr>
                <w:color w:val="000000"/>
                <w:sz w:val="20"/>
                <w:szCs w:val="20"/>
                <w:lang w:val="fr-CA"/>
              </w:rPr>
              <w:t>3</w:t>
            </w:r>
            <w:r w:rsidR="00C45C22" w:rsidRPr="00A52C0B">
              <w:rPr>
                <w:color w:val="000000"/>
                <w:sz w:val="20"/>
                <w:szCs w:val="20"/>
                <w:lang w:val="fr-CA"/>
              </w:rPr>
              <w:t> </w:t>
            </w:r>
            <w:r w:rsidRPr="00A52C0B">
              <w:rPr>
                <w:color w:val="000000"/>
                <w:sz w:val="20"/>
                <w:szCs w:val="20"/>
                <w:lang w:val="fr-CA"/>
              </w:rPr>
              <w:t>120</w:t>
            </w:r>
          </w:p>
        </w:tc>
        <w:tc>
          <w:tcPr>
            <w:tcW w:w="1138" w:type="dxa"/>
            <w:tcBorders>
              <w:top w:val="single" w:sz="4" w:space="0" w:color="auto"/>
              <w:left w:val="single" w:sz="4" w:space="0" w:color="auto"/>
              <w:bottom w:val="single" w:sz="4" w:space="0" w:color="auto"/>
              <w:right w:val="single" w:sz="4" w:space="0" w:color="auto"/>
            </w:tcBorders>
            <w:tcMar>
              <w:top w:w="0" w:type="dxa"/>
              <w:left w:w="58" w:type="dxa"/>
              <w:bottom w:w="0" w:type="dxa"/>
              <w:right w:w="173" w:type="dxa"/>
            </w:tcMar>
            <w:hideMark/>
          </w:tcPr>
          <w:p w14:paraId="444EEC31" w14:textId="56D34E37" w:rsidR="005A5A1E" w:rsidRPr="00A52C0B" w:rsidRDefault="005A5A1E" w:rsidP="005A5A1E">
            <w:pPr>
              <w:widowControl w:val="0"/>
              <w:jc w:val="right"/>
              <w:rPr>
                <w:color w:val="000000" w:themeColor="text1"/>
                <w:sz w:val="20"/>
                <w:szCs w:val="20"/>
                <w:lang w:val="fr-CA"/>
              </w:rPr>
            </w:pPr>
            <w:r w:rsidRPr="00A52C0B">
              <w:rPr>
                <w:color w:val="000000"/>
                <w:sz w:val="20"/>
                <w:szCs w:val="20"/>
                <w:lang w:val="fr-CA"/>
              </w:rPr>
              <w:t>19</w:t>
            </w:r>
            <w:r w:rsidR="00C45C22" w:rsidRPr="00A52C0B">
              <w:rPr>
                <w:color w:val="000000"/>
                <w:sz w:val="20"/>
                <w:szCs w:val="20"/>
                <w:lang w:val="fr-CA"/>
              </w:rPr>
              <w:t> </w:t>
            </w:r>
            <w:r w:rsidRPr="00A52C0B">
              <w:rPr>
                <w:color w:val="000000"/>
                <w:sz w:val="20"/>
                <w:szCs w:val="20"/>
                <w:lang w:val="fr-CA"/>
              </w:rPr>
              <w:t>200</w:t>
            </w:r>
            <w:r w:rsidR="00C45C22" w:rsidRPr="00A52C0B">
              <w:rPr>
                <w:color w:val="000000"/>
                <w:sz w:val="20"/>
                <w:szCs w:val="20"/>
                <w:lang w:val="fr-CA"/>
              </w:rPr>
              <w:t> </w:t>
            </w:r>
            <w:r w:rsidRPr="00A52C0B">
              <w:rPr>
                <w:color w:val="000000"/>
                <w:sz w:val="20"/>
                <w:szCs w:val="20"/>
                <w:lang w:val="fr-CA"/>
              </w:rPr>
              <w:t>000</w:t>
            </w:r>
          </w:p>
        </w:tc>
      </w:tr>
      <w:tr w:rsidR="005A5A1E" w:rsidRPr="00A52C0B" w14:paraId="3BF9F34F" w14:textId="77777777" w:rsidTr="005501A2">
        <w:tc>
          <w:tcPr>
            <w:tcW w:w="1276"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58" w:type="dxa"/>
            </w:tcMar>
            <w:vAlign w:val="center"/>
            <w:hideMark/>
          </w:tcPr>
          <w:p w14:paraId="6A92C2A5" w14:textId="77777777" w:rsidR="005A5A1E" w:rsidRPr="00A52C0B" w:rsidRDefault="005A5A1E" w:rsidP="005A5A1E">
            <w:pPr>
              <w:widowControl w:val="0"/>
              <w:rPr>
                <w:color w:val="000000" w:themeColor="text1"/>
                <w:sz w:val="20"/>
                <w:szCs w:val="20"/>
                <w:lang w:val="fr-CA"/>
              </w:rPr>
            </w:pPr>
            <w:r w:rsidRPr="00A52C0B">
              <w:rPr>
                <w:color w:val="000000" w:themeColor="text1"/>
                <w:sz w:val="20"/>
                <w:szCs w:val="20"/>
                <w:lang w:val="fr-CA"/>
              </w:rPr>
              <w:t>320 &lt;360</w:t>
            </w:r>
          </w:p>
        </w:tc>
        <w:tc>
          <w:tcPr>
            <w:tcW w:w="1559"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hideMark/>
          </w:tcPr>
          <w:p w14:paraId="1B42265C" w14:textId="72069DD3" w:rsidR="005A5A1E" w:rsidRPr="00A52C0B" w:rsidRDefault="005A5A1E" w:rsidP="005A5A1E">
            <w:pPr>
              <w:widowControl w:val="0"/>
              <w:jc w:val="right"/>
              <w:rPr>
                <w:color w:val="000000" w:themeColor="text1"/>
                <w:sz w:val="20"/>
                <w:szCs w:val="20"/>
                <w:lang w:val="fr-CA"/>
              </w:rPr>
            </w:pPr>
            <w:r w:rsidRPr="00A52C0B">
              <w:rPr>
                <w:color w:val="000000" w:themeColor="text1"/>
                <w:sz w:val="20"/>
                <w:szCs w:val="20"/>
                <w:lang w:val="fr-CA"/>
              </w:rPr>
              <w:t>630</w:t>
            </w:r>
            <w:r w:rsidR="00C45C22" w:rsidRPr="00A52C0B">
              <w:rPr>
                <w:color w:val="000000" w:themeColor="text1"/>
                <w:sz w:val="20"/>
                <w:szCs w:val="20"/>
                <w:lang w:val="fr-CA"/>
              </w:rPr>
              <w:t> </w:t>
            </w:r>
            <w:r w:rsidRPr="00A52C0B">
              <w:rPr>
                <w:color w:val="000000" w:themeColor="text1"/>
                <w:sz w:val="20"/>
                <w:szCs w:val="20"/>
                <w:lang w:val="fr-CA"/>
              </w:rPr>
              <w:t>000</w:t>
            </w:r>
          </w:p>
        </w:tc>
        <w:tc>
          <w:tcPr>
            <w:tcW w:w="1418"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hideMark/>
          </w:tcPr>
          <w:p w14:paraId="53C658E9" w14:textId="26716005" w:rsidR="005A5A1E" w:rsidRPr="00A52C0B" w:rsidRDefault="005A5A1E" w:rsidP="005A5A1E">
            <w:pPr>
              <w:widowControl w:val="0"/>
              <w:jc w:val="right"/>
              <w:rPr>
                <w:color w:val="000000" w:themeColor="text1"/>
                <w:sz w:val="20"/>
                <w:szCs w:val="20"/>
                <w:lang w:val="fr-CA"/>
              </w:rPr>
            </w:pPr>
            <w:r w:rsidRPr="00A52C0B">
              <w:rPr>
                <w:color w:val="000000" w:themeColor="text1"/>
                <w:sz w:val="20"/>
                <w:szCs w:val="20"/>
                <w:lang w:val="fr-CA"/>
              </w:rPr>
              <w:t>1</w:t>
            </w:r>
            <w:r w:rsidR="00C45C22" w:rsidRPr="00A52C0B">
              <w:rPr>
                <w:color w:val="000000" w:themeColor="text1"/>
                <w:sz w:val="20"/>
                <w:szCs w:val="20"/>
                <w:lang w:val="fr-CA"/>
              </w:rPr>
              <w:t> </w:t>
            </w:r>
            <w:r w:rsidRPr="00A52C0B">
              <w:rPr>
                <w:color w:val="000000" w:themeColor="text1"/>
                <w:sz w:val="20"/>
                <w:szCs w:val="20"/>
                <w:lang w:val="fr-CA"/>
              </w:rPr>
              <w:t>215</w:t>
            </w:r>
            <w:r w:rsidR="00C45C22" w:rsidRPr="00A52C0B">
              <w:rPr>
                <w:color w:val="000000" w:themeColor="text1"/>
                <w:sz w:val="20"/>
                <w:szCs w:val="20"/>
                <w:lang w:val="fr-CA"/>
              </w:rPr>
              <w:t> </w:t>
            </w:r>
            <w:r w:rsidRPr="00A52C0B">
              <w:rPr>
                <w:color w:val="000000" w:themeColor="text1"/>
                <w:sz w:val="20"/>
                <w:szCs w:val="20"/>
                <w:lang w:val="fr-CA"/>
              </w:rPr>
              <w:t>000</w:t>
            </w:r>
          </w:p>
        </w:tc>
        <w:tc>
          <w:tcPr>
            <w:tcW w:w="1276"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hideMark/>
          </w:tcPr>
          <w:p w14:paraId="7B4DB30A" w14:textId="3567FF92" w:rsidR="005A5A1E" w:rsidRPr="00A52C0B" w:rsidRDefault="005A5A1E" w:rsidP="005A5A1E">
            <w:pPr>
              <w:widowControl w:val="0"/>
              <w:jc w:val="right"/>
              <w:rPr>
                <w:color w:val="000000" w:themeColor="text1"/>
                <w:sz w:val="20"/>
                <w:szCs w:val="20"/>
                <w:lang w:val="fr-CA"/>
              </w:rPr>
            </w:pPr>
            <w:r w:rsidRPr="00A52C0B">
              <w:rPr>
                <w:color w:val="000000" w:themeColor="text1"/>
                <w:sz w:val="20"/>
                <w:szCs w:val="20"/>
                <w:lang w:val="fr-CA"/>
              </w:rPr>
              <w:t>1</w:t>
            </w:r>
            <w:r w:rsidR="00C45C22" w:rsidRPr="00A52C0B">
              <w:rPr>
                <w:color w:val="000000" w:themeColor="text1"/>
                <w:sz w:val="20"/>
                <w:szCs w:val="20"/>
                <w:lang w:val="fr-CA"/>
              </w:rPr>
              <w:t> </w:t>
            </w:r>
            <w:r w:rsidRPr="00A52C0B">
              <w:rPr>
                <w:color w:val="000000" w:themeColor="text1"/>
                <w:sz w:val="20"/>
                <w:szCs w:val="20"/>
                <w:lang w:val="fr-CA"/>
              </w:rPr>
              <w:t>800</w:t>
            </w:r>
            <w:r w:rsidR="00C45C22" w:rsidRPr="00A52C0B">
              <w:rPr>
                <w:color w:val="000000" w:themeColor="text1"/>
                <w:sz w:val="20"/>
                <w:szCs w:val="20"/>
                <w:lang w:val="fr-CA"/>
              </w:rPr>
              <w:t> </w:t>
            </w:r>
            <w:r w:rsidRPr="00A52C0B">
              <w:rPr>
                <w:color w:val="000000" w:themeColor="text1"/>
                <w:sz w:val="20"/>
                <w:szCs w:val="20"/>
                <w:lang w:val="fr-CA"/>
              </w:rPr>
              <w:t>000</w:t>
            </w:r>
          </w:p>
        </w:tc>
        <w:tc>
          <w:tcPr>
            <w:tcW w:w="1156" w:type="dxa"/>
            <w:tcBorders>
              <w:top w:val="single" w:sz="4" w:space="0" w:color="auto"/>
              <w:left w:val="single" w:sz="4" w:space="0" w:color="auto"/>
              <w:bottom w:val="single" w:sz="4" w:space="0" w:color="auto"/>
              <w:right w:val="single" w:sz="4" w:space="0" w:color="auto"/>
            </w:tcBorders>
            <w:tcMar>
              <w:top w:w="0" w:type="dxa"/>
              <w:left w:w="58" w:type="dxa"/>
              <w:bottom w:w="0" w:type="dxa"/>
              <w:right w:w="173" w:type="dxa"/>
            </w:tcMar>
            <w:hideMark/>
          </w:tcPr>
          <w:p w14:paraId="6EDA8303" w14:textId="77777777" w:rsidR="005A5A1E" w:rsidRPr="00A52C0B" w:rsidRDefault="005A5A1E" w:rsidP="005A5A1E">
            <w:pPr>
              <w:widowControl w:val="0"/>
              <w:jc w:val="right"/>
              <w:rPr>
                <w:color w:val="000000"/>
                <w:sz w:val="20"/>
                <w:szCs w:val="20"/>
                <w:lang w:val="fr-CA"/>
              </w:rPr>
            </w:pPr>
            <w:r w:rsidRPr="00A52C0B">
              <w:rPr>
                <w:color w:val="000000"/>
                <w:sz w:val="20"/>
                <w:szCs w:val="20"/>
                <w:lang w:val="fr-CA"/>
              </w:rPr>
              <w:t>2</w:t>
            </w:r>
          </w:p>
        </w:tc>
        <w:tc>
          <w:tcPr>
            <w:tcW w:w="1537" w:type="dxa"/>
            <w:tcBorders>
              <w:top w:val="single" w:sz="4" w:space="0" w:color="auto"/>
              <w:left w:val="nil"/>
              <w:bottom w:val="single" w:sz="4" w:space="0" w:color="auto"/>
              <w:right w:val="nil"/>
            </w:tcBorders>
            <w:tcMar>
              <w:top w:w="0" w:type="dxa"/>
              <w:left w:w="58" w:type="dxa"/>
              <w:bottom w:w="0" w:type="dxa"/>
              <w:right w:w="173" w:type="dxa"/>
            </w:tcMar>
            <w:hideMark/>
          </w:tcPr>
          <w:p w14:paraId="4FE0F802" w14:textId="77777777" w:rsidR="005A5A1E" w:rsidRPr="00A52C0B" w:rsidRDefault="005A5A1E" w:rsidP="005A5A1E">
            <w:pPr>
              <w:widowControl w:val="0"/>
              <w:jc w:val="right"/>
              <w:rPr>
                <w:color w:val="000000" w:themeColor="text1"/>
                <w:sz w:val="20"/>
                <w:szCs w:val="20"/>
                <w:lang w:val="fr-CA"/>
              </w:rPr>
            </w:pPr>
            <w:r w:rsidRPr="00A52C0B">
              <w:rPr>
                <w:color w:val="000000"/>
                <w:sz w:val="20"/>
                <w:szCs w:val="20"/>
                <w:lang w:val="fr-CA"/>
              </w:rPr>
              <w:t>680</w:t>
            </w:r>
          </w:p>
        </w:tc>
        <w:tc>
          <w:tcPr>
            <w:tcW w:w="1138" w:type="dxa"/>
            <w:tcBorders>
              <w:top w:val="single" w:sz="4" w:space="0" w:color="auto"/>
              <w:left w:val="single" w:sz="4" w:space="0" w:color="auto"/>
              <w:bottom w:val="single" w:sz="4" w:space="0" w:color="auto"/>
              <w:right w:val="single" w:sz="4" w:space="0" w:color="auto"/>
            </w:tcBorders>
            <w:tcMar>
              <w:top w:w="0" w:type="dxa"/>
              <w:left w:w="58" w:type="dxa"/>
              <w:bottom w:w="0" w:type="dxa"/>
              <w:right w:w="173" w:type="dxa"/>
            </w:tcMar>
            <w:hideMark/>
          </w:tcPr>
          <w:p w14:paraId="0497508D" w14:textId="457DA4AF" w:rsidR="005A5A1E" w:rsidRPr="00A52C0B" w:rsidRDefault="005A5A1E" w:rsidP="005A5A1E">
            <w:pPr>
              <w:widowControl w:val="0"/>
              <w:jc w:val="right"/>
              <w:rPr>
                <w:color w:val="000000" w:themeColor="text1"/>
                <w:sz w:val="20"/>
                <w:szCs w:val="20"/>
                <w:lang w:val="fr-CA"/>
              </w:rPr>
            </w:pPr>
            <w:r w:rsidRPr="00A52C0B">
              <w:rPr>
                <w:color w:val="000000"/>
                <w:sz w:val="20"/>
                <w:szCs w:val="20"/>
                <w:lang w:val="fr-CA"/>
              </w:rPr>
              <w:t>3</w:t>
            </w:r>
            <w:r w:rsidR="00C45C22" w:rsidRPr="00A52C0B">
              <w:rPr>
                <w:color w:val="000000"/>
                <w:sz w:val="20"/>
                <w:szCs w:val="20"/>
                <w:lang w:val="fr-CA"/>
              </w:rPr>
              <w:t> </w:t>
            </w:r>
            <w:r w:rsidRPr="00A52C0B">
              <w:rPr>
                <w:color w:val="000000"/>
                <w:sz w:val="20"/>
                <w:szCs w:val="20"/>
                <w:lang w:val="fr-CA"/>
              </w:rPr>
              <w:t>600</w:t>
            </w:r>
            <w:r w:rsidR="00C45C22" w:rsidRPr="00A52C0B">
              <w:rPr>
                <w:color w:val="000000"/>
                <w:sz w:val="20"/>
                <w:szCs w:val="20"/>
                <w:lang w:val="fr-CA"/>
              </w:rPr>
              <w:t> </w:t>
            </w:r>
            <w:r w:rsidRPr="00A52C0B">
              <w:rPr>
                <w:color w:val="000000"/>
                <w:sz w:val="20"/>
                <w:szCs w:val="20"/>
                <w:lang w:val="fr-CA"/>
              </w:rPr>
              <w:t>000</w:t>
            </w:r>
          </w:p>
        </w:tc>
      </w:tr>
      <w:tr w:rsidR="005A5A1E" w:rsidRPr="00A52C0B" w14:paraId="3D28AB93" w14:textId="77777777" w:rsidTr="005501A2">
        <w:tc>
          <w:tcPr>
            <w:tcW w:w="1276"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58" w:type="dxa"/>
            </w:tcMar>
            <w:vAlign w:val="center"/>
            <w:hideMark/>
          </w:tcPr>
          <w:p w14:paraId="7EF7FF7A" w14:textId="77777777" w:rsidR="005A5A1E" w:rsidRPr="00A52C0B" w:rsidRDefault="005A5A1E" w:rsidP="005A5A1E">
            <w:pPr>
              <w:widowControl w:val="0"/>
              <w:rPr>
                <w:b/>
                <w:color w:val="000000" w:themeColor="text1"/>
                <w:sz w:val="20"/>
                <w:szCs w:val="20"/>
                <w:lang w:val="fr-CA"/>
              </w:rPr>
            </w:pPr>
            <w:r w:rsidRPr="00A52C0B">
              <w:rPr>
                <w:b/>
                <w:color w:val="000000" w:themeColor="text1"/>
                <w:sz w:val="20"/>
                <w:szCs w:val="20"/>
                <w:lang w:val="fr-CA"/>
              </w:rPr>
              <w:t>Total</w:t>
            </w:r>
          </w:p>
        </w:tc>
        <w:tc>
          <w:tcPr>
            <w:tcW w:w="1559"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tcPr>
          <w:p w14:paraId="0B10ED1A" w14:textId="77777777" w:rsidR="005A5A1E" w:rsidRPr="00A52C0B" w:rsidRDefault="005A5A1E" w:rsidP="005A5A1E">
            <w:pPr>
              <w:widowControl w:val="0"/>
              <w:jc w:val="right"/>
              <w:rPr>
                <w:color w:val="000000" w:themeColor="text1"/>
                <w:sz w:val="20"/>
                <w:szCs w:val="20"/>
                <w:lang w:val="fr-CA"/>
              </w:rPr>
            </w:pPr>
          </w:p>
        </w:tc>
        <w:tc>
          <w:tcPr>
            <w:tcW w:w="1418"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tcPr>
          <w:p w14:paraId="2364A2A3" w14:textId="77777777" w:rsidR="005A5A1E" w:rsidRPr="00A52C0B" w:rsidRDefault="005A5A1E" w:rsidP="005A5A1E">
            <w:pPr>
              <w:widowControl w:val="0"/>
              <w:jc w:val="right"/>
              <w:rPr>
                <w:color w:val="000000" w:themeColor="text1"/>
                <w:sz w:val="20"/>
                <w:szCs w:val="20"/>
                <w:lang w:val="fr-CA"/>
              </w:rPr>
            </w:pPr>
          </w:p>
        </w:tc>
        <w:tc>
          <w:tcPr>
            <w:tcW w:w="1276"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173" w:type="dxa"/>
            </w:tcMar>
          </w:tcPr>
          <w:p w14:paraId="66C016C9" w14:textId="77777777" w:rsidR="005A5A1E" w:rsidRPr="00A52C0B" w:rsidRDefault="005A5A1E" w:rsidP="005A5A1E">
            <w:pPr>
              <w:widowControl w:val="0"/>
              <w:jc w:val="right"/>
              <w:rPr>
                <w:color w:val="000000" w:themeColor="text1"/>
                <w:sz w:val="20"/>
                <w:szCs w:val="20"/>
                <w:lang w:val="fr-CA"/>
              </w:rPr>
            </w:pPr>
          </w:p>
        </w:tc>
        <w:tc>
          <w:tcPr>
            <w:tcW w:w="1156" w:type="dxa"/>
            <w:tcBorders>
              <w:top w:val="single" w:sz="4" w:space="0" w:color="auto"/>
              <w:left w:val="single" w:sz="4" w:space="0" w:color="auto"/>
              <w:bottom w:val="single" w:sz="4" w:space="0" w:color="auto"/>
              <w:right w:val="single" w:sz="4" w:space="0" w:color="auto"/>
            </w:tcBorders>
            <w:tcMar>
              <w:top w:w="0" w:type="dxa"/>
              <w:left w:w="58" w:type="dxa"/>
              <w:bottom w:w="0" w:type="dxa"/>
              <w:right w:w="173" w:type="dxa"/>
            </w:tcMar>
            <w:hideMark/>
          </w:tcPr>
          <w:p w14:paraId="72371979" w14:textId="77777777" w:rsidR="005A5A1E" w:rsidRPr="00A52C0B" w:rsidRDefault="005A5A1E" w:rsidP="005A5A1E">
            <w:pPr>
              <w:widowControl w:val="0"/>
              <w:jc w:val="right"/>
              <w:rPr>
                <w:b/>
                <w:color w:val="000000"/>
                <w:sz w:val="20"/>
                <w:szCs w:val="20"/>
                <w:lang w:val="fr-CA"/>
              </w:rPr>
            </w:pPr>
            <w:r w:rsidRPr="00A52C0B">
              <w:rPr>
                <w:b/>
                <w:color w:val="000000"/>
                <w:sz w:val="20"/>
                <w:szCs w:val="20"/>
                <w:lang w:val="fr-CA"/>
              </w:rPr>
              <w:t>87</w:t>
            </w:r>
          </w:p>
        </w:tc>
        <w:tc>
          <w:tcPr>
            <w:tcW w:w="1537" w:type="dxa"/>
            <w:tcBorders>
              <w:top w:val="single" w:sz="4" w:space="0" w:color="auto"/>
              <w:left w:val="nil"/>
              <w:bottom w:val="single" w:sz="4" w:space="0" w:color="auto"/>
              <w:right w:val="single" w:sz="4" w:space="0" w:color="auto"/>
            </w:tcBorders>
            <w:tcMar>
              <w:top w:w="0" w:type="dxa"/>
              <w:left w:w="58" w:type="dxa"/>
              <w:bottom w:w="0" w:type="dxa"/>
              <w:right w:w="173" w:type="dxa"/>
            </w:tcMar>
            <w:hideMark/>
          </w:tcPr>
          <w:p w14:paraId="46D92BD8" w14:textId="4B1AA44F" w:rsidR="005A5A1E" w:rsidRPr="00A52C0B" w:rsidRDefault="005A5A1E" w:rsidP="005A5A1E">
            <w:pPr>
              <w:widowControl w:val="0"/>
              <w:jc w:val="right"/>
              <w:rPr>
                <w:b/>
                <w:color w:val="000000"/>
                <w:sz w:val="20"/>
                <w:szCs w:val="20"/>
                <w:lang w:val="fr-CA"/>
              </w:rPr>
            </w:pPr>
            <w:r w:rsidRPr="00A52C0B">
              <w:rPr>
                <w:b/>
                <w:color w:val="000000"/>
                <w:sz w:val="20"/>
                <w:szCs w:val="20"/>
                <w:lang w:val="fr-CA"/>
              </w:rPr>
              <w:t>9</w:t>
            </w:r>
            <w:r w:rsidR="00C45C22" w:rsidRPr="00A52C0B">
              <w:rPr>
                <w:b/>
                <w:color w:val="000000"/>
                <w:sz w:val="20"/>
                <w:szCs w:val="20"/>
                <w:lang w:val="fr-CA"/>
              </w:rPr>
              <w:t> </w:t>
            </w:r>
            <w:r w:rsidRPr="00A52C0B">
              <w:rPr>
                <w:b/>
                <w:color w:val="000000"/>
                <w:sz w:val="20"/>
                <w:szCs w:val="20"/>
                <w:lang w:val="fr-CA"/>
              </w:rPr>
              <w:t>427</w:t>
            </w:r>
          </w:p>
        </w:tc>
        <w:tc>
          <w:tcPr>
            <w:tcW w:w="1138" w:type="dxa"/>
            <w:tcBorders>
              <w:top w:val="single" w:sz="4" w:space="0" w:color="auto"/>
              <w:left w:val="single" w:sz="4" w:space="0" w:color="auto"/>
              <w:bottom w:val="single" w:sz="4" w:space="0" w:color="auto"/>
              <w:right w:val="single" w:sz="4" w:space="0" w:color="auto"/>
            </w:tcBorders>
            <w:tcMar>
              <w:top w:w="0" w:type="dxa"/>
              <w:left w:w="58" w:type="dxa"/>
              <w:bottom w:w="0" w:type="dxa"/>
              <w:right w:w="173" w:type="dxa"/>
            </w:tcMar>
            <w:hideMark/>
          </w:tcPr>
          <w:p w14:paraId="1473E519" w14:textId="3906CFB4" w:rsidR="005A5A1E" w:rsidRPr="00A52C0B" w:rsidRDefault="005A5A1E" w:rsidP="005A5A1E">
            <w:pPr>
              <w:widowControl w:val="0"/>
              <w:jc w:val="right"/>
              <w:rPr>
                <w:b/>
                <w:color w:val="000000" w:themeColor="text1"/>
                <w:sz w:val="20"/>
                <w:szCs w:val="20"/>
                <w:lang w:val="fr-CA"/>
              </w:rPr>
            </w:pPr>
            <w:r w:rsidRPr="00A52C0B">
              <w:rPr>
                <w:b/>
                <w:color w:val="000000"/>
                <w:sz w:val="20"/>
                <w:szCs w:val="20"/>
                <w:lang w:val="fr-CA"/>
              </w:rPr>
              <w:t>78</w:t>
            </w:r>
            <w:r w:rsidR="00C45C22" w:rsidRPr="00A52C0B">
              <w:rPr>
                <w:b/>
                <w:color w:val="000000"/>
                <w:sz w:val="20"/>
                <w:szCs w:val="20"/>
                <w:lang w:val="fr-CA"/>
              </w:rPr>
              <w:t> </w:t>
            </w:r>
            <w:r w:rsidRPr="00A52C0B">
              <w:rPr>
                <w:b/>
                <w:color w:val="000000"/>
                <w:sz w:val="20"/>
                <w:szCs w:val="20"/>
                <w:lang w:val="fr-CA"/>
              </w:rPr>
              <w:t>837</w:t>
            </w:r>
            <w:r w:rsidR="00C45C22" w:rsidRPr="00A52C0B">
              <w:rPr>
                <w:b/>
                <w:color w:val="000000"/>
                <w:sz w:val="20"/>
                <w:szCs w:val="20"/>
                <w:lang w:val="fr-CA"/>
              </w:rPr>
              <w:t> </w:t>
            </w:r>
            <w:r w:rsidRPr="00A52C0B">
              <w:rPr>
                <w:b/>
                <w:color w:val="000000"/>
                <w:sz w:val="20"/>
                <w:szCs w:val="20"/>
                <w:lang w:val="fr-CA"/>
              </w:rPr>
              <w:t>500</w:t>
            </w:r>
          </w:p>
        </w:tc>
      </w:tr>
    </w:tbl>
    <w:p w14:paraId="5C4B08C8" w14:textId="403BC9F5" w:rsidR="005A5A1E" w:rsidRPr="00A52C0B" w:rsidRDefault="005A5A1E" w:rsidP="005A5A1E">
      <w:pPr>
        <w:rPr>
          <w:sz w:val="19"/>
          <w:szCs w:val="19"/>
          <w:lang w:val="fr-CA"/>
        </w:rPr>
      </w:pPr>
      <w:r w:rsidRPr="00A52C0B">
        <w:rPr>
          <w:sz w:val="19"/>
          <w:szCs w:val="19"/>
          <w:lang w:val="fr-CA"/>
        </w:rPr>
        <w:t xml:space="preserve">* </w:t>
      </w:r>
      <w:r w:rsidR="00F72EDF">
        <w:rPr>
          <w:sz w:val="19"/>
          <w:szCs w:val="19"/>
          <w:lang w:val="fr-CA"/>
        </w:rPr>
        <w:t>C</w:t>
      </w:r>
      <w:r w:rsidR="0053089B" w:rsidRPr="00A52C0B">
        <w:rPr>
          <w:sz w:val="19"/>
          <w:szCs w:val="19"/>
          <w:lang w:val="fr-CA"/>
        </w:rPr>
        <w:t xml:space="preserve">onsommation </w:t>
      </w:r>
      <w:r w:rsidR="00F72EDF">
        <w:rPr>
          <w:sz w:val="19"/>
          <w:szCs w:val="19"/>
          <w:lang w:val="fr-CA"/>
        </w:rPr>
        <w:t xml:space="preserve">de référence </w:t>
      </w:r>
      <w:r w:rsidR="0053089B" w:rsidRPr="00A52C0B">
        <w:rPr>
          <w:sz w:val="19"/>
          <w:szCs w:val="19"/>
          <w:lang w:val="fr-CA"/>
        </w:rPr>
        <w:t>de</w:t>
      </w:r>
      <w:r w:rsidR="00F72EDF">
        <w:rPr>
          <w:sz w:val="19"/>
          <w:szCs w:val="19"/>
          <w:lang w:val="fr-CA"/>
        </w:rPr>
        <w:t>s</w:t>
      </w:r>
      <w:r w:rsidR="0053089B" w:rsidRPr="00A52C0B">
        <w:rPr>
          <w:sz w:val="19"/>
          <w:szCs w:val="19"/>
          <w:lang w:val="fr-CA"/>
        </w:rPr>
        <w:t xml:space="preserve"> HCFC dans le secteur de l’entretien de l’équipement de réfrigération. </w:t>
      </w:r>
    </w:p>
    <w:p w14:paraId="459CCD74" w14:textId="7DE82FFB" w:rsidR="005A5A1E" w:rsidRPr="00A52C0B" w:rsidRDefault="005A5A1E" w:rsidP="005A5A1E">
      <w:pPr>
        <w:rPr>
          <w:sz w:val="19"/>
          <w:szCs w:val="19"/>
          <w:lang w:val="fr-CA"/>
        </w:rPr>
      </w:pPr>
      <w:r w:rsidRPr="00A52C0B">
        <w:rPr>
          <w:sz w:val="19"/>
          <w:szCs w:val="19"/>
          <w:lang w:val="fr-CA"/>
        </w:rPr>
        <w:t>**</w:t>
      </w:r>
      <w:r w:rsidR="0053089B" w:rsidRPr="00A52C0B">
        <w:rPr>
          <w:sz w:val="19"/>
          <w:szCs w:val="19"/>
          <w:lang w:val="fr-CA"/>
        </w:rPr>
        <w:t>Consommation estimée calcul</w:t>
      </w:r>
      <w:r w:rsidR="00132935" w:rsidRPr="00A52C0B">
        <w:rPr>
          <w:sz w:val="19"/>
          <w:szCs w:val="19"/>
          <w:lang w:val="fr-CA"/>
        </w:rPr>
        <w:t>ée</w:t>
      </w:r>
      <w:r w:rsidR="0053089B" w:rsidRPr="00A52C0B">
        <w:rPr>
          <w:sz w:val="19"/>
          <w:szCs w:val="19"/>
          <w:lang w:val="fr-CA"/>
        </w:rPr>
        <w:t xml:space="preserve"> comme consommation moyenne dans chaque groupe de pays multipli</w:t>
      </w:r>
      <w:r w:rsidR="00132935" w:rsidRPr="00A52C0B">
        <w:rPr>
          <w:sz w:val="19"/>
          <w:szCs w:val="19"/>
          <w:lang w:val="fr-CA"/>
        </w:rPr>
        <w:t>ée</w:t>
      </w:r>
      <w:r w:rsidR="0053089B" w:rsidRPr="00A52C0B">
        <w:rPr>
          <w:sz w:val="19"/>
          <w:szCs w:val="19"/>
          <w:lang w:val="fr-CA"/>
        </w:rPr>
        <w:t xml:space="preserve"> par le nombre de pays dans le groupe. </w:t>
      </w:r>
    </w:p>
    <w:p w14:paraId="2B82AB17" w14:textId="77777777" w:rsidR="005A5A1E" w:rsidRPr="00A52C0B" w:rsidRDefault="005A5A1E" w:rsidP="005A5A1E">
      <w:pPr>
        <w:rPr>
          <w:lang w:val="fr-CA"/>
        </w:rPr>
      </w:pPr>
    </w:p>
    <w:p w14:paraId="4EEA63ED" w14:textId="50BF8CC7" w:rsidR="005A5A1E" w:rsidRPr="00A52C0B" w:rsidRDefault="0053089B" w:rsidP="005A5A1E">
      <w:pPr>
        <w:pStyle w:val="Heading1"/>
        <w:numPr>
          <w:ilvl w:val="0"/>
          <w:numId w:val="2"/>
        </w:numPr>
        <w:rPr>
          <w:lang w:val="fr-CA"/>
        </w:rPr>
      </w:pPr>
      <w:r w:rsidRPr="00A52C0B">
        <w:rPr>
          <w:lang w:val="fr-CA"/>
        </w:rPr>
        <w:t>Depuis l’approbation du premier PGEH lors de la 60</w:t>
      </w:r>
      <w:r w:rsidRPr="00A52C0B">
        <w:rPr>
          <w:vertAlign w:val="superscript"/>
          <w:lang w:val="fr-CA"/>
        </w:rPr>
        <w:t>e</w:t>
      </w:r>
      <w:r w:rsidR="009D1B98" w:rsidRPr="00A52C0B">
        <w:rPr>
          <w:lang w:val="fr-CA"/>
        </w:rPr>
        <w:t> </w:t>
      </w:r>
      <w:r w:rsidRPr="00A52C0B">
        <w:rPr>
          <w:lang w:val="fr-CA"/>
        </w:rPr>
        <w:t>réunion, le Comité exécutif a approuvé les phase</w:t>
      </w:r>
      <w:r w:rsidR="009D1B98" w:rsidRPr="00A52C0B">
        <w:rPr>
          <w:lang w:val="fr-CA"/>
        </w:rPr>
        <w:t>s I, II</w:t>
      </w:r>
      <w:r w:rsidRPr="00A52C0B">
        <w:rPr>
          <w:lang w:val="fr-CA"/>
        </w:rPr>
        <w:t xml:space="preserve"> et</w:t>
      </w:r>
      <w:r w:rsidR="00132935" w:rsidRPr="00A52C0B">
        <w:rPr>
          <w:lang w:val="fr-CA"/>
        </w:rPr>
        <w:t> </w:t>
      </w:r>
      <w:r w:rsidRPr="00A52C0B">
        <w:rPr>
          <w:lang w:val="fr-CA"/>
        </w:rPr>
        <w:t xml:space="preserve">III des PGEH pour </w:t>
      </w:r>
      <w:r w:rsidR="00132935" w:rsidRPr="00A52C0B">
        <w:rPr>
          <w:lang w:val="fr-CA"/>
        </w:rPr>
        <w:t>respectivement</w:t>
      </w:r>
      <w:r w:rsidR="00DC51FB" w:rsidRPr="00A52C0B">
        <w:rPr>
          <w:lang w:val="fr-CA"/>
        </w:rPr>
        <w:t> </w:t>
      </w:r>
      <w:r w:rsidRPr="00A52C0B">
        <w:rPr>
          <w:lang w:val="fr-CA"/>
        </w:rPr>
        <w:t>145,</w:t>
      </w:r>
      <w:r w:rsidR="00F72EDF">
        <w:rPr>
          <w:lang w:val="fr-CA"/>
        </w:rPr>
        <w:t xml:space="preserve"> </w:t>
      </w:r>
      <w:r w:rsidRPr="00A52C0B">
        <w:rPr>
          <w:lang w:val="fr-CA"/>
        </w:rPr>
        <w:t>73 et trois pays visés à l’article</w:t>
      </w:r>
      <w:r w:rsidR="009D1B98" w:rsidRPr="00A52C0B">
        <w:rPr>
          <w:lang w:val="fr-CA"/>
        </w:rPr>
        <w:t> </w:t>
      </w:r>
      <w:r w:rsidRPr="00A52C0B">
        <w:rPr>
          <w:lang w:val="fr-CA"/>
        </w:rPr>
        <w:t xml:space="preserve">5. </w:t>
      </w:r>
      <w:r w:rsidR="00132935" w:rsidRPr="00A52C0B">
        <w:rPr>
          <w:lang w:val="fr-CA"/>
        </w:rPr>
        <w:t>Cinquante</w:t>
      </w:r>
      <w:r w:rsidRPr="00A52C0B">
        <w:rPr>
          <w:lang w:val="fr-CA"/>
        </w:rPr>
        <w:t xml:space="preserve"> autres pays sont en train de préparer les phase</w:t>
      </w:r>
      <w:r w:rsidR="009D1B98" w:rsidRPr="00A52C0B">
        <w:rPr>
          <w:lang w:val="fr-CA"/>
        </w:rPr>
        <w:t>s </w:t>
      </w:r>
      <w:r w:rsidRPr="00A52C0B">
        <w:rPr>
          <w:lang w:val="fr-CA"/>
        </w:rPr>
        <w:t>II ou</w:t>
      </w:r>
      <w:r w:rsidR="00DC51FB" w:rsidRPr="00A52C0B">
        <w:rPr>
          <w:lang w:val="fr-CA"/>
        </w:rPr>
        <w:t> </w:t>
      </w:r>
      <w:r w:rsidRPr="00A52C0B">
        <w:rPr>
          <w:lang w:val="fr-CA"/>
        </w:rPr>
        <w:t>III qui seront soumises lors des futures réunions. La mise en œuvre des PGEH déjà approuvés permettra d’éliminer environ 71</w:t>
      </w:r>
      <w:r w:rsidR="009D1B98" w:rsidRPr="00A52C0B">
        <w:rPr>
          <w:lang w:val="fr-CA"/>
        </w:rPr>
        <w:t> </w:t>
      </w:r>
      <w:r w:rsidRPr="00A52C0B">
        <w:rPr>
          <w:lang w:val="fr-CA"/>
        </w:rPr>
        <w:t>pour</w:t>
      </w:r>
      <w:r w:rsidR="00DC51FB" w:rsidRPr="00A52C0B">
        <w:rPr>
          <w:lang w:val="fr-CA"/>
        </w:rPr>
        <w:t> </w:t>
      </w:r>
      <w:r w:rsidRPr="00A52C0B">
        <w:rPr>
          <w:lang w:val="fr-CA"/>
        </w:rPr>
        <w:t>cent du point de départ pour la réduction globale de la consommation de HCFC, et 86</w:t>
      </w:r>
      <w:r w:rsidR="009D1B98" w:rsidRPr="00A52C0B">
        <w:rPr>
          <w:lang w:val="fr-CA"/>
        </w:rPr>
        <w:t> </w:t>
      </w:r>
      <w:r w:rsidRPr="00A52C0B">
        <w:rPr>
          <w:lang w:val="fr-CA"/>
        </w:rPr>
        <w:t>pour</w:t>
      </w:r>
      <w:r w:rsidR="00DC51FB" w:rsidRPr="00A52C0B">
        <w:rPr>
          <w:lang w:val="fr-CA"/>
        </w:rPr>
        <w:t> c</w:t>
      </w:r>
      <w:r w:rsidRPr="00A52C0B">
        <w:rPr>
          <w:lang w:val="fr-CA"/>
        </w:rPr>
        <w:t>ent de la consommation de HCFC</w:t>
      </w:r>
      <w:r w:rsidR="00471A2B" w:rsidRPr="00A52C0B">
        <w:rPr>
          <w:lang w:val="fr-CA"/>
        </w:rPr>
        <w:noBreakHyphen/>
      </w:r>
      <w:r w:rsidRPr="00A52C0B">
        <w:rPr>
          <w:lang w:val="fr-CA"/>
        </w:rPr>
        <w:t>141</w:t>
      </w:r>
      <w:r w:rsidR="00DC51FB" w:rsidRPr="00A52C0B">
        <w:rPr>
          <w:lang w:val="fr-CA"/>
        </w:rPr>
        <w:t>b</w:t>
      </w:r>
      <w:r w:rsidRPr="00A52C0B">
        <w:rPr>
          <w:lang w:val="fr-CA"/>
        </w:rPr>
        <w:t xml:space="preserve"> contenu dans des polyols prémélangés importés</w:t>
      </w:r>
      <w:r w:rsidR="005A5A1E" w:rsidRPr="00A52C0B">
        <w:rPr>
          <w:vertAlign w:val="superscript"/>
          <w:lang w:val="fr-CA"/>
        </w:rPr>
        <w:footnoteReference w:id="15"/>
      </w:r>
      <w:r w:rsidR="00DC51FB" w:rsidRPr="00A52C0B">
        <w:rPr>
          <w:lang w:val="fr-CA"/>
        </w:rPr>
        <w:t>.</w:t>
      </w:r>
    </w:p>
    <w:p w14:paraId="11085B62" w14:textId="7E8FE7CE" w:rsidR="005A5A1E" w:rsidRPr="00A52C0B" w:rsidRDefault="0053089B" w:rsidP="005A5A1E">
      <w:pPr>
        <w:pStyle w:val="Heading1"/>
        <w:numPr>
          <w:ilvl w:val="0"/>
          <w:numId w:val="2"/>
        </w:numPr>
        <w:rPr>
          <w:lang w:val="fr-CA"/>
        </w:rPr>
      </w:pPr>
      <w:r w:rsidRPr="00A52C0B">
        <w:rPr>
          <w:lang w:val="fr-CA"/>
        </w:rPr>
        <w:t>Le financement total qui a été approuvé en principe pour l’élimination des HCFC dans le secteur de l’entretien de l’équipement de réfrigération s’élève à environ 192,7</w:t>
      </w:r>
      <w:r w:rsidR="009D1B98" w:rsidRPr="00A52C0B">
        <w:rPr>
          <w:lang w:val="fr-CA"/>
        </w:rPr>
        <w:t> </w:t>
      </w:r>
      <w:r w:rsidRPr="00A52C0B">
        <w:rPr>
          <w:lang w:val="fr-CA"/>
        </w:rPr>
        <w:t>millions de dollars</w:t>
      </w:r>
      <w:r w:rsidR="00C5679F" w:rsidRPr="00A52C0B">
        <w:rPr>
          <w:lang w:val="fr-CA"/>
        </w:rPr>
        <w:t> </w:t>
      </w:r>
      <w:r w:rsidRPr="00A52C0B">
        <w:rPr>
          <w:lang w:val="fr-CA"/>
        </w:rPr>
        <w:t xml:space="preserve">US </w:t>
      </w:r>
      <w:r w:rsidR="00862E75" w:rsidRPr="00A52C0B">
        <w:rPr>
          <w:lang w:val="fr-CA"/>
        </w:rPr>
        <w:t>(y</w:t>
      </w:r>
      <w:r w:rsidR="00C5679F" w:rsidRPr="00A52C0B">
        <w:rPr>
          <w:lang w:val="fr-CA"/>
        </w:rPr>
        <w:t> </w:t>
      </w:r>
      <w:r w:rsidR="00862E75" w:rsidRPr="00A52C0B">
        <w:rPr>
          <w:lang w:val="fr-CA"/>
        </w:rPr>
        <w:t>compris 24,0</w:t>
      </w:r>
      <w:r w:rsidR="007820CD" w:rsidRPr="00A52C0B">
        <w:rPr>
          <w:lang w:val="fr-CA"/>
        </w:rPr>
        <w:t> millions</w:t>
      </w:r>
      <w:r w:rsidR="00862E75" w:rsidRPr="00A52C0B">
        <w:rPr>
          <w:lang w:val="fr-CA"/>
        </w:rPr>
        <w:t xml:space="preserve"> de dollars</w:t>
      </w:r>
      <w:r w:rsidR="00C5679F" w:rsidRPr="00A52C0B">
        <w:rPr>
          <w:lang w:val="fr-CA"/>
        </w:rPr>
        <w:t> </w:t>
      </w:r>
      <w:r w:rsidR="00862E75" w:rsidRPr="00A52C0B">
        <w:rPr>
          <w:lang w:val="fr-CA"/>
        </w:rPr>
        <w:t>US pour un pays). Un montant supplémentaire de 586, 2</w:t>
      </w:r>
      <w:r w:rsidR="009D1B98" w:rsidRPr="00A52C0B">
        <w:rPr>
          <w:lang w:val="fr-CA"/>
        </w:rPr>
        <w:t> millions</w:t>
      </w:r>
      <w:r w:rsidR="00C5679F" w:rsidRPr="00A52C0B">
        <w:rPr>
          <w:lang w:val="fr-CA"/>
        </w:rPr>
        <w:t xml:space="preserve"> de dollars </w:t>
      </w:r>
      <w:r w:rsidR="00862E75" w:rsidRPr="00A52C0B">
        <w:rPr>
          <w:lang w:val="fr-CA"/>
        </w:rPr>
        <w:t>US (y</w:t>
      </w:r>
      <w:r w:rsidR="00C5679F" w:rsidRPr="00A52C0B">
        <w:rPr>
          <w:lang w:val="fr-CA"/>
        </w:rPr>
        <w:t> </w:t>
      </w:r>
      <w:r w:rsidR="00862E75" w:rsidRPr="00A52C0B">
        <w:rPr>
          <w:lang w:val="fr-CA"/>
        </w:rPr>
        <w:t>compris 155,7</w:t>
      </w:r>
      <w:r w:rsidR="009D1B98" w:rsidRPr="00A52C0B">
        <w:rPr>
          <w:lang w:val="fr-CA"/>
        </w:rPr>
        <w:t> </w:t>
      </w:r>
      <w:r w:rsidR="00862E75" w:rsidRPr="00A52C0B">
        <w:rPr>
          <w:lang w:val="fr-CA"/>
        </w:rPr>
        <w:t>millions de dollars</w:t>
      </w:r>
      <w:r w:rsidR="00C5679F" w:rsidRPr="00A52C0B">
        <w:rPr>
          <w:lang w:val="fr-CA"/>
        </w:rPr>
        <w:t> </w:t>
      </w:r>
      <w:r w:rsidR="00862E75" w:rsidRPr="00A52C0B">
        <w:rPr>
          <w:lang w:val="fr-CA"/>
        </w:rPr>
        <w:t xml:space="preserve">US pour </w:t>
      </w:r>
      <w:r w:rsidR="00C5679F" w:rsidRPr="00A52C0B">
        <w:rPr>
          <w:lang w:val="fr-CA"/>
        </w:rPr>
        <w:t xml:space="preserve">un </w:t>
      </w:r>
      <w:r w:rsidR="00862E75" w:rsidRPr="00A52C0B">
        <w:rPr>
          <w:lang w:val="fr-CA"/>
        </w:rPr>
        <w:t>pays) e</w:t>
      </w:r>
      <w:r w:rsidR="00C5679F" w:rsidRPr="00A52C0B">
        <w:rPr>
          <w:lang w:val="fr-CA"/>
        </w:rPr>
        <w:t>s</w:t>
      </w:r>
      <w:r w:rsidR="00862E75" w:rsidRPr="00A52C0B">
        <w:rPr>
          <w:lang w:val="fr-CA"/>
        </w:rPr>
        <w:t xml:space="preserve">t en attente d’approbation, en soulignant que ce montant pourrait être réduit après avoir pris en compte l’admissibilité au financement de la consommation restante de HCFC dans les pays qui ne sont pas des </w:t>
      </w:r>
      <w:r w:rsidR="009260EE" w:rsidRPr="00A52C0B">
        <w:rPr>
          <w:lang w:val="fr-CA"/>
        </w:rPr>
        <w:t>pays FVC</w:t>
      </w:r>
      <w:r w:rsidR="00862E75" w:rsidRPr="00A52C0B">
        <w:rPr>
          <w:lang w:val="fr-CA"/>
        </w:rPr>
        <w:t>, car le financement est assujetti au niveau de consommation réelle au moment où ces pays ont soumis la dernière phase de leur PGEH. Le Secrétariat note que la consommation de HCFC</w:t>
      </w:r>
      <w:r w:rsidR="00471A2B" w:rsidRPr="00A52C0B">
        <w:rPr>
          <w:lang w:val="fr-CA"/>
        </w:rPr>
        <w:noBreakHyphen/>
      </w:r>
      <w:r w:rsidR="00862E75" w:rsidRPr="00A52C0B">
        <w:rPr>
          <w:lang w:val="fr-CA"/>
        </w:rPr>
        <w:t>22 dans un certain nombre de pays diminue plus rapidement que prévu. Le tableau</w:t>
      </w:r>
      <w:r w:rsidR="009D1B98" w:rsidRPr="00A52C0B">
        <w:rPr>
          <w:lang w:val="fr-CA"/>
        </w:rPr>
        <w:t> </w:t>
      </w:r>
      <w:r w:rsidR="00862E75" w:rsidRPr="00A52C0B">
        <w:rPr>
          <w:lang w:val="fr-CA"/>
        </w:rPr>
        <w:t>3 récapitule le financement disponible pour l’élimination des HCFC dans le secteur de l’entretien, à partir des niveaux de financement convenu</w:t>
      </w:r>
      <w:r w:rsidR="00903533" w:rsidRPr="00A52C0B">
        <w:rPr>
          <w:lang w:val="fr-CA"/>
        </w:rPr>
        <w:t>s</w:t>
      </w:r>
      <w:r w:rsidR="00862E75" w:rsidRPr="00A52C0B">
        <w:rPr>
          <w:lang w:val="fr-CA"/>
        </w:rPr>
        <w:t xml:space="preserve"> dans la décision</w:t>
      </w:r>
      <w:r w:rsidR="009D1B98" w:rsidRPr="00A52C0B">
        <w:rPr>
          <w:lang w:val="fr-CA"/>
        </w:rPr>
        <w:t> </w:t>
      </w:r>
      <w:r w:rsidR="00862E75" w:rsidRPr="00A52C0B">
        <w:rPr>
          <w:lang w:val="fr-CA"/>
        </w:rPr>
        <w:t>74/50.</w:t>
      </w:r>
    </w:p>
    <w:p w14:paraId="08A681BE" w14:textId="7EA28393" w:rsidR="005A5A1E" w:rsidRPr="00A52C0B" w:rsidRDefault="005A5A1E" w:rsidP="008C3DBB">
      <w:pPr>
        <w:keepNext/>
        <w:keepLines/>
        <w:rPr>
          <w:b/>
          <w:lang w:val="fr-CA"/>
        </w:rPr>
      </w:pPr>
      <w:r w:rsidRPr="00A52C0B">
        <w:rPr>
          <w:b/>
          <w:lang w:val="fr-CA"/>
        </w:rPr>
        <w:lastRenderedPageBreak/>
        <w:t>Table</w:t>
      </w:r>
      <w:r w:rsidR="001527BF" w:rsidRPr="00A52C0B">
        <w:rPr>
          <w:b/>
          <w:lang w:val="fr-CA"/>
        </w:rPr>
        <w:t>au</w:t>
      </w:r>
      <w:r w:rsidR="009D1B98" w:rsidRPr="00A52C0B">
        <w:rPr>
          <w:b/>
          <w:lang w:val="fr-CA"/>
        </w:rPr>
        <w:t> </w:t>
      </w:r>
      <w:r w:rsidRPr="00A52C0B">
        <w:rPr>
          <w:b/>
          <w:lang w:val="fr-CA"/>
        </w:rPr>
        <w:t xml:space="preserve">3. </w:t>
      </w:r>
      <w:r w:rsidR="00862E75" w:rsidRPr="00A52C0B">
        <w:rPr>
          <w:b/>
          <w:lang w:val="fr-CA"/>
        </w:rPr>
        <w:t xml:space="preserve">Financement de l’élimination des HCFC dans le secteur de l’entretien de l’équipement de réfrigération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2"/>
        <w:gridCol w:w="988"/>
        <w:gridCol w:w="1348"/>
        <w:gridCol w:w="2746"/>
        <w:gridCol w:w="2746"/>
      </w:tblGrid>
      <w:tr w:rsidR="005A5A1E" w:rsidRPr="00A52C0B" w14:paraId="30DBB4C0" w14:textId="77777777" w:rsidTr="005A5A1E">
        <w:tc>
          <w:tcPr>
            <w:tcW w:w="624" w:type="pct"/>
            <w:vMerge w:val="restart"/>
            <w:tcBorders>
              <w:top w:val="single" w:sz="4" w:space="0" w:color="auto"/>
              <w:left w:val="single" w:sz="4" w:space="0" w:color="auto"/>
              <w:bottom w:val="single" w:sz="4" w:space="0" w:color="auto"/>
              <w:right w:val="single" w:sz="4" w:space="0" w:color="auto"/>
            </w:tcBorders>
            <w:hideMark/>
          </w:tcPr>
          <w:p w14:paraId="76CBFFE8" w14:textId="152879EB" w:rsidR="005A5A1E" w:rsidRPr="00A52C0B" w:rsidRDefault="001527BF" w:rsidP="008C3DBB">
            <w:pPr>
              <w:keepNext/>
              <w:keepLines/>
              <w:jc w:val="center"/>
              <w:rPr>
                <w:b/>
                <w:bCs/>
                <w:color w:val="000000"/>
                <w:sz w:val="20"/>
                <w:szCs w:val="20"/>
                <w:lang w:val="fr-CA"/>
              </w:rPr>
            </w:pPr>
            <w:r w:rsidRPr="00A52C0B">
              <w:rPr>
                <w:b/>
                <w:bCs/>
                <w:color w:val="000000"/>
                <w:sz w:val="20"/>
                <w:szCs w:val="20"/>
                <w:lang w:val="fr-CA"/>
              </w:rPr>
              <w:t>Pays</w:t>
            </w:r>
          </w:p>
        </w:tc>
        <w:tc>
          <w:tcPr>
            <w:tcW w:w="577" w:type="pct"/>
            <w:vMerge w:val="restart"/>
            <w:tcBorders>
              <w:top w:val="single" w:sz="4" w:space="0" w:color="auto"/>
              <w:left w:val="single" w:sz="4" w:space="0" w:color="auto"/>
              <w:bottom w:val="single" w:sz="4" w:space="0" w:color="auto"/>
              <w:right w:val="single" w:sz="4" w:space="0" w:color="auto"/>
            </w:tcBorders>
            <w:hideMark/>
          </w:tcPr>
          <w:p w14:paraId="0B2555BB" w14:textId="70F8BB1F" w:rsidR="005A5A1E" w:rsidRPr="00A52C0B" w:rsidRDefault="001527BF" w:rsidP="008C3DBB">
            <w:pPr>
              <w:keepNext/>
              <w:keepLines/>
              <w:jc w:val="center"/>
              <w:rPr>
                <w:b/>
                <w:bCs/>
                <w:color w:val="000000"/>
                <w:sz w:val="20"/>
                <w:szCs w:val="20"/>
                <w:lang w:val="fr-CA"/>
              </w:rPr>
            </w:pPr>
            <w:r w:rsidRPr="00A52C0B">
              <w:rPr>
                <w:b/>
                <w:bCs/>
                <w:color w:val="000000"/>
                <w:sz w:val="20"/>
                <w:szCs w:val="20"/>
                <w:lang w:val="fr-CA"/>
              </w:rPr>
              <w:t>Nombre de pays</w:t>
            </w:r>
          </w:p>
        </w:tc>
        <w:tc>
          <w:tcPr>
            <w:tcW w:w="769" w:type="pct"/>
            <w:vMerge w:val="restart"/>
            <w:tcBorders>
              <w:top w:val="single" w:sz="4" w:space="0" w:color="auto"/>
              <w:left w:val="single" w:sz="4" w:space="0" w:color="auto"/>
              <w:bottom w:val="single" w:sz="4" w:space="0" w:color="auto"/>
              <w:right w:val="single" w:sz="4" w:space="0" w:color="auto"/>
            </w:tcBorders>
            <w:hideMark/>
          </w:tcPr>
          <w:p w14:paraId="32569085" w14:textId="243B8051" w:rsidR="005A5A1E" w:rsidRPr="00A52C0B" w:rsidRDefault="00AC1FB8" w:rsidP="008C3DBB">
            <w:pPr>
              <w:keepNext/>
              <w:keepLines/>
              <w:jc w:val="center"/>
              <w:rPr>
                <w:b/>
                <w:bCs/>
                <w:color w:val="000000"/>
                <w:sz w:val="20"/>
                <w:szCs w:val="20"/>
                <w:lang w:val="fr-CA"/>
              </w:rPr>
            </w:pPr>
            <w:r w:rsidRPr="00A52C0B">
              <w:rPr>
                <w:b/>
                <w:bCs/>
                <w:color w:val="000000"/>
                <w:sz w:val="20"/>
                <w:szCs w:val="20"/>
                <w:lang w:val="fr-CA"/>
              </w:rPr>
              <w:t>R</w:t>
            </w:r>
            <w:r w:rsidR="001527BF" w:rsidRPr="00A52C0B">
              <w:rPr>
                <w:b/>
                <w:bCs/>
                <w:color w:val="000000"/>
                <w:sz w:val="20"/>
                <w:szCs w:val="20"/>
                <w:lang w:val="fr-CA"/>
              </w:rPr>
              <w:t xml:space="preserve">éférence </w:t>
            </w:r>
            <w:r w:rsidR="00573C54">
              <w:rPr>
                <w:b/>
                <w:bCs/>
                <w:color w:val="000000"/>
                <w:sz w:val="20"/>
                <w:szCs w:val="20"/>
                <w:lang w:val="fr-CA"/>
              </w:rPr>
              <w:t>-</w:t>
            </w:r>
            <w:r w:rsidR="001527BF" w:rsidRPr="00A52C0B">
              <w:rPr>
                <w:b/>
                <w:bCs/>
                <w:color w:val="000000"/>
                <w:sz w:val="20"/>
                <w:szCs w:val="20"/>
                <w:lang w:val="fr-CA"/>
              </w:rPr>
              <w:t>secteur de l’entretien</w:t>
            </w:r>
            <w:r w:rsidR="005A5A1E" w:rsidRPr="00A52C0B">
              <w:rPr>
                <w:b/>
                <w:bCs/>
                <w:color w:val="000000"/>
                <w:sz w:val="20"/>
                <w:szCs w:val="20"/>
                <w:lang w:val="fr-CA"/>
              </w:rPr>
              <w:t xml:space="preserve"> (t</w:t>
            </w:r>
            <w:r w:rsidR="001527BF" w:rsidRPr="00A52C0B">
              <w:rPr>
                <w:b/>
                <w:bCs/>
                <w:color w:val="000000"/>
                <w:sz w:val="20"/>
                <w:szCs w:val="20"/>
                <w:lang w:val="fr-CA"/>
              </w:rPr>
              <w:t>m</w:t>
            </w:r>
            <w:r w:rsidR="005A5A1E" w:rsidRPr="00A52C0B">
              <w:rPr>
                <w:b/>
                <w:bCs/>
                <w:color w:val="000000"/>
                <w:sz w:val="20"/>
                <w:szCs w:val="20"/>
                <w:lang w:val="fr-CA"/>
              </w:rPr>
              <w:t>)*</w:t>
            </w:r>
          </w:p>
        </w:tc>
        <w:tc>
          <w:tcPr>
            <w:tcW w:w="3030" w:type="pct"/>
            <w:gridSpan w:val="2"/>
            <w:tcBorders>
              <w:top w:val="single" w:sz="4" w:space="0" w:color="auto"/>
              <w:left w:val="single" w:sz="4" w:space="0" w:color="auto"/>
              <w:bottom w:val="single" w:sz="4" w:space="0" w:color="auto"/>
              <w:right w:val="single" w:sz="4" w:space="0" w:color="auto"/>
            </w:tcBorders>
            <w:hideMark/>
          </w:tcPr>
          <w:p w14:paraId="3DF310E3" w14:textId="549953AD" w:rsidR="005A5A1E" w:rsidRPr="00A52C0B" w:rsidRDefault="001527BF" w:rsidP="008C3DBB">
            <w:pPr>
              <w:keepNext/>
              <w:keepLines/>
              <w:jc w:val="center"/>
              <w:rPr>
                <w:b/>
                <w:bCs/>
                <w:color w:val="000000"/>
                <w:sz w:val="20"/>
                <w:szCs w:val="20"/>
                <w:lang w:val="fr-CA"/>
              </w:rPr>
            </w:pPr>
            <w:r w:rsidRPr="00A52C0B">
              <w:rPr>
                <w:b/>
                <w:bCs/>
                <w:color w:val="000000"/>
                <w:sz w:val="20"/>
                <w:szCs w:val="20"/>
                <w:lang w:val="fr-CA"/>
              </w:rPr>
              <w:t>Financement total</w:t>
            </w:r>
            <w:r w:rsidR="005A5A1E" w:rsidRPr="00A52C0B">
              <w:rPr>
                <w:b/>
                <w:bCs/>
                <w:color w:val="000000"/>
                <w:sz w:val="20"/>
                <w:szCs w:val="20"/>
                <w:lang w:val="fr-CA"/>
              </w:rPr>
              <w:t xml:space="preserve"> (</w:t>
            </w:r>
            <w:r w:rsidRPr="00A52C0B">
              <w:rPr>
                <w:b/>
                <w:bCs/>
                <w:color w:val="000000"/>
                <w:sz w:val="20"/>
                <w:szCs w:val="20"/>
                <w:lang w:val="fr-CA"/>
              </w:rPr>
              <w:t>$</w:t>
            </w:r>
            <w:r w:rsidR="005A5A1E" w:rsidRPr="00A52C0B">
              <w:rPr>
                <w:b/>
                <w:bCs/>
                <w:color w:val="000000"/>
                <w:sz w:val="20"/>
                <w:szCs w:val="20"/>
                <w:lang w:val="fr-CA"/>
              </w:rPr>
              <w:t>US)</w:t>
            </w:r>
          </w:p>
        </w:tc>
      </w:tr>
      <w:tr w:rsidR="005A5A1E" w:rsidRPr="00AA6F65" w14:paraId="6FF7B53D" w14:textId="77777777" w:rsidTr="005A5A1E">
        <w:tc>
          <w:tcPr>
            <w:tcW w:w="624" w:type="pct"/>
            <w:vMerge/>
            <w:tcBorders>
              <w:top w:val="single" w:sz="4" w:space="0" w:color="auto"/>
              <w:left w:val="single" w:sz="4" w:space="0" w:color="auto"/>
              <w:bottom w:val="single" w:sz="4" w:space="0" w:color="auto"/>
              <w:right w:val="single" w:sz="4" w:space="0" w:color="auto"/>
            </w:tcBorders>
            <w:vAlign w:val="center"/>
            <w:hideMark/>
          </w:tcPr>
          <w:p w14:paraId="77B1ECE2" w14:textId="77777777" w:rsidR="005A5A1E" w:rsidRPr="00A52C0B" w:rsidRDefault="005A5A1E" w:rsidP="008C3DBB">
            <w:pPr>
              <w:keepNext/>
              <w:keepLines/>
              <w:jc w:val="left"/>
              <w:rPr>
                <w:b/>
                <w:bCs/>
                <w:color w:val="000000"/>
                <w:sz w:val="20"/>
                <w:szCs w:val="20"/>
                <w:lang w:val="fr-CA"/>
              </w:rPr>
            </w:pPr>
          </w:p>
        </w:tc>
        <w:tc>
          <w:tcPr>
            <w:tcW w:w="577" w:type="pct"/>
            <w:vMerge/>
            <w:tcBorders>
              <w:top w:val="single" w:sz="4" w:space="0" w:color="auto"/>
              <w:left w:val="single" w:sz="4" w:space="0" w:color="auto"/>
              <w:bottom w:val="single" w:sz="4" w:space="0" w:color="auto"/>
              <w:right w:val="single" w:sz="4" w:space="0" w:color="auto"/>
            </w:tcBorders>
            <w:vAlign w:val="center"/>
            <w:hideMark/>
          </w:tcPr>
          <w:p w14:paraId="7FD990B6" w14:textId="77777777" w:rsidR="005A5A1E" w:rsidRPr="00A52C0B" w:rsidRDefault="005A5A1E" w:rsidP="008C3DBB">
            <w:pPr>
              <w:keepNext/>
              <w:keepLines/>
              <w:jc w:val="left"/>
              <w:rPr>
                <w:b/>
                <w:bCs/>
                <w:color w:val="000000"/>
                <w:sz w:val="20"/>
                <w:szCs w:val="20"/>
                <w:lang w:val="fr-CA"/>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14:paraId="589184A3" w14:textId="77777777" w:rsidR="005A5A1E" w:rsidRPr="00A52C0B" w:rsidRDefault="005A5A1E" w:rsidP="008C3DBB">
            <w:pPr>
              <w:keepNext/>
              <w:keepLines/>
              <w:jc w:val="left"/>
              <w:rPr>
                <w:b/>
                <w:bCs/>
                <w:color w:val="000000"/>
                <w:sz w:val="20"/>
                <w:szCs w:val="20"/>
                <w:lang w:val="fr-CA"/>
              </w:rPr>
            </w:pPr>
          </w:p>
        </w:tc>
        <w:tc>
          <w:tcPr>
            <w:tcW w:w="1515" w:type="pct"/>
            <w:tcBorders>
              <w:top w:val="single" w:sz="4" w:space="0" w:color="auto"/>
              <w:left w:val="single" w:sz="4" w:space="0" w:color="auto"/>
              <w:bottom w:val="single" w:sz="4" w:space="0" w:color="auto"/>
              <w:right w:val="single" w:sz="4" w:space="0" w:color="auto"/>
            </w:tcBorders>
          </w:tcPr>
          <w:p w14:paraId="619A380E" w14:textId="31B2E2F6" w:rsidR="005A5A1E" w:rsidRPr="00A52C0B" w:rsidRDefault="00AC1FB8" w:rsidP="008C3DBB">
            <w:pPr>
              <w:keepNext/>
              <w:keepLines/>
              <w:jc w:val="center"/>
              <w:rPr>
                <w:b/>
                <w:bCs/>
                <w:color w:val="000000"/>
                <w:sz w:val="20"/>
                <w:szCs w:val="20"/>
                <w:lang w:val="fr-CA"/>
              </w:rPr>
            </w:pPr>
            <w:r w:rsidRPr="00A52C0B">
              <w:rPr>
                <w:b/>
                <w:bCs/>
                <w:color w:val="000000"/>
                <w:sz w:val="20"/>
                <w:szCs w:val="20"/>
                <w:lang w:val="fr-CA"/>
              </w:rPr>
              <w:t>Approuvé en principe au moment de la 86</w:t>
            </w:r>
            <w:r w:rsidRPr="00A52C0B">
              <w:rPr>
                <w:b/>
                <w:bCs/>
                <w:color w:val="000000"/>
                <w:sz w:val="20"/>
                <w:szCs w:val="20"/>
                <w:vertAlign w:val="superscript"/>
                <w:lang w:val="fr-CA"/>
              </w:rPr>
              <w:t>e</w:t>
            </w:r>
            <w:r w:rsidR="00903533" w:rsidRPr="00A52C0B">
              <w:rPr>
                <w:b/>
                <w:bCs/>
                <w:color w:val="000000"/>
                <w:sz w:val="20"/>
                <w:szCs w:val="20"/>
                <w:vertAlign w:val="superscript"/>
                <w:lang w:val="fr-CA"/>
              </w:rPr>
              <w:t> </w:t>
            </w:r>
            <w:r w:rsidRPr="00A52C0B">
              <w:rPr>
                <w:b/>
                <w:bCs/>
                <w:color w:val="000000"/>
                <w:sz w:val="20"/>
                <w:szCs w:val="20"/>
                <w:lang w:val="fr-CA"/>
              </w:rPr>
              <w:t>réunion</w:t>
            </w:r>
            <w:r w:rsidR="005A5A1E" w:rsidRPr="00A52C0B">
              <w:rPr>
                <w:b/>
                <w:bCs/>
                <w:color w:val="000000"/>
                <w:sz w:val="20"/>
                <w:szCs w:val="20"/>
                <w:lang w:val="fr-CA"/>
              </w:rPr>
              <w:t>**</w:t>
            </w:r>
          </w:p>
        </w:tc>
        <w:tc>
          <w:tcPr>
            <w:tcW w:w="1515" w:type="pct"/>
            <w:tcBorders>
              <w:top w:val="single" w:sz="4" w:space="0" w:color="auto"/>
              <w:left w:val="single" w:sz="4" w:space="0" w:color="auto"/>
              <w:bottom w:val="single" w:sz="4" w:space="0" w:color="auto"/>
              <w:right w:val="single" w:sz="4" w:space="0" w:color="auto"/>
            </w:tcBorders>
            <w:hideMark/>
          </w:tcPr>
          <w:p w14:paraId="74655EEE" w14:textId="3C3C6780" w:rsidR="005A5A1E" w:rsidRPr="00A52C0B" w:rsidRDefault="00AC1FB8" w:rsidP="008C3DBB">
            <w:pPr>
              <w:keepNext/>
              <w:keepLines/>
              <w:jc w:val="center"/>
              <w:rPr>
                <w:b/>
                <w:bCs/>
                <w:color w:val="000000"/>
                <w:sz w:val="20"/>
                <w:szCs w:val="20"/>
                <w:lang w:val="fr-CA"/>
              </w:rPr>
            </w:pPr>
            <w:r w:rsidRPr="00A52C0B">
              <w:rPr>
                <w:b/>
                <w:bCs/>
                <w:color w:val="000000"/>
                <w:sz w:val="20"/>
                <w:szCs w:val="20"/>
                <w:lang w:val="fr-CA"/>
              </w:rPr>
              <w:t xml:space="preserve">En attente d’approbation </w:t>
            </w:r>
            <w:r w:rsidR="00903533" w:rsidRPr="00A52C0B">
              <w:rPr>
                <w:b/>
                <w:bCs/>
                <w:color w:val="000000"/>
                <w:sz w:val="20"/>
                <w:szCs w:val="20"/>
                <w:lang w:val="fr-CA"/>
              </w:rPr>
              <w:t xml:space="preserve">en </w:t>
            </w:r>
            <w:r w:rsidRPr="00A52C0B">
              <w:rPr>
                <w:b/>
                <w:bCs/>
                <w:color w:val="000000"/>
                <w:sz w:val="20"/>
                <w:szCs w:val="20"/>
                <w:lang w:val="fr-CA"/>
              </w:rPr>
              <w:t>principe selon la décision</w:t>
            </w:r>
            <w:r w:rsidR="009D1B98" w:rsidRPr="00A52C0B">
              <w:rPr>
                <w:b/>
                <w:bCs/>
                <w:color w:val="000000"/>
                <w:sz w:val="20"/>
                <w:szCs w:val="20"/>
                <w:lang w:val="fr-CA"/>
              </w:rPr>
              <w:t> </w:t>
            </w:r>
            <w:r w:rsidRPr="00A52C0B">
              <w:rPr>
                <w:b/>
                <w:bCs/>
                <w:color w:val="000000"/>
                <w:sz w:val="20"/>
                <w:szCs w:val="20"/>
                <w:lang w:val="fr-CA"/>
              </w:rPr>
              <w:t xml:space="preserve">74/50 </w:t>
            </w:r>
          </w:p>
        </w:tc>
      </w:tr>
      <w:tr w:rsidR="005A5A1E" w:rsidRPr="00A52C0B" w14:paraId="2C3EEA98" w14:textId="77777777" w:rsidTr="005A5A1E">
        <w:tc>
          <w:tcPr>
            <w:tcW w:w="624" w:type="pct"/>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vAlign w:val="bottom"/>
            <w:hideMark/>
          </w:tcPr>
          <w:p w14:paraId="0CF0CAD7" w14:textId="0E76D424" w:rsidR="005A5A1E" w:rsidRPr="00A52C0B" w:rsidRDefault="00903533" w:rsidP="008C3DBB">
            <w:pPr>
              <w:keepNext/>
              <w:keepLines/>
              <w:jc w:val="left"/>
              <w:rPr>
                <w:color w:val="000000"/>
                <w:sz w:val="20"/>
                <w:szCs w:val="20"/>
                <w:lang w:val="fr-CA"/>
              </w:rPr>
            </w:pPr>
            <w:r w:rsidRPr="00A52C0B">
              <w:rPr>
                <w:color w:val="000000"/>
                <w:sz w:val="20"/>
                <w:szCs w:val="20"/>
                <w:lang w:val="fr-CA"/>
              </w:rPr>
              <w:t>F</w:t>
            </w:r>
            <w:r w:rsidR="005A5A1E" w:rsidRPr="00A52C0B">
              <w:rPr>
                <w:color w:val="000000"/>
                <w:sz w:val="20"/>
                <w:szCs w:val="20"/>
                <w:lang w:val="fr-CA"/>
              </w:rPr>
              <w:t>VC</w:t>
            </w:r>
          </w:p>
        </w:tc>
        <w:tc>
          <w:tcPr>
            <w:tcW w:w="577" w:type="pct"/>
            <w:tcBorders>
              <w:top w:val="single" w:sz="4" w:space="0" w:color="auto"/>
              <w:left w:val="single" w:sz="4" w:space="0" w:color="auto"/>
              <w:bottom w:val="single" w:sz="4" w:space="0" w:color="auto"/>
              <w:right w:val="single" w:sz="4" w:space="0" w:color="auto"/>
            </w:tcBorders>
            <w:tcMar>
              <w:top w:w="0" w:type="dxa"/>
              <w:left w:w="0" w:type="dxa"/>
              <w:bottom w:w="0" w:type="dxa"/>
              <w:right w:w="202" w:type="dxa"/>
            </w:tcMar>
            <w:hideMark/>
          </w:tcPr>
          <w:p w14:paraId="0CA26051" w14:textId="77777777" w:rsidR="005A5A1E" w:rsidRPr="00A52C0B" w:rsidRDefault="005A5A1E" w:rsidP="008C3DBB">
            <w:pPr>
              <w:keepNext/>
              <w:keepLines/>
              <w:jc w:val="right"/>
              <w:rPr>
                <w:color w:val="000000"/>
                <w:sz w:val="20"/>
                <w:szCs w:val="20"/>
                <w:lang w:val="fr-CA"/>
              </w:rPr>
            </w:pPr>
            <w:r w:rsidRPr="00A52C0B">
              <w:rPr>
                <w:color w:val="000000"/>
                <w:sz w:val="20"/>
                <w:szCs w:val="20"/>
                <w:lang w:val="fr-CA"/>
              </w:rPr>
              <w:t>87</w:t>
            </w:r>
          </w:p>
        </w:tc>
        <w:tc>
          <w:tcPr>
            <w:tcW w:w="769"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202" w:type="dxa"/>
            </w:tcMar>
            <w:hideMark/>
          </w:tcPr>
          <w:p w14:paraId="4C55BE78" w14:textId="491E7E82" w:rsidR="005A5A1E" w:rsidRPr="00A52C0B" w:rsidRDefault="005A5A1E" w:rsidP="008C3DBB">
            <w:pPr>
              <w:keepNext/>
              <w:keepLines/>
              <w:jc w:val="right"/>
              <w:rPr>
                <w:color w:val="000000"/>
                <w:sz w:val="20"/>
                <w:szCs w:val="20"/>
                <w:lang w:val="fr-CA"/>
              </w:rPr>
            </w:pPr>
            <w:r w:rsidRPr="00A52C0B">
              <w:rPr>
                <w:color w:val="000000"/>
                <w:sz w:val="20"/>
                <w:szCs w:val="20"/>
                <w:lang w:val="fr-CA"/>
              </w:rPr>
              <w:t>9</w:t>
            </w:r>
            <w:r w:rsidR="001527BF" w:rsidRPr="00A52C0B">
              <w:rPr>
                <w:color w:val="000000"/>
                <w:sz w:val="20"/>
                <w:szCs w:val="20"/>
                <w:lang w:val="fr-CA"/>
              </w:rPr>
              <w:t> </w:t>
            </w:r>
            <w:r w:rsidRPr="00A52C0B">
              <w:rPr>
                <w:color w:val="000000"/>
                <w:sz w:val="20"/>
                <w:szCs w:val="20"/>
                <w:lang w:val="fr-CA"/>
              </w:rPr>
              <w:t>427</w:t>
            </w:r>
          </w:p>
        </w:tc>
        <w:tc>
          <w:tcPr>
            <w:tcW w:w="1515"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202" w:type="dxa"/>
            </w:tcMar>
          </w:tcPr>
          <w:p w14:paraId="1078E088" w14:textId="1B6B600A" w:rsidR="005A5A1E" w:rsidRPr="00A52C0B" w:rsidRDefault="005A5A1E" w:rsidP="008C3DBB">
            <w:pPr>
              <w:keepNext/>
              <w:keepLines/>
              <w:jc w:val="right"/>
              <w:rPr>
                <w:color w:val="000000"/>
                <w:sz w:val="20"/>
                <w:szCs w:val="20"/>
                <w:lang w:val="fr-CA"/>
              </w:rPr>
            </w:pPr>
            <w:r w:rsidRPr="00A52C0B">
              <w:rPr>
                <w:color w:val="000000"/>
                <w:sz w:val="20"/>
                <w:szCs w:val="20"/>
                <w:lang w:val="fr-CA"/>
              </w:rPr>
              <w:t>51</w:t>
            </w:r>
            <w:r w:rsidR="001527BF" w:rsidRPr="00A52C0B">
              <w:rPr>
                <w:color w:val="000000"/>
                <w:sz w:val="20"/>
                <w:szCs w:val="20"/>
                <w:lang w:val="fr-CA"/>
              </w:rPr>
              <w:t> </w:t>
            </w:r>
            <w:r w:rsidRPr="00A52C0B">
              <w:rPr>
                <w:color w:val="000000"/>
                <w:sz w:val="20"/>
                <w:szCs w:val="20"/>
                <w:lang w:val="fr-CA"/>
              </w:rPr>
              <w:t>015</w:t>
            </w:r>
            <w:r w:rsidR="001527BF" w:rsidRPr="00A52C0B">
              <w:rPr>
                <w:color w:val="000000"/>
                <w:sz w:val="20"/>
                <w:szCs w:val="20"/>
                <w:lang w:val="fr-CA"/>
              </w:rPr>
              <w:t> </w:t>
            </w:r>
            <w:r w:rsidRPr="00A52C0B">
              <w:rPr>
                <w:color w:val="000000"/>
                <w:sz w:val="20"/>
                <w:szCs w:val="20"/>
                <w:lang w:val="fr-CA"/>
              </w:rPr>
              <w:t>199</w:t>
            </w:r>
          </w:p>
        </w:tc>
        <w:tc>
          <w:tcPr>
            <w:tcW w:w="1515"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202" w:type="dxa"/>
            </w:tcMar>
            <w:hideMark/>
          </w:tcPr>
          <w:p w14:paraId="084A7A35" w14:textId="7C094D44" w:rsidR="005A5A1E" w:rsidRPr="00A52C0B" w:rsidRDefault="005A5A1E" w:rsidP="008C3DBB">
            <w:pPr>
              <w:keepNext/>
              <w:keepLines/>
              <w:jc w:val="right"/>
              <w:rPr>
                <w:color w:val="000000"/>
                <w:sz w:val="20"/>
                <w:szCs w:val="20"/>
                <w:lang w:val="fr-CA"/>
              </w:rPr>
            </w:pPr>
            <w:r w:rsidRPr="00A52C0B">
              <w:rPr>
                <w:color w:val="000000"/>
                <w:sz w:val="20"/>
                <w:szCs w:val="20"/>
                <w:lang w:val="fr-CA"/>
              </w:rPr>
              <w:t>26</w:t>
            </w:r>
            <w:r w:rsidR="001527BF" w:rsidRPr="00A52C0B">
              <w:rPr>
                <w:color w:val="000000"/>
                <w:sz w:val="20"/>
                <w:szCs w:val="20"/>
                <w:lang w:val="fr-CA"/>
              </w:rPr>
              <w:t> </w:t>
            </w:r>
            <w:r w:rsidRPr="00A52C0B">
              <w:rPr>
                <w:color w:val="000000"/>
                <w:sz w:val="20"/>
                <w:szCs w:val="20"/>
                <w:lang w:val="fr-CA"/>
              </w:rPr>
              <w:t>840</w:t>
            </w:r>
            <w:r w:rsidR="001527BF" w:rsidRPr="00A52C0B">
              <w:rPr>
                <w:color w:val="000000"/>
                <w:sz w:val="20"/>
                <w:szCs w:val="20"/>
                <w:lang w:val="fr-CA"/>
              </w:rPr>
              <w:t> </w:t>
            </w:r>
            <w:r w:rsidRPr="00A52C0B">
              <w:rPr>
                <w:color w:val="000000"/>
                <w:sz w:val="20"/>
                <w:szCs w:val="20"/>
                <w:lang w:val="fr-CA"/>
              </w:rPr>
              <w:t>945</w:t>
            </w:r>
          </w:p>
        </w:tc>
      </w:tr>
      <w:tr w:rsidR="005A5A1E" w:rsidRPr="00A52C0B" w14:paraId="7679575A" w14:textId="77777777" w:rsidTr="005A5A1E">
        <w:tc>
          <w:tcPr>
            <w:tcW w:w="624" w:type="pct"/>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vAlign w:val="bottom"/>
            <w:hideMark/>
          </w:tcPr>
          <w:p w14:paraId="04BA8A8F" w14:textId="13778F01" w:rsidR="005A5A1E" w:rsidRPr="00A52C0B" w:rsidRDefault="00AC1FB8" w:rsidP="008C3DBB">
            <w:pPr>
              <w:keepNext/>
              <w:keepLines/>
              <w:rPr>
                <w:color w:val="000000"/>
                <w:sz w:val="20"/>
                <w:szCs w:val="20"/>
                <w:lang w:val="fr-CA"/>
              </w:rPr>
            </w:pPr>
            <w:r w:rsidRPr="00A52C0B">
              <w:rPr>
                <w:color w:val="000000"/>
                <w:sz w:val="20"/>
                <w:szCs w:val="20"/>
                <w:lang w:val="fr-CA"/>
              </w:rPr>
              <w:t xml:space="preserve">Autres que </w:t>
            </w:r>
            <w:r w:rsidR="00903533" w:rsidRPr="00A52C0B">
              <w:rPr>
                <w:color w:val="000000"/>
                <w:sz w:val="20"/>
                <w:szCs w:val="20"/>
                <w:lang w:val="fr-CA"/>
              </w:rPr>
              <w:t>FVC</w:t>
            </w:r>
          </w:p>
        </w:tc>
        <w:tc>
          <w:tcPr>
            <w:tcW w:w="577" w:type="pct"/>
            <w:tcBorders>
              <w:top w:val="single" w:sz="4" w:space="0" w:color="auto"/>
              <w:left w:val="single" w:sz="4" w:space="0" w:color="auto"/>
              <w:bottom w:val="single" w:sz="4" w:space="0" w:color="auto"/>
              <w:right w:val="single" w:sz="4" w:space="0" w:color="auto"/>
            </w:tcBorders>
            <w:tcMar>
              <w:top w:w="0" w:type="dxa"/>
              <w:left w:w="0" w:type="dxa"/>
              <w:bottom w:w="0" w:type="dxa"/>
              <w:right w:w="202" w:type="dxa"/>
            </w:tcMar>
            <w:hideMark/>
          </w:tcPr>
          <w:p w14:paraId="0362526A" w14:textId="77777777" w:rsidR="005A5A1E" w:rsidRPr="00A52C0B" w:rsidRDefault="005A5A1E" w:rsidP="008C3DBB">
            <w:pPr>
              <w:keepNext/>
              <w:keepLines/>
              <w:jc w:val="right"/>
              <w:rPr>
                <w:color w:val="000000"/>
                <w:sz w:val="20"/>
                <w:szCs w:val="20"/>
                <w:lang w:val="fr-CA"/>
              </w:rPr>
            </w:pPr>
            <w:r w:rsidRPr="00A52C0B">
              <w:rPr>
                <w:color w:val="000000"/>
                <w:sz w:val="20"/>
                <w:szCs w:val="20"/>
                <w:lang w:val="fr-CA"/>
              </w:rPr>
              <w:t>57</w:t>
            </w:r>
          </w:p>
        </w:tc>
        <w:tc>
          <w:tcPr>
            <w:tcW w:w="769"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202" w:type="dxa"/>
            </w:tcMar>
            <w:hideMark/>
          </w:tcPr>
          <w:p w14:paraId="6E006467" w14:textId="147B8224" w:rsidR="005A5A1E" w:rsidRPr="00A52C0B" w:rsidRDefault="005A5A1E" w:rsidP="008C3DBB">
            <w:pPr>
              <w:keepNext/>
              <w:keepLines/>
              <w:jc w:val="right"/>
              <w:rPr>
                <w:color w:val="000000"/>
                <w:sz w:val="20"/>
                <w:szCs w:val="20"/>
                <w:lang w:val="fr-CA"/>
              </w:rPr>
            </w:pPr>
            <w:r w:rsidRPr="00A52C0B">
              <w:rPr>
                <w:color w:val="000000"/>
                <w:sz w:val="20"/>
                <w:szCs w:val="20"/>
                <w:lang w:val="fr-CA"/>
              </w:rPr>
              <w:t>189</w:t>
            </w:r>
            <w:r w:rsidR="001527BF" w:rsidRPr="00A52C0B">
              <w:rPr>
                <w:color w:val="000000"/>
                <w:sz w:val="20"/>
                <w:szCs w:val="20"/>
                <w:lang w:val="fr-CA"/>
              </w:rPr>
              <w:t> </w:t>
            </w:r>
            <w:r w:rsidRPr="00A52C0B">
              <w:rPr>
                <w:color w:val="000000"/>
                <w:sz w:val="20"/>
                <w:szCs w:val="20"/>
                <w:lang w:val="fr-CA"/>
              </w:rPr>
              <w:t>164</w:t>
            </w:r>
          </w:p>
        </w:tc>
        <w:tc>
          <w:tcPr>
            <w:tcW w:w="1515"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202" w:type="dxa"/>
            </w:tcMar>
          </w:tcPr>
          <w:p w14:paraId="2018B097" w14:textId="1ADDF023" w:rsidR="005A5A1E" w:rsidRPr="00A52C0B" w:rsidRDefault="005A5A1E" w:rsidP="008C3DBB">
            <w:pPr>
              <w:keepNext/>
              <w:keepLines/>
              <w:jc w:val="right"/>
              <w:rPr>
                <w:color w:val="000000"/>
                <w:sz w:val="20"/>
                <w:szCs w:val="20"/>
                <w:lang w:val="fr-CA"/>
              </w:rPr>
            </w:pPr>
            <w:r w:rsidRPr="00A52C0B">
              <w:rPr>
                <w:color w:val="000000"/>
                <w:sz w:val="20"/>
                <w:szCs w:val="20"/>
                <w:lang w:val="fr-CA"/>
              </w:rPr>
              <w:t>***141</w:t>
            </w:r>
            <w:r w:rsidR="001527BF" w:rsidRPr="00A52C0B">
              <w:rPr>
                <w:color w:val="000000"/>
                <w:sz w:val="20"/>
                <w:szCs w:val="20"/>
                <w:lang w:val="fr-CA"/>
              </w:rPr>
              <w:t> </w:t>
            </w:r>
            <w:r w:rsidRPr="00A52C0B">
              <w:rPr>
                <w:color w:val="000000"/>
                <w:sz w:val="20"/>
                <w:szCs w:val="20"/>
                <w:lang w:val="fr-CA"/>
              </w:rPr>
              <w:t>648</w:t>
            </w:r>
            <w:r w:rsidR="001527BF" w:rsidRPr="00A52C0B">
              <w:rPr>
                <w:color w:val="000000"/>
                <w:sz w:val="20"/>
                <w:szCs w:val="20"/>
                <w:lang w:val="fr-CA"/>
              </w:rPr>
              <w:t> </w:t>
            </w:r>
            <w:r w:rsidRPr="00A52C0B">
              <w:rPr>
                <w:color w:val="000000"/>
                <w:sz w:val="20"/>
                <w:szCs w:val="20"/>
                <w:lang w:val="fr-CA"/>
              </w:rPr>
              <w:t>656</w:t>
            </w:r>
          </w:p>
        </w:tc>
        <w:tc>
          <w:tcPr>
            <w:tcW w:w="1515"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202" w:type="dxa"/>
            </w:tcMar>
            <w:hideMark/>
          </w:tcPr>
          <w:p w14:paraId="6E3B5D5B" w14:textId="183386E9" w:rsidR="005A5A1E" w:rsidRPr="00A52C0B" w:rsidRDefault="005A5A1E" w:rsidP="008C3DBB">
            <w:pPr>
              <w:keepNext/>
              <w:keepLines/>
              <w:jc w:val="right"/>
              <w:rPr>
                <w:color w:val="000000"/>
                <w:sz w:val="20"/>
                <w:szCs w:val="20"/>
                <w:lang w:val="fr-CA"/>
              </w:rPr>
            </w:pPr>
            <w:r w:rsidRPr="00A52C0B">
              <w:rPr>
                <w:color w:val="000000"/>
                <w:sz w:val="20"/>
                <w:szCs w:val="20"/>
                <w:lang w:val="fr-CA"/>
              </w:rPr>
              <w:t>****559</w:t>
            </w:r>
            <w:r w:rsidR="001527BF" w:rsidRPr="00A52C0B">
              <w:rPr>
                <w:color w:val="000000"/>
                <w:sz w:val="20"/>
                <w:szCs w:val="20"/>
                <w:lang w:val="fr-CA"/>
              </w:rPr>
              <w:t> </w:t>
            </w:r>
            <w:r w:rsidRPr="00A52C0B">
              <w:rPr>
                <w:color w:val="000000"/>
                <w:sz w:val="20"/>
                <w:szCs w:val="20"/>
                <w:lang w:val="fr-CA"/>
              </w:rPr>
              <w:t>356</w:t>
            </w:r>
            <w:r w:rsidR="001527BF" w:rsidRPr="00A52C0B">
              <w:rPr>
                <w:color w:val="000000"/>
                <w:sz w:val="20"/>
                <w:szCs w:val="20"/>
                <w:lang w:val="fr-CA"/>
              </w:rPr>
              <w:t> </w:t>
            </w:r>
            <w:r w:rsidRPr="00A52C0B">
              <w:rPr>
                <w:color w:val="000000"/>
                <w:sz w:val="20"/>
                <w:szCs w:val="20"/>
                <w:lang w:val="fr-CA"/>
              </w:rPr>
              <w:t>013</w:t>
            </w:r>
          </w:p>
        </w:tc>
      </w:tr>
      <w:tr w:rsidR="005A5A1E" w:rsidRPr="00A52C0B" w14:paraId="6B777710" w14:textId="77777777" w:rsidTr="005A5A1E">
        <w:tc>
          <w:tcPr>
            <w:tcW w:w="624" w:type="pct"/>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vAlign w:val="bottom"/>
            <w:hideMark/>
          </w:tcPr>
          <w:p w14:paraId="28191C18" w14:textId="77777777" w:rsidR="005A5A1E" w:rsidRPr="00A52C0B" w:rsidRDefault="005A5A1E" w:rsidP="008C3DBB">
            <w:pPr>
              <w:keepNext/>
              <w:keepLines/>
              <w:rPr>
                <w:b/>
                <w:bCs/>
                <w:color w:val="000000"/>
                <w:sz w:val="20"/>
                <w:szCs w:val="20"/>
                <w:lang w:val="fr-CA"/>
              </w:rPr>
            </w:pPr>
            <w:r w:rsidRPr="00A52C0B">
              <w:rPr>
                <w:b/>
                <w:bCs/>
                <w:color w:val="000000"/>
                <w:sz w:val="20"/>
                <w:szCs w:val="20"/>
                <w:lang w:val="fr-CA"/>
              </w:rPr>
              <w:t>Total</w:t>
            </w:r>
          </w:p>
        </w:tc>
        <w:tc>
          <w:tcPr>
            <w:tcW w:w="577" w:type="pct"/>
            <w:tcBorders>
              <w:top w:val="single" w:sz="4" w:space="0" w:color="auto"/>
              <w:left w:val="single" w:sz="4" w:space="0" w:color="auto"/>
              <w:bottom w:val="single" w:sz="4" w:space="0" w:color="auto"/>
              <w:right w:val="single" w:sz="4" w:space="0" w:color="auto"/>
            </w:tcBorders>
            <w:tcMar>
              <w:top w:w="0" w:type="dxa"/>
              <w:left w:w="0" w:type="dxa"/>
              <w:bottom w:w="0" w:type="dxa"/>
              <w:right w:w="202" w:type="dxa"/>
            </w:tcMar>
            <w:hideMark/>
          </w:tcPr>
          <w:p w14:paraId="66579D0F" w14:textId="77777777" w:rsidR="005A5A1E" w:rsidRPr="00A52C0B" w:rsidRDefault="005A5A1E" w:rsidP="008C3DBB">
            <w:pPr>
              <w:keepNext/>
              <w:keepLines/>
              <w:jc w:val="right"/>
              <w:rPr>
                <w:bCs/>
                <w:color w:val="000000"/>
                <w:sz w:val="20"/>
                <w:szCs w:val="20"/>
                <w:lang w:val="fr-CA"/>
              </w:rPr>
            </w:pPr>
            <w:r w:rsidRPr="00A52C0B">
              <w:rPr>
                <w:bCs/>
                <w:color w:val="000000"/>
                <w:sz w:val="20"/>
                <w:szCs w:val="20"/>
                <w:lang w:val="fr-CA"/>
              </w:rPr>
              <w:t>144</w:t>
            </w:r>
          </w:p>
        </w:tc>
        <w:tc>
          <w:tcPr>
            <w:tcW w:w="769"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202" w:type="dxa"/>
            </w:tcMar>
            <w:hideMark/>
          </w:tcPr>
          <w:p w14:paraId="4A312835" w14:textId="13507AA0" w:rsidR="005A5A1E" w:rsidRPr="00A52C0B" w:rsidRDefault="005A5A1E" w:rsidP="008C3DBB">
            <w:pPr>
              <w:keepNext/>
              <w:keepLines/>
              <w:jc w:val="right"/>
              <w:rPr>
                <w:bCs/>
                <w:color w:val="000000"/>
                <w:sz w:val="20"/>
                <w:szCs w:val="20"/>
                <w:lang w:val="fr-CA"/>
              </w:rPr>
            </w:pPr>
            <w:r w:rsidRPr="00A52C0B">
              <w:rPr>
                <w:bCs/>
                <w:color w:val="000000"/>
                <w:sz w:val="20"/>
                <w:szCs w:val="20"/>
                <w:lang w:val="fr-CA"/>
              </w:rPr>
              <w:t>198</w:t>
            </w:r>
            <w:r w:rsidR="001527BF" w:rsidRPr="00A52C0B">
              <w:rPr>
                <w:bCs/>
                <w:color w:val="000000"/>
                <w:sz w:val="20"/>
                <w:szCs w:val="20"/>
                <w:lang w:val="fr-CA"/>
              </w:rPr>
              <w:t> </w:t>
            </w:r>
            <w:r w:rsidRPr="00A52C0B">
              <w:rPr>
                <w:bCs/>
                <w:color w:val="000000"/>
                <w:sz w:val="20"/>
                <w:szCs w:val="20"/>
                <w:lang w:val="fr-CA"/>
              </w:rPr>
              <w:t>591</w:t>
            </w:r>
          </w:p>
        </w:tc>
        <w:tc>
          <w:tcPr>
            <w:tcW w:w="1515"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202" w:type="dxa"/>
            </w:tcMar>
          </w:tcPr>
          <w:p w14:paraId="5AE05856" w14:textId="5BA3541E" w:rsidR="005A5A1E" w:rsidRPr="00A52C0B" w:rsidRDefault="005A5A1E" w:rsidP="008C3DBB">
            <w:pPr>
              <w:keepNext/>
              <w:keepLines/>
              <w:jc w:val="right"/>
              <w:rPr>
                <w:bCs/>
                <w:color w:val="000000"/>
                <w:sz w:val="20"/>
                <w:szCs w:val="20"/>
                <w:lang w:val="fr-CA"/>
              </w:rPr>
            </w:pPr>
            <w:r w:rsidRPr="00A52C0B">
              <w:rPr>
                <w:bCs/>
                <w:color w:val="000000"/>
                <w:sz w:val="20"/>
                <w:szCs w:val="20"/>
                <w:lang w:val="fr-CA"/>
              </w:rPr>
              <w:t>192</w:t>
            </w:r>
            <w:r w:rsidR="001527BF" w:rsidRPr="00A52C0B">
              <w:rPr>
                <w:bCs/>
                <w:color w:val="000000"/>
                <w:sz w:val="20"/>
                <w:szCs w:val="20"/>
                <w:lang w:val="fr-CA"/>
              </w:rPr>
              <w:t> </w:t>
            </w:r>
            <w:r w:rsidRPr="00A52C0B">
              <w:rPr>
                <w:bCs/>
                <w:color w:val="000000"/>
                <w:sz w:val="20"/>
                <w:szCs w:val="20"/>
                <w:lang w:val="fr-CA"/>
              </w:rPr>
              <w:t>663</w:t>
            </w:r>
            <w:r w:rsidR="001527BF" w:rsidRPr="00A52C0B">
              <w:rPr>
                <w:bCs/>
                <w:color w:val="000000"/>
                <w:sz w:val="20"/>
                <w:szCs w:val="20"/>
                <w:lang w:val="fr-CA"/>
              </w:rPr>
              <w:t> </w:t>
            </w:r>
            <w:r w:rsidRPr="00A52C0B">
              <w:rPr>
                <w:bCs/>
                <w:color w:val="000000"/>
                <w:sz w:val="20"/>
                <w:szCs w:val="20"/>
                <w:lang w:val="fr-CA"/>
              </w:rPr>
              <w:t>855</w:t>
            </w:r>
          </w:p>
        </w:tc>
        <w:tc>
          <w:tcPr>
            <w:tcW w:w="1515"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202" w:type="dxa"/>
            </w:tcMar>
            <w:hideMark/>
          </w:tcPr>
          <w:p w14:paraId="6BA9C856" w14:textId="33183F71" w:rsidR="005A5A1E" w:rsidRPr="00A52C0B" w:rsidRDefault="005A5A1E" w:rsidP="008C3DBB">
            <w:pPr>
              <w:keepNext/>
              <w:keepLines/>
              <w:jc w:val="right"/>
              <w:rPr>
                <w:bCs/>
                <w:color w:val="000000"/>
                <w:sz w:val="20"/>
                <w:szCs w:val="20"/>
                <w:lang w:val="fr-CA"/>
              </w:rPr>
            </w:pPr>
            <w:r w:rsidRPr="00A52C0B">
              <w:rPr>
                <w:bCs/>
                <w:color w:val="000000"/>
                <w:sz w:val="20"/>
                <w:szCs w:val="20"/>
                <w:lang w:val="fr-CA"/>
              </w:rPr>
              <w:t>586</w:t>
            </w:r>
            <w:r w:rsidR="001527BF" w:rsidRPr="00A52C0B">
              <w:rPr>
                <w:bCs/>
                <w:color w:val="000000"/>
                <w:sz w:val="20"/>
                <w:szCs w:val="20"/>
                <w:lang w:val="fr-CA"/>
              </w:rPr>
              <w:t> </w:t>
            </w:r>
            <w:r w:rsidRPr="00A52C0B">
              <w:rPr>
                <w:bCs/>
                <w:color w:val="000000"/>
                <w:sz w:val="20"/>
                <w:szCs w:val="20"/>
                <w:lang w:val="fr-CA"/>
              </w:rPr>
              <w:t>196</w:t>
            </w:r>
            <w:r w:rsidR="001527BF" w:rsidRPr="00A52C0B">
              <w:rPr>
                <w:bCs/>
                <w:color w:val="000000"/>
                <w:sz w:val="20"/>
                <w:szCs w:val="20"/>
                <w:lang w:val="fr-CA"/>
              </w:rPr>
              <w:t> </w:t>
            </w:r>
            <w:r w:rsidRPr="00A52C0B">
              <w:rPr>
                <w:bCs/>
                <w:color w:val="000000"/>
                <w:sz w:val="20"/>
                <w:szCs w:val="20"/>
                <w:lang w:val="fr-CA"/>
              </w:rPr>
              <w:t>958</w:t>
            </w:r>
          </w:p>
        </w:tc>
      </w:tr>
    </w:tbl>
    <w:p w14:paraId="611F8956" w14:textId="1793EDDB" w:rsidR="005A5A1E" w:rsidRPr="00A52C0B" w:rsidRDefault="005A5A1E" w:rsidP="008C3DBB">
      <w:pPr>
        <w:keepNext/>
        <w:keepLines/>
        <w:rPr>
          <w:sz w:val="19"/>
          <w:szCs w:val="19"/>
          <w:lang w:val="fr-CA"/>
        </w:rPr>
      </w:pPr>
      <w:r w:rsidRPr="00A52C0B">
        <w:rPr>
          <w:sz w:val="19"/>
          <w:szCs w:val="19"/>
          <w:lang w:val="fr-CA"/>
        </w:rPr>
        <w:t xml:space="preserve">* </w:t>
      </w:r>
      <w:r w:rsidR="00AC1FB8" w:rsidRPr="00A52C0B">
        <w:rPr>
          <w:sz w:val="19"/>
          <w:szCs w:val="19"/>
          <w:lang w:val="fr-CA"/>
        </w:rPr>
        <w:t>À partir du rapport sur le programme de pays</w:t>
      </w:r>
      <w:r w:rsidR="00903533" w:rsidRPr="00A52C0B">
        <w:rPr>
          <w:sz w:val="19"/>
          <w:szCs w:val="19"/>
          <w:lang w:val="fr-CA"/>
        </w:rPr>
        <w:t>.</w:t>
      </w:r>
    </w:p>
    <w:p w14:paraId="11E49112" w14:textId="1B267430" w:rsidR="005A5A1E" w:rsidRPr="00A52C0B" w:rsidRDefault="005A5A1E" w:rsidP="008C3DBB">
      <w:pPr>
        <w:keepNext/>
        <w:keepLines/>
        <w:rPr>
          <w:sz w:val="19"/>
          <w:szCs w:val="19"/>
          <w:lang w:val="fr-CA"/>
        </w:rPr>
      </w:pPr>
      <w:r w:rsidRPr="00A52C0B">
        <w:rPr>
          <w:sz w:val="19"/>
          <w:szCs w:val="19"/>
          <w:lang w:val="fr-CA"/>
        </w:rPr>
        <w:t xml:space="preserve">** </w:t>
      </w:r>
      <w:r w:rsidR="00AC1FB8" w:rsidRPr="00A52C0B">
        <w:rPr>
          <w:sz w:val="19"/>
          <w:szCs w:val="19"/>
          <w:lang w:val="fr-CA"/>
        </w:rPr>
        <w:t>Alors que ce financement a été approuvé en principe, il a été progressivement décaissé à mesure que les tranche</w:t>
      </w:r>
      <w:r w:rsidR="00F748F7" w:rsidRPr="00A52C0B">
        <w:rPr>
          <w:sz w:val="19"/>
          <w:szCs w:val="19"/>
          <w:lang w:val="fr-CA"/>
        </w:rPr>
        <w:t>s étaient</w:t>
      </w:r>
      <w:r w:rsidR="00AC1FB8" w:rsidRPr="00A52C0B">
        <w:rPr>
          <w:sz w:val="19"/>
          <w:szCs w:val="19"/>
          <w:lang w:val="fr-CA"/>
        </w:rPr>
        <w:t xml:space="preserve"> soumise</w:t>
      </w:r>
      <w:r w:rsidR="00F748F7" w:rsidRPr="00A52C0B">
        <w:rPr>
          <w:sz w:val="19"/>
          <w:szCs w:val="19"/>
          <w:lang w:val="fr-CA"/>
        </w:rPr>
        <w:t>s</w:t>
      </w:r>
      <w:r w:rsidR="00AC1FB8" w:rsidRPr="00A52C0B">
        <w:rPr>
          <w:sz w:val="19"/>
          <w:szCs w:val="19"/>
          <w:lang w:val="fr-CA"/>
        </w:rPr>
        <w:t>.</w:t>
      </w:r>
    </w:p>
    <w:p w14:paraId="089E1770" w14:textId="76AE0394" w:rsidR="005A5A1E" w:rsidRPr="00A52C0B" w:rsidRDefault="005A5A1E" w:rsidP="008C3DBB">
      <w:pPr>
        <w:keepNext/>
        <w:keepLines/>
        <w:rPr>
          <w:sz w:val="19"/>
          <w:szCs w:val="19"/>
          <w:lang w:val="fr-CA"/>
        </w:rPr>
      </w:pPr>
      <w:r w:rsidRPr="00A52C0B">
        <w:rPr>
          <w:sz w:val="19"/>
          <w:szCs w:val="19"/>
          <w:lang w:val="fr-CA"/>
        </w:rPr>
        <w:t xml:space="preserve">*** </w:t>
      </w:r>
      <w:r w:rsidR="00AC1FB8" w:rsidRPr="00A52C0B">
        <w:rPr>
          <w:sz w:val="19"/>
          <w:szCs w:val="19"/>
          <w:lang w:val="fr-CA"/>
        </w:rPr>
        <w:t>Y</w:t>
      </w:r>
      <w:r w:rsidR="00F748F7" w:rsidRPr="00A52C0B">
        <w:rPr>
          <w:sz w:val="19"/>
          <w:szCs w:val="19"/>
          <w:lang w:val="fr-CA"/>
        </w:rPr>
        <w:t> </w:t>
      </w:r>
      <w:r w:rsidR="00AC1FB8" w:rsidRPr="00A52C0B">
        <w:rPr>
          <w:sz w:val="19"/>
          <w:szCs w:val="19"/>
          <w:lang w:val="fr-CA"/>
        </w:rPr>
        <w:t>compris 23 982 237</w:t>
      </w:r>
      <w:r w:rsidR="009D1B98" w:rsidRPr="00A52C0B">
        <w:rPr>
          <w:sz w:val="19"/>
          <w:szCs w:val="19"/>
          <w:lang w:val="fr-CA"/>
        </w:rPr>
        <w:t> </w:t>
      </w:r>
      <w:r w:rsidR="00AC1FB8" w:rsidRPr="00A52C0B">
        <w:rPr>
          <w:sz w:val="19"/>
          <w:szCs w:val="19"/>
          <w:lang w:val="fr-CA"/>
        </w:rPr>
        <w:t>$US pour un pays visé à l’article</w:t>
      </w:r>
      <w:r w:rsidR="009D1B98" w:rsidRPr="00A52C0B">
        <w:rPr>
          <w:sz w:val="19"/>
          <w:szCs w:val="19"/>
          <w:lang w:val="fr-CA"/>
        </w:rPr>
        <w:t> </w:t>
      </w:r>
      <w:r w:rsidR="00AC1FB8" w:rsidRPr="00A52C0B">
        <w:rPr>
          <w:sz w:val="19"/>
          <w:szCs w:val="19"/>
          <w:lang w:val="fr-CA"/>
        </w:rPr>
        <w:t xml:space="preserve">5. </w:t>
      </w:r>
    </w:p>
    <w:p w14:paraId="33F5EA7F" w14:textId="7F0FCD51" w:rsidR="005A5A1E" w:rsidRPr="00A52C0B" w:rsidRDefault="005A5A1E" w:rsidP="008C3DBB">
      <w:pPr>
        <w:keepNext/>
        <w:keepLines/>
        <w:rPr>
          <w:sz w:val="19"/>
          <w:szCs w:val="19"/>
          <w:lang w:val="fr-CA"/>
        </w:rPr>
      </w:pPr>
      <w:r w:rsidRPr="00A52C0B">
        <w:rPr>
          <w:sz w:val="19"/>
          <w:szCs w:val="19"/>
          <w:lang w:val="fr-CA"/>
        </w:rPr>
        <w:t xml:space="preserve">**** </w:t>
      </w:r>
      <w:r w:rsidR="00AC1FB8" w:rsidRPr="00A52C0B">
        <w:rPr>
          <w:sz w:val="19"/>
          <w:szCs w:val="19"/>
          <w:lang w:val="fr-CA"/>
        </w:rPr>
        <w:t>Y</w:t>
      </w:r>
      <w:r w:rsidR="00F748F7" w:rsidRPr="00A52C0B">
        <w:rPr>
          <w:sz w:val="19"/>
          <w:szCs w:val="19"/>
          <w:lang w:val="fr-CA"/>
        </w:rPr>
        <w:t> </w:t>
      </w:r>
      <w:r w:rsidR="00AC1FB8" w:rsidRPr="00A52C0B">
        <w:rPr>
          <w:sz w:val="19"/>
          <w:szCs w:val="19"/>
          <w:lang w:val="fr-CA"/>
        </w:rPr>
        <w:t>compris 155 717 354</w:t>
      </w:r>
      <w:r w:rsidR="009D1B98" w:rsidRPr="00A52C0B">
        <w:rPr>
          <w:sz w:val="19"/>
          <w:szCs w:val="19"/>
          <w:lang w:val="fr-CA"/>
        </w:rPr>
        <w:t> </w:t>
      </w:r>
      <w:r w:rsidR="00AC1FB8" w:rsidRPr="00A52C0B">
        <w:rPr>
          <w:sz w:val="19"/>
          <w:szCs w:val="19"/>
          <w:lang w:val="fr-CA"/>
        </w:rPr>
        <w:t xml:space="preserve">$US pour un pays </w:t>
      </w:r>
      <w:r w:rsidR="00F748F7" w:rsidRPr="00A52C0B">
        <w:rPr>
          <w:sz w:val="19"/>
          <w:szCs w:val="19"/>
          <w:lang w:val="fr-CA"/>
        </w:rPr>
        <w:t>visé à</w:t>
      </w:r>
      <w:r w:rsidR="00AC1FB8" w:rsidRPr="00A52C0B">
        <w:rPr>
          <w:sz w:val="19"/>
          <w:szCs w:val="19"/>
          <w:lang w:val="fr-CA"/>
        </w:rPr>
        <w:t xml:space="preserve"> l’article</w:t>
      </w:r>
      <w:r w:rsidR="009D1B98" w:rsidRPr="00A52C0B">
        <w:rPr>
          <w:sz w:val="19"/>
          <w:szCs w:val="19"/>
          <w:lang w:val="fr-CA"/>
        </w:rPr>
        <w:t> </w:t>
      </w:r>
      <w:r w:rsidR="00AC1FB8" w:rsidRPr="00A52C0B">
        <w:rPr>
          <w:sz w:val="19"/>
          <w:szCs w:val="19"/>
          <w:lang w:val="fr-CA"/>
        </w:rPr>
        <w:t>5</w:t>
      </w:r>
    </w:p>
    <w:p w14:paraId="7C31D68F" w14:textId="77777777" w:rsidR="005A5A1E" w:rsidRPr="00A52C0B" w:rsidRDefault="005A5A1E" w:rsidP="008C3DBB">
      <w:pPr>
        <w:keepNext/>
        <w:keepLines/>
        <w:rPr>
          <w:lang w:val="fr-CA"/>
        </w:rPr>
      </w:pPr>
    </w:p>
    <w:p w14:paraId="1F0136A5" w14:textId="1C448DDF" w:rsidR="005A5A1E" w:rsidRPr="00A52C0B" w:rsidRDefault="00AC1FB8" w:rsidP="005A5A1E">
      <w:pPr>
        <w:widowControl w:val="0"/>
        <w:rPr>
          <w:u w:val="single"/>
          <w:lang w:val="fr-CA"/>
        </w:rPr>
      </w:pPr>
      <w:r w:rsidRPr="00A52C0B">
        <w:rPr>
          <w:u w:val="single"/>
          <w:lang w:val="fr-CA"/>
        </w:rPr>
        <w:t xml:space="preserve">Principales réalisations dans le secteur de l’entretien de l’équipement de réfrigération </w:t>
      </w:r>
    </w:p>
    <w:p w14:paraId="0C9A13D0" w14:textId="77777777" w:rsidR="005A5A1E" w:rsidRPr="00A52C0B" w:rsidRDefault="005A5A1E" w:rsidP="005A5A1E">
      <w:pPr>
        <w:widowControl w:val="0"/>
        <w:rPr>
          <w:lang w:val="fr-CA"/>
        </w:rPr>
      </w:pPr>
    </w:p>
    <w:p w14:paraId="0DF6CB10" w14:textId="5DDED93A" w:rsidR="005A5A1E" w:rsidRPr="00A52C0B" w:rsidRDefault="00AC1FB8" w:rsidP="005A5A1E">
      <w:pPr>
        <w:pStyle w:val="Heading1"/>
        <w:widowControl w:val="0"/>
        <w:numPr>
          <w:ilvl w:val="0"/>
          <w:numId w:val="2"/>
        </w:numPr>
        <w:spacing w:after="120"/>
        <w:rPr>
          <w:lang w:val="fr-CA"/>
        </w:rPr>
      </w:pPr>
      <w:r w:rsidRPr="00A52C0B">
        <w:rPr>
          <w:lang w:val="fr-CA"/>
        </w:rPr>
        <w:t>Grâce à l’assistance technique et financière procurée au secteur de l’entretien de l’équipement de réfrigération, des mesures ont été mises en place, afin de garantir la viabilité à long terme des activités mises en œuvre</w:t>
      </w:r>
      <w:r w:rsidR="005A5A1E" w:rsidRPr="00A52C0B">
        <w:rPr>
          <w:vertAlign w:val="superscript"/>
          <w:lang w:val="fr-CA"/>
        </w:rPr>
        <w:footnoteReference w:id="16"/>
      </w:r>
      <w:r w:rsidR="00F748F7" w:rsidRPr="00A52C0B">
        <w:rPr>
          <w:lang w:val="fr-CA"/>
        </w:rPr>
        <w:t xml:space="preserve">. </w:t>
      </w:r>
      <w:r w:rsidR="00D23142" w:rsidRPr="00A52C0B">
        <w:rPr>
          <w:lang w:val="fr-CA"/>
        </w:rPr>
        <w:t>En particulier, les pays visés à l’article</w:t>
      </w:r>
      <w:r w:rsidR="009D1B98" w:rsidRPr="00A52C0B">
        <w:rPr>
          <w:lang w:val="fr-CA"/>
        </w:rPr>
        <w:t> </w:t>
      </w:r>
      <w:r w:rsidR="00D23142" w:rsidRPr="00A52C0B">
        <w:rPr>
          <w:lang w:val="fr-CA"/>
        </w:rPr>
        <w:t>5 ont</w:t>
      </w:r>
      <w:r w:rsidR="009D1B98" w:rsidRPr="00A52C0B">
        <w:rPr>
          <w:lang w:val="fr-CA"/>
        </w:rPr>
        <w:t> </w:t>
      </w:r>
      <w:r w:rsidR="00D23142" w:rsidRPr="00A52C0B">
        <w:rPr>
          <w:lang w:val="fr-CA"/>
        </w:rPr>
        <w:t>:</w:t>
      </w:r>
    </w:p>
    <w:p w14:paraId="4FD8D6A4" w14:textId="0372CA9F" w:rsidR="005A5A1E" w:rsidRPr="00A52C0B" w:rsidRDefault="00573C54" w:rsidP="005A5A1E">
      <w:pPr>
        <w:pStyle w:val="Heading2"/>
        <w:rPr>
          <w:lang w:val="fr-CA"/>
        </w:rPr>
      </w:pPr>
      <w:r>
        <w:rPr>
          <w:lang w:val="fr-CA"/>
        </w:rPr>
        <w:t>r</w:t>
      </w:r>
      <w:r w:rsidR="00D23142" w:rsidRPr="00A52C0B">
        <w:rPr>
          <w:lang w:val="fr-CA"/>
        </w:rPr>
        <w:t>enforc</w:t>
      </w:r>
      <w:r w:rsidR="00F748F7" w:rsidRPr="00A52C0B">
        <w:rPr>
          <w:lang w:val="fr-CA"/>
        </w:rPr>
        <w:t>é</w:t>
      </w:r>
      <w:r w:rsidR="00D23142" w:rsidRPr="00A52C0B">
        <w:rPr>
          <w:lang w:val="fr-CA"/>
        </w:rPr>
        <w:t xml:space="preserve"> leur capacité nationale pour ce qui est des autorités des douanes et d’exécution de la loi et de leurs </w:t>
      </w:r>
      <w:r w:rsidR="007820CD" w:rsidRPr="00A52C0B">
        <w:rPr>
          <w:lang w:val="fr-CA"/>
        </w:rPr>
        <w:t>i</w:t>
      </w:r>
      <w:r w:rsidR="00D23142" w:rsidRPr="00A52C0B">
        <w:rPr>
          <w:lang w:val="fr-CA"/>
        </w:rPr>
        <w:t>nstitut</w:t>
      </w:r>
      <w:r w:rsidR="007820CD" w:rsidRPr="00A52C0B">
        <w:rPr>
          <w:lang w:val="fr-CA"/>
        </w:rPr>
        <w:t>s</w:t>
      </w:r>
      <w:r w:rsidR="00D23142" w:rsidRPr="00A52C0B">
        <w:rPr>
          <w:lang w:val="fr-CA"/>
        </w:rPr>
        <w:t xml:space="preserve">, en fournissant des identificateurs de frigorigène et en mettant à jour périodiquement les programmes d’études et de formation à l’intention des autorités des douanes; </w:t>
      </w:r>
    </w:p>
    <w:p w14:paraId="4CAF2366" w14:textId="0AE19AC7" w:rsidR="005A5A1E" w:rsidRPr="00A52C0B" w:rsidRDefault="00573C54" w:rsidP="005A5A1E">
      <w:pPr>
        <w:pStyle w:val="Heading2"/>
        <w:rPr>
          <w:lang w:val="fr-CA"/>
        </w:rPr>
      </w:pPr>
      <w:r>
        <w:rPr>
          <w:lang w:val="fr-CA"/>
        </w:rPr>
        <w:t>r</w:t>
      </w:r>
      <w:r w:rsidR="00D21884" w:rsidRPr="00A52C0B">
        <w:rPr>
          <w:lang w:val="fr-CA"/>
        </w:rPr>
        <w:t>enforc</w:t>
      </w:r>
      <w:r w:rsidR="00DD3635" w:rsidRPr="00A52C0B">
        <w:rPr>
          <w:lang w:val="fr-CA"/>
        </w:rPr>
        <w:t>é</w:t>
      </w:r>
      <w:r w:rsidR="00D21884" w:rsidRPr="00A52C0B">
        <w:rPr>
          <w:lang w:val="fr-CA"/>
        </w:rPr>
        <w:t xml:space="preserve"> leur</w:t>
      </w:r>
      <w:r w:rsidR="00DD3635" w:rsidRPr="00A52C0B">
        <w:rPr>
          <w:lang w:val="fr-CA"/>
        </w:rPr>
        <w:t xml:space="preserve"> </w:t>
      </w:r>
      <w:r w:rsidR="00D21884" w:rsidRPr="00A52C0B">
        <w:rPr>
          <w:lang w:val="fr-CA"/>
        </w:rPr>
        <w:t>capacité institutionnelle, en dispensant une formation à un grand nombre de techniciens en réfrigération, fournissant de l’équipement et des outils à des établissements d’enseignement professionnel et de formation, actualisant périodiquement le contenu des programmes de formation, et établissant des plans destinés à certifi</w:t>
      </w:r>
      <w:r w:rsidR="009A0433" w:rsidRPr="00A52C0B">
        <w:rPr>
          <w:lang w:val="fr-CA"/>
        </w:rPr>
        <w:t>er</w:t>
      </w:r>
      <w:r w:rsidR="00D21884" w:rsidRPr="00A52C0B">
        <w:rPr>
          <w:lang w:val="fr-CA"/>
        </w:rPr>
        <w:t xml:space="preserve"> la compétence des techniciens en vue de mettre en œuvre des pratiques exemplaires d’entretien, dans certains cas y</w:t>
      </w:r>
      <w:r w:rsidR="005C39EE" w:rsidRPr="00A52C0B">
        <w:rPr>
          <w:lang w:val="fr-CA"/>
        </w:rPr>
        <w:t> </w:t>
      </w:r>
      <w:r w:rsidR="00D21884" w:rsidRPr="00A52C0B">
        <w:rPr>
          <w:lang w:val="fr-CA"/>
        </w:rPr>
        <w:t>compris l’entretien de l’équipement utilisant des frigorigènes inflammables et toxiques;</w:t>
      </w:r>
    </w:p>
    <w:p w14:paraId="75EDE761" w14:textId="4C2E0FB5" w:rsidR="005A5A1E" w:rsidRPr="00A52C0B" w:rsidRDefault="00573C54" w:rsidP="005A5A1E">
      <w:pPr>
        <w:pStyle w:val="Heading2"/>
        <w:rPr>
          <w:lang w:val="fr-CA"/>
        </w:rPr>
      </w:pPr>
      <w:r>
        <w:rPr>
          <w:lang w:val="fr-CA"/>
        </w:rPr>
        <w:t>c</w:t>
      </w:r>
      <w:r w:rsidR="00D21884" w:rsidRPr="00A52C0B">
        <w:rPr>
          <w:lang w:val="fr-CA"/>
        </w:rPr>
        <w:t>ré</w:t>
      </w:r>
      <w:r w:rsidR="005C39EE" w:rsidRPr="00A52C0B">
        <w:rPr>
          <w:lang w:val="fr-CA"/>
        </w:rPr>
        <w:t>é</w:t>
      </w:r>
      <w:r w:rsidR="00D21884" w:rsidRPr="00A52C0B">
        <w:rPr>
          <w:lang w:val="fr-CA"/>
        </w:rPr>
        <w:t xml:space="preserve"> une infrastructure pour la récupération, le recyclage et dans certains cas, la régénération des frigorigènes, en particulier le HCFC</w:t>
      </w:r>
      <w:r w:rsidR="00471A2B" w:rsidRPr="00A52C0B">
        <w:rPr>
          <w:lang w:val="fr-CA"/>
        </w:rPr>
        <w:noBreakHyphen/>
      </w:r>
      <w:r w:rsidR="00D21884" w:rsidRPr="00A52C0B">
        <w:rPr>
          <w:lang w:val="fr-CA"/>
        </w:rPr>
        <w:t xml:space="preserve">22; </w:t>
      </w:r>
    </w:p>
    <w:p w14:paraId="42D26096" w14:textId="6B9F2096" w:rsidR="005A5A1E" w:rsidRPr="00A52C0B" w:rsidRDefault="00573C54" w:rsidP="005A5A1E">
      <w:pPr>
        <w:pStyle w:val="Heading2"/>
        <w:rPr>
          <w:lang w:val="fr-CA"/>
        </w:rPr>
      </w:pPr>
      <w:r>
        <w:rPr>
          <w:lang w:val="fr-CA"/>
        </w:rPr>
        <w:t>e</w:t>
      </w:r>
      <w:r w:rsidR="00D21884" w:rsidRPr="00A52C0B">
        <w:rPr>
          <w:lang w:val="fr-CA"/>
        </w:rPr>
        <w:t>ncourag</w:t>
      </w:r>
      <w:r w:rsidR="005C39EE" w:rsidRPr="00A52C0B">
        <w:rPr>
          <w:lang w:val="fr-CA"/>
        </w:rPr>
        <w:t>é</w:t>
      </w:r>
      <w:r w:rsidR="00D21884" w:rsidRPr="00A52C0B">
        <w:rPr>
          <w:lang w:val="fr-CA"/>
        </w:rPr>
        <w:t xml:space="preserve"> l’établissement et/ou l’adaptation de codes de pratiques exemplaires d’entretien et de normes et participé au processus, afin de faciliter l’introduction d’équipement</w:t>
      </w:r>
      <w:r w:rsidR="005C39EE" w:rsidRPr="00A52C0B">
        <w:rPr>
          <w:lang w:val="fr-CA"/>
        </w:rPr>
        <w:t xml:space="preserve"> </w:t>
      </w:r>
      <w:r w:rsidR="00D21884" w:rsidRPr="00A52C0B">
        <w:rPr>
          <w:lang w:val="fr-CA"/>
        </w:rPr>
        <w:t xml:space="preserve">utilisant des technologies de remplacement à faible </w:t>
      </w:r>
      <w:r w:rsidR="009F6770" w:rsidRPr="00A52C0B">
        <w:rPr>
          <w:lang w:val="fr-CA"/>
        </w:rPr>
        <w:t>PRG</w:t>
      </w:r>
      <w:r w:rsidR="00D21884" w:rsidRPr="00A52C0B">
        <w:rPr>
          <w:lang w:val="fr-CA"/>
        </w:rPr>
        <w:t xml:space="preserve"> et la gestion des frigorigènes. </w:t>
      </w:r>
    </w:p>
    <w:p w14:paraId="1BD02725" w14:textId="52B1F90D" w:rsidR="005A5A1E" w:rsidRPr="00A52C0B" w:rsidRDefault="00D21884" w:rsidP="005A5A1E">
      <w:pPr>
        <w:keepNext/>
        <w:rPr>
          <w:b/>
          <w:lang w:val="fr-CA"/>
        </w:rPr>
      </w:pPr>
      <w:r w:rsidRPr="00A52C0B">
        <w:rPr>
          <w:b/>
          <w:lang w:val="fr-CA"/>
        </w:rPr>
        <w:t>Stratégie de conformité intégr</w:t>
      </w:r>
      <w:r w:rsidR="005C39EE" w:rsidRPr="00A52C0B">
        <w:rPr>
          <w:b/>
          <w:lang w:val="fr-CA"/>
        </w:rPr>
        <w:t>ée</w:t>
      </w:r>
      <w:r w:rsidRPr="00A52C0B">
        <w:rPr>
          <w:b/>
          <w:lang w:val="fr-CA"/>
        </w:rPr>
        <w:t xml:space="preserve"> pour les HCFC et le</w:t>
      </w:r>
      <w:r w:rsidR="00573C54">
        <w:rPr>
          <w:b/>
          <w:lang w:val="fr-CA"/>
        </w:rPr>
        <w:t>s</w:t>
      </w:r>
      <w:r w:rsidRPr="00A52C0B">
        <w:rPr>
          <w:b/>
          <w:lang w:val="fr-CA"/>
        </w:rPr>
        <w:t xml:space="preserve"> HFC dans le secteur de l’entretien de l’équipement de réfrigération</w:t>
      </w:r>
      <w:r w:rsidR="005A5A1E" w:rsidRPr="00A52C0B">
        <w:rPr>
          <w:rStyle w:val="FootnoteReference"/>
          <w:bCs/>
          <w:lang w:val="fr-CA"/>
        </w:rPr>
        <w:footnoteReference w:id="17"/>
      </w:r>
    </w:p>
    <w:p w14:paraId="1B7A8951" w14:textId="77777777" w:rsidR="005A5A1E" w:rsidRPr="00A52C0B" w:rsidRDefault="005A5A1E" w:rsidP="005A5A1E">
      <w:pPr>
        <w:keepNext/>
        <w:rPr>
          <w:lang w:val="fr-CA"/>
        </w:rPr>
      </w:pPr>
    </w:p>
    <w:p w14:paraId="46F297DB" w14:textId="10AC4A8E" w:rsidR="005A5A1E" w:rsidRPr="00A52C0B" w:rsidRDefault="00D21884" w:rsidP="005A5A1E">
      <w:pPr>
        <w:pStyle w:val="Heading1"/>
        <w:numPr>
          <w:ilvl w:val="0"/>
          <w:numId w:val="2"/>
        </w:numPr>
        <w:rPr>
          <w:lang w:val="fr-CA"/>
        </w:rPr>
      </w:pPr>
      <w:r w:rsidRPr="00A52C0B">
        <w:rPr>
          <w:lang w:val="fr-CA"/>
        </w:rPr>
        <w:t>Au cours de la période</w:t>
      </w:r>
      <w:r w:rsidR="009A0433" w:rsidRPr="00A52C0B">
        <w:rPr>
          <w:lang w:val="fr-CA"/>
        </w:rPr>
        <w:t> </w:t>
      </w:r>
      <w:r w:rsidRPr="00A52C0B">
        <w:rPr>
          <w:lang w:val="fr-CA"/>
        </w:rPr>
        <w:t>2021</w:t>
      </w:r>
      <w:r w:rsidR="00471A2B" w:rsidRPr="00A52C0B">
        <w:rPr>
          <w:lang w:val="fr-CA"/>
        </w:rPr>
        <w:noBreakHyphen/>
      </w:r>
      <w:r w:rsidRPr="00A52C0B">
        <w:rPr>
          <w:lang w:val="fr-CA"/>
        </w:rPr>
        <w:t>2030,</w:t>
      </w:r>
      <w:r w:rsidR="009A0433" w:rsidRPr="00A52C0B">
        <w:rPr>
          <w:lang w:val="fr-CA"/>
        </w:rPr>
        <w:t xml:space="preserve"> </w:t>
      </w:r>
      <w:r w:rsidR="007E78CA" w:rsidRPr="00A52C0B">
        <w:rPr>
          <w:lang w:val="fr-CA"/>
        </w:rPr>
        <w:t>on s’attend à ce que les pays visés à l’article</w:t>
      </w:r>
      <w:r w:rsidR="009A0433" w:rsidRPr="00A52C0B">
        <w:rPr>
          <w:lang w:val="fr-CA"/>
        </w:rPr>
        <w:t> </w:t>
      </w:r>
      <w:r w:rsidR="007E78CA" w:rsidRPr="00A52C0B">
        <w:rPr>
          <w:lang w:val="fr-CA"/>
        </w:rPr>
        <w:t>5 mettront en œuvre simultanément des projets d’élimination des HCFC et de réduction progressive des HFC</w:t>
      </w:r>
      <w:r w:rsidR="009A0433" w:rsidRPr="00A52C0B">
        <w:rPr>
          <w:lang w:val="fr-CA"/>
        </w:rPr>
        <w:t>,</w:t>
      </w:r>
      <w:r w:rsidR="007E78CA" w:rsidRPr="00A52C0B">
        <w:rPr>
          <w:lang w:val="fr-CA"/>
        </w:rPr>
        <w:t xml:space="preserve"> dans le but de s’acquitter de leurs obligations en matière de conformité pour les deux groupes de substances, comme on peut le voir au tableau</w:t>
      </w:r>
      <w:r w:rsidR="009A0433" w:rsidRPr="00A52C0B">
        <w:rPr>
          <w:lang w:val="fr-CA"/>
        </w:rPr>
        <w:t> </w:t>
      </w:r>
      <w:r w:rsidR="007E78CA" w:rsidRPr="00A52C0B">
        <w:rPr>
          <w:lang w:val="fr-CA"/>
        </w:rPr>
        <w:t xml:space="preserve">4. </w:t>
      </w:r>
      <w:r w:rsidR="005C39EE" w:rsidRPr="00A52C0B">
        <w:rPr>
          <w:lang w:val="fr-CA"/>
        </w:rPr>
        <w:t>A</w:t>
      </w:r>
      <w:r w:rsidR="007E78CA" w:rsidRPr="00A52C0B">
        <w:rPr>
          <w:lang w:val="fr-CA"/>
        </w:rPr>
        <w:t>près 2030, ces pays exécuter</w:t>
      </w:r>
      <w:r w:rsidR="005C39EE" w:rsidRPr="00A52C0B">
        <w:rPr>
          <w:lang w:val="fr-CA"/>
        </w:rPr>
        <w:t>ont</w:t>
      </w:r>
      <w:r w:rsidR="007E78CA" w:rsidRPr="00A52C0B">
        <w:rPr>
          <w:lang w:val="fr-CA"/>
        </w:rPr>
        <w:t xml:space="preserve"> des activités de réduction progressive des HFC et de surveillance de la viabilité de l’élimination des HCFC. </w:t>
      </w:r>
      <w:r w:rsidR="005C39EE" w:rsidRPr="00A52C0B">
        <w:rPr>
          <w:lang w:val="fr-CA"/>
        </w:rPr>
        <w:t>L</w:t>
      </w:r>
      <w:r w:rsidR="007E78CA" w:rsidRPr="00A52C0B">
        <w:rPr>
          <w:lang w:val="fr-CA"/>
        </w:rPr>
        <w:t>a période</w:t>
      </w:r>
      <w:r w:rsidR="009A0433" w:rsidRPr="00A52C0B">
        <w:rPr>
          <w:lang w:val="fr-CA"/>
        </w:rPr>
        <w:t> </w:t>
      </w:r>
      <w:r w:rsidR="007E78CA" w:rsidRPr="00A52C0B">
        <w:rPr>
          <w:lang w:val="fr-CA"/>
        </w:rPr>
        <w:t>2021</w:t>
      </w:r>
      <w:r w:rsidR="00471A2B" w:rsidRPr="00A52C0B">
        <w:rPr>
          <w:lang w:val="fr-CA"/>
        </w:rPr>
        <w:noBreakHyphen/>
      </w:r>
      <w:r w:rsidR="007E78CA" w:rsidRPr="00A52C0B">
        <w:rPr>
          <w:lang w:val="fr-CA"/>
        </w:rPr>
        <w:t>2030 est donc primordial</w:t>
      </w:r>
      <w:r w:rsidR="005C39EE" w:rsidRPr="00A52C0B">
        <w:rPr>
          <w:lang w:val="fr-CA"/>
        </w:rPr>
        <w:t>e</w:t>
      </w:r>
      <w:r w:rsidR="007E78CA" w:rsidRPr="00A52C0B">
        <w:rPr>
          <w:lang w:val="fr-CA"/>
        </w:rPr>
        <w:t xml:space="preserve"> étant donné les liens existant entre les HCFC et les HFC.</w:t>
      </w:r>
    </w:p>
    <w:p w14:paraId="63B88592" w14:textId="40A079F3" w:rsidR="005A5A1E" w:rsidRPr="00A52C0B" w:rsidRDefault="005A5A1E" w:rsidP="005A5A1E">
      <w:pPr>
        <w:spacing w:before="120"/>
        <w:rPr>
          <w:b/>
          <w:lang w:val="fr-CA"/>
        </w:rPr>
      </w:pPr>
      <w:r w:rsidRPr="00A52C0B">
        <w:rPr>
          <w:b/>
          <w:lang w:val="fr-CA"/>
        </w:rPr>
        <w:lastRenderedPageBreak/>
        <w:t>Table</w:t>
      </w:r>
      <w:r w:rsidR="001527BF" w:rsidRPr="00A52C0B">
        <w:rPr>
          <w:b/>
          <w:lang w:val="fr-CA"/>
        </w:rPr>
        <w:t>au</w:t>
      </w:r>
      <w:r w:rsidR="009A0433" w:rsidRPr="00A52C0B">
        <w:rPr>
          <w:b/>
          <w:lang w:val="fr-CA"/>
        </w:rPr>
        <w:t> </w:t>
      </w:r>
      <w:r w:rsidRPr="00A52C0B">
        <w:rPr>
          <w:b/>
          <w:lang w:val="fr-CA"/>
        </w:rPr>
        <w:t xml:space="preserve">4. </w:t>
      </w:r>
      <w:r w:rsidR="007E78CA" w:rsidRPr="00A52C0B">
        <w:rPr>
          <w:b/>
          <w:lang w:val="fr-CA"/>
        </w:rPr>
        <w:t>Obligations en matière de conformité des pays visés à l’article</w:t>
      </w:r>
      <w:r w:rsidR="009A0433" w:rsidRPr="00A52C0B">
        <w:rPr>
          <w:b/>
          <w:lang w:val="fr-CA"/>
        </w:rPr>
        <w:t> </w:t>
      </w:r>
      <w:r w:rsidR="007E78CA" w:rsidRPr="00A52C0B">
        <w:rPr>
          <w:b/>
          <w:lang w:val="fr-CA"/>
        </w:rPr>
        <w:t xml:space="preserve">5 concernant les HCFC et les HFC </w:t>
      </w:r>
    </w:p>
    <w:tbl>
      <w:tblPr>
        <w:tblStyle w:val="TableGrid"/>
        <w:tblW w:w="9360" w:type="dxa"/>
        <w:tblLook w:val="04A0" w:firstRow="1" w:lastRow="0" w:firstColumn="1" w:lastColumn="0" w:noHBand="0" w:noVBand="1"/>
      </w:tblPr>
      <w:tblGrid>
        <w:gridCol w:w="1885"/>
        <w:gridCol w:w="3510"/>
        <w:gridCol w:w="3965"/>
      </w:tblGrid>
      <w:tr w:rsidR="005A5A1E" w:rsidRPr="00A52C0B" w14:paraId="0EE3D0EA" w14:textId="77777777" w:rsidTr="005A5A1E">
        <w:trPr>
          <w:tblHeader/>
        </w:trPr>
        <w:tc>
          <w:tcPr>
            <w:tcW w:w="1885" w:type="dxa"/>
            <w:tcBorders>
              <w:top w:val="single" w:sz="4" w:space="0" w:color="auto"/>
              <w:left w:val="single" w:sz="4" w:space="0" w:color="auto"/>
              <w:bottom w:val="single" w:sz="4" w:space="0" w:color="auto"/>
              <w:right w:val="single" w:sz="4" w:space="0" w:color="auto"/>
            </w:tcBorders>
            <w:tcMar>
              <w:top w:w="43" w:type="dxa"/>
              <w:left w:w="108" w:type="dxa"/>
              <w:bottom w:w="43" w:type="dxa"/>
              <w:right w:w="108" w:type="dxa"/>
            </w:tcMar>
            <w:hideMark/>
          </w:tcPr>
          <w:p w14:paraId="38E92A26" w14:textId="77777777" w:rsidR="005A5A1E" w:rsidRPr="00A52C0B" w:rsidRDefault="005A5A1E" w:rsidP="005A5A1E">
            <w:pPr>
              <w:rPr>
                <w:b/>
                <w:sz w:val="20"/>
                <w:szCs w:val="20"/>
                <w:lang w:val="fr-CA"/>
              </w:rPr>
            </w:pPr>
            <w:r w:rsidRPr="00A52C0B">
              <w:rPr>
                <w:b/>
                <w:sz w:val="20"/>
                <w:szCs w:val="20"/>
                <w:lang w:val="fr-CA"/>
              </w:rPr>
              <w:t>Description</w:t>
            </w:r>
          </w:p>
        </w:tc>
        <w:tc>
          <w:tcPr>
            <w:tcW w:w="3510" w:type="dxa"/>
            <w:tcBorders>
              <w:top w:val="single" w:sz="4" w:space="0" w:color="auto"/>
              <w:left w:val="single" w:sz="4" w:space="0" w:color="auto"/>
              <w:bottom w:val="single" w:sz="4" w:space="0" w:color="auto"/>
              <w:right w:val="single" w:sz="4" w:space="0" w:color="auto"/>
            </w:tcBorders>
            <w:tcMar>
              <w:top w:w="43" w:type="dxa"/>
              <w:left w:w="108" w:type="dxa"/>
              <w:bottom w:w="43" w:type="dxa"/>
              <w:right w:w="108" w:type="dxa"/>
            </w:tcMar>
            <w:hideMark/>
          </w:tcPr>
          <w:p w14:paraId="6402D429" w14:textId="77777777" w:rsidR="005A5A1E" w:rsidRPr="00A52C0B" w:rsidRDefault="005A5A1E" w:rsidP="005A5A1E">
            <w:pPr>
              <w:jc w:val="center"/>
              <w:rPr>
                <w:b/>
                <w:sz w:val="20"/>
                <w:szCs w:val="20"/>
                <w:lang w:val="fr-CA"/>
              </w:rPr>
            </w:pPr>
            <w:r w:rsidRPr="00A52C0B">
              <w:rPr>
                <w:b/>
                <w:sz w:val="20"/>
                <w:szCs w:val="20"/>
                <w:lang w:val="fr-CA"/>
              </w:rPr>
              <w:t>HCFC</w:t>
            </w:r>
          </w:p>
        </w:tc>
        <w:tc>
          <w:tcPr>
            <w:tcW w:w="3965" w:type="dxa"/>
            <w:tcBorders>
              <w:top w:val="single" w:sz="4" w:space="0" w:color="auto"/>
              <w:left w:val="single" w:sz="4" w:space="0" w:color="auto"/>
              <w:bottom w:val="single" w:sz="4" w:space="0" w:color="auto"/>
              <w:right w:val="single" w:sz="4" w:space="0" w:color="auto"/>
            </w:tcBorders>
            <w:tcMar>
              <w:top w:w="43" w:type="dxa"/>
              <w:left w:w="108" w:type="dxa"/>
              <w:bottom w:w="43" w:type="dxa"/>
              <w:right w:w="108" w:type="dxa"/>
            </w:tcMar>
            <w:hideMark/>
          </w:tcPr>
          <w:p w14:paraId="5B92195C" w14:textId="77777777" w:rsidR="005A5A1E" w:rsidRPr="00A52C0B" w:rsidRDefault="005A5A1E" w:rsidP="005A5A1E">
            <w:pPr>
              <w:jc w:val="center"/>
              <w:rPr>
                <w:b/>
                <w:sz w:val="20"/>
                <w:szCs w:val="20"/>
                <w:lang w:val="fr-CA"/>
              </w:rPr>
            </w:pPr>
            <w:r w:rsidRPr="00A52C0B">
              <w:rPr>
                <w:b/>
                <w:sz w:val="20"/>
                <w:szCs w:val="20"/>
                <w:lang w:val="fr-CA"/>
              </w:rPr>
              <w:t>HFC</w:t>
            </w:r>
          </w:p>
        </w:tc>
      </w:tr>
      <w:tr w:rsidR="005A5A1E" w:rsidRPr="00AA6F65" w14:paraId="5DF57ACC" w14:textId="77777777" w:rsidTr="005A5A1E">
        <w:tc>
          <w:tcPr>
            <w:tcW w:w="1885" w:type="dxa"/>
            <w:tcBorders>
              <w:top w:val="single" w:sz="4" w:space="0" w:color="auto"/>
              <w:left w:val="single" w:sz="4" w:space="0" w:color="auto"/>
              <w:bottom w:val="single" w:sz="4" w:space="0" w:color="auto"/>
              <w:right w:val="single" w:sz="4" w:space="0" w:color="auto"/>
            </w:tcBorders>
            <w:tcMar>
              <w:top w:w="43" w:type="dxa"/>
              <w:left w:w="58" w:type="dxa"/>
              <w:bottom w:w="43" w:type="dxa"/>
              <w:right w:w="14" w:type="dxa"/>
            </w:tcMar>
            <w:hideMark/>
          </w:tcPr>
          <w:p w14:paraId="54D26976" w14:textId="285F0B1D" w:rsidR="005A5A1E" w:rsidRPr="00A52C0B" w:rsidRDefault="007E78CA" w:rsidP="005A5A1E">
            <w:pPr>
              <w:jc w:val="left"/>
              <w:rPr>
                <w:sz w:val="20"/>
                <w:szCs w:val="20"/>
                <w:lang w:val="fr-CA"/>
              </w:rPr>
            </w:pPr>
            <w:r w:rsidRPr="00A52C0B">
              <w:rPr>
                <w:sz w:val="20"/>
                <w:szCs w:val="20"/>
                <w:lang w:val="fr-CA"/>
              </w:rPr>
              <w:t>Référence</w:t>
            </w:r>
            <w:r w:rsidR="009A0433" w:rsidRPr="00A52C0B">
              <w:rPr>
                <w:sz w:val="20"/>
                <w:szCs w:val="20"/>
                <w:lang w:val="fr-CA"/>
              </w:rPr>
              <w:t> </w:t>
            </w:r>
            <w:r w:rsidR="00573C54">
              <w:rPr>
                <w:sz w:val="20"/>
                <w:szCs w:val="20"/>
                <w:lang w:val="fr-CA"/>
              </w:rPr>
              <w:t>: consommation globale</w:t>
            </w:r>
            <w:r w:rsidRPr="00A52C0B">
              <w:rPr>
                <w:sz w:val="20"/>
                <w:szCs w:val="20"/>
                <w:lang w:val="fr-CA"/>
              </w:rPr>
              <w:t xml:space="preserve"> des substances </w:t>
            </w:r>
          </w:p>
        </w:tc>
        <w:tc>
          <w:tcPr>
            <w:tcW w:w="3510" w:type="dxa"/>
            <w:tcBorders>
              <w:top w:val="single" w:sz="4" w:space="0" w:color="auto"/>
              <w:left w:val="single" w:sz="4" w:space="0" w:color="auto"/>
              <w:bottom w:val="single" w:sz="4" w:space="0" w:color="auto"/>
              <w:right w:val="single" w:sz="4" w:space="0" w:color="auto"/>
            </w:tcBorders>
            <w:tcMar>
              <w:top w:w="43" w:type="dxa"/>
              <w:left w:w="58" w:type="dxa"/>
              <w:bottom w:w="43" w:type="dxa"/>
              <w:right w:w="14" w:type="dxa"/>
            </w:tcMar>
            <w:hideMark/>
          </w:tcPr>
          <w:p w14:paraId="2724C682" w14:textId="63E1DD14" w:rsidR="005A5A1E" w:rsidRPr="00A52C0B" w:rsidRDefault="007E78CA" w:rsidP="005A5A1E">
            <w:pPr>
              <w:jc w:val="left"/>
              <w:rPr>
                <w:sz w:val="20"/>
                <w:szCs w:val="20"/>
                <w:lang w:val="fr-CA"/>
              </w:rPr>
            </w:pPr>
            <w:r w:rsidRPr="00A52C0B">
              <w:rPr>
                <w:sz w:val="20"/>
                <w:szCs w:val="20"/>
                <w:lang w:val="fr-CA"/>
              </w:rPr>
              <w:t>Groupe</w:t>
            </w:r>
            <w:r w:rsidR="009A0433" w:rsidRPr="00A52C0B">
              <w:rPr>
                <w:sz w:val="20"/>
                <w:szCs w:val="20"/>
                <w:lang w:val="fr-CA"/>
              </w:rPr>
              <w:t> </w:t>
            </w:r>
            <w:r w:rsidR="00A84F93" w:rsidRPr="00A52C0B">
              <w:rPr>
                <w:sz w:val="20"/>
                <w:szCs w:val="20"/>
                <w:lang w:val="fr-CA"/>
              </w:rPr>
              <w:t>1</w:t>
            </w:r>
            <w:r w:rsidRPr="00A52C0B">
              <w:rPr>
                <w:sz w:val="20"/>
                <w:szCs w:val="20"/>
                <w:lang w:val="fr-CA"/>
              </w:rPr>
              <w:t xml:space="preserve"> de l’annexe</w:t>
            </w:r>
            <w:r w:rsidR="00441C71" w:rsidRPr="00A52C0B">
              <w:rPr>
                <w:sz w:val="20"/>
                <w:szCs w:val="20"/>
                <w:lang w:val="fr-CA"/>
              </w:rPr>
              <w:t> </w:t>
            </w:r>
            <w:r w:rsidR="005A5A1E" w:rsidRPr="00A52C0B">
              <w:rPr>
                <w:sz w:val="20"/>
                <w:szCs w:val="20"/>
                <w:lang w:val="fr-CA"/>
              </w:rPr>
              <w:t>C (HCFC)</w:t>
            </w:r>
          </w:p>
        </w:tc>
        <w:tc>
          <w:tcPr>
            <w:tcW w:w="3965" w:type="dxa"/>
            <w:tcBorders>
              <w:top w:val="single" w:sz="4" w:space="0" w:color="auto"/>
              <w:left w:val="single" w:sz="4" w:space="0" w:color="auto"/>
              <w:bottom w:val="single" w:sz="4" w:space="0" w:color="auto"/>
              <w:right w:val="single" w:sz="4" w:space="0" w:color="auto"/>
            </w:tcBorders>
            <w:tcMar>
              <w:top w:w="43" w:type="dxa"/>
              <w:left w:w="58" w:type="dxa"/>
              <w:bottom w:w="43" w:type="dxa"/>
              <w:right w:w="14" w:type="dxa"/>
            </w:tcMar>
            <w:hideMark/>
          </w:tcPr>
          <w:p w14:paraId="48E03F9E" w14:textId="5DCA5A29" w:rsidR="005A5A1E" w:rsidRPr="00A52C0B" w:rsidRDefault="007E78CA" w:rsidP="00573C54">
            <w:pPr>
              <w:jc w:val="left"/>
              <w:rPr>
                <w:sz w:val="20"/>
                <w:szCs w:val="20"/>
                <w:lang w:val="fr-CA"/>
              </w:rPr>
            </w:pPr>
            <w:r w:rsidRPr="00A52C0B">
              <w:rPr>
                <w:sz w:val="20"/>
                <w:szCs w:val="20"/>
                <w:lang w:val="fr-CA"/>
              </w:rPr>
              <w:t>Groupe</w:t>
            </w:r>
            <w:r w:rsidR="009A0433" w:rsidRPr="00A52C0B">
              <w:rPr>
                <w:sz w:val="20"/>
                <w:szCs w:val="20"/>
                <w:lang w:val="fr-CA"/>
              </w:rPr>
              <w:t> </w:t>
            </w:r>
            <w:r w:rsidR="00A84F93" w:rsidRPr="00A52C0B">
              <w:rPr>
                <w:sz w:val="20"/>
                <w:szCs w:val="20"/>
                <w:lang w:val="fr-CA"/>
              </w:rPr>
              <w:t>1</w:t>
            </w:r>
            <w:r w:rsidRPr="00A52C0B">
              <w:rPr>
                <w:sz w:val="20"/>
                <w:szCs w:val="20"/>
                <w:lang w:val="fr-CA"/>
              </w:rPr>
              <w:t xml:space="preserve"> de l’annexe</w:t>
            </w:r>
            <w:r w:rsidR="00186051" w:rsidRPr="00A52C0B">
              <w:rPr>
                <w:sz w:val="20"/>
                <w:szCs w:val="20"/>
                <w:lang w:val="fr-CA"/>
              </w:rPr>
              <w:t> </w:t>
            </w:r>
            <w:r w:rsidR="005A5A1E" w:rsidRPr="00A52C0B">
              <w:rPr>
                <w:sz w:val="20"/>
                <w:szCs w:val="20"/>
                <w:lang w:val="fr-CA"/>
              </w:rPr>
              <w:t xml:space="preserve">F </w:t>
            </w:r>
            <w:r w:rsidR="00186051" w:rsidRPr="00A52C0B">
              <w:rPr>
                <w:sz w:val="20"/>
                <w:szCs w:val="20"/>
                <w:lang w:val="fr-CA"/>
              </w:rPr>
              <w:t>et</w:t>
            </w:r>
            <w:r w:rsidR="005A5A1E" w:rsidRPr="00A52C0B">
              <w:rPr>
                <w:sz w:val="20"/>
                <w:szCs w:val="20"/>
                <w:lang w:val="fr-CA"/>
              </w:rPr>
              <w:t xml:space="preserve"> (65</w:t>
            </w:r>
            <w:r w:rsidR="001527BF" w:rsidRPr="00A52C0B">
              <w:rPr>
                <w:sz w:val="20"/>
                <w:szCs w:val="20"/>
                <w:lang w:val="fr-CA"/>
              </w:rPr>
              <w:t> pour cent</w:t>
            </w:r>
            <w:r w:rsidR="005A5A1E" w:rsidRPr="00A52C0B">
              <w:rPr>
                <w:sz w:val="20"/>
                <w:szCs w:val="20"/>
                <w:lang w:val="fr-CA"/>
              </w:rPr>
              <w:t xml:space="preserve"> </w:t>
            </w:r>
            <w:r w:rsidR="001527BF" w:rsidRPr="00A52C0B">
              <w:rPr>
                <w:sz w:val="20"/>
                <w:szCs w:val="20"/>
                <w:lang w:val="fr-CA"/>
              </w:rPr>
              <w:t>de la valeur de référence</w:t>
            </w:r>
            <w:r w:rsidR="005A5A1E" w:rsidRPr="00A52C0B">
              <w:rPr>
                <w:sz w:val="20"/>
                <w:szCs w:val="20"/>
                <w:lang w:val="fr-CA"/>
              </w:rPr>
              <w:t xml:space="preserve">) </w:t>
            </w:r>
            <w:r w:rsidRPr="00A52C0B">
              <w:rPr>
                <w:sz w:val="20"/>
                <w:szCs w:val="20"/>
                <w:lang w:val="fr-CA"/>
              </w:rPr>
              <w:t>de l’annexe</w:t>
            </w:r>
            <w:r w:rsidR="00A04E6D" w:rsidRPr="00A52C0B">
              <w:rPr>
                <w:sz w:val="20"/>
                <w:szCs w:val="20"/>
                <w:lang w:val="fr-CA"/>
              </w:rPr>
              <w:t> </w:t>
            </w:r>
            <w:r w:rsidRPr="00A52C0B">
              <w:rPr>
                <w:sz w:val="20"/>
                <w:szCs w:val="20"/>
                <w:lang w:val="fr-CA"/>
              </w:rPr>
              <w:t xml:space="preserve">C. Deux valeurs </w:t>
            </w:r>
            <w:r w:rsidR="00441C71" w:rsidRPr="00A52C0B">
              <w:rPr>
                <w:sz w:val="20"/>
                <w:szCs w:val="20"/>
                <w:lang w:val="fr-CA"/>
              </w:rPr>
              <w:t xml:space="preserve">de </w:t>
            </w:r>
            <w:r w:rsidR="00573C54">
              <w:rPr>
                <w:sz w:val="20"/>
                <w:szCs w:val="20"/>
                <w:lang w:val="fr-CA"/>
              </w:rPr>
              <w:t xml:space="preserve">référence </w:t>
            </w:r>
            <w:r w:rsidR="00441C71" w:rsidRPr="00A52C0B">
              <w:rPr>
                <w:sz w:val="20"/>
                <w:szCs w:val="20"/>
                <w:lang w:val="fr-CA"/>
              </w:rPr>
              <w:t>différen</w:t>
            </w:r>
            <w:r w:rsidR="00573C54">
              <w:rPr>
                <w:sz w:val="20"/>
                <w:szCs w:val="20"/>
                <w:lang w:val="fr-CA"/>
              </w:rPr>
              <w:t>tes</w:t>
            </w:r>
            <w:r w:rsidR="00441C71" w:rsidRPr="00A52C0B">
              <w:rPr>
                <w:sz w:val="20"/>
                <w:szCs w:val="20"/>
                <w:lang w:val="fr-CA"/>
              </w:rPr>
              <w:t xml:space="preserve"> et calendriers d’élimination différents </w:t>
            </w:r>
            <w:r w:rsidR="005A5A1E" w:rsidRPr="00A52C0B">
              <w:rPr>
                <w:sz w:val="18"/>
                <w:szCs w:val="18"/>
                <w:lang w:val="fr-CA"/>
              </w:rPr>
              <w:t>*</w:t>
            </w:r>
          </w:p>
        </w:tc>
      </w:tr>
      <w:tr w:rsidR="005A5A1E" w:rsidRPr="00A52C0B" w14:paraId="4654BDAC" w14:textId="77777777" w:rsidTr="005A5A1E">
        <w:tc>
          <w:tcPr>
            <w:tcW w:w="1885" w:type="dxa"/>
            <w:tcBorders>
              <w:top w:val="single" w:sz="4" w:space="0" w:color="auto"/>
              <w:left w:val="single" w:sz="4" w:space="0" w:color="auto"/>
              <w:bottom w:val="single" w:sz="4" w:space="0" w:color="auto"/>
              <w:right w:val="single" w:sz="4" w:space="0" w:color="auto"/>
            </w:tcBorders>
            <w:tcMar>
              <w:top w:w="43" w:type="dxa"/>
              <w:left w:w="58" w:type="dxa"/>
              <w:bottom w:w="43" w:type="dxa"/>
              <w:right w:w="14" w:type="dxa"/>
            </w:tcMar>
            <w:hideMark/>
          </w:tcPr>
          <w:p w14:paraId="2D74BB41" w14:textId="0A35C013" w:rsidR="005A5A1E" w:rsidRPr="00A52C0B" w:rsidRDefault="00441C71" w:rsidP="005A5A1E">
            <w:pPr>
              <w:jc w:val="left"/>
              <w:rPr>
                <w:sz w:val="20"/>
                <w:szCs w:val="20"/>
                <w:lang w:val="fr-CA"/>
              </w:rPr>
            </w:pPr>
            <w:r w:rsidRPr="00A52C0B">
              <w:rPr>
                <w:sz w:val="20"/>
                <w:szCs w:val="20"/>
                <w:lang w:val="fr-CA"/>
              </w:rPr>
              <w:t>Année</w:t>
            </w:r>
            <w:r w:rsidR="00186051" w:rsidRPr="00A52C0B">
              <w:rPr>
                <w:sz w:val="20"/>
                <w:szCs w:val="20"/>
                <w:lang w:val="fr-CA"/>
              </w:rPr>
              <w:t>s</w:t>
            </w:r>
            <w:r w:rsidRPr="00A52C0B">
              <w:rPr>
                <w:sz w:val="20"/>
                <w:szCs w:val="20"/>
                <w:lang w:val="fr-CA"/>
              </w:rPr>
              <w:t xml:space="preserve"> de référence </w:t>
            </w:r>
          </w:p>
        </w:tc>
        <w:tc>
          <w:tcPr>
            <w:tcW w:w="3510" w:type="dxa"/>
            <w:tcBorders>
              <w:top w:val="single" w:sz="4" w:space="0" w:color="auto"/>
              <w:left w:val="single" w:sz="4" w:space="0" w:color="auto"/>
              <w:bottom w:val="single" w:sz="4" w:space="0" w:color="auto"/>
              <w:right w:val="single" w:sz="4" w:space="0" w:color="auto"/>
            </w:tcBorders>
            <w:tcMar>
              <w:top w:w="43" w:type="dxa"/>
              <w:left w:w="58" w:type="dxa"/>
              <w:bottom w:w="43" w:type="dxa"/>
              <w:right w:w="14" w:type="dxa"/>
            </w:tcMar>
            <w:hideMark/>
          </w:tcPr>
          <w:p w14:paraId="7240699A" w14:textId="77777777" w:rsidR="005A5A1E" w:rsidRPr="00A52C0B" w:rsidRDefault="005A5A1E" w:rsidP="005A5A1E">
            <w:pPr>
              <w:jc w:val="left"/>
              <w:rPr>
                <w:sz w:val="20"/>
                <w:szCs w:val="20"/>
                <w:lang w:val="fr-CA"/>
              </w:rPr>
            </w:pPr>
            <w:r w:rsidRPr="00A52C0B">
              <w:rPr>
                <w:sz w:val="20"/>
                <w:szCs w:val="20"/>
                <w:lang w:val="fr-CA"/>
              </w:rPr>
              <w:t>2009, 2010</w:t>
            </w:r>
          </w:p>
        </w:tc>
        <w:tc>
          <w:tcPr>
            <w:tcW w:w="3965" w:type="dxa"/>
            <w:tcBorders>
              <w:top w:val="single" w:sz="4" w:space="0" w:color="auto"/>
              <w:left w:val="single" w:sz="4" w:space="0" w:color="auto"/>
              <w:bottom w:val="single" w:sz="4" w:space="0" w:color="auto"/>
              <w:right w:val="single" w:sz="4" w:space="0" w:color="auto"/>
            </w:tcBorders>
            <w:tcMar>
              <w:top w:w="43" w:type="dxa"/>
              <w:left w:w="58" w:type="dxa"/>
              <w:bottom w:w="43" w:type="dxa"/>
              <w:right w:w="14" w:type="dxa"/>
            </w:tcMar>
            <w:hideMark/>
          </w:tcPr>
          <w:p w14:paraId="2C20339B" w14:textId="2F9A0CA3" w:rsidR="005A5A1E" w:rsidRPr="00A52C0B" w:rsidRDefault="005A5A1E" w:rsidP="005A5A1E">
            <w:pPr>
              <w:jc w:val="left"/>
              <w:rPr>
                <w:sz w:val="20"/>
                <w:szCs w:val="20"/>
                <w:lang w:val="fr-CA"/>
              </w:rPr>
            </w:pPr>
            <w:r w:rsidRPr="00A52C0B">
              <w:rPr>
                <w:sz w:val="20"/>
                <w:szCs w:val="20"/>
                <w:lang w:val="fr-CA"/>
              </w:rPr>
              <w:t>Group</w:t>
            </w:r>
            <w:r w:rsidR="00441C71" w:rsidRPr="00A52C0B">
              <w:rPr>
                <w:sz w:val="20"/>
                <w:szCs w:val="20"/>
                <w:lang w:val="fr-CA"/>
              </w:rPr>
              <w:t>e</w:t>
            </w:r>
            <w:r w:rsidR="009A6DEA" w:rsidRPr="00A52C0B">
              <w:rPr>
                <w:sz w:val="20"/>
                <w:szCs w:val="20"/>
                <w:lang w:val="fr-CA"/>
              </w:rPr>
              <w:t> </w:t>
            </w:r>
            <w:r w:rsidRPr="00A52C0B">
              <w:rPr>
                <w:sz w:val="20"/>
                <w:szCs w:val="20"/>
                <w:lang w:val="fr-CA"/>
              </w:rPr>
              <w:t>1</w:t>
            </w:r>
            <w:r w:rsidR="00441C71" w:rsidRPr="00A52C0B">
              <w:rPr>
                <w:sz w:val="20"/>
                <w:szCs w:val="20"/>
                <w:lang w:val="fr-CA"/>
              </w:rPr>
              <w:t> </w:t>
            </w:r>
            <w:r w:rsidRPr="00A52C0B">
              <w:rPr>
                <w:sz w:val="20"/>
                <w:szCs w:val="20"/>
                <w:lang w:val="fr-CA"/>
              </w:rPr>
              <w:t xml:space="preserve">: 2020, 2021, 2022 </w:t>
            </w:r>
          </w:p>
          <w:p w14:paraId="6A68821F" w14:textId="0F26DF6F" w:rsidR="005A5A1E" w:rsidRPr="00A52C0B" w:rsidRDefault="005A5A1E" w:rsidP="005A5A1E">
            <w:pPr>
              <w:jc w:val="left"/>
              <w:rPr>
                <w:sz w:val="20"/>
                <w:szCs w:val="20"/>
                <w:lang w:val="fr-CA"/>
              </w:rPr>
            </w:pPr>
            <w:r w:rsidRPr="00A52C0B">
              <w:rPr>
                <w:sz w:val="20"/>
                <w:szCs w:val="20"/>
                <w:lang w:val="fr-CA"/>
              </w:rPr>
              <w:t>Group</w:t>
            </w:r>
            <w:r w:rsidR="00441C71" w:rsidRPr="00A52C0B">
              <w:rPr>
                <w:sz w:val="20"/>
                <w:szCs w:val="20"/>
                <w:lang w:val="fr-CA"/>
              </w:rPr>
              <w:t>e</w:t>
            </w:r>
            <w:r w:rsidR="009A6DEA" w:rsidRPr="00A52C0B">
              <w:rPr>
                <w:sz w:val="20"/>
                <w:szCs w:val="20"/>
                <w:lang w:val="fr-CA"/>
              </w:rPr>
              <w:t> </w:t>
            </w:r>
            <w:r w:rsidRPr="00A52C0B">
              <w:rPr>
                <w:sz w:val="20"/>
                <w:szCs w:val="20"/>
                <w:lang w:val="fr-CA"/>
              </w:rPr>
              <w:t>2</w:t>
            </w:r>
            <w:r w:rsidR="00441C71" w:rsidRPr="00A52C0B">
              <w:rPr>
                <w:sz w:val="20"/>
                <w:szCs w:val="20"/>
                <w:lang w:val="fr-CA"/>
              </w:rPr>
              <w:t> </w:t>
            </w:r>
            <w:r w:rsidRPr="00A52C0B">
              <w:rPr>
                <w:sz w:val="20"/>
                <w:szCs w:val="20"/>
                <w:lang w:val="fr-CA"/>
              </w:rPr>
              <w:t xml:space="preserve">: 2024, 2025, 2026 </w:t>
            </w:r>
          </w:p>
        </w:tc>
      </w:tr>
      <w:tr w:rsidR="005A5A1E" w:rsidRPr="00AA6F65" w14:paraId="5BC73B50" w14:textId="77777777" w:rsidTr="005A5A1E">
        <w:tc>
          <w:tcPr>
            <w:tcW w:w="1885" w:type="dxa"/>
            <w:tcBorders>
              <w:top w:val="single" w:sz="4" w:space="0" w:color="auto"/>
              <w:left w:val="single" w:sz="4" w:space="0" w:color="auto"/>
              <w:bottom w:val="single" w:sz="4" w:space="0" w:color="auto"/>
              <w:right w:val="single" w:sz="4" w:space="0" w:color="auto"/>
            </w:tcBorders>
            <w:tcMar>
              <w:top w:w="43" w:type="dxa"/>
              <w:left w:w="58" w:type="dxa"/>
              <w:bottom w:w="43" w:type="dxa"/>
              <w:right w:w="14" w:type="dxa"/>
            </w:tcMar>
            <w:hideMark/>
          </w:tcPr>
          <w:p w14:paraId="3BFD443B" w14:textId="53D633C5" w:rsidR="005A5A1E" w:rsidRPr="00A52C0B" w:rsidRDefault="00441C71" w:rsidP="005A5A1E">
            <w:pPr>
              <w:widowControl w:val="0"/>
              <w:jc w:val="left"/>
              <w:rPr>
                <w:sz w:val="20"/>
                <w:szCs w:val="20"/>
                <w:lang w:val="fr-CA"/>
              </w:rPr>
            </w:pPr>
            <w:r w:rsidRPr="00A52C0B">
              <w:rPr>
                <w:sz w:val="20"/>
                <w:szCs w:val="20"/>
                <w:lang w:val="fr-CA"/>
              </w:rPr>
              <w:t xml:space="preserve">Nombre de substances réglementées </w:t>
            </w:r>
          </w:p>
        </w:tc>
        <w:tc>
          <w:tcPr>
            <w:tcW w:w="3510" w:type="dxa"/>
            <w:tcBorders>
              <w:top w:val="single" w:sz="4" w:space="0" w:color="auto"/>
              <w:left w:val="single" w:sz="4" w:space="0" w:color="auto"/>
              <w:bottom w:val="single" w:sz="4" w:space="0" w:color="auto"/>
              <w:right w:val="single" w:sz="4" w:space="0" w:color="auto"/>
            </w:tcBorders>
            <w:tcMar>
              <w:top w:w="43" w:type="dxa"/>
              <w:left w:w="58" w:type="dxa"/>
              <w:bottom w:w="43" w:type="dxa"/>
              <w:right w:w="14" w:type="dxa"/>
            </w:tcMar>
            <w:hideMark/>
          </w:tcPr>
          <w:p w14:paraId="7E2F4F9D" w14:textId="1BBFA984" w:rsidR="005A5A1E" w:rsidRPr="00A52C0B" w:rsidRDefault="005A5A1E" w:rsidP="005A5A1E">
            <w:pPr>
              <w:keepNext/>
              <w:jc w:val="left"/>
              <w:rPr>
                <w:sz w:val="20"/>
                <w:szCs w:val="20"/>
                <w:lang w:val="fr-CA"/>
              </w:rPr>
            </w:pPr>
            <w:r w:rsidRPr="00A52C0B">
              <w:rPr>
                <w:sz w:val="20"/>
                <w:szCs w:val="20"/>
                <w:lang w:val="fr-CA"/>
              </w:rPr>
              <w:t xml:space="preserve">40, </w:t>
            </w:r>
            <w:r w:rsidR="00441C71" w:rsidRPr="00A52C0B">
              <w:rPr>
                <w:sz w:val="20"/>
                <w:szCs w:val="20"/>
                <w:lang w:val="fr-CA"/>
              </w:rPr>
              <w:t xml:space="preserve">le </w:t>
            </w:r>
            <w:r w:rsidRPr="00A52C0B">
              <w:rPr>
                <w:sz w:val="20"/>
                <w:szCs w:val="20"/>
                <w:lang w:val="fr-CA"/>
              </w:rPr>
              <w:t>HCFC</w:t>
            </w:r>
            <w:r w:rsidR="00471A2B" w:rsidRPr="00A52C0B">
              <w:rPr>
                <w:sz w:val="20"/>
                <w:szCs w:val="20"/>
                <w:lang w:val="fr-CA"/>
              </w:rPr>
              <w:noBreakHyphen/>
            </w:r>
            <w:r w:rsidRPr="00A52C0B">
              <w:rPr>
                <w:sz w:val="20"/>
                <w:szCs w:val="20"/>
                <w:lang w:val="fr-CA"/>
              </w:rPr>
              <w:t xml:space="preserve">22, </w:t>
            </w:r>
            <w:r w:rsidR="00441C71" w:rsidRPr="00A52C0B">
              <w:rPr>
                <w:sz w:val="20"/>
                <w:szCs w:val="20"/>
                <w:lang w:val="fr-CA"/>
              </w:rPr>
              <w:t xml:space="preserve">le </w:t>
            </w:r>
            <w:r w:rsidRPr="00A52C0B">
              <w:rPr>
                <w:sz w:val="20"/>
                <w:szCs w:val="20"/>
                <w:lang w:val="fr-CA"/>
              </w:rPr>
              <w:t>HCFC</w:t>
            </w:r>
            <w:r w:rsidR="00471A2B" w:rsidRPr="00A52C0B">
              <w:rPr>
                <w:sz w:val="20"/>
                <w:szCs w:val="20"/>
                <w:lang w:val="fr-CA"/>
              </w:rPr>
              <w:noBreakHyphen/>
            </w:r>
            <w:r w:rsidRPr="00A52C0B">
              <w:rPr>
                <w:sz w:val="20"/>
                <w:szCs w:val="20"/>
                <w:lang w:val="fr-CA"/>
              </w:rPr>
              <w:t xml:space="preserve">141b </w:t>
            </w:r>
            <w:r w:rsidR="00441C71" w:rsidRPr="00A52C0B">
              <w:rPr>
                <w:sz w:val="20"/>
                <w:szCs w:val="20"/>
                <w:lang w:val="fr-CA"/>
              </w:rPr>
              <w:t xml:space="preserve">et le </w:t>
            </w:r>
            <w:r w:rsidRPr="00A52C0B">
              <w:rPr>
                <w:sz w:val="20"/>
                <w:szCs w:val="20"/>
                <w:lang w:val="fr-CA"/>
              </w:rPr>
              <w:t>HCFC</w:t>
            </w:r>
            <w:r w:rsidR="00471A2B" w:rsidRPr="00A52C0B">
              <w:rPr>
                <w:sz w:val="20"/>
                <w:szCs w:val="20"/>
                <w:lang w:val="fr-CA"/>
              </w:rPr>
              <w:noBreakHyphen/>
            </w:r>
            <w:r w:rsidRPr="00A52C0B">
              <w:rPr>
                <w:sz w:val="20"/>
                <w:szCs w:val="20"/>
                <w:lang w:val="fr-CA"/>
              </w:rPr>
              <w:t xml:space="preserve">142b </w:t>
            </w:r>
            <w:r w:rsidR="00441C71" w:rsidRPr="00A52C0B">
              <w:rPr>
                <w:sz w:val="20"/>
                <w:szCs w:val="20"/>
                <w:lang w:val="fr-CA"/>
              </w:rPr>
              <w:t xml:space="preserve">représentant plus de </w:t>
            </w:r>
            <w:r w:rsidRPr="00A52C0B">
              <w:rPr>
                <w:sz w:val="20"/>
                <w:szCs w:val="20"/>
                <w:lang w:val="fr-CA"/>
              </w:rPr>
              <w:t>99</w:t>
            </w:r>
            <w:r w:rsidR="001527BF" w:rsidRPr="00A52C0B">
              <w:rPr>
                <w:sz w:val="20"/>
                <w:szCs w:val="20"/>
                <w:lang w:val="fr-CA"/>
              </w:rPr>
              <w:t> pour cent</w:t>
            </w:r>
            <w:r w:rsidR="00441C71" w:rsidRPr="00A52C0B">
              <w:rPr>
                <w:sz w:val="20"/>
                <w:szCs w:val="20"/>
                <w:lang w:val="fr-CA"/>
              </w:rPr>
              <w:t xml:space="preserve"> de la consommation totale</w:t>
            </w:r>
          </w:p>
        </w:tc>
        <w:tc>
          <w:tcPr>
            <w:tcW w:w="3965" w:type="dxa"/>
            <w:tcBorders>
              <w:top w:val="single" w:sz="4" w:space="0" w:color="auto"/>
              <w:left w:val="single" w:sz="4" w:space="0" w:color="auto"/>
              <w:bottom w:val="single" w:sz="4" w:space="0" w:color="auto"/>
              <w:right w:val="single" w:sz="4" w:space="0" w:color="auto"/>
            </w:tcBorders>
            <w:tcMar>
              <w:top w:w="43" w:type="dxa"/>
              <w:left w:w="58" w:type="dxa"/>
              <w:bottom w:w="43" w:type="dxa"/>
              <w:right w:w="14" w:type="dxa"/>
            </w:tcMar>
            <w:hideMark/>
          </w:tcPr>
          <w:p w14:paraId="780E4579" w14:textId="72433240" w:rsidR="005A5A1E" w:rsidRPr="00A52C0B" w:rsidRDefault="005A5A1E" w:rsidP="005A5A1E">
            <w:pPr>
              <w:keepNext/>
              <w:jc w:val="left"/>
              <w:rPr>
                <w:sz w:val="20"/>
                <w:szCs w:val="20"/>
                <w:lang w:val="fr-CA"/>
              </w:rPr>
            </w:pPr>
            <w:r w:rsidRPr="00A52C0B">
              <w:rPr>
                <w:sz w:val="20"/>
                <w:szCs w:val="20"/>
                <w:lang w:val="fr-CA"/>
              </w:rPr>
              <w:t>17</w:t>
            </w:r>
            <w:r w:rsidR="00441C71" w:rsidRPr="00A52C0B">
              <w:rPr>
                <w:sz w:val="20"/>
                <w:szCs w:val="20"/>
                <w:lang w:val="fr-CA"/>
              </w:rPr>
              <w:t xml:space="preserve"> dans le groupe </w:t>
            </w:r>
            <w:r w:rsidR="009A6DEA" w:rsidRPr="00A52C0B">
              <w:rPr>
                <w:sz w:val="20"/>
                <w:szCs w:val="20"/>
                <w:lang w:val="fr-CA"/>
              </w:rPr>
              <w:t>1</w:t>
            </w:r>
            <w:r w:rsidR="00441C71" w:rsidRPr="00A52C0B">
              <w:rPr>
                <w:sz w:val="20"/>
                <w:szCs w:val="20"/>
                <w:lang w:val="fr-CA"/>
              </w:rPr>
              <w:t xml:space="preserve"> de l’annexe </w:t>
            </w:r>
            <w:r w:rsidRPr="00A52C0B">
              <w:rPr>
                <w:sz w:val="20"/>
                <w:szCs w:val="20"/>
                <w:lang w:val="fr-CA"/>
              </w:rPr>
              <w:t xml:space="preserve">F, 1 </w:t>
            </w:r>
            <w:r w:rsidR="00441C71" w:rsidRPr="00A52C0B">
              <w:rPr>
                <w:sz w:val="20"/>
                <w:szCs w:val="20"/>
                <w:lang w:val="fr-CA"/>
              </w:rPr>
              <w:t>dans le groupe </w:t>
            </w:r>
            <w:r w:rsidR="009A6DEA" w:rsidRPr="00A52C0B">
              <w:rPr>
                <w:sz w:val="20"/>
                <w:szCs w:val="20"/>
                <w:lang w:val="fr-CA"/>
              </w:rPr>
              <w:t>2</w:t>
            </w:r>
            <w:r w:rsidRPr="00A52C0B">
              <w:rPr>
                <w:sz w:val="20"/>
                <w:szCs w:val="20"/>
                <w:lang w:val="fr-CA"/>
              </w:rPr>
              <w:t xml:space="preserve"> </w:t>
            </w:r>
            <w:r w:rsidRPr="00A52C0B">
              <w:rPr>
                <w:sz w:val="18"/>
                <w:szCs w:val="18"/>
                <w:lang w:val="fr-CA"/>
              </w:rPr>
              <w:t>**</w:t>
            </w:r>
          </w:p>
          <w:p w14:paraId="568C3482" w14:textId="12E0538F" w:rsidR="005A5A1E" w:rsidRPr="00A52C0B" w:rsidRDefault="00186051" w:rsidP="005A5A1E">
            <w:pPr>
              <w:keepNext/>
              <w:jc w:val="left"/>
              <w:rPr>
                <w:sz w:val="20"/>
                <w:szCs w:val="20"/>
                <w:lang w:val="fr-CA"/>
              </w:rPr>
            </w:pPr>
            <w:r w:rsidRPr="00A52C0B">
              <w:rPr>
                <w:sz w:val="20"/>
                <w:szCs w:val="20"/>
                <w:lang w:val="fr-CA"/>
              </w:rPr>
              <w:t>Les substances les plus consommées sont cinq substances pures (principalement le</w:t>
            </w:r>
            <w:r w:rsidR="005A5A1E" w:rsidRPr="00A52C0B">
              <w:rPr>
                <w:sz w:val="20"/>
                <w:szCs w:val="20"/>
                <w:lang w:val="fr-CA"/>
              </w:rPr>
              <w:t xml:space="preserve"> HFC</w:t>
            </w:r>
            <w:r w:rsidR="00471A2B" w:rsidRPr="00A52C0B">
              <w:rPr>
                <w:sz w:val="20"/>
                <w:szCs w:val="20"/>
                <w:lang w:val="fr-CA"/>
              </w:rPr>
              <w:noBreakHyphen/>
            </w:r>
            <w:r w:rsidR="005A5A1E" w:rsidRPr="00A52C0B">
              <w:rPr>
                <w:sz w:val="20"/>
                <w:szCs w:val="20"/>
                <w:lang w:val="fr-CA"/>
              </w:rPr>
              <w:t xml:space="preserve">134a </w:t>
            </w:r>
            <w:r w:rsidRPr="00A52C0B">
              <w:rPr>
                <w:sz w:val="20"/>
                <w:szCs w:val="20"/>
                <w:lang w:val="fr-CA"/>
              </w:rPr>
              <w:t>et dans un moindre degré le</w:t>
            </w:r>
            <w:r w:rsidR="005A5A1E" w:rsidRPr="00A52C0B">
              <w:rPr>
                <w:sz w:val="20"/>
                <w:szCs w:val="20"/>
                <w:lang w:val="fr-CA"/>
              </w:rPr>
              <w:t xml:space="preserve"> HFC</w:t>
            </w:r>
            <w:r w:rsidR="00471A2B" w:rsidRPr="00A52C0B">
              <w:rPr>
                <w:sz w:val="20"/>
                <w:szCs w:val="20"/>
                <w:lang w:val="fr-CA"/>
              </w:rPr>
              <w:noBreakHyphen/>
            </w:r>
            <w:r w:rsidR="005A5A1E" w:rsidRPr="00A52C0B">
              <w:rPr>
                <w:sz w:val="20"/>
                <w:szCs w:val="20"/>
                <w:lang w:val="fr-CA"/>
              </w:rPr>
              <w:t xml:space="preserve">152a, </w:t>
            </w:r>
            <w:r w:rsidRPr="00A52C0B">
              <w:rPr>
                <w:sz w:val="20"/>
                <w:szCs w:val="20"/>
                <w:lang w:val="fr-CA"/>
              </w:rPr>
              <w:t xml:space="preserve">le </w:t>
            </w:r>
            <w:r w:rsidR="005A5A1E" w:rsidRPr="00A52C0B">
              <w:rPr>
                <w:sz w:val="20"/>
                <w:szCs w:val="20"/>
                <w:lang w:val="fr-CA"/>
              </w:rPr>
              <w:t>HFC</w:t>
            </w:r>
            <w:r w:rsidR="00471A2B" w:rsidRPr="00A52C0B">
              <w:rPr>
                <w:sz w:val="20"/>
                <w:szCs w:val="20"/>
                <w:lang w:val="fr-CA"/>
              </w:rPr>
              <w:noBreakHyphen/>
            </w:r>
            <w:r w:rsidR="005A5A1E" w:rsidRPr="00A52C0B">
              <w:rPr>
                <w:sz w:val="20"/>
                <w:szCs w:val="20"/>
                <w:lang w:val="fr-CA"/>
              </w:rPr>
              <w:t>245fa,</w:t>
            </w:r>
            <w:r w:rsidRPr="00A52C0B">
              <w:rPr>
                <w:sz w:val="20"/>
                <w:szCs w:val="20"/>
                <w:lang w:val="fr-CA"/>
              </w:rPr>
              <w:t xml:space="preserve"> le</w:t>
            </w:r>
            <w:r w:rsidR="005A5A1E" w:rsidRPr="00A52C0B">
              <w:rPr>
                <w:sz w:val="20"/>
                <w:szCs w:val="20"/>
                <w:lang w:val="fr-CA"/>
              </w:rPr>
              <w:t xml:space="preserve"> HFC</w:t>
            </w:r>
            <w:r w:rsidR="00471A2B" w:rsidRPr="00A52C0B">
              <w:rPr>
                <w:sz w:val="20"/>
                <w:szCs w:val="20"/>
                <w:lang w:val="fr-CA"/>
              </w:rPr>
              <w:noBreakHyphen/>
            </w:r>
            <w:r w:rsidR="005A5A1E" w:rsidRPr="00A52C0B">
              <w:rPr>
                <w:sz w:val="20"/>
                <w:szCs w:val="20"/>
                <w:lang w:val="fr-CA"/>
              </w:rPr>
              <w:t>365mfc,</w:t>
            </w:r>
            <w:r w:rsidRPr="00A52C0B">
              <w:rPr>
                <w:sz w:val="20"/>
                <w:szCs w:val="20"/>
                <w:lang w:val="fr-CA"/>
              </w:rPr>
              <w:t xml:space="preserve"> le</w:t>
            </w:r>
            <w:r w:rsidR="005A5A1E" w:rsidRPr="00A52C0B">
              <w:rPr>
                <w:sz w:val="20"/>
                <w:szCs w:val="20"/>
                <w:lang w:val="fr-CA"/>
              </w:rPr>
              <w:t xml:space="preserve"> HFC</w:t>
            </w:r>
            <w:r w:rsidR="00471A2B" w:rsidRPr="00A52C0B">
              <w:rPr>
                <w:sz w:val="20"/>
                <w:szCs w:val="20"/>
                <w:lang w:val="fr-CA"/>
              </w:rPr>
              <w:noBreakHyphen/>
            </w:r>
            <w:r w:rsidR="005A5A1E" w:rsidRPr="00A52C0B">
              <w:rPr>
                <w:sz w:val="20"/>
                <w:szCs w:val="20"/>
                <w:lang w:val="fr-CA"/>
              </w:rPr>
              <w:t xml:space="preserve">227ea), </w:t>
            </w:r>
            <w:r w:rsidRPr="00A52C0B">
              <w:rPr>
                <w:sz w:val="20"/>
                <w:szCs w:val="20"/>
                <w:lang w:val="fr-CA"/>
              </w:rPr>
              <w:t>et quatre mélanges</w:t>
            </w:r>
            <w:r w:rsidR="005A5A1E" w:rsidRPr="00A52C0B">
              <w:rPr>
                <w:sz w:val="20"/>
                <w:szCs w:val="20"/>
                <w:lang w:val="fr-CA"/>
              </w:rPr>
              <w:t xml:space="preserve"> (R</w:t>
            </w:r>
            <w:r w:rsidR="00471A2B" w:rsidRPr="00A52C0B">
              <w:rPr>
                <w:sz w:val="20"/>
                <w:szCs w:val="20"/>
                <w:lang w:val="fr-CA"/>
              </w:rPr>
              <w:noBreakHyphen/>
            </w:r>
            <w:r w:rsidR="005A5A1E" w:rsidRPr="00A52C0B">
              <w:rPr>
                <w:sz w:val="20"/>
                <w:szCs w:val="20"/>
                <w:lang w:val="fr-CA"/>
              </w:rPr>
              <w:t>410A, R</w:t>
            </w:r>
            <w:r w:rsidR="00471A2B" w:rsidRPr="00A52C0B">
              <w:rPr>
                <w:sz w:val="20"/>
                <w:szCs w:val="20"/>
                <w:lang w:val="fr-CA"/>
              </w:rPr>
              <w:noBreakHyphen/>
            </w:r>
            <w:r w:rsidR="005A5A1E" w:rsidRPr="00A52C0B">
              <w:rPr>
                <w:sz w:val="20"/>
                <w:szCs w:val="20"/>
                <w:lang w:val="fr-CA"/>
              </w:rPr>
              <w:t>407C, R</w:t>
            </w:r>
            <w:r w:rsidR="00471A2B" w:rsidRPr="00A52C0B">
              <w:rPr>
                <w:sz w:val="20"/>
                <w:szCs w:val="20"/>
                <w:lang w:val="fr-CA"/>
              </w:rPr>
              <w:noBreakHyphen/>
            </w:r>
            <w:r w:rsidR="005A5A1E" w:rsidRPr="00A52C0B">
              <w:rPr>
                <w:sz w:val="20"/>
                <w:szCs w:val="20"/>
                <w:lang w:val="fr-CA"/>
              </w:rPr>
              <w:t>404A, R</w:t>
            </w:r>
            <w:r w:rsidR="00471A2B" w:rsidRPr="00A52C0B">
              <w:rPr>
                <w:sz w:val="20"/>
                <w:szCs w:val="20"/>
                <w:lang w:val="fr-CA"/>
              </w:rPr>
              <w:noBreakHyphen/>
            </w:r>
            <w:r w:rsidR="005A5A1E" w:rsidRPr="00A52C0B">
              <w:rPr>
                <w:sz w:val="20"/>
                <w:szCs w:val="20"/>
                <w:lang w:val="fr-CA"/>
              </w:rPr>
              <w:t xml:space="preserve">507A), </w:t>
            </w:r>
            <w:r w:rsidRPr="00A52C0B">
              <w:rPr>
                <w:sz w:val="20"/>
                <w:szCs w:val="20"/>
                <w:lang w:val="fr-CA"/>
              </w:rPr>
              <w:t>renfermant au moins deux des substances suivantes</w:t>
            </w:r>
            <w:r w:rsidR="009A0433" w:rsidRPr="00A52C0B">
              <w:rPr>
                <w:sz w:val="20"/>
                <w:szCs w:val="20"/>
                <w:lang w:val="fr-CA"/>
              </w:rPr>
              <w:t> </w:t>
            </w:r>
            <w:r w:rsidRPr="00A52C0B">
              <w:rPr>
                <w:sz w:val="20"/>
                <w:szCs w:val="20"/>
                <w:lang w:val="fr-CA"/>
              </w:rPr>
              <w:t>:</w:t>
            </w:r>
            <w:r w:rsidR="005A5A1E" w:rsidRPr="00A52C0B">
              <w:rPr>
                <w:sz w:val="20"/>
                <w:szCs w:val="20"/>
                <w:lang w:val="fr-CA"/>
              </w:rPr>
              <w:t xml:space="preserve"> HFC</w:t>
            </w:r>
            <w:r w:rsidR="00471A2B" w:rsidRPr="00A52C0B">
              <w:rPr>
                <w:sz w:val="20"/>
                <w:szCs w:val="20"/>
                <w:lang w:val="fr-CA"/>
              </w:rPr>
              <w:noBreakHyphen/>
            </w:r>
            <w:r w:rsidR="005A5A1E" w:rsidRPr="00A52C0B">
              <w:rPr>
                <w:sz w:val="20"/>
                <w:szCs w:val="20"/>
                <w:lang w:val="fr-CA"/>
              </w:rPr>
              <w:t>32, HFC</w:t>
            </w:r>
            <w:r w:rsidR="00471A2B" w:rsidRPr="00A52C0B">
              <w:rPr>
                <w:sz w:val="20"/>
                <w:szCs w:val="20"/>
                <w:lang w:val="fr-CA"/>
              </w:rPr>
              <w:noBreakHyphen/>
            </w:r>
            <w:r w:rsidR="005A5A1E" w:rsidRPr="00A52C0B">
              <w:rPr>
                <w:sz w:val="20"/>
                <w:szCs w:val="20"/>
                <w:lang w:val="fr-CA"/>
              </w:rPr>
              <w:t>125, HFC</w:t>
            </w:r>
            <w:r w:rsidR="00471A2B" w:rsidRPr="00A52C0B">
              <w:rPr>
                <w:sz w:val="20"/>
                <w:szCs w:val="20"/>
                <w:lang w:val="fr-CA"/>
              </w:rPr>
              <w:noBreakHyphen/>
            </w:r>
            <w:r w:rsidR="005A5A1E" w:rsidRPr="00A52C0B">
              <w:rPr>
                <w:sz w:val="20"/>
                <w:szCs w:val="20"/>
                <w:lang w:val="fr-CA"/>
              </w:rPr>
              <w:t>134a, HFC</w:t>
            </w:r>
            <w:r w:rsidR="00471A2B" w:rsidRPr="00A52C0B">
              <w:rPr>
                <w:sz w:val="20"/>
                <w:szCs w:val="20"/>
                <w:lang w:val="fr-CA"/>
              </w:rPr>
              <w:noBreakHyphen/>
            </w:r>
            <w:r w:rsidR="005A5A1E" w:rsidRPr="00A52C0B">
              <w:rPr>
                <w:sz w:val="20"/>
                <w:szCs w:val="20"/>
                <w:lang w:val="fr-CA"/>
              </w:rPr>
              <w:t>143a</w:t>
            </w:r>
          </w:p>
        </w:tc>
      </w:tr>
      <w:tr w:rsidR="005A5A1E" w:rsidRPr="00AA6F65" w14:paraId="3440398F" w14:textId="77777777" w:rsidTr="005A5A1E">
        <w:tc>
          <w:tcPr>
            <w:tcW w:w="1885" w:type="dxa"/>
            <w:tcBorders>
              <w:top w:val="single" w:sz="4" w:space="0" w:color="auto"/>
              <w:left w:val="single" w:sz="4" w:space="0" w:color="auto"/>
              <w:bottom w:val="single" w:sz="4" w:space="0" w:color="auto"/>
              <w:right w:val="single" w:sz="4" w:space="0" w:color="auto"/>
            </w:tcBorders>
            <w:tcMar>
              <w:top w:w="43" w:type="dxa"/>
              <w:left w:w="58" w:type="dxa"/>
              <w:bottom w:w="43" w:type="dxa"/>
              <w:right w:w="14" w:type="dxa"/>
            </w:tcMar>
            <w:hideMark/>
          </w:tcPr>
          <w:p w14:paraId="053B4EF9" w14:textId="6DB3F969" w:rsidR="005A5A1E" w:rsidRPr="00A52C0B" w:rsidRDefault="00A84F93" w:rsidP="005A5A1E">
            <w:pPr>
              <w:rPr>
                <w:sz w:val="20"/>
                <w:szCs w:val="20"/>
                <w:lang w:val="fr-CA"/>
              </w:rPr>
            </w:pPr>
            <w:r w:rsidRPr="00A52C0B">
              <w:rPr>
                <w:sz w:val="20"/>
                <w:szCs w:val="20"/>
                <w:lang w:val="fr-CA"/>
              </w:rPr>
              <w:t>Calendrier</w:t>
            </w:r>
          </w:p>
        </w:tc>
        <w:tc>
          <w:tcPr>
            <w:tcW w:w="3510" w:type="dxa"/>
            <w:tcBorders>
              <w:top w:val="single" w:sz="4" w:space="0" w:color="auto"/>
              <w:left w:val="single" w:sz="4" w:space="0" w:color="auto"/>
              <w:bottom w:val="single" w:sz="4" w:space="0" w:color="auto"/>
              <w:right w:val="single" w:sz="4" w:space="0" w:color="auto"/>
            </w:tcBorders>
            <w:tcMar>
              <w:top w:w="43" w:type="dxa"/>
              <w:left w:w="58" w:type="dxa"/>
              <w:bottom w:w="43" w:type="dxa"/>
              <w:right w:w="14" w:type="dxa"/>
            </w:tcMar>
            <w:hideMark/>
          </w:tcPr>
          <w:p w14:paraId="4F5150F1" w14:textId="7BDAAF7D" w:rsidR="005A5A1E" w:rsidRPr="00A52C0B" w:rsidRDefault="00A84F93" w:rsidP="005A5A1E">
            <w:pPr>
              <w:jc w:val="left"/>
              <w:rPr>
                <w:sz w:val="20"/>
                <w:szCs w:val="20"/>
                <w:lang w:val="fr-CA"/>
              </w:rPr>
            </w:pPr>
            <w:r w:rsidRPr="00A52C0B">
              <w:rPr>
                <w:sz w:val="20"/>
                <w:szCs w:val="20"/>
                <w:lang w:val="fr-CA"/>
              </w:rPr>
              <w:t>Étapes de réduction</w:t>
            </w:r>
            <w:r w:rsidR="001527BF" w:rsidRPr="00A52C0B">
              <w:rPr>
                <w:sz w:val="20"/>
                <w:szCs w:val="20"/>
                <w:lang w:val="fr-CA"/>
              </w:rPr>
              <w:t> :</w:t>
            </w:r>
          </w:p>
          <w:p w14:paraId="7D9B0703" w14:textId="631677AD" w:rsidR="005A5A1E" w:rsidRPr="00A52C0B" w:rsidRDefault="005A5A1E" w:rsidP="005A5A1E">
            <w:pPr>
              <w:pStyle w:val="ListParagraph"/>
              <w:numPr>
                <w:ilvl w:val="0"/>
                <w:numId w:val="34"/>
              </w:numPr>
              <w:ind w:left="144" w:hanging="144"/>
              <w:jc w:val="left"/>
              <w:rPr>
                <w:sz w:val="20"/>
                <w:szCs w:val="20"/>
                <w:lang w:val="fr-CA"/>
              </w:rPr>
            </w:pPr>
            <w:r w:rsidRPr="00A52C0B">
              <w:rPr>
                <w:sz w:val="20"/>
                <w:szCs w:val="20"/>
                <w:lang w:val="fr-CA"/>
              </w:rPr>
              <w:t>2013</w:t>
            </w:r>
            <w:r w:rsidR="00471A2B" w:rsidRPr="00A52C0B">
              <w:rPr>
                <w:sz w:val="20"/>
                <w:szCs w:val="20"/>
                <w:lang w:val="fr-CA"/>
              </w:rPr>
              <w:noBreakHyphen/>
            </w:r>
            <w:r w:rsidRPr="00A52C0B">
              <w:rPr>
                <w:sz w:val="20"/>
                <w:szCs w:val="20"/>
                <w:lang w:val="fr-CA"/>
              </w:rPr>
              <w:t>2014</w:t>
            </w:r>
            <w:r w:rsidR="001527BF" w:rsidRPr="00A52C0B">
              <w:rPr>
                <w:sz w:val="20"/>
                <w:szCs w:val="20"/>
                <w:lang w:val="fr-CA"/>
              </w:rPr>
              <w:t> :</w:t>
            </w:r>
            <w:r w:rsidRPr="00A52C0B">
              <w:rPr>
                <w:sz w:val="20"/>
                <w:szCs w:val="20"/>
                <w:lang w:val="fr-CA"/>
              </w:rPr>
              <w:t xml:space="preserve"> 0</w:t>
            </w:r>
            <w:r w:rsidR="001527BF" w:rsidRPr="00A52C0B">
              <w:rPr>
                <w:sz w:val="20"/>
                <w:szCs w:val="20"/>
                <w:lang w:val="fr-CA"/>
              </w:rPr>
              <w:t> pour cent</w:t>
            </w:r>
            <w:r w:rsidRPr="00A52C0B">
              <w:rPr>
                <w:sz w:val="20"/>
                <w:szCs w:val="20"/>
                <w:lang w:val="fr-CA"/>
              </w:rPr>
              <w:t xml:space="preserve"> </w:t>
            </w:r>
            <w:r w:rsidR="001527BF" w:rsidRPr="00A52C0B">
              <w:rPr>
                <w:sz w:val="20"/>
                <w:szCs w:val="20"/>
                <w:lang w:val="fr-CA"/>
              </w:rPr>
              <w:t>de la valeur de référence</w:t>
            </w:r>
          </w:p>
          <w:p w14:paraId="3F68F9A6" w14:textId="64F4708C" w:rsidR="005A5A1E" w:rsidRPr="00A52C0B" w:rsidRDefault="005A5A1E" w:rsidP="005A5A1E">
            <w:pPr>
              <w:pStyle w:val="ListParagraph"/>
              <w:numPr>
                <w:ilvl w:val="0"/>
                <w:numId w:val="34"/>
              </w:numPr>
              <w:ind w:left="144" w:hanging="144"/>
              <w:jc w:val="left"/>
              <w:rPr>
                <w:sz w:val="20"/>
                <w:szCs w:val="20"/>
                <w:lang w:val="fr-CA"/>
              </w:rPr>
            </w:pPr>
            <w:r w:rsidRPr="00A52C0B">
              <w:rPr>
                <w:sz w:val="20"/>
                <w:szCs w:val="20"/>
                <w:lang w:val="fr-CA"/>
              </w:rPr>
              <w:t>2015</w:t>
            </w:r>
            <w:r w:rsidR="00471A2B" w:rsidRPr="00A52C0B">
              <w:rPr>
                <w:sz w:val="20"/>
                <w:szCs w:val="20"/>
                <w:lang w:val="fr-CA"/>
              </w:rPr>
              <w:noBreakHyphen/>
            </w:r>
            <w:r w:rsidRPr="00A52C0B">
              <w:rPr>
                <w:sz w:val="20"/>
                <w:szCs w:val="20"/>
                <w:lang w:val="fr-CA"/>
              </w:rPr>
              <w:t>2019</w:t>
            </w:r>
            <w:r w:rsidR="001527BF" w:rsidRPr="00A52C0B">
              <w:rPr>
                <w:sz w:val="20"/>
                <w:szCs w:val="20"/>
                <w:lang w:val="fr-CA"/>
              </w:rPr>
              <w:t> :</w:t>
            </w:r>
            <w:r w:rsidRPr="00A52C0B">
              <w:rPr>
                <w:sz w:val="20"/>
                <w:szCs w:val="20"/>
                <w:lang w:val="fr-CA"/>
              </w:rPr>
              <w:t xml:space="preserve"> 10</w:t>
            </w:r>
            <w:r w:rsidR="001527BF" w:rsidRPr="00A52C0B">
              <w:rPr>
                <w:sz w:val="20"/>
                <w:szCs w:val="20"/>
                <w:lang w:val="fr-CA"/>
              </w:rPr>
              <w:t> pour cent</w:t>
            </w:r>
            <w:r w:rsidRPr="00A52C0B">
              <w:rPr>
                <w:sz w:val="20"/>
                <w:szCs w:val="20"/>
                <w:lang w:val="fr-CA"/>
              </w:rPr>
              <w:t xml:space="preserve"> </w:t>
            </w:r>
            <w:r w:rsidR="001527BF" w:rsidRPr="00A52C0B">
              <w:rPr>
                <w:sz w:val="20"/>
                <w:szCs w:val="20"/>
                <w:lang w:val="fr-CA"/>
              </w:rPr>
              <w:t>de la valeur de référence</w:t>
            </w:r>
          </w:p>
          <w:p w14:paraId="393E1D03" w14:textId="49FAF0DE" w:rsidR="005A5A1E" w:rsidRPr="00A52C0B" w:rsidRDefault="005A5A1E" w:rsidP="005A5A1E">
            <w:pPr>
              <w:pStyle w:val="ListParagraph"/>
              <w:numPr>
                <w:ilvl w:val="0"/>
                <w:numId w:val="34"/>
              </w:numPr>
              <w:ind w:left="144" w:hanging="144"/>
              <w:jc w:val="left"/>
              <w:rPr>
                <w:sz w:val="20"/>
                <w:szCs w:val="20"/>
                <w:lang w:val="fr-CA"/>
              </w:rPr>
            </w:pPr>
            <w:r w:rsidRPr="00A52C0B">
              <w:rPr>
                <w:sz w:val="20"/>
                <w:szCs w:val="20"/>
                <w:lang w:val="fr-CA"/>
              </w:rPr>
              <w:t>2020</w:t>
            </w:r>
            <w:r w:rsidR="00471A2B" w:rsidRPr="00A52C0B">
              <w:rPr>
                <w:sz w:val="20"/>
                <w:szCs w:val="20"/>
                <w:lang w:val="fr-CA"/>
              </w:rPr>
              <w:noBreakHyphen/>
            </w:r>
            <w:r w:rsidRPr="00A52C0B">
              <w:rPr>
                <w:sz w:val="20"/>
                <w:szCs w:val="20"/>
                <w:lang w:val="fr-CA"/>
              </w:rPr>
              <w:t>2024</w:t>
            </w:r>
            <w:r w:rsidR="001527BF" w:rsidRPr="00A52C0B">
              <w:rPr>
                <w:sz w:val="20"/>
                <w:szCs w:val="20"/>
                <w:lang w:val="fr-CA"/>
              </w:rPr>
              <w:t> :</w:t>
            </w:r>
            <w:r w:rsidRPr="00A52C0B">
              <w:rPr>
                <w:sz w:val="20"/>
                <w:szCs w:val="20"/>
                <w:lang w:val="fr-CA"/>
              </w:rPr>
              <w:t xml:space="preserve"> 35</w:t>
            </w:r>
            <w:r w:rsidR="001527BF" w:rsidRPr="00A52C0B">
              <w:rPr>
                <w:sz w:val="20"/>
                <w:szCs w:val="20"/>
                <w:lang w:val="fr-CA"/>
              </w:rPr>
              <w:t> pour cent</w:t>
            </w:r>
            <w:r w:rsidRPr="00A52C0B">
              <w:rPr>
                <w:sz w:val="20"/>
                <w:szCs w:val="20"/>
                <w:lang w:val="fr-CA"/>
              </w:rPr>
              <w:t xml:space="preserve"> </w:t>
            </w:r>
            <w:r w:rsidR="001527BF" w:rsidRPr="00A52C0B">
              <w:rPr>
                <w:sz w:val="20"/>
                <w:szCs w:val="20"/>
                <w:lang w:val="fr-CA"/>
              </w:rPr>
              <w:t>de la valeur de référence</w:t>
            </w:r>
          </w:p>
          <w:p w14:paraId="1EEBCF6A" w14:textId="3BFB298D" w:rsidR="005A5A1E" w:rsidRPr="00A52C0B" w:rsidRDefault="005A5A1E" w:rsidP="005A5A1E">
            <w:pPr>
              <w:pStyle w:val="ListParagraph"/>
              <w:numPr>
                <w:ilvl w:val="0"/>
                <w:numId w:val="34"/>
              </w:numPr>
              <w:ind w:left="144" w:hanging="144"/>
              <w:jc w:val="left"/>
              <w:rPr>
                <w:sz w:val="20"/>
                <w:szCs w:val="20"/>
                <w:lang w:val="fr-CA"/>
              </w:rPr>
            </w:pPr>
            <w:r w:rsidRPr="00A52C0B">
              <w:rPr>
                <w:sz w:val="20"/>
                <w:szCs w:val="20"/>
                <w:lang w:val="fr-CA"/>
              </w:rPr>
              <w:t>2025</w:t>
            </w:r>
            <w:r w:rsidR="00471A2B" w:rsidRPr="00A52C0B">
              <w:rPr>
                <w:sz w:val="20"/>
                <w:szCs w:val="20"/>
                <w:lang w:val="fr-CA"/>
              </w:rPr>
              <w:noBreakHyphen/>
            </w:r>
            <w:r w:rsidRPr="00A52C0B">
              <w:rPr>
                <w:sz w:val="20"/>
                <w:szCs w:val="20"/>
                <w:lang w:val="fr-CA"/>
              </w:rPr>
              <w:t>2029</w:t>
            </w:r>
            <w:r w:rsidR="001527BF" w:rsidRPr="00A52C0B">
              <w:rPr>
                <w:sz w:val="20"/>
                <w:szCs w:val="20"/>
                <w:lang w:val="fr-CA"/>
              </w:rPr>
              <w:t> :</w:t>
            </w:r>
            <w:r w:rsidRPr="00A52C0B">
              <w:rPr>
                <w:sz w:val="20"/>
                <w:szCs w:val="20"/>
                <w:lang w:val="fr-CA"/>
              </w:rPr>
              <w:t xml:space="preserve"> 67</w:t>
            </w:r>
            <w:r w:rsidR="00A84F93" w:rsidRPr="00A52C0B">
              <w:rPr>
                <w:sz w:val="20"/>
                <w:szCs w:val="20"/>
                <w:lang w:val="fr-CA"/>
              </w:rPr>
              <w:t>,</w:t>
            </w:r>
            <w:r w:rsidRPr="00A52C0B">
              <w:rPr>
                <w:sz w:val="20"/>
                <w:szCs w:val="20"/>
                <w:lang w:val="fr-CA"/>
              </w:rPr>
              <w:t>5</w:t>
            </w:r>
            <w:r w:rsidR="001527BF" w:rsidRPr="00A52C0B">
              <w:rPr>
                <w:sz w:val="20"/>
                <w:szCs w:val="20"/>
                <w:lang w:val="fr-CA"/>
              </w:rPr>
              <w:t> pour cent</w:t>
            </w:r>
            <w:r w:rsidRPr="00A52C0B">
              <w:rPr>
                <w:sz w:val="20"/>
                <w:szCs w:val="20"/>
                <w:lang w:val="fr-CA"/>
              </w:rPr>
              <w:t xml:space="preserve"> </w:t>
            </w:r>
            <w:r w:rsidR="001527BF" w:rsidRPr="00A52C0B">
              <w:rPr>
                <w:sz w:val="20"/>
                <w:szCs w:val="20"/>
                <w:lang w:val="fr-CA"/>
              </w:rPr>
              <w:t>de la valeur de référence</w:t>
            </w:r>
          </w:p>
          <w:p w14:paraId="5780C862" w14:textId="1A72C1E8" w:rsidR="005A5A1E" w:rsidRPr="00A52C0B" w:rsidRDefault="005A5A1E" w:rsidP="005A5A1E">
            <w:pPr>
              <w:pStyle w:val="ListParagraph"/>
              <w:numPr>
                <w:ilvl w:val="0"/>
                <w:numId w:val="34"/>
              </w:numPr>
              <w:ind w:left="123" w:hanging="123"/>
              <w:jc w:val="left"/>
              <w:rPr>
                <w:sz w:val="20"/>
                <w:szCs w:val="20"/>
                <w:lang w:val="fr-CA"/>
              </w:rPr>
            </w:pPr>
            <w:r w:rsidRPr="00A52C0B">
              <w:rPr>
                <w:sz w:val="20"/>
                <w:szCs w:val="20"/>
                <w:lang w:val="fr-CA"/>
              </w:rPr>
              <w:t>2030</w:t>
            </w:r>
            <w:r w:rsidR="00A84F93" w:rsidRPr="00A52C0B">
              <w:rPr>
                <w:sz w:val="20"/>
                <w:szCs w:val="20"/>
                <w:lang w:val="fr-CA"/>
              </w:rPr>
              <w:t xml:space="preserve"> et au</w:t>
            </w:r>
            <w:r w:rsidR="00471A2B" w:rsidRPr="00A52C0B">
              <w:rPr>
                <w:sz w:val="20"/>
                <w:szCs w:val="20"/>
                <w:lang w:val="fr-CA"/>
              </w:rPr>
              <w:noBreakHyphen/>
            </w:r>
            <w:r w:rsidR="00A84F93" w:rsidRPr="00A52C0B">
              <w:rPr>
                <w:sz w:val="20"/>
                <w:szCs w:val="20"/>
                <w:lang w:val="fr-CA"/>
              </w:rPr>
              <w:t>delà</w:t>
            </w:r>
            <w:r w:rsidR="001527BF" w:rsidRPr="00A52C0B">
              <w:rPr>
                <w:sz w:val="20"/>
                <w:szCs w:val="20"/>
                <w:lang w:val="fr-CA"/>
              </w:rPr>
              <w:t> :</w:t>
            </w:r>
            <w:r w:rsidRPr="00A52C0B">
              <w:rPr>
                <w:sz w:val="20"/>
                <w:szCs w:val="20"/>
                <w:lang w:val="fr-CA"/>
              </w:rPr>
              <w:t xml:space="preserve"> 100</w:t>
            </w:r>
            <w:r w:rsidR="001527BF" w:rsidRPr="00A52C0B">
              <w:rPr>
                <w:sz w:val="20"/>
                <w:szCs w:val="20"/>
                <w:lang w:val="fr-CA"/>
              </w:rPr>
              <w:t> pour cent</w:t>
            </w:r>
            <w:r w:rsidR="00A84F93" w:rsidRPr="00A52C0B">
              <w:rPr>
                <w:sz w:val="20"/>
                <w:szCs w:val="20"/>
                <w:lang w:val="fr-CA"/>
              </w:rPr>
              <w:t xml:space="preserve"> de la valeur de référence</w:t>
            </w:r>
            <w:r w:rsidRPr="00A52C0B">
              <w:rPr>
                <w:sz w:val="20"/>
                <w:szCs w:val="20"/>
                <w:lang w:val="fr-CA"/>
              </w:rPr>
              <w:t xml:space="preserve">*** </w:t>
            </w:r>
          </w:p>
        </w:tc>
        <w:tc>
          <w:tcPr>
            <w:tcW w:w="3965" w:type="dxa"/>
            <w:tcBorders>
              <w:top w:val="single" w:sz="4" w:space="0" w:color="auto"/>
              <w:left w:val="single" w:sz="4" w:space="0" w:color="auto"/>
              <w:bottom w:val="single" w:sz="4" w:space="0" w:color="auto"/>
              <w:right w:val="single" w:sz="4" w:space="0" w:color="auto"/>
            </w:tcBorders>
            <w:tcMar>
              <w:top w:w="43" w:type="dxa"/>
              <w:left w:w="58" w:type="dxa"/>
              <w:bottom w:w="43" w:type="dxa"/>
              <w:right w:w="14" w:type="dxa"/>
            </w:tcMar>
            <w:hideMark/>
          </w:tcPr>
          <w:p w14:paraId="02943E42" w14:textId="3480B936" w:rsidR="005A5A1E" w:rsidRPr="00A52C0B" w:rsidRDefault="005A5A1E" w:rsidP="005A5A1E">
            <w:pPr>
              <w:jc w:val="left"/>
              <w:rPr>
                <w:sz w:val="19"/>
                <w:szCs w:val="19"/>
                <w:lang w:val="fr-CA"/>
              </w:rPr>
            </w:pPr>
            <w:r w:rsidRPr="00A52C0B">
              <w:rPr>
                <w:lang w:val="fr-CA"/>
              </w:rPr>
              <w:t>Group</w:t>
            </w:r>
            <w:r w:rsidR="001527BF" w:rsidRPr="00A52C0B">
              <w:rPr>
                <w:lang w:val="fr-CA"/>
              </w:rPr>
              <w:t>e</w:t>
            </w:r>
            <w:r w:rsidR="001352E7" w:rsidRPr="00A52C0B">
              <w:rPr>
                <w:lang w:val="fr-CA"/>
              </w:rPr>
              <w:t> </w:t>
            </w:r>
            <w:r w:rsidR="00A84F93" w:rsidRPr="00A52C0B">
              <w:rPr>
                <w:lang w:val="fr-CA"/>
              </w:rPr>
              <w:t>1</w:t>
            </w:r>
            <w:r w:rsidR="001527BF" w:rsidRPr="00A52C0B">
              <w:rPr>
                <w:sz w:val="19"/>
                <w:szCs w:val="19"/>
                <w:lang w:val="fr-CA"/>
              </w:rPr>
              <w:t> :</w:t>
            </w:r>
            <w:r w:rsidRPr="00A52C0B">
              <w:rPr>
                <w:sz w:val="19"/>
                <w:szCs w:val="19"/>
                <w:lang w:val="fr-CA"/>
              </w:rPr>
              <w:t xml:space="preserve"> </w:t>
            </w:r>
          </w:p>
          <w:p w14:paraId="0C25179D" w14:textId="03F05969" w:rsidR="005A5A1E" w:rsidRPr="00A52C0B" w:rsidRDefault="005A5A1E" w:rsidP="005A5A1E">
            <w:pPr>
              <w:pStyle w:val="ListParagraph"/>
              <w:numPr>
                <w:ilvl w:val="0"/>
                <w:numId w:val="36"/>
              </w:numPr>
              <w:ind w:left="138" w:hanging="138"/>
              <w:jc w:val="left"/>
              <w:rPr>
                <w:sz w:val="19"/>
                <w:szCs w:val="19"/>
                <w:lang w:val="fr-CA"/>
              </w:rPr>
            </w:pPr>
            <w:r w:rsidRPr="00A52C0B">
              <w:rPr>
                <w:sz w:val="19"/>
                <w:szCs w:val="19"/>
                <w:lang w:val="fr-CA"/>
              </w:rPr>
              <w:t>2024</w:t>
            </w:r>
            <w:r w:rsidR="00471A2B" w:rsidRPr="00A52C0B">
              <w:rPr>
                <w:sz w:val="19"/>
                <w:szCs w:val="19"/>
                <w:lang w:val="fr-CA"/>
              </w:rPr>
              <w:noBreakHyphen/>
            </w:r>
            <w:r w:rsidRPr="00A52C0B">
              <w:rPr>
                <w:sz w:val="19"/>
                <w:szCs w:val="19"/>
                <w:lang w:val="fr-CA"/>
              </w:rPr>
              <w:t>2028</w:t>
            </w:r>
            <w:r w:rsidR="001527BF" w:rsidRPr="00A52C0B">
              <w:rPr>
                <w:sz w:val="19"/>
                <w:szCs w:val="19"/>
                <w:lang w:val="fr-CA"/>
              </w:rPr>
              <w:t> :</w:t>
            </w:r>
            <w:r w:rsidRPr="00A52C0B">
              <w:rPr>
                <w:sz w:val="19"/>
                <w:szCs w:val="19"/>
                <w:lang w:val="fr-CA"/>
              </w:rPr>
              <w:t xml:space="preserve"> 100</w:t>
            </w:r>
            <w:r w:rsidR="001527BF" w:rsidRPr="00A52C0B">
              <w:rPr>
                <w:sz w:val="19"/>
                <w:szCs w:val="19"/>
                <w:lang w:val="fr-CA"/>
              </w:rPr>
              <w:t> pour cent</w:t>
            </w:r>
            <w:r w:rsidRPr="00A52C0B">
              <w:rPr>
                <w:sz w:val="19"/>
                <w:szCs w:val="19"/>
                <w:lang w:val="fr-CA"/>
              </w:rPr>
              <w:t xml:space="preserve"> </w:t>
            </w:r>
            <w:r w:rsidR="001527BF" w:rsidRPr="00A52C0B">
              <w:rPr>
                <w:sz w:val="19"/>
                <w:szCs w:val="19"/>
                <w:lang w:val="fr-CA"/>
              </w:rPr>
              <w:t>de la valeur de référence</w:t>
            </w:r>
            <w:r w:rsidRPr="00A52C0B">
              <w:rPr>
                <w:sz w:val="19"/>
                <w:szCs w:val="19"/>
                <w:lang w:val="fr-CA"/>
              </w:rPr>
              <w:t xml:space="preserve"> </w:t>
            </w:r>
          </w:p>
          <w:p w14:paraId="060786E8" w14:textId="1BE26A82" w:rsidR="005A5A1E" w:rsidRPr="00A52C0B" w:rsidRDefault="005A5A1E" w:rsidP="005A5A1E">
            <w:pPr>
              <w:pStyle w:val="ListParagraph"/>
              <w:numPr>
                <w:ilvl w:val="0"/>
                <w:numId w:val="36"/>
              </w:numPr>
              <w:ind w:left="138" w:hanging="138"/>
              <w:jc w:val="left"/>
              <w:rPr>
                <w:sz w:val="19"/>
                <w:szCs w:val="19"/>
                <w:lang w:val="fr-CA"/>
              </w:rPr>
            </w:pPr>
            <w:r w:rsidRPr="00A52C0B">
              <w:rPr>
                <w:sz w:val="19"/>
                <w:szCs w:val="19"/>
                <w:lang w:val="fr-CA"/>
              </w:rPr>
              <w:t>2029</w:t>
            </w:r>
            <w:r w:rsidR="00471A2B" w:rsidRPr="00A52C0B">
              <w:rPr>
                <w:sz w:val="19"/>
                <w:szCs w:val="19"/>
                <w:lang w:val="fr-CA"/>
              </w:rPr>
              <w:noBreakHyphen/>
            </w:r>
            <w:r w:rsidRPr="00A52C0B">
              <w:rPr>
                <w:sz w:val="19"/>
                <w:szCs w:val="19"/>
                <w:lang w:val="fr-CA"/>
              </w:rPr>
              <w:t>2034</w:t>
            </w:r>
            <w:r w:rsidR="001527BF" w:rsidRPr="00A52C0B">
              <w:rPr>
                <w:sz w:val="19"/>
                <w:szCs w:val="19"/>
                <w:lang w:val="fr-CA"/>
              </w:rPr>
              <w:t> :</w:t>
            </w:r>
            <w:r w:rsidRPr="00A52C0B">
              <w:rPr>
                <w:sz w:val="19"/>
                <w:szCs w:val="19"/>
                <w:lang w:val="fr-CA"/>
              </w:rPr>
              <w:t xml:space="preserve"> 90</w:t>
            </w:r>
            <w:r w:rsidR="001527BF" w:rsidRPr="00A52C0B">
              <w:rPr>
                <w:sz w:val="19"/>
                <w:szCs w:val="19"/>
                <w:lang w:val="fr-CA"/>
              </w:rPr>
              <w:t> pour cent</w:t>
            </w:r>
            <w:r w:rsidRPr="00A52C0B">
              <w:rPr>
                <w:sz w:val="19"/>
                <w:szCs w:val="19"/>
                <w:lang w:val="fr-CA"/>
              </w:rPr>
              <w:t xml:space="preserve"> </w:t>
            </w:r>
            <w:r w:rsidR="001527BF" w:rsidRPr="00A52C0B">
              <w:rPr>
                <w:sz w:val="19"/>
                <w:szCs w:val="19"/>
                <w:lang w:val="fr-CA"/>
              </w:rPr>
              <w:t>de la valeur de référence</w:t>
            </w:r>
            <w:r w:rsidRPr="00A52C0B">
              <w:rPr>
                <w:sz w:val="19"/>
                <w:szCs w:val="19"/>
                <w:lang w:val="fr-CA"/>
              </w:rPr>
              <w:t xml:space="preserve"> </w:t>
            </w:r>
          </w:p>
          <w:p w14:paraId="69CF2479" w14:textId="60AAEFF0" w:rsidR="005A5A1E" w:rsidRPr="00A52C0B" w:rsidRDefault="005A5A1E" w:rsidP="005A5A1E">
            <w:pPr>
              <w:pStyle w:val="ListParagraph"/>
              <w:numPr>
                <w:ilvl w:val="0"/>
                <w:numId w:val="36"/>
              </w:numPr>
              <w:ind w:left="138" w:hanging="138"/>
              <w:jc w:val="left"/>
              <w:rPr>
                <w:sz w:val="19"/>
                <w:szCs w:val="19"/>
                <w:lang w:val="fr-CA"/>
              </w:rPr>
            </w:pPr>
            <w:r w:rsidRPr="00A52C0B">
              <w:rPr>
                <w:sz w:val="19"/>
                <w:szCs w:val="19"/>
                <w:lang w:val="fr-CA"/>
              </w:rPr>
              <w:t>2035</w:t>
            </w:r>
            <w:r w:rsidR="00471A2B" w:rsidRPr="00A52C0B">
              <w:rPr>
                <w:sz w:val="19"/>
                <w:szCs w:val="19"/>
                <w:lang w:val="fr-CA"/>
              </w:rPr>
              <w:noBreakHyphen/>
            </w:r>
            <w:r w:rsidRPr="00A52C0B">
              <w:rPr>
                <w:sz w:val="19"/>
                <w:szCs w:val="19"/>
                <w:lang w:val="fr-CA"/>
              </w:rPr>
              <w:t>2039</w:t>
            </w:r>
            <w:r w:rsidR="001527BF" w:rsidRPr="00A52C0B">
              <w:rPr>
                <w:sz w:val="19"/>
                <w:szCs w:val="19"/>
                <w:lang w:val="fr-CA"/>
              </w:rPr>
              <w:t> :</w:t>
            </w:r>
            <w:r w:rsidRPr="00A52C0B">
              <w:rPr>
                <w:sz w:val="19"/>
                <w:szCs w:val="19"/>
                <w:lang w:val="fr-CA"/>
              </w:rPr>
              <w:t xml:space="preserve"> 70</w:t>
            </w:r>
            <w:r w:rsidR="001527BF" w:rsidRPr="00A52C0B">
              <w:rPr>
                <w:sz w:val="19"/>
                <w:szCs w:val="19"/>
                <w:lang w:val="fr-CA"/>
              </w:rPr>
              <w:t> pour cent</w:t>
            </w:r>
            <w:r w:rsidRPr="00A52C0B">
              <w:rPr>
                <w:sz w:val="19"/>
                <w:szCs w:val="19"/>
                <w:lang w:val="fr-CA"/>
              </w:rPr>
              <w:t xml:space="preserve"> </w:t>
            </w:r>
            <w:r w:rsidR="001527BF" w:rsidRPr="00A52C0B">
              <w:rPr>
                <w:sz w:val="19"/>
                <w:szCs w:val="19"/>
                <w:lang w:val="fr-CA"/>
              </w:rPr>
              <w:t>de la valeur de référence</w:t>
            </w:r>
            <w:r w:rsidRPr="00A52C0B">
              <w:rPr>
                <w:sz w:val="19"/>
                <w:szCs w:val="19"/>
                <w:lang w:val="fr-CA"/>
              </w:rPr>
              <w:t xml:space="preserve"> </w:t>
            </w:r>
          </w:p>
          <w:p w14:paraId="4AB71B5D" w14:textId="28C8408E" w:rsidR="005A5A1E" w:rsidRPr="00A52C0B" w:rsidRDefault="005A5A1E" w:rsidP="005A5A1E">
            <w:pPr>
              <w:pStyle w:val="ListParagraph"/>
              <w:numPr>
                <w:ilvl w:val="0"/>
                <w:numId w:val="36"/>
              </w:numPr>
              <w:ind w:left="138" w:hanging="138"/>
              <w:jc w:val="left"/>
              <w:rPr>
                <w:sz w:val="19"/>
                <w:szCs w:val="19"/>
                <w:lang w:val="fr-CA"/>
              </w:rPr>
            </w:pPr>
            <w:r w:rsidRPr="00A52C0B">
              <w:rPr>
                <w:sz w:val="19"/>
                <w:szCs w:val="19"/>
                <w:lang w:val="fr-CA"/>
              </w:rPr>
              <w:t>2040</w:t>
            </w:r>
            <w:r w:rsidR="00471A2B" w:rsidRPr="00A52C0B">
              <w:rPr>
                <w:sz w:val="19"/>
                <w:szCs w:val="19"/>
                <w:lang w:val="fr-CA"/>
              </w:rPr>
              <w:noBreakHyphen/>
            </w:r>
            <w:r w:rsidRPr="00A52C0B">
              <w:rPr>
                <w:sz w:val="19"/>
                <w:szCs w:val="19"/>
                <w:lang w:val="fr-CA"/>
              </w:rPr>
              <w:t>2044</w:t>
            </w:r>
            <w:r w:rsidR="001527BF" w:rsidRPr="00A52C0B">
              <w:rPr>
                <w:sz w:val="19"/>
                <w:szCs w:val="19"/>
                <w:lang w:val="fr-CA"/>
              </w:rPr>
              <w:t> :</w:t>
            </w:r>
            <w:r w:rsidRPr="00A52C0B">
              <w:rPr>
                <w:sz w:val="19"/>
                <w:szCs w:val="19"/>
                <w:lang w:val="fr-CA"/>
              </w:rPr>
              <w:t xml:space="preserve"> 50</w:t>
            </w:r>
            <w:r w:rsidR="001527BF" w:rsidRPr="00A52C0B">
              <w:rPr>
                <w:sz w:val="19"/>
                <w:szCs w:val="19"/>
                <w:lang w:val="fr-CA"/>
              </w:rPr>
              <w:t> pour cent</w:t>
            </w:r>
            <w:r w:rsidRPr="00A52C0B">
              <w:rPr>
                <w:sz w:val="19"/>
                <w:szCs w:val="19"/>
                <w:lang w:val="fr-CA"/>
              </w:rPr>
              <w:t xml:space="preserve"> </w:t>
            </w:r>
            <w:r w:rsidR="001527BF" w:rsidRPr="00A52C0B">
              <w:rPr>
                <w:sz w:val="19"/>
                <w:szCs w:val="19"/>
                <w:lang w:val="fr-CA"/>
              </w:rPr>
              <w:t>de la valeur de référence</w:t>
            </w:r>
            <w:r w:rsidRPr="00A52C0B">
              <w:rPr>
                <w:sz w:val="19"/>
                <w:szCs w:val="19"/>
                <w:lang w:val="fr-CA"/>
              </w:rPr>
              <w:t xml:space="preserve"> </w:t>
            </w:r>
          </w:p>
          <w:p w14:paraId="6DA196D3" w14:textId="2262359A" w:rsidR="005A5A1E" w:rsidRPr="00A52C0B" w:rsidRDefault="005A5A1E" w:rsidP="005A5A1E">
            <w:pPr>
              <w:pStyle w:val="ListParagraph"/>
              <w:numPr>
                <w:ilvl w:val="0"/>
                <w:numId w:val="36"/>
              </w:numPr>
              <w:ind w:left="138" w:hanging="138"/>
              <w:jc w:val="left"/>
              <w:rPr>
                <w:sz w:val="19"/>
                <w:szCs w:val="19"/>
                <w:lang w:val="fr-CA"/>
              </w:rPr>
            </w:pPr>
            <w:r w:rsidRPr="00A52C0B">
              <w:rPr>
                <w:sz w:val="19"/>
                <w:szCs w:val="19"/>
                <w:lang w:val="fr-CA"/>
              </w:rPr>
              <w:t>2045</w:t>
            </w:r>
            <w:r w:rsidR="00A84F93" w:rsidRPr="00A52C0B">
              <w:rPr>
                <w:sz w:val="19"/>
                <w:szCs w:val="19"/>
                <w:lang w:val="fr-CA"/>
              </w:rPr>
              <w:t xml:space="preserve"> et au</w:t>
            </w:r>
            <w:r w:rsidR="00471A2B" w:rsidRPr="00A52C0B">
              <w:rPr>
                <w:sz w:val="19"/>
                <w:szCs w:val="19"/>
                <w:lang w:val="fr-CA"/>
              </w:rPr>
              <w:noBreakHyphen/>
            </w:r>
            <w:r w:rsidR="00A84F93" w:rsidRPr="00A52C0B">
              <w:rPr>
                <w:sz w:val="19"/>
                <w:szCs w:val="19"/>
                <w:lang w:val="fr-CA"/>
              </w:rPr>
              <w:t>delà</w:t>
            </w:r>
            <w:r w:rsidR="001527BF" w:rsidRPr="00A52C0B">
              <w:rPr>
                <w:sz w:val="19"/>
                <w:szCs w:val="19"/>
                <w:lang w:val="fr-CA"/>
              </w:rPr>
              <w:t> :</w:t>
            </w:r>
            <w:r w:rsidRPr="00A52C0B">
              <w:rPr>
                <w:sz w:val="19"/>
                <w:szCs w:val="19"/>
                <w:lang w:val="fr-CA"/>
              </w:rPr>
              <w:t xml:space="preserve"> 20</w:t>
            </w:r>
            <w:r w:rsidR="001527BF" w:rsidRPr="00A52C0B">
              <w:rPr>
                <w:sz w:val="19"/>
                <w:szCs w:val="19"/>
                <w:lang w:val="fr-CA"/>
              </w:rPr>
              <w:t> pour cent</w:t>
            </w:r>
            <w:r w:rsidRPr="00A52C0B">
              <w:rPr>
                <w:sz w:val="19"/>
                <w:szCs w:val="19"/>
                <w:lang w:val="fr-CA"/>
              </w:rPr>
              <w:t xml:space="preserve"> </w:t>
            </w:r>
            <w:r w:rsidR="001527BF" w:rsidRPr="00A52C0B">
              <w:rPr>
                <w:sz w:val="19"/>
                <w:szCs w:val="19"/>
                <w:lang w:val="fr-CA"/>
              </w:rPr>
              <w:t>de la valeur de référence</w:t>
            </w:r>
            <w:r w:rsidRPr="00A52C0B">
              <w:rPr>
                <w:sz w:val="19"/>
                <w:szCs w:val="19"/>
                <w:lang w:val="fr-CA"/>
              </w:rPr>
              <w:t xml:space="preserve">. </w:t>
            </w:r>
          </w:p>
          <w:p w14:paraId="6B2406E6" w14:textId="37E41AE4" w:rsidR="005A5A1E" w:rsidRPr="00A52C0B" w:rsidRDefault="005A5A1E" w:rsidP="005A5A1E">
            <w:pPr>
              <w:jc w:val="left"/>
              <w:rPr>
                <w:sz w:val="19"/>
                <w:szCs w:val="19"/>
                <w:lang w:val="fr-CA"/>
              </w:rPr>
            </w:pPr>
            <w:r w:rsidRPr="00A52C0B">
              <w:rPr>
                <w:sz w:val="19"/>
                <w:szCs w:val="19"/>
                <w:lang w:val="fr-CA"/>
              </w:rPr>
              <w:t>Group</w:t>
            </w:r>
            <w:r w:rsidR="00A84F93" w:rsidRPr="00A52C0B">
              <w:rPr>
                <w:sz w:val="19"/>
                <w:szCs w:val="19"/>
                <w:lang w:val="fr-CA"/>
              </w:rPr>
              <w:t>e</w:t>
            </w:r>
            <w:r w:rsidR="001352E7" w:rsidRPr="00A52C0B">
              <w:rPr>
                <w:sz w:val="19"/>
                <w:szCs w:val="19"/>
                <w:lang w:val="fr-CA"/>
              </w:rPr>
              <w:t> </w:t>
            </w:r>
            <w:r w:rsidRPr="00A52C0B">
              <w:rPr>
                <w:sz w:val="19"/>
                <w:szCs w:val="19"/>
                <w:lang w:val="fr-CA"/>
              </w:rPr>
              <w:t>2</w:t>
            </w:r>
            <w:r w:rsidR="001527BF" w:rsidRPr="00A52C0B">
              <w:rPr>
                <w:sz w:val="19"/>
                <w:szCs w:val="19"/>
                <w:lang w:val="fr-CA"/>
              </w:rPr>
              <w:t> :</w:t>
            </w:r>
          </w:p>
          <w:p w14:paraId="60299545" w14:textId="54164F8F" w:rsidR="005A5A1E" w:rsidRPr="00A52C0B" w:rsidRDefault="005A5A1E" w:rsidP="005A5A1E">
            <w:pPr>
              <w:pStyle w:val="ListParagraph"/>
              <w:numPr>
                <w:ilvl w:val="0"/>
                <w:numId w:val="38"/>
              </w:numPr>
              <w:ind w:left="138" w:hanging="138"/>
              <w:jc w:val="left"/>
              <w:rPr>
                <w:sz w:val="19"/>
                <w:szCs w:val="19"/>
                <w:lang w:val="fr-CA"/>
              </w:rPr>
            </w:pPr>
            <w:r w:rsidRPr="00A52C0B">
              <w:rPr>
                <w:sz w:val="19"/>
                <w:szCs w:val="19"/>
                <w:lang w:val="fr-CA"/>
              </w:rPr>
              <w:t>2028</w:t>
            </w:r>
            <w:r w:rsidR="00471A2B" w:rsidRPr="00A52C0B">
              <w:rPr>
                <w:sz w:val="19"/>
                <w:szCs w:val="19"/>
                <w:lang w:val="fr-CA"/>
              </w:rPr>
              <w:noBreakHyphen/>
            </w:r>
            <w:r w:rsidRPr="00A52C0B">
              <w:rPr>
                <w:sz w:val="19"/>
                <w:szCs w:val="19"/>
                <w:lang w:val="fr-CA"/>
              </w:rPr>
              <w:t>2031</w:t>
            </w:r>
            <w:r w:rsidR="001527BF" w:rsidRPr="00A52C0B">
              <w:rPr>
                <w:sz w:val="19"/>
                <w:szCs w:val="19"/>
                <w:lang w:val="fr-CA"/>
              </w:rPr>
              <w:t> :</w:t>
            </w:r>
            <w:r w:rsidRPr="00A52C0B">
              <w:rPr>
                <w:sz w:val="19"/>
                <w:szCs w:val="19"/>
                <w:lang w:val="fr-CA"/>
              </w:rPr>
              <w:t xml:space="preserve"> 100</w:t>
            </w:r>
            <w:r w:rsidR="001527BF" w:rsidRPr="00A52C0B">
              <w:rPr>
                <w:sz w:val="19"/>
                <w:szCs w:val="19"/>
                <w:lang w:val="fr-CA"/>
              </w:rPr>
              <w:t> pour cent</w:t>
            </w:r>
            <w:r w:rsidRPr="00A52C0B">
              <w:rPr>
                <w:sz w:val="19"/>
                <w:szCs w:val="19"/>
                <w:lang w:val="fr-CA"/>
              </w:rPr>
              <w:t xml:space="preserve"> </w:t>
            </w:r>
            <w:r w:rsidR="001527BF" w:rsidRPr="00A52C0B">
              <w:rPr>
                <w:sz w:val="19"/>
                <w:szCs w:val="19"/>
                <w:lang w:val="fr-CA"/>
              </w:rPr>
              <w:t>de la valeur de référence</w:t>
            </w:r>
          </w:p>
          <w:p w14:paraId="365071AD" w14:textId="7B9E2D73" w:rsidR="005A5A1E" w:rsidRPr="00A52C0B" w:rsidRDefault="005A5A1E" w:rsidP="005A5A1E">
            <w:pPr>
              <w:pStyle w:val="ListParagraph"/>
              <w:numPr>
                <w:ilvl w:val="0"/>
                <w:numId w:val="38"/>
              </w:numPr>
              <w:ind w:left="138" w:hanging="138"/>
              <w:jc w:val="left"/>
              <w:rPr>
                <w:sz w:val="19"/>
                <w:szCs w:val="19"/>
                <w:lang w:val="fr-CA"/>
              </w:rPr>
            </w:pPr>
            <w:r w:rsidRPr="00A52C0B">
              <w:rPr>
                <w:sz w:val="19"/>
                <w:szCs w:val="19"/>
                <w:lang w:val="fr-CA"/>
              </w:rPr>
              <w:t>2032</w:t>
            </w:r>
            <w:r w:rsidR="00471A2B" w:rsidRPr="00A52C0B">
              <w:rPr>
                <w:sz w:val="19"/>
                <w:szCs w:val="19"/>
                <w:lang w:val="fr-CA"/>
              </w:rPr>
              <w:noBreakHyphen/>
            </w:r>
            <w:r w:rsidRPr="00A52C0B">
              <w:rPr>
                <w:sz w:val="19"/>
                <w:szCs w:val="19"/>
                <w:lang w:val="fr-CA"/>
              </w:rPr>
              <w:t>2036</w:t>
            </w:r>
            <w:r w:rsidR="001527BF" w:rsidRPr="00A52C0B">
              <w:rPr>
                <w:sz w:val="19"/>
                <w:szCs w:val="19"/>
                <w:lang w:val="fr-CA"/>
              </w:rPr>
              <w:t> :</w:t>
            </w:r>
            <w:r w:rsidRPr="00A52C0B">
              <w:rPr>
                <w:sz w:val="19"/>
                <w:szCs w:val="19"/>
                <w:lang w:val="fr-CA"/>
              </w:rPr>
              <w:t xml:space="preserve"> 90</w:t>
            </w:r>
            <w:r w:rsidR="001527BF" w:rsidRPr="00A52C0B">
              <w:rPr>
                <w:sz w:val="19"/>
                <w:szCs w:val="19"/>
                <w:lang w:val="fr-CA"/>
              </w:rPr>
              <w:t> pour cent</w:t>
            </w:r>
            <w:r w:rsidRPr="00A52C0B">
              <w:rPr>
                <w:sz w:val="19"/>
                <w:szCs w:val="19"/>
                <w:lang w:val="fr-CA"/>
              </w:rPr>
              <w:t xml:space="preserve"> </w:t>
            </w:r>
            <w:r w:rsidR="001527BF" w:rsidRPr="00A52C0B">
              <w:rPr>
                <w:sz w:val="19"/>
                <w:szCs w:val="19"/>
                <w:lang w:val="fr-CA"/>
              </w:rPr>
              <w:t>de la valeur de référence</w:t>
            </w:r>
          </w:p>
          <w:p w14:paraId="4725CC1E" w14:textId="59494ABA" w:rsidR="005A5A1E" w:rsidRPr="00A52C0B" w:rsidRDefault="005A5A1E" w:rsidP="005A5A1E">
            <w:pPr>
              <w:pStyle w:val="ListParagraph"/>
              <w:numPr>
                <w:ilvl w:val="0"/>
                <w:numId w:val="38"/>
              </w:numPr>
              <w:ind w:left="138" w:hanging="138"/>
              <w:jc w:val="left"/>
              <w:rPr>
                <w:sz w:val="19"/>
                <w:szCs w:val="19"/>
                <w:lang w:val="fr-CA"/>
              </w:rPr>
            </w:pPr>
            <w:r w:rsidRPr="00A52C0B">
              <w:rPr>
                <w:sz w:val="19"/>
                <w:szCs w:val="19"/>
                <w:lang w:val="fr-CA"/>
              </w:rPr>
              <w:t>2037</w:t>
            </w:r>
            <w:r w:rsidR="00471A2B" w:rsidRPr="00A52C0B">
              <w:rPr>
                <w:sz w:val="19"/>
                <w:szCs w:val="19"/>
                <w:lang w:val="fr-CA"/>
              </w:rPr>
              <w:noBreakHyphen/>
            </w:r>
            <w:r w:rsidRPr="00A52C0B">
              <w:rPr>
                <w:sz w:val="19"/>
                <w:szCs w:val="19"/>
                <w:lang w:val="fr-CA"/>
              </w:rPr>
              <w:t>2041</w:t>
            </w:r>
            <w:r w:rsidR="001527BF" w:rsidRPr="00A52C0B">
              <w:rPr>
                <w:sz w:val="19"/>
                <w:szCs w:val="19"/>
                <w:lang w:val="fr-CA"/>
              </w:rPr>
              <w:t> :</w:t>
            </w:r>
            <w:r w:rsidRPr="00A52C0B">
              <w:rPr>
                <w:sz w:val="19"/>
                <w:szCs w:val="19"/>
                <w:lang w:val="fr-CA"/>
              </w:rPr>
              <w:t xml:space="preserve"> 80</w:t>
            </w:r>
            <w:r w:rsidR="001527BF" w:rsidRPr="00A52C0B">
              <w:rPr>
                <w:sz w:val="19"/>
                <w:szCs w:val="19"/>
                <w:lang w:val="fr-CA"/>
              </w:rPr>
              <w:t> pour cent</w:t>
            </w:r>
            <w:r w:rsidRPr="00A52C0B">
              <w:rPr>
                <w:sz w:val="19"/>
                <w:szCs w:val="19"/>
                <w:lang w:val="fr-CA"/>
              </w:rPr>
              <w:t xml:space="preserve"> </w:t>
            </w:r>
            <w:r w:rsidR="001527BF" w:rsidRPr="00A52C0B">
              <w:rPr>
                <w:sz w:val="19"/>
                <w:szCs w:val="19"/>
                <w:lang w:val="fr-CA"/>
              </w:rPr>
              <w:t>de la valeur de référence</w:t>
            </w:r>
          </w:p>
          <w:p w14:paraId="101485AD" w14:textId="702EE0F4" w:rsidR="005A5A1E" w:rsidRPr="00A52C0B" w:rsidRDefault="005A5A1E" w:rsidP="005A5A1E">
            <w:pPr>
              <w:pStyle w:val="ListParagraph"/>
              <w:numPr>
                <w:ilvl w:val="0"/>
                <w:numId w:val="38"/>
              </w:numPr>
              <w:ind w:left="138" w:hanging="138"/>
              <w:jc w:val="left"/>
              <w:rPr>
                <w:sz w:val="19"/>
                <w:szCs w:val="19"/>
                <w:lang w:val="fr-CA"/>
              </w:rPr>
            </w:pPr>
            <w:r w:rsidRPr="00A52C0B">
              <w:rPr>
                <w:sz w:val="19"/>
                <w:szCs w:val="19"/>
                <w:lang w:val="fr-CA"/>
              </w:rPr>
              <w:t>2042</w:t>
            </w:r>
            <w:r w:rsidR="00471A2B" w:rsidRPr="00A52C0B">
              <w:rPr>
                <w:sz w:val="19"/>
                <w:szCs w:val="19"/>
                <w:lang w:val="fr-CA"/>
              </w:rPr>
              <w:noBreakHyphen/>
            </w:r>
            <w:r w:rsidRPr="00A52C0B">
              <w:rPr>
                <w:sz w:val="19"/>
                <w:szCs w:val="19"/>
                <w:lang w:val="fr-CA"/>
              </w:rPr>
              <w:t>2046</w:t>
            </w:r>
            <w:r w:rsidR="001527BF" w:rsidRPr="00A52C0B">
              <w:rPr>
                <w:sz w:val="19"/>
                <w:szCs w:val="19"/>
                <w:lang w:val="fr-CA"/>
              </w:rPr>
              <w:t> :</w:t>
            </w:r>
            <w:r w:rsidRPr="00A52C0B">
              <w:rPr>
                <w:sz w:val="19"/>
                <w:szCs w:val="19"/>
                <w:lang w:val="fr-CA"/>
              </w:rPr>
              <w:t xml:space="preserve"> 70</w:t>
            </w:r>
            <w:r w:rsidR="001527BF" w:rsidRPr="00A52C0B">
              <w:rPr>
                <w:sz w:val="19"/>
                <w:szCs w:val="19"/>
                <w:lang w:val="fr-CA"/>
              </w:rPr>
              <w:t> pour cent</w:t>
            </w:r>
            <w:r w:rsidRPr="00A52C0B">
              <w:rPr>
                <w:sz w:val="19"/>
                <w:szCs w:val="19"/>
                <w:lang w:val="fr-CA"/>
              </w:rPr>
              <w:t xml:space="preserve"> </w:t>
            </w:r>
            <w:r w:rsidR="001527BF" w:rsidRPr="00A52C0B">
              <w:rPr>
                <w:sz w:val="19"/>
                <w:szCs w:val="19"/>
                <w:lang w:val="fr-CA"/>
              </w:rPr>
              <w:t>de la valeur de référence</w:t>
            </w:r>
          </w:p>
          <w:p w14:paraId="7E58EB1A" w14:textId="247505FB" w:rsidR="005A5A1E" w:rsidRPr="00A52C0B" w:rsidRDefault="005A5A1E" w:rsidP="005A5A1E">
            <w:pPr>
              <w:pStyle w:val="ListParagraph"/>
              <w:numPr>
                <w:ilvl w:val="0"/>
                <w:numId w:val="38"/>
              </w:numPr>
              <w:ind w:left="138" w:hanging="138"/>
              <w:jc w:val="left"/>
              <w:rPr>
                <w:sz w:val="20"/>
                <w:szCs w:val="20"/>
                <w:lang w:val="fr-CA"/>
              </w:rPr>
            </w:pPr>
            <w:r w:rsidRPr="00A52C0B">
              <w:rPr>
                <w:sz w:val="19"/>
                <w:szCs w:val="19"/>
                <w:lang w:val="fr-CA"/>
              </w:rPr>
              <w:t xml:space="preserve">2047 </w:t>
            </w:r>
            <w:r w:rsidR="00A84F93" w:rsidRPr="00A52C0B">
              <w:rPr>
                <w:sz w:val="19"/>
                <w:szCs w:val="19"/>
                <w:lang w:val="fr-CA"/>
              </w:rPr>
              <w:t>et au</w:t>
            </w:r>
            <w:r w:rsidR="00471A2B" w:rsidRPr="00A52C0B">
              <w:rPr>
                <w:sz w:val="19"/>
                <w:szCs w:val="19"/>
                <w:lang w:val="fr-CA"/>
              </w:rPr>
              <w:noBreakHyphen/>
            </w:r>
            <w:r w:rsidR="00A84F93" w:rsidRPr="00A52C0B">
              <w:rPr>
                <w:sz w:val="19"/>
                <w:szCs w:val="19"/>
                <w:lang w:val="fr-CA"/>
              </w:rPr>
              <w:t>delà</w:t>
            </w:r>
            <w:r w:rsidR="001527BF" w:rsidRPr="00A52C0B">
              <w:rPr>
                <w:sz w:val="19"/>
                <w:szCs w:val="19"/>
                <w:lang w:val="fr-CA"/>
              </w:rPr>
              <w:t> :</w:t>
            </w:r>
            <w:r w:rsidRPr="00A52C0B">
              <w:rPr>
                <w:sz w:val="19"/>
                <w:szCs w:val="19"/>
                <w:lang w:val="fr-CA"/>
              </w:rPr>
              <w:t xml:space="preserve"> 15</w:t>
            </w:r>
            <w:r w:rsidR="001527BF" w:rsidRPr="00A52C0B">
              <w:rPr>
                <w:sz w:val="19"/>
                <w:szCs w:val="19"/>
                <w:lang w:val="fr-CA"/>
              </w:rPr>
              <w:t> pour cent</w:t>
            </w:r>
            <w:r w:rsidRPr="00A52C0B">
              <w:rPr>
                <w:sz w:val="19"/>
                <w:szCs w:val="19"/>
                <w:lang w:val="fr-CA"/>
              </w:rPr>
              <w:t xml:space="preserve"> </w:t>
            </w:r>
            <w:r w:rsidR="001527BF" w:rsidRPr="00A52C0B">
              <w:rPr>
                <w:sz w:val="19"/>
                <w:szCs w:val="19"/>
                <w:lang w:val="fr-CA"/>
              </w:rPr>
              <w:t>de la valeur de référence</w:t>
            </w:r>
          </w:p>
        </w:tc>
      </w:tr>
    </w:tbl>
    <w:p w14:paraId="1EECF932" w14:textId="4700C6BB" w:rsidR="005A5A1E" w:rsidRPr="00A52C0B" w:rsidRDefault="005A5A1E" w:rsidP="005A5A1E">
      <w:pPr>
        <w:rPr>
          <w:lang w:val="fr-CA"/>
        </w:rPr>
      </w:pPr>
      <w:r w:rsidRPr="00A52C0B">
        <w:rPr>
          <w:sz w:val="18"/>
          <w:szCs w:val="18"/>
          <w:lang w:val="fr-CA"/>
        </w:rPr>
        <w:t>* </w:t>
      </w:r>
      <w:r w:rsidR="00A84F93" w:rsidRPr="00A52C0B">
        <w:rPr>
          <w:sz w:val="18"/>
          <w:szCs w:val="18"/>
          <w:lang w:val="fr-CA"/>
        </w:rPr>
        <w:t>Pays du g</w:t>
      </w:r>
      <w:r w:rsidRPr="00A52C0B">
        <w:rPr>
          <w:sz w:val="18"/>
          <w:szCs w:val="18"/>
          <w:lang w:val="fr-CA"/>
        </w:rPr>
        <w:t>roup</w:t>
      </w:r>
      <w:r w:rsidR="00A84F93" w:rsidRPr="00A52C0B">
        <w:rPr>
          <w:sz w:val="18"/>
          <w:szCs w:val="18"/>
          <w:lang w:val="fr-CA"/>
        </w:rPr>
        <w:t>e </w:t>
      </w:r>
      <w:r w:rsidRPr="00A52C0B">
        <w:rPr>
          <w:sz w:val="18"/>
          <w:szCs w:val="18"/>
          <w:lang w:val="fr-CA"/>
        </w:rPr>
        <w:t>1</w:t>
      </w:r>
      <w:r w:rsidR="009A0433" w:rsidRPr="00A52C0B">
        <w:rPr>
          <w:sz w:val="18"/>
          <w:szCs w:val="18"/>
          <w:lang w:val="fr-CA"/>
        </w:rPr>
        <w:t> </w:t>
      </w:r>
      <w:r w:rsidRPr="00A52C0B">
        <w:rPr>
          <w:sz w:val="18"/>
          <w:szCs w:val="18"/>
          <w:lang w:val="fr-CA"/>
        </w:rPr>
        <w:t xml:space="preserve">: </w:t>
      </w:r>
      <w:r w:rsidR="000F4D4C" w:rsidRPr="00A52C0B">
        <w:rPr>
          <w:sz w:val="18"/>
          <w:szCs w:val="18"/>
          <w:lang w:val="fr-CA"/>
        </w:rPr>
        <w:t>tous les pays visés à l’article</w:t>
      </w:r>
      <w:r w:rsidR="009A0433" w:rsidRPr="00A52C0B">
        <w:rPr>
          <w:sz w:val="18"/>
          <w:szCs w:val="18"/>
          <w:lang w:val="fr-CA"/>
        </w:rPr>
        <w:t> </w:t>
      </w:r>
      <w:r w:rsidR="000F4D4C" w:rsidRPr="00A52C0B">
        <w:rPr>
          <w:sz w:val="18"/>
          <w:szCs w:val="18"/>
          <w:lang w:val="fr-CA"/>
        </w:rPr>
        <w:t>5, à l’exception de 10</w:t>
      </w:r>
      <w:r w:rsidR="009A0433" w:rsidRPr="00A52C0B">
        <w:rPr>
          <w:sz w:val="18"/>
          <w:szCs w:val="18"/>
          <w:lang w:val="fr-CA"/>
        </w:rPr>
        <w:t> </w:t>
      </w:r>
      <w:r w:rsidR="000F4D4C" w:rsidRPr="00A52C0B">
        <w:rPr>
          <w:sz w:val="18"/>
          <w:szCs w:val="18"/>
          <w:lang w:val="fr-CA"/>
        </w:rPr>
        <w:t>pays du groupe</w:t>
      </w:r>
      <w:r w:rsidR="009A0433" w:rsidRPr="00A52C0B">
        <w:rPr>
          <w:sz w:val="18"/>
          <w:szCs w:val="18"/>
          <w:lang w:val="fr-CA"/>
        </w:rPr>
        <w:t> </w:t>
      </w:r>
      <w:r w:rsidR="000F4D4C" w:rsidRPr="00A52C0B">
        <w:rPr>
          <w:sz w:val="18"/>
          <w:szCs w:val="18"/>
          <w:lang w:val="fr-CA"/>
        </w:rPr>
        <w:t>2</w:t>
      </w:r>
      <w:r w:rsidR="001352E7" w:rsidRPr="00A52C0B">
        <w:rPr>
          <w:sz w:val="18"/>
          <w:szCs w:val="18"/>
          <w:lang w:val="fr-CA"/>
        </w:rPr>
        <w:t>. P</w:t>
      </w:r>
      <w:r w:rsidR="000F4D4C" w:rsidRPr="00A52C0B">
        <w:rPr>
          <w:sz w:val="18"/>
          <w:szCs w:val="18"/>
          <w:lang w:val="fr-CA"/>
        </w:rPr>
        <w:t>ays du groupe</w:t>
      </w:r>
      <w:r w:rsidR="001352E7" w:rsidRPr="00A52C0B">
        <w:rPr>
          <w:sz w:val="18"/>
          <w:szCs w:val="18"/>
          <w:lang w:val="fr-CA"/>
        </w:rPr>
        <w:t> </w:t>
      </w:r>
      <w:r w:rsidR="000F4D4C" w:rsidRPr="00A52C0B">
        <w:rPr>
          <w:sz w:val="18"/>
          <w:szCs w:val="18"/>
          <w:lang w:val="fr-CA"/>
        </w:rPr>
        <w:t>2</w:t>
      </w:r>
      <w:r w:rsidR="009A0433" w:rsidRPr="00A52C0B">
        <w:rPr>
          <w:sz w:val="18"/>
          <w:szCs w:val="18"/>
          <w:lang w:val="fr-CA"/>
        </w:rPr>
        <w:t> </w:t>
      </w:r>
      <w:r w:rsidR="000F4D4C" w:rsidRPr="00A52C0B">
        <w:rPr>
          <w:sz w:val="18"/>
          <w:szCs w:val="18"/>
          <w:lang w:val="fr-CA"/>
        </w:rPr>
        <w:t xml:space="preserve">: </w:t>
      </w:r>
      <w:r w:rsidR="001352E7" w:rsidRPr="00A52C0B">
        <w:rPr>
          <w:sz w:val="18"/>
          <w:szCs w:val="18"/>
          <w:lang w:val="fr-CA"/>
        </w:rPr>
        <w:t>A</w:t>
      </w:r>
      <w:r w:rsidR="000F4D4C" w:rsidRPr="00A52C0B">
        <w:rPr>
          <w:sz w:val="18"/>
          <w:szCs w:val="18"/>
          <w:lang w:val="fr-CA"/>
        </w:rPr>
        <w:t xml:space="preserve">rabie saoudite, Bahreïn, </w:t>
      </w:r>
      <w:r w:rsidR="009D3AC6" w:rsidRPr="00A52C0B">
        <w:rPr>
          <w:sz w:val="18"/>
          <w:szCs w:val="18"/>
          <w:lang w:val="fr-CA"/>
        </w:rPr>
        <w:t xml:space="preserve">Émirats arabes unis, </w:t>
      </w:r>
      <w:r w:rsidR="000F4D4C" w:rsidRPr="00A52C0B">
        <w:rPr>
          <w:sz w:val="18"/>
          <w:szCs w:val="18"/>
          <w:lang w:val="fr-CA"/>
        </w:rPr>
        <w:t>Inde, Iraq, Koweït, Oman, Pakistan, Qatar et République islamique d’Iran</w:t>
      </w:r>
      <w:r w:rsidR="009D3AC6" w:rsidRPr="00A52C0B">
        <w:rPr>
          <w:sz w:val="18"/>
          <w:szCs w:val="18"/>
          <w:lang w:val="fr-CA"/>
        </w:rPr>
        <w:t>.</w:t>
      </w:r>
    </w:p>
    <w:p w14:paraId="0420A944" w14:textId="36F1BFF2" w:rsidR="005A5A1E" w:rsidRPr="00A52C0B" w:rsidRDefault="005A5A1E" w:rsidP="005A5A1E">
      <w:pPr>
        <w:rPr>
          <w:sz w:val="18"/>
          <w:szCs w:val="18"/>
          <w:lang w:val="fr-CA"/>
        </w:rPr>
      </w:pPr>
      <w:r w:rsidRPr="00A52C0B">
        <w:rPr>
          <w:sz w:val="18"/>
          <w:szCs w:val="18"/>
          <w:lang w:val="fr-CA"/>
        </w:rPr>
        <w:t>**</w:t>
      </w:r>
      <w:r w:rsidR="009D3AC6" w:rsidRPr="00A52C0B">
        <w:rPr>
          <w:sz w:val="18"/>
          <w:szCs w:val="18"/>
          <w:lang w:val="fr-CA"/>
        </w:rPr>
        <w:t xml:space="preserve"> </w:t>
      </w:r>
      <w:r w:rsidR="00063502" w:rsidRPr="00A52C0B">
        <w:rPr>
          <w:sz w:val="18"/>
          <w:szCs w:val="18"/>
          <w:lang w:val="fr-CA"/>
        </w:rPr>
        <w:t xml:space="preserve">Le </w:t>
      </w:r>
      <w:r w:rsidRPr="00A52C0B">
        <w:rPr>
          <w:sz w:val="18"/>
          <w:szCs w:val="18"/>
          <w:lang w:val="fr-CA"/>
        </w:rPr>
        <w:t>HFC</w:t>
      </w:r>
      <w:r w:rsidR="00471A2B" w:rsidRPr="00A52C0B">
        <w:rPr>
          <w:sz w:val="18"/>
          <w:szCs w:val="18"/>
          <w:lang w:val="fr-CA"/>
        </w:rPr>
        <w:noBreakHyphen/>
      </w:r>
      <w:r w:rsidRPr="00A52C0B">
        <w:rPr>
          <w:sz w:val="18"/>
          <w:szCs w:val="18"/>
          <w:lang w:val="fr-CA"/>
        </w:rPr>
        <w:t xml:space="preserve">23, </w:t>
      </w:r>
      <w:r w:rsidR="009D3AC6" w:rsidRPr="00A52C0B">
        <w:rPr>
          <w:sz w:val="18"/>
          <w:szCs w:val="18"/>
          <w:lang w:val="fr-CA"/>
        </w:rPr>
        <w:t xml:space="preserve">avec un </w:t>
      </w:r>
      <w:r w:rsidR="00063502" w:rsidRPr="00A52C0B">
        <w:rPr>
          <w:sz w:val="18"/>
          <w:szCs w:val="18"/>
          <w:lang w:val="fr-CA"/>
        </w:rPr>
        <w:t>PRG</w:t>
      </w:r>
      <w:r w:rsidR="009D3AC6" w:rsidRPr="00A52C0B">
        <w:rPr>
          <w:sz w:val="18"/>
          <w:szCs w:val="18"/>
          <w:lang w:val="fr-CA"/>
        </w:rPr>
        <w:t xml:space="preserve"> de </w:t>
      </w:r>
      <w:r w:rsidR="00063502" w:rsidRPr="00A52C0B">
        <w:rPr>
          <w:sz w:val="18"/>
          <w:szCs w:val="18"/>
          <w:lang w:val="fr-CA"/>
        </w:rPr>
        <w:t>14</w:t>
      </w:r>
      <w:r w:rsidR="000F619C" w:rsidRPr="00A52C0B">
        <w:rPr>
          <w:sz w:val="18"/>
          <w:szCs w:val="18"/>
          <w:lang w:val="fr-CA"/>
        </w:rPr>
        <w:t> </w:t>
      </w:r>
      <w:r w:rsidR="00063502" w:rsidRPr="00A52C0B">
        <w:rPr>
          <w:sz w:val="18"/>
          <w:szCs w:val="18"/>
          <w:lang w:val="fr-CA"/>
        </w:rPr>
        <w:t>800</w:t>
      </w:r>
      <w:r w:rsidR="000F619C" w:rsidRPr="00A52C0B">
        <w:rPr>
          <w:sz w:val="18"/>
          <w:szCs w:val="18"/>
          <w:lang w:val="fr-CA"/>
        </w:rPr>
        <w:t>,</w:t>
      </w:r>
      <w:r w:rsidR="00063502" w:rsidRPr="00A52C0B">
        <w:rPr>
          <w:sz w:val="18"/>
          <w:szCs w:val="18"/>
          <w:lang w:val="fr-CA"/>
        </w:rPr>
        <w:t xml:space="preserve"> est principalement </w:t>
      </w:r>
      <w:r w:rsidR="00573C54">
        <w:rPr>
          <w:sz w:val="18"/>
          <w:szCs w:val="18"/>
          <w:lang w:val="fr-CA"/>
        </w:rPr>
        <w:t xml:space="preserve">un </w:t>
      </w:r>
      <w:r w:rsidR="00063502" w:rsidRPr="00A52C0B">
        <w:rPr>
          <w:sz w:val="18"/>
          <w:szCs w:val="18"/>
          <w:lang w:val="fr-CA"/>
        </w:rPr>
        <w:t>sous</w:t>
      </w:r>
      <w:r w:rsidR="00471A2B" w:rsidRPr="00A52C0B">
        <w:rPr>
          <w:sz w:val="18"/>
          <w:szCs w:val="18"/>
          <w:lang w:val="fr-CA"/>
        </w:rPr>
        <w:noBreakHyphen/>
      </w:r>
      <w:r w:rsidR="00063502" w:rsidRPr="00A52C0B">
        <w:rPr>
          <w:sz w:val="18"/>
          <w:szCs w:val="18"/>
          <w:lang w:val="fr-CA"/>
        </w:rPr>
        <w:t>produit de la production de HCFC</w:t>
      </w:r>
      <w:r w:rsidR="00471A2B" w:rsidRPr="00A52C0B">
        <w:rPr>
          <w:sz w:val="18"/>
          <w:szCs w:val="18"/>
          <w:lang w:val="fr-CA"/>
        </w:rPr>
        <w:noBreakHyphen/>
      </w:r>
      <w:r w:rsidR="00063502" w:rsidRPr="00A52C0B">
        <w:rPr>
          <w:sz w:val="18"/>
          <w:szCs w:val="18"/>
          <w:lang w:val="fr-CA"/>
        </w:rPr>
        <w:t xml:space="preserve">22. </w:t>
      </w:r>
    </w:p>
    <w:p w14:paraId="740A4EB9" w14:textId="0A1BD920" w:rsidR="005A5A1E" w:rsidRPr="00A52C0B" w:rsidRDefault="005A5A1E" w:rsidP="005A5A1E">
      <w:pPr>
        <w:rPr>
          <w:sz w:val="18"/>
          <w:szCs w:val="18"/>
          <w:lang w:val="fr-CA"/>
        </w:rPr>
      </w:pPr>
      <w:r w:rsidRPr="00A52C0B">
        <w:rPr>
          <w:sz w:val="18"/>
          <w:szCs w:val="18"/>
          <w:lang w:val="fr-CA"/>
        </w:rPr>
        <w:t>***</w:t>
      </w:r>
      <w:r w:rsidR="00063502" w:rsidRPr="00A52C0B">
        <w:rPr>
          <w:sz w:val="18"/>
          <w:szCs w:val="18"/>
          <w:lang w:val="fr-CA"/>
        </w:rPr>
        <w:t xml:space="preserve">Les pays peuvent </w:t>
      </w:r>
      <w:r w:rsidR="000F619C" w:rsidRPr="00A52C0B">
        <w:rPr>
          <w:sz w:val="18"/>
          <w:szCs w:val="18"/>
          <w:lang w:val="fr-CA"/>
        </w:rPr>
        <w:t>excéder</w:t>
      </w:r>
      <w:r w:rsidR="00063502" w:rsidRPr="00A52C0B">
        <w:rPr>
          <w:sz w:val="18"/>
          <w:szCs w:val="18"/>
          <w:lang w:val="fr-CA"/>
        </w:rPr>
        <w:t xml:space="preserve"> cette limite de consommation n’importe quelle année de la période</w:t>
      </w:r>
      <w:r w:rsidR="009A0433" w:rsidRPr="00A52C0B">
        <w:rPr>
          <w:sz w:val="18"/>
          <w:szCs w:val="18"/>
          <w:lang w:val="fr-CA"/>
        </w:rPr>
        <w:t> </w:t>
      </w:r>
      <w:r w:rsidR="00063502" w:rsidRPr="00A52C0B">
        <w:rPr>
          <w:sz w:val="18"/>
          <w:szCs w:val="18"/>
          <w:lang w:val="fr-CA"/>
        </w:rPr>
        <w:t>2030</w:t>
      </w:r>
      <w:r w:rsidR="00471A2B" w:rsidRPr="00A52C0B">
        <w:rPr>
          <w:sz w:val="18"/>
          <w:szCs w:val="18"/>
          <w:lang w:val="fr-CA"/>
        </w:rPr>
        <w:noBreakHyphen/>
      </w:r>
      <w:r w:rsidR="00063502" w:rsidRPr="00A52C0B">
        <w:rPr>
          <w:sz w:val="18"/>
          <w:szCs w:val="18"/>
          <w:lang w:val="fr-CA"/>
        </w:rPr>
        <w:t>2040, tant que la consommation annuelle moyenne de cette décennie ne dépasse pas 2,5</w:t>
      </w:r>
      <w:r w:rsidR="009A0433" w:rsidRPr="00A52C0B">
        <w:rPr>
          <w:sz w:val="18"/>
          <w:szCs w:val="18"/>
          <w:lang w:val="fr-CA"/>
        </w:rPr>
        <w:t> </w:t>
      </w:r>
      <w:r w:rsidR="00063502" w:rsidRPr="00A52C0B">
        <w:rPr>
          <w:sz w:val="18"/>
          <w:szCs w:val="18"/>
          <w:lang w:val="fr-CA"/>
        </w:rPr>
        <w:t>pour</w:t>
      </w:r>
      <w:r w:rsidR="000F619C" w:rsidRPr="00A52C0B">
        <w:rPr>
          <w:sz w:val="18"/>
          <w:szCs w:val="18"/>
          <w:lang w:val="fr-CA"/>
        </w:rPr>
        <w:t> </w:t>
      </w:r>
      <w:r w:rsidR="00063502" w:rsidRPr="00A52C0B">
        <w:rPr>
          <w:sz w:val="18"/>
          <w:szCs w:val="18"/>
          <w:lang w:val="fr-CA"/>
        </w:rPr>
        <w:t>cent de la valeur de référence des HCFC et pourvu que cette consommation se limite à des utilisations spécifiques déterminées par le paragraphe</w:t>
      </w:r>
      <w:r w:rsidR="009A0433" w:rsidRPr="00A52C0B">
        <w:rPr>
          <w:sz w:val="18"/>
          <w:szCs w:val="18"/>
          <w:lang w:val="fr-CA"/>
        </w:rPr>
        <w:t> </w:t>
      </w:r>
      <w:r w:rsidR="00063502" w:rsidRPr="00A52C0B">
        <w:rPr>
          <w:sz w:val="18"/>
          <w:szCs w:val="18"/>
          <w:lang w:val="fr-CA"/>
        </w:rPr>
        <w:t>8</w:t>
      </w:r>
      <w:r w:rsidR="000F619C" w:rsidRPr="00A52C0B">
        <w:rPr>
          <w:sz w:val="18"/>
          <w:szCs w:val="18"/>
          <w:lang w:val="fr-CA"/>
        </w:rPr>
        <w:t> </w:t>
      </w:r>
      <w:r w:rsidR="00063502" w:rsidRPr="00A52C0B">
        <w:rPr>
          <w:sz w:val="18"/>
          <w:szCs w:val="18"/>
          <w:lang w:val="fr-CA"/>
        </w:rPr>
        <w:t>(</w:t>
      </w:r>
      <w:r w:rsidR="000F619C" w:rsidRPr="00A52C0B">
        <w:rPr>
          <w:sz w:val="18"/>
          <w:szCs w:val="18"/>
          <w:lang w:val="fr-CA"/>
        </w:rPr>
        <w:t>ter</w:t>
      </w:r>
      <w:r w:rsidR="00063502" w:rsidRPr="00A52C0B">
        <w:rPr>
          <w:sz w:val="18"/>
          <w:szCs w:val="18"/>
          <w:lang w:val="fr-CA"/>
        </w:rPr>
        <w:t>)</w:t>
      </w:r>
      <w:r w:rsidR="004241CB" w:rsidRPr="00A52C0B">
        <w:rPr>
          <w:sz w:val="18"/>
          <w:szCs w:val="18"/>
          <w:lang w:val="fr-CA"/>
        </w:rPr>
        <w:t> </w:t>
      </w:r>
      <w:r w:rsidR="000F619C" w:rsidRPr="00A52C0B">
        <w:rPr>
          <w:sz w:val="18"/>
          <w:szCs w:val="18"/>
          <w:lang w:val="fr-CA"/>
        </w:rPr>
        <w:t>e)</w:t>
      </w:r>
      <w:r w:rsidR="00063502" w:rsidRPr="00A52C0B">
        <w:rPr>
          <w:sz w:val="18"/>
          <w:szCs w:val="18"/>
          <w:lang w:val="fr-CA"/>
        </w:rPr>
        <w:t xml:space="preserve"> de l’article</w:t>
      </w:r>
      <w:r w:rsidR="009A0433" w:rsidRPr="00A52C0B">
        <w:rPr>
          <w:sz w:val="18"/>
          <w:szCs w:val="18"/>
          <w:lang w:val="fr-CA"/>
        </w:rPr>
        <w:t> </w:t>
      </w:r>
      <w:r w:rsidR="00063502" w:rsidRPr="00A52C0B">
        <w:rPr>
          <w:sz w:val="18"/>
          <w:szCs w:val="18"/>
          <w:lang w:val="fr-CA"/>
        </w:rPr>
        <w:t>5 du Protocole de Montréal.</w:t>
      </w:r>
    </w:p>
    <w:p w14:paraId="4A7AF1D0" w14:textId="77777777" w:rsidR="005A5A1E" w:rsidRPr="00A52C0B" w:rsidRDefault="005A5A1E" w:rsidP="005A5A1E">
      <w:pPr>
        <w:rPr>
          <w:szCs w:val="18"/>
          <w:lang w:val="fr-CA"/>
        </w:rPr>
      </w:pPr>
    </w:p>
    <w:p w14:paraId="699B93E6" w14:textId="4F7C2DFD" w:rsidR="005A5A1E" w:rsidRPr="00A52C0B" w:rsidRDefault="00063502" w:rsidP="005A5A1E">
      <w:pPr>
        <w:pStyle w:val="Heading1"/>
        <w:numPr>
          <w:ilvl w:val="0"/>
          <w:numId w:val="2"/>
        </w:numPr>
        <w:rPr>
          <w:lang w:val="fr-CA"/>
        </w:rPr>
      </w:pPr>
      <w:r w:rsidRPr="00A52C0B">
        <w:rPr>
          <w:lang w:val="fr-CA"/>
        </w:rPr>
        <w:t>Les calendriers d</w:t>
      </w:r>
      <w:r w:rsidR="000F619C" w:rsidRPr="00A52C0B">
        <w:rPr>
          <w:lang w:val="fr-CA"/>
        </w:rPr>
        <w:t>e l</w:t>
      </w:r>
      <w:r w:rsidRPr="00A52C0B">
        <w:rPr>
          <w:lang w:val="fr-CA"/>
        </w:rPr>
        <w:t>’élimination des HCFC et de la réduction progressive des HFC qui se chevauchent présente</w:t>
      </w:r>
      <w:r w:rsidR="003B7476" w:rsidRPr="00A52C0B">
        <w:rPr>
          <w:lang w:val="fr-CA"/>
        </w:rPr>
        <w:t>nt</w:t>
      </w:r>
      <w:r w:rsidRPr="00A52C0B">
        <w:rPr>
          <w:lang w:val="fr-CA"/>
        </w:rPr>
        <w:t xml:space="preserve"> une occasion d’élaborer une stratégie</w:t>
      </w:r>
      <w:r w:rsidR="000F619C" w:rsidRPr="00A52C0B">
        <w:rPr>
          <w:lang w:val="fr-CA"/>
        </w:rPr>
        <w:t xml:space="preserve"> rationnelle</w:t>
      </w:r>
      <w:r w:rsidRPr="00A52C0B">
        <w:rPr>
          <w:lang w:val="fr-CA"/>
        </w:rPr>
        <w:t xml:space="preserve"> intégrée sur la réduction des deux groupes de substances, à partir de l’infrastructure existante appuyée par le Fonds multilatéral, et en évitant le dédoublement des efforts. </w:t>
      </w:r>
    </w:p>
    <w:p w14:paraId="1085C882" w14:textId="1737CFA2" w:rsidR="005A5A1E" w:rsidRPr="00A52C0B" w:rsidRDefault="00063502" w:rsidP="005A5A1E">
      <w:pPr>
        <w:pStyle w:val="Heading1"/>
        <w:numPr>
          <w:ilvl w:val="0"/>
          <w:numId w:val="2"/>
        </w:numPr>
        <w:rPr>
          <w:lang w:val="fr-CA"/>
        </w:rPr>
      </w:pPr>
      <w:r w:rsidRPr="00A52C0B">
        <w:rPr>
          <w:lang w:val="fr-CA"/>
        </w:rPr>
        <w:lastRenderedPageBreak/>
        <w:t xml:space="preserve">En particulier pour le secteur de l’entretien de l’équipement de réfrigération, la majorité des activités déjà mises en œuvre </w:t>
      </w:r>
      <w:r w:rsidR="00E42D66" w:rsidRPr="00A52C0B">
        <w:rPr>
          <w:lang w:val="fr-CA"/>
        </w:rPr>
        <w:t>et prévue</w:t>
      </w:r>
      <w:r w:rsidR="00D463DC" w:rsidRPr="00A52C0B">
        <w:rPr>
          <w:lang w:val="fr-CA"/>
        </w:rPr>
        <w:t>s</w:t>
      </w:r>
      <w:r w:rsidR="00E42D66" w:rsidRPr="00A52C0B">
        <w:rPr>
          <w:lang w:val="fr-CA"/>
        </w:rPr>
        <w:t xml:space="preserve"> pour l’élimination des HCFC</w:t>
      </w:r>
      <w:r w:rsidR="005A5A1E" w:rsidRPr="00A52C0B">
        <w:rPr>
          <w:vertAlign w:val="superscript"/>
          <w:lang w:val="fr-CA"/>
        </w:rPr>
        <w:footnoteReference w:id="18"/>
      </w:r>
      <w:r w:rsidR="005A5A1E" w:rsidRPr="00A52C0B">
        <w:rPr>
          <w:lang w:val="fr-CA"/>
        </w:rPr>
        <w:t xml:space="preserve"> </w:t>
      </w:r>
      <w:r w:rsidR="00E42D66" w:rsidRPr="00A52C0B">
        <w:rPr>
          <w:lang w:val="fr-CA"/>
        </w:rPr>
        <w:t>auront une incidence sur la consommation de HCFC</w:t>
      </w:r>
      <w:r w:rsidR="00232331" w:rsidRPr="00A52C0B">
        <w:rPr>
          <w:lang w:val="fr-CA"/>
        </w:rPr>
        <w:t>. O</w:t>
      </w:r>
      <w:r w:rsidR="00E42D66" w:rsidRPr="00A52C0B">
        <w:rPr>
          <w:lang w:val="fr-CA"/>
        </w:rPr>
        <w:t>n devrait redoubler d’efforts au cours des premières années de la réduction progressive des HFC, notamment en</w:t>
      </w:r>
      <w:r w:rsidR="009A0433" w:rsidRPr="00A52C0B">
        <w:rPr>
          <w:lang w:val="fr-CA"/>
        </w:rPr>
        <w:t> </w:t>
      </w:r>
      <w:r w:rsidR="00E42D66" w:rsidRPr="00A52C0B">
        <w:rPr>
          <w:lang w:val="fr-CA"/>
        </w:rPr>
        <w:t xml:space="preserve">: </w:t>
      </w:r>
    </w:p>
    <w:p w14:paraId="7769D08E" w14:textId="025CB0DA" w:rsidR="005A5A1E" w:rsidRPr="00A52C0B" w:rsidRDefault="00E42D66" w:rsidP="005A5A1E">
      <w:pPr>
        <w:pStyle w:val="Heading2"/>
        <w:rPr>
          <w:lang w:val="fr-CA"/>
        </w:rPr>
      </w:pPr>
      <w:r w:rsidRPr="00A52C0B">
        <w:rPr>
          <w:lang w:val="fr-CA"/>
        </w:rPr>
        <w:t>Renfor</w:t>
      </w:r>
      <w:r w:rsidR="00232331" w:rsidRPr="00A52C0B">
        <w:rPr>
          <w:lang w:val="fr-CA"/>
        </w:rPr>
        <w:t>çant</w:t>
      </w:r>
      <w:r w:rsidRPr="00A52C0B">
        <w:rPr>
          <w:lang w:val="fr-CA"/>
        </w:rPr>
        <w:t xml:space="preserve"> les cadres réglementaires pour la gestion des frigorigènes</w:t>
      </w:r>
      <w:r w:rsidR="008A1FD9">
        <w:rPr>
          <w:lang w:val="fr-CA"/>
        </w:rPr>
        <w:t>,</w:t>
      </w:r>
      <w:r w:rsidRPr="00A52C0B">
        <w:rPr>
          <w:lang w:val="fr-CA"/>
        </w:rPr>
        <w:t xml:space="preserve"> notamment par l’actualisation des systèmes opérationnels d’octroi de permis d’importation et d’exportation de manière à inclure les HFC (qui ne sont pas intégrés</w:t>
      </w:r>
      <w:r w:rsidR="008A1FD9">
        <w:rPr>
          <w:lang w:val="fr-CA"/>
        </w:rPr>
        <w:t xml:space="preserve"> actuellement</w:t>
      </w:r>
      <w:r w:rsidRPr="00A52C0B">
        <w:rPr>
          <w:lang w:val="fr-CA"/>
        </w:rPr>
        <w:t xml:space="preserve"> au système harmonisé), </w:t>
      </w:r>
      <w:r w:rsidR="00110A6A" w:rsidRPr="00A52C0B">
        <w:rPr>
          <w:lang w:val="fr-CA"/>
        </w:rPr>
        <w:t>qui devrai</w:t>
      </w:r>
      <w:r w:rsidR="000B5092" w:rsidRPr="00A52C0B">
        <w:rPr>
          <w:lang w:val="fr-CA"/>
        </w:rPr>
        <w:t>en</w:t>
      </w:r>
      <w:r w:rsidR="00110A6A" w:rsidRPr="00A52C0B">
        <w:rPr>
          <w:lang w:val="fr-CA"/>
        </w:rPr>
        <w:t>t être en place d’ici le 1</w:t>
      </w:r>
      <w:r w:rsidR="00110A6A" w:rsidRPr="00A52C0B">
        <w:rPr>
          <w:vertAlign w:val="superscript"/>
          <w:lang w:val="fr-CA"/>
        </w:rPr>
        <w:t>er</w:t>
      </w:r>
      <w:r w:rsidR="009A0433" w:rsidRPr="00A52C0B">
        <w:rPr>
          <w:lang w:val="fr-CA"/>
        </w:rPr>
        <w:t> </w:t>
      </w:r>
      <w:r w:rsidR="00110A6A" w:rsidRPr="00A52C0B">
        <w:rPr>
          <w:lang w:val="fr-CA"/>
        </w:rPr>
        <w:t>janvier</w:t>
      </w:r>
      <w:r w:rsidR="009A0433" w:rsidRPr="00A52C0B">
        <w:rPr>
          <w:lang w:val="fr-CA"/>
        </w:rPr>
        <w:t> </w:t>
      </w:r>
      <w:r w:rsidR="00110A6A" w:rsidRPr="00A52C0B">
        <w:rPr>
          <w:lang w:val="fr-CA"/>
        </w:rPr>
        <w:t>2021 pour les pays visés à l</w:t>
      </w:r>
      <w:r w:rsidR="000B5092" w:rsidRPr="00A52C0B">
        <w:rPr>
          <w:lang w:val="fr-CA"/>
        </w:rPr>
        <w:t>’</w:t>
      </w:r>
      <w:r w:rsidR="00110A6A" w:rsidRPr="00A52C0B">
        <w:rPr>
          <w:lang w:val="fr-CA"/>
        </w:rPr>
        <w:t>article</w:t>
      </w:r>
      <w:r w:rsidR="000B5092" w:rsidRPr="00A52C0B">
        <w:rPr>
          <w:lang w:val="fr-CA"/>
        </w:rPr>
        <w:t> 5</w:t>
      </w:r>
      <w:r w:rsidR="00110A6A" w:rsidRPr="00A52C0B">
        <w:rPr>
          <w:lang w:val="fr-CA"/>
        </w:rPr>
        <w:t xml:space="preserve"> qui ont ratifié l’Amendement de Kigali; établiss</w:t>
      </w:r>
      <w:r w:rsidR="000B5092" w:rsidRPr="00A52C0B">
        <w:rPr>
          <w:lang w:val="fr-CA"/>
        </w:rPr>
        <w:t>ant des systèmes</w:t>
      </w:r>
      <w:r w:rsidR="00110A6A" w:rsidRPr="00A52C0B">
        <w:rPr>
          <w:lang w:val="fr-CA"/>
        </w:rPr>
        <w:t xml:space="preserve"> de quotas d’importation et d’exportation; </w:t>
      </w:r>
      <w:r w:rsidR="000B5092" w:rsidRPr="00A52C0B">
        <w:rPr>
          <w:lang w:val="fr-CA"/>
        </w:rPr>
        <w:t xml:space="preserve">publiant des règlements </w:t>
      </w:r>
      <w:r w:rsidR="00110A6A" w:rsidRPr="00A52C0B">
        <w:rPr>
          <w:lang w:val="fr-CA"/>
        </w:rPr>
        <w:t xml:space="preserve">relatifs à la certification des techniciens; limitant l’accès aux frigorigènes uniquement aux techniciens formés </w:t>
      </w:r>
      <w:r w:rsidR="000B5092" w:rsidRPr="00A52C0B">
        <w:rPr>
          <w:lang w:val="fr-CA"/>
        </w:rPr>
        <w:t>et/</w:t>
      </w:r>
      <w:r w:rsidR="00110A6A" w:rsidRPr="00A52C0B">
        <w:rPr>
          <w:lang w:val="fr-CA"/>
        </w:rPr>
        <w:t>ou certifiés et aux ateliers d’entretien détenteurs d’un permis; étique</w:t>
      </w:r>
      <w:r w:rsidR="000B5092" w:rsidRPr="00A52C0B">
        <w:rPr>
          <w:lang w:val="fr-CA"/>
        </w:rPr>
        <w:t xml:space="preserve">tant </w:t>
      </w:r>
      <w:r w:rsidR="00110A6A" w:rsidRPr="00A52C0B">
        <w:rPr>
          <w:lang w:val="fr-CA"/>
        </w:rPr>
        <w:t>les frigorigènes, et les consignant, les surveillant</w:t>
      </w:r>
      <w:r w:rsidR="003B7476" w:rsidRPr="00A52C0B">
        <w:rPr>
          <w:lang w:val="fr-CA"/>
        </w:rPr>
        <w:t xml:space="preserve"> </w:t>
      </w:r>
      <w:r w:rsidR="00110A6A" w:rsidRPr="00A52C0B">
        <w:rPr>
          <w:lang w:val="fr-CA"/>
        </w:rPr>
        <w:t>et présent</w:t>
      </w:r>
      <w:r w:rsidR="000B5092" w:rsidRPr="00A52C0B">
        <w:rPr>
          <w:lang w:val="fr-CA"/>
        </w:rPr>
        <w:t>ant</w:t>
      </w:r>
      <w:r w:rsidR="00110A6A" w:rsidRPr="00A52C0B">
        <w:rPr>
          <w:lang w:val="fr-CA"/>
        </w:rPr>
        <w:t xml:space="preserve"> des rapports </w:t>
      </w:r>
      <w:r w:rsidR="000B5092" w:rsidRPr="00A52C0B">
        <w:rPr>
          <w:lang w:val="fr-CA"/>
        </w:rPr>
        <w:t xml:space="preserve">à </w:t>
      </w:r>
      <w:r w:rsidR="00110A6A" w:rsidRPr="00A52C0B">
        <w:rPr>
          <w:lang w:val="fr-CA"/>
        </w:rPr>
        <w:t>leur sujet; et renfor</w:t>
      </w:r>
      <w:r w:rsidR="000B5092" w:rsidRPr="00A52C0B">
        <w:rPr>
          <w:lang w:val="fr-CA"/>
        </w:rPr>
        <w:t>çant</w:t>
      </w:r>
      <w:r w:rsidR="00110A6A" w:rsidRPr="00A52C0B">
        <w:rPr>
          <w:lang w:val="fr-CA"/>
        </w:rPr>
        <w:t xml:space="preserve"> les capacités des autorités et des intervenants; </w:t>
      </w:r>
    </w:p>
    <w:p w14:paraId="3172D3AB" w14:textId="6909E973" w:rsidR="005A5A1E" w:rsidRPr="00A52C0B" w:rsidRDefault="005C5AD9" w:rsidP="005A5A1E">
      <w:pPr>
        <w:pStyle w:val="Heading2"/>
        <w:rPr>
          <w:lang w:val="fr-CA"/>
        </w:rPr>
      </w:pPr>
      <w:r w:rsidRPr="00A52C0B">
        <w:rPr>
          <w:lang w:val="fr-CA"/>
        </w:rPr>
        <w:t>É</w:t>
      </w:r>
      <w:r w:rsidR="00110A6A" w:rsidRPr="00A52C0B">
        <w:rPr>
          <w:lang w:val="fr-CA"/>
        </w:rPr>
        <w:t>laborant, ré</w:t>
      </w:r>
      <w:r w:rsidRPr="00A52C0B">
        <w:rPr>
          <w:lang w:val="fr-CA"/>
        </w:rPr>
        <w:t>v</w:t>
      </w:r>
      <w:r w:rsidR="00110A6A" w:rsidRPr="00A52C0B">
        <w:rPr>
          <w:lang w:val="fr-CA"/>
        </w:rPr>
        <w:t>isant ou adoptant des normes et des codes en vue de faciliter l’adoption, l’utilisation, la gestion et le maintien des technologies de réfrigération à base de frigorigènes à faible</w:t>
      </w:r>
      <w:r w:rsidRPr="00A52C0B">
        <w:rPr>
          <w:lang w:val="fr-CA"/>
        </w:rPr>
        <w:t> </w:t>
      </w:r>
      <w:r w:rsidR="00110A6A" w:rsidRPr="00A52C0B">
        <w:rPr>
          <w:lang w:val="fr-CA"/>
        </w:rPr>
        <w:t>PRG</w:t>
      </w:r>
      <w:r w:rsidR="009A0433" w:rsidRPr="00A52C0B">
        <w:rPr>
          <w:lang w:val="fr-CA"/>
        </w:rPr>
        <w:t>,</w:t>
      </w:r>
      <w:r w:rsidR="00110A6A" w:rsidRPr="00A52C0B">
        <w:rPr>
          <w:lang w:val="fr-CA"/>
        </w:rPr>
        <w:t xml:space="preserve"> en tenant compte du fait qu’un grand nombre de ces frigorigènes sont inflammables et/ou toxiques;</w:t>
      </w:r>
    </w:p>
    <w:p w14:paraId="1D2F192C" w14:textId="0AF92EBB" w:rsidR="005A5A1E" w:rsidRPr="00A52C0B" w:rsidRDefault="00110A6A" w:rsidP="005A5A1E">
      <w:pPr>
        <w:pStyle w:val="Heading2"/>
        <w:rPr>
          <w:lang w:val="fr-CA"/>
        </w:rPr>
      </w:pPr>
      <w:r w:rsidRPr="00A52C0B">
        <w:rPr>
          <w:lang w:val="fr-CA"/>
        </w:rPr>
        <w:t xml:space="preserve">Renforçant et mettant à jour les mécanismes en place pour transmettre les données de consommation et de production (le cas échéant) des substances réglementées, compte tenu de l’augmentation de la quantité et de la diversité des substances réglementées, qui comprennent en grande partie des mélanges à base de HFC, de l’élargissement des applications </w:t>
      </w:r>
      <w:r w:rsidR="00A130FE" w:rsidRPr="00A52C0B">
        <w:rPr>
          <w:lang w:val="fr-CA"/>
        </w:rPr>
        <w:t>de ces substances (p.</w:t>
      </w:r>
      <w:r w:rsidR="005C5AD9" w:rsidRPr="00A52C0B">
        <w:rPr>
          <w:lang w:val="fr-CA"/>
        </w:rPr>
        <w:t> </w:t>
      </w:r>
      <w:r w:rsidR="00A130FE" w:rsidRPr="00A52C0B">
        <w:rPr>
          <w:lang w:val="fr-CA"/>
        </w:rPr>
        <w:t>ex.,</w:t>
      </w:r>
      <w:r w:rsidR="005C5AD9" w:rsidRPr="00A52C0B">
        <w:rPr>
          <w:lang w:val="fr-CA"/>
        </w:rPr>
        <w:t> </w:t>
      </w:r>
      <w:r w:rsidR="00A130FE" w:rsidRPr="00A52C0B">
        <w:rPr>
          <w:lang w:val="fr-CA"/>
        </w:rPr>
        <w:t>appareils de réfrigération à usage domestique, climatiseurs mobiles et multiplication des systèmes de réfrigération à usage commercial), ainsi que des mesures de conformité de la production et de la consommation de HFC en tonnes d’équivalent</w:t>
      </w:r>
      <w:r w:rsidR="005C5AD9" w:rsidRPr="00A52C0B">
        <w:rPr>
          <w:lang w:val="fr-CA"/>
        </w:rPr>
        <w:t> </w:t>
      </w:r>
      <w:r w:rsidR="00A130FE" w:rsidRPr="00A52C0B">
        <w:rPr>
          <w:lang w:val="fr-CA"/>
        </w:rPr>
        <w:t>CO</w:t>
      </w:r>
      <w:r w:rsidR="00A130FE" w:rsidRPr="00A52C0B">
        <w:rPr>
          <w:vertAlign w:val="subscript"/>
          <w:lang w:val="fr-CA"/>
        </w:rPr>
        <w:t>2</w:t>
      </w:r>
      <w:r w:rsidR="00A130FE" w:rsidRPr="00A52C0B">
        <w:rPr>
          <w:lang w:val="fr-CA"/>
        </w:rPr>
        <w:t xml:space="preserve">; </w:t>
      </w:r>
      <w:r w:rsidR="005A5A1E" w:rsidRPr="00A52C0B">
        <w:rPr>
          <w:lang w:val="fr-CA"/>
        </w:rPr>
        <w:t xml:space="preserve"> </w:t>
      </w:r>
    </w:p>
    <w:p w14:paraId="32E55C7D" w14:textId="05C7DD3C" w:rsidR="005A5A1E" w:rsidRPr="00A52C0B" w:rsidRDefault="00A130FE" w:rsidP="005A5A1E">
      <w:pPr>
        <w:pStyle w:val="Heading2"/>
        <w:rPr>
          <w:lang w:val="fr-CA"/>
        </w:rPr>
      </w:pPr>
      <w:r w:rsidRPr="00A52C0B">
        <w:rPr>
          <w:lang w:val="fr-CA"/>
        </w:rPr>
        <w:t>Pass</w:t>
      </w:r>
      <w:r w:rsidR="005C5AD9" w:rsidRPr="00A52C0B">
        <w:rPr>
          <w:lang w:val="fr-CA"/>
        </w:rPr>
        <w:t>ant</w:t>
      </w:r>
      <w:r w:rsidRPr="00A52C0B">
        <w:rPr>
          <w:lang w:val="fr-CA"/>
        </w:rPr>
        <w:t xml:space="preserve"> en revue et actualisa</w:t>
      </w:r>
      <w:r w:rsidR="005C5AD9" w:rsidRPr="00A52C0B">
        <w:rPr>
          <w:lang w:val="fr-CA"/>
        </w:rPr>
        <w:t xml:space="preserve">nt </w:t>
      </w:r>
      <w:r w:rsidRPr="00A52C0B">
        <w:rPr>
          <w:lang w:val="fr-CA"/>
        </w:rPr>
        <w:t xml:space="preserve">périodiquement le contenu des programmes de formation à l’intention des agents des douanes et d’exécution de la loi, conformément aux obligations liées au Protocole de Montréal, </w:t>
      </w:r>
      <w:r w:rsidR="005C5AD9" w:rsidRPr="00A52C0B">
        <w:rPr>
          <w:lang w:val="fr-CA"/>
        </w:rPr>
        <w:t xml:space="preserve">dont </w:t>
      </w:r>
      <w:r w:rsidRPr="00A52C0B">
        <w:rPr>
          <w:lang w:val="fr-CA"/>
        </w:rPr>
        <w:t>l’Amendement de Kigali;</w:t>
      </w:r>
      <w:r w:rsidR="005A5A1E" w:rsidRPr="00A52C0B">
        <w:rPr>
          <w:lang w:val="fr-CA"/>
        </w:rPr>
        <w:t xml:space="preserve"> </w:t>
      </w:r>
    </w:p>
    <w:p w14:paraId="241A0765" w14:textId="2FB8DDB1" w:rsidR="005A5A1E" w:rsidRPr="00A52C0B" w:rsidRDefault="00A130FE" w:rsidP="005A5A1E">
      <w:pPr>
        <w:pStyle w:val="Heading2"/>
        <w:rPr>
          <w:lang w:val="fr-CA"/>
        </w:rPr>
      </w:pPr>
      <w:r w:rsidRPr="00A52C0B">
        <w:rPr>
          <w:lang w:val="fr-CA"/>
        </w:rPr>
        <w:t>Renforçant les capacités des systèmes de formation professionnelle et des organes de certification par la révision périodique du conten</w:t>
      </w:r>
      <w:r w:rsidR="005C5AD9" w:rsidRPr="00A52C0B">
        <w:rPr>
          <w:lang w:val="fr-CA"/>
        </w:rPr>
        <w:t>u</w:t>
      </w:r>
      <w:r w:rsidRPr="00A52C0B">
        <w:rPr>
          <w:lang w:val="fr-CA"/>
        </w:rPr>
        <w:t xml:space="preserve"> des programmes de formation, en vue d’assurer des pratiques exemplaires d’entretien et de régler les problèmes de sécurité en lien avec la gestion des frigorigènes inflammables et/ou toxiques, compte tenu du nombre croissant d’appareils de réfrigération et de climatisation utilisant des technologies de pointe et divers frigorigènes ayant des caractéristiques opérationnelles différentes en ce qui a trait à la pression, l’inflammabilité et la toxicité;</w:t>
      </w:r>
      <w:r w:rsidR="005A5A1E" w:rsidRPr="00A52C0B">
        <w:rPr>
          <w:lang w:val="fr-CA"/>
        </w:rPr>
        <w:t xml:space="preserve"> </w:t>
      </w:r>
      <w:r w:rsidR="001C66A9" w:rsidRPr="00A52C0B">
        <w:rPr>
          <w:lang w:val="fr-CA"/>
        </w:rPr>
        <w:t>et renforcement des associations de réfrigération et de climatisation</w:t>
      </w:r>
      <w:r w:rsidR="005A5A1E" w:rsidRPr="00A52C0B">
        <w:rPr>
          <w:lang w:val="fr-CA"/>
        </w:rPr>
        <w:t xml:space="preserve">, </w:t>
      </w:r>
      <w:r w:rsidR="008A1FD9">
        <w:rPr>
          <w:lang w:val="fr-CA"/>
        </w:rPr>
        <w:t xml:space="preserve">en assurant leur </w:t>
      </w:r>
      <w:r w:rsidR="005A5A1E" w:rsidRPr="00A52C0B">
        <w:rPr>
          <w:lang w:val="fr-CA"/>
        </w:rPr>
        <w:t xml:space="preserve">engagement </w:t>
      </w:r>
      <w:r w:rsidR="008A1FD9">
        <w:rPr>
          <w:lang w:val="fr-CA"/>
        </w:rPr>
        <w:t>envers la mise en œuvre des activités menées dans le secteur de l’entretien</w:t>
      </w:r>
      <w:r w:rsidR="005A5A1E" w:rsidRPr="00A52C0B">
        <w:rPr>
          <w:lang w:val="fr-CA"/>
        </w:rPr>
        <w:t xml:space="preserve">; </w:t>
      </w:r>
    </w:p>
    <w:p w14:paraId="159A7B52" w14:textId="24BB351A" w:rsidR="005A5A1E" w:rsidRPr="00A52C0B" w:rsidRDefault="0025053E" w:rsidP="005A5A1E">
      <w:pPr>
        <w:pStyle w:val="Heading2"/>
        <w:widowControl/>
        <w:rPr>
          <w:lang w:val="fr-CA"/>
        </w:rPr>
      </w:pPr>
      <w:r w:rsidRPr="00A52C0B">
        <w:rPr>
          <w:lang w:val="fr-CA"/>
        </w:rPr>
        <w:t xml:space="preserve">Élaborant ou renforçant les stratégies de confinement </w:t>
      </w:r>
      <w:r w:rsidR="008A1FD9">
        <w:rPr>
          <w:lang w:val="fr-CA"/>
        </w:rPr>
        <w:t xml:space="preserve">de frigorigène </w:t>
      </w:r>
      <w:r w:rsidRPr="00A52C0B">
        <w:rPr>
          <w:lang w:val="fr-CA"/>
        </w:rPr>
        <w:t xml:space="preserve">autonome afin de veiller à ce que l’équipement de réfrigération installé continue de fonctionner jusqu’à la fin de sa vie utile; </w:t>
      </w:r>
      <w:r w:rsidR="001C66A9" w:rsidRPr="00A52C0B">
        <w:rPr>
          <w:lang w:val="fr-CA"/>
        </w:rPr>
        <w:t>évalua</w:t>
      </w:r>
      <w:r w:rsidR="00AD3691" w:rsidRPr="00A52C0B">
        <w:rPr>
          <w:lang w:val="fr-CA"/>
        </w:rPr>
        <w:t>nt</w:t>
      </w:r>
      <w:r w:rsidR="001C66A9" w:rsidRPr="00A52C0B">
        <w:rPr>
          <w:lang w:val="fr-CA"/>
        </w:rPr>
        <w:t xml:space="preserve"> et commença</w:t>
      </w:r>
      <w:r w:rsidR="00AD3691" w:rsidRPr="00A52C0B">
        <w:rPr>
          <w:lang w:val="fr-CA"/>
        </w:rPr>
        <w:t>nt</w:t>
      </w:r>
      <w:r w:rsidR="001C66A9" w:rsidRPr="00A52C0B">
        <w:rPr>
          <w:lang w:val="fr-CA"/>
        </w:rPr>
        <w:t xml:space="preserve"> à adapter l’infrastructure existante pour la récupération, le recyclage et la régénération des frigorigènes de manière à pouvoir utiliser </w:t>
      </w:r>
      <w:r w:rsidR="001C66A9" w:rsidRPr="00A52C0B">
        <w:rPr>
          <w:lang w:val="fr-CA"/>
        </w:rPr>
        <w:lastRenderedPageBreak/>
        <w:t>une gamme élargie de systèmes de réfrigération et de climatisation, de frigorigènes et de mélanges;</w:t>
      </w:r>
      <w:r w:rsidR="005A5A1E" w:rsidRPr="00A52C0B">
        <w:rPr>
          <w:lang w:val="fr-CA"/>
        </w:rPr>
        <w:t xml:space="preserve"> </w:t>
      </w:r>
    </w:p>
    <w:p w14:paraId="6279B328" w14:textId="5B392F86" w:rsidR="005A5A1E" w:rsidRPr="00A52C0B" w:rsidRDefault="001C66A9" w:rsidP="005A5A1E">
      <w:pPr>
        <w:pStyle w:val="Heading2"/>
        <w:rPr>
          <w:lang w:val="fr-CA"/>
        </w:rPr>
      </w:pPr>
      <w:r w:rsidRPr="00A52C0B">
        <w:rPr>
          <w:lang w:val="fr-CA"/>
        </w:rPr>
        <w:t>Renfor</w:t>
      </w:r>
      <w:r w:rsidR="008A1FD9">
        <w:rPr>
          <w:lang w:val="fr-CA"/>
        </w:rPr>
        <w:t>çant</w:t>
      </w:r>
      <w:r w:rsidRPr="00A52C0B">
        <w:rPr>
          <w:lang w:val="fr-CA"/>
        </w:rPr>
        <w:t xml:space="preserve"> </w:t>
      </w:r>
      <w:r w:rsidR="008A1FD9">
        <w:rPr>
          <w:lang w:val="fr-CA"/>
        </w:rPr>
        <w:t>le</w:t>
      </w:r>
      <w:r w:rsidRPr="00A52C0B">
        <w:rPr>
          <w:lang w:val="fr-CA"/>
        </w:rPr>
        <w:t xml:space="preserve"> soutien technique au sous</w:t>
      </w:r>
      <w:r w:rsidR="00471A2B" w:rsidRPr="00A52C0B">
        <w:rPr>
          <w:lang w:val="fr-CA"/>
        </w:rPr>
        <w:noBreakHyphen/>
      </w:r>
      <w:r w:rsidR="00D50A20" w:rsidRPr="00A52C0B">
        <w:rPr>
          <w:lang w:val="fr-CA"/>
        </w:rPr>
        <w:t>secteur</w:t>
      </w:r>
      <w:r w:rsidRPr="00A52C0B">
        <w:rPr>
          <w:lang w:val="fr-CA"/>
        </w:rPr>
        <w:t xml:space="preserve"> de l’assemblage, de l’installation et de la charge initiale des frigorigènes, car cela pourrait influer sur l’introduction de technologies dans les marchés locaux; </w:t>
      </w:r>
    </w:p>
    <w:p w14:paraId="71DAF279" w14:textId="3BE103B1" w:rsidR="005A5A1E" w:rsidRPr="00A52C0B" w:rsidRDefault="001C66A9" w:rsidP="005A5A1E">
      <w:pPr>
        <w:pStyle w:val="Heading2"/>
        <w:rPr>
          <w:lang w:val="fr-CA"/>
        </w:rPr>
      </w:pPr>
      <w:r w:rsidRPr="00A52C0B">
        <w:rPr>
          <w:lang w:val="fr-CA"/>
        </w:rPr>
        <w:t>Combinant le financement pour l’élimination des HCFC et la réduction progressive des HFC, afin de mener des activités complètes à long terme qui auront un plus fort impact; réduisant le nombre de tranches de financement exécuté</w:t>
      </w:r>
      <w:r w:rsidR="00AD3691" w:rsidRPr="00A52C0B">
        <w:rPr>
          <w:lang w:val="fr-CA"/>
        </w:rPr>
        <w:t>es</w:t>
      </w:r>
      <w:r w:rsidRPr="00A52C0B">
        <w:rPr>
          <w:lang w:val="fr-CA"/>
        </w:rPr>
        <w:t xml:space="preserve"> simultanément, de manière à diminuer les coûts de transaction </w:t>
      </w:r>
      <w:r w:rsidR="008A1FD9">
        <w:rPr>
          <w:lang w:val="fr-CA"/>
        </w:rPr>
        <w:t xml:space="preserve">pour la remise de rapports </w:t>
      </w:r>
      <w:r w:rsidRPr="00A52C0B">
        <w:rPr>
          <w:lang w:val="fr-CA"/>
        </w:rPr>
        <w:t>et les vérifications;</w:t>
      </w:r>
    </w:p>
    <w:p w14:paraId="77951034" w14:textId="4257793D" w:rsidR="005A5A1E" w:rsidRPr="00A52C0B" w:rsidRDefault="001C66A9" w:rsidP="005A5A1E">
      <w:pPr>
        <w:pStyle w:val="Heading1"/>
        <w:numPr>
          <w:ilvl w:val="0"/>
          <w:numId w:val="2"/>
        </w:numPr>
        <w:rPr>
          <w:lang w:val="fr-CA"/>
        </w:rPr>
      </w:pPr>
      <w:r w:rsidRPr="00A52C0B">
        <w:rPr>
          <w:lang w:val="fr-CA"/>
        </w:rPr>
        <w:t>Les autres activités menées dans le secteur de l’entretien de l’équipement de réfrigération varieront selon les priorités établies par chaque pays visé à l’article</w:t>
      </w:r>
      <w:r w:rsidR="00D50A20" w:rsidRPr="00A52C0B">
        <w:rPr>
          <w:lang w:val="fr-CA"/>
        </w:rPr>
        <w:t> </w:t>
      </w:r>
      <w:r w:rsidRPr="00A52C0B">
        <w:rPr>
          <w:lang w:val="fr-CA"/>
        </w:rPr>
        <w:t>5. L’annexe</w:t>
      </w:r>
      <w:r w:rsidR="00AD3691" w:rsidRPr="00A52C0B">
        <w:rPr>
          <w:lang w:val="fr-CA"/>
        </w:rPr>
        <w:t> </w:t>
      </w:r>
      <w:r w:rsidRPr="00A52C0B">
        <w:rPr>
          <w:lang w:val="fr-CA"/>
        </w:rPr>
        <w:t>I présent</w:t>
      </w:r>
      <w:r w:rsidR="00D50A20" w:rsidRPr="00A52C0B">
        <w:rPr>
          <w:lang w:val="fr-CA"/>
        </w:rPr>
        <w:t>e</w:t>
      </w:r>
      <w:r w:rsidRPr="00A52C0B">
        <w:rPr>
          <w:lang w:val="fr-CA"/>
        </w:rPr>
        <w:t xml:space="preserve"> un aperçu des modalités potentielles </w:t>
      </w:r>
      <w:r w:rsidR="00093BF2" w:rsidRPr="00A52C0B">
        <w:rPr>
          <w:lang w:val="fr-CA"/>
        </w:rPr>
        <w:t>pour l’intégration des activités d’élimination des HCFC et de réduction progressive de</w:t>
      </w:r>
      <w:r w:rsidR="008A1FD9">
        <w:rPr>
          <w:lang w:val="fr-CA"/>
        </w:rPr>
        <w:t>s</w:t>
      </w:r>
      <w:r w:rsidR="00093BF2" w:rsidRPr="00A52C0B">
        <w:rPr>
          <w:lang w:val="fr-CA"/>
        </w:rPr>
        <w:t xml:space="preserve"> HFC dans le secteur.</w:t>
      </w:r>
    </w:p>
    <w:p w14:paraId="2C9B8BA9" w14:textId="2E98D34C" w:rsidR="005A5A1E" w:rsidRPr="00A52C0B" w:rsidRDefault="00093BF2" w:rsidP="005A5A1E">
      <w:pPr>
        <w:rPr>
          <w:u w:val="single"/>
          <w:lang w:val="fr-CA"/>
        </w:rPr>
      </w:pPr>
      <w:r w:rsidRPr="00A52C0B">
        <w:rPr>
          <w:u w:val="single"/>
          <w:lang w:val="fr-CA"/>
        </w:rPr>
        <w:t xml:space="preserve">Autres discussions en cours relativement au secteur de l’entretien de l’équipement de réfrigération </w:t>
      </w:r>
    </w:p>
    <w:p w14:paraId="6649941B" w14:textId="77777777" w:rsidR="005A5A1E" w:rsidRPr="00A52C0B" w:rsidRDefault="005A5A1E" w:rsidP="005A5A1E">
      <w:pPr>
        <w:rPr>
          <w:lang w:val="fr-CA"/>
        </w:rPr>
      </w:pPr>
    </w:p>
    <w:p w14:paraId="7C2ED118" w14:textId="07F2CFAF" w:rsidR="005A5A1E" w:rsidRPr="00A52C0B" w:rsidRDefault="00093BF2" w:rsidP="005A5A1E">
      <w:pPr>
        <w:pStyle w:val="Heading1"/>
        <w:rPr>
          <w:lang w:val="fr-CA"/>
        </w:rPr>
      </w:pPr>
      <w:r w:rsidRPr="00A52C0B">
        <w:rPr>
          <w:lang w:val="fr-CA"/>
        </w:rPr>
        <w:t>En adoptant l’Amendement de Kigali, les Parties ont demandé au Comité exécutif d’augmenter le financement disponible pour le secteur de l’entretien au titre de sa décision</w:t>
      </w:r>
      <w:r w:rsidR="00D50A20" w:rsidRPr="00A52C0B">
        <w:rPr>
          <w:lang w:val="fr-CA"/>
        </w:rPr>
        <w:t> </w:t>
      </w:r>
      <w:r w:rsidRPr="00A52C0B">
        <w:rPr>
          <w:lang w:val="fr-CA"/>
        </w:rPr>
        <w:t xml:space="preserve">74/50 en faveur des </w:t>
      </w:r>
      <w:r w:rsidR="009260EE" w:rsidRPr="00A52C0B">
        <w:rPr>
          <w:lang w:val="fr-CA"/>
        </w:rPr>
        <w:t>pays FVC</w:t>
      </w:r>
      <w:r w:rsidRPr="00A52C0B">
        <w:rPr>
          <w:lang w:val="fr-CA"/>
        </w:rPr>
        <w:t xml:space="preserve"> si nécessaire pour introduire des produits de remplacement des HCFC à faible</w:t>
      </w:r>
      <w:r w:rsidR="00462D22" w:rsidRPr="00A52C0B">
        <w:rPr>
          <w:lang w:val="fr-CA"/>
        </w:rPr>
        <w:t> </w:t>
      </w:r>
      <w:r w:rsidRPr="00A52C0B">
        <w:rPr>
          <w:lang w:val="fr-CA"/>
        </w:rPr>
        <w:t>PRG et des produits de remplacement des HFC à PRG</w:t>
      </w:r>
      <w:r w:rsidR="00462D22" w:rsidRPr="00A52C0B">
        <w:rPr>
          <w:lang w:val="fr-CA"/>
        </w:rPr>
        <w:t> nul</w:t>
      </w:r>
      <w:r w:rsidRPr="00A52C0B">
        <w:rPr>
          <w:lang w:val="fr-CA"/>
        </w:rPr>
        <w:t>, tout en maintenant l’efficacité énergétique dans le secteur de l’entretien et des services aux utilisateurs (paragraphe</w:t>
      </w:r>
      <w:r w:rsidR="00D50A20" w:rsidRPr="00A52C0B">
        <w:rPr>
          <w:lang w:val="fr-CA"/>
        </w:rPr>
        <w:t> </w:t>
      </w:r>
      <w:r w:rsidRPr="00A52C0B">
        <w:rPr>
          <w:lang w:val="fr-CA"/>
        </w:rPr>
        <w:t>16 de la décision</w:t>
      </w:r>
      <w:r w:rsidR="00D50A20" w:rsidRPr="00A52C0B">
        <w:rPr>
          <w:lang w:val="fr-CA"/>
        </w:rPr>
        <w:t> </w:t>
      </w:r>
      <w:r w:rsidRPr="00A52C0B">
        <w:rPr>
          <w:lang w:val="fr-CA"/>
        </w:rPr>
        <w:t xml:space="preserve">XXVIII/2). Lors des </w:t>
      </w:r>
      <w:r w:rsidR="00462D22" w:rsidRPr="00A52C0B">
        <w:rPr>
          <w:lang w:val="fr-CA"/>
        </w:rPr>
        <w:t>82</w:t>
      </w:r>
      <w:r w:rsidR="00462D22" w:rsidRPr="00A52C0B">
        <w:rPr>
          <w:vertAlign w:val="superscript"/>
          <w:lang w:val="fr-CA"/>
        </w:rPr>
        <w:t>e</w:t>
      </w:r>
      <w:r w:rsidR="00462D22" w:rsidRPr="00A52C0B">
        <w:rPr>
          <w:lang w:val="fr-CA"/>
        </w:rPr>
        <w:t xml:space="preserve"> et 84</w:t>
      </w:r>
      <w:r w:rsidR="00462D22" w:rsidRPr="00A52C0B">
        <w:rPr>
          <w:vertAlign w:val="superscript"/>
          <w:lang w:val="fr-CA"/>
        </w:rPr>
        <w:t>e</w:t>
      </w:r>
      <w:r w:rsidR="00462D22" w:rsidRPr="00A52C0B">
        <w:rPr>
          <w:lang w:val="fr-CA"/>
        </w:rPr>
        <w:t> </w:t>
      </w:r>
      <w:r w:rsidRPr="00A52C0B">
        <w:rPr>
          <w:lang w:val="fr-CA"/>
        </w:rPr>
        <w:t>réunions, le Comité exécutif</w:t>
      </w:r>
      <w:r w:rsidR="00462D22" w:rsidRPr="00A52C0B">
        <w:rPr>
          <w:lang w:val="fr-CA"/>
        </w:rPr>
        <w:t xml:space="preserve"> a</w:t>
      </w:r>
      <w:r w:rsidRPr="00A52C0B">
        <w:rPr>
          <w:lang w:val="fr-CA"/>
        </w:rPr>
        <w:t xml:space="preserve"> tenu des discussions à ce sujet, comme cela est décrit dans le </w:t>
      </w:r>
      <w:r w:rsidR="00462D22" w:rsidRPr="00A52C0B">
        <w:rPr>
          <w:lang w:val="fr-CA"/>
        </w:rPr>
        <w:t>document </w:t>
      </w:r>
      <w:r w:rsidR="005A5A1E" w:rsidRPr="00A52C0B">
        <w:rPr>
          <w:lang w:val="fr-CA"/>
        </w:rPr>
        <w:t>UNEP/OzL.Pro/ExCom/86/92</w:t>
      </w:r>
      <w:r w:rsidR="00CB19F3">
        <w:rPr>
          <w:rStyle w:val="FootnoteReference"/>
          <w:lang w:val="fr-CA"/>
        </w:rPr>
        <w:footnoteReference w:id="19"/>
      </w:r>
      <w:r w:rsidR="005A5A1E" w:rsidRPr="00A52C0B">
        <w:rPr>
          <w:lang w:val="fr-CA"/>
        </w:rPr>
        <w:t xml:space="preserve"> </w:t>
      </w:r>
      <w:r w:rsidRPr="00A52C0B">
        <w:rPr>
          <w:lang w:val="fr-CA"/>
        </w:rPr>
        <w:t>soumis à la 86</w:t>
      </w:r>
      <w:r w:rsidRPr="00A52C0B">
        <w:rPr>
          <w:vertAlign w:val="superscript"/>
          <w:lang w:val="fr-CA"/>
        </w:rPr>
        <w:t>e</w:t>
      </w:r>
      <w:r w:rsidR="00462D22" w:rsidRPr="00A52C0B">
        <w:rPr>
          <w:lang w:val="fr-CA"/>
        </w:rPr>
        <w:t> </w:t>
      </w:r>
      <w:r w:rsidRPr="00A52C0B">
        <w:rPr>
          <w:lang w:val="fr-CA"/>
        </w:rPr>
        <w:t xml:space="preserve">réunion. Dans ce document, le Secrétariat a invité le Comité exécutif, s’il le souhaite, à étudier l’information et l’analyse figurant dans le présent document, tout en finalisant </w:t>
      </w:r>
      <w:r w:rsidR="00462D22" w:rsidRPr="00A52C0B">
        <w:rPr>
          <w:lang w:val="fr-CA"/>
        </w:rPr>
        <w:t>s</w:t>
      </w:r>
      <w:r w:rsidRPr="00A52C0B">
        <w:rPr>
          <w:lang w:val="fr-CA"/>
        </w:rPr>
        <w:t>es discussions sur les moyens d’opérationnaliser le paragraphe</w:t>
      </w:r>
      <w:r w:rsidR="00D50A20" w:rsidRPr="00A52C0B">
        <w:rPr>
          <w:lang w:val="fr-CA"/>
        </w:rPr>
        <w:t> </w:t>
      </w:r>
      <w:r w:rsidRPr="00A52C0B">
        <w:rPr>
          <w:lang w:val="fr-CA"/>
        </w:rPr>
        <w:t>16 de la décision</w:t>
      </w:r>
      <w:r w:rsidR="00D50A20" w:rsidRPr="00A52C0B">
        <w:rPr>
          <w:lang w:val="fr-CA"/>
        </w:rPr>
        <w:t> </w:t>
      </w:r>
      <w:r w:rsidRPr="00A52C0B">
        <w:rPr>
          <w:lang w:val="fr-CA"/>
        </w:rPr>
        <w:t>XXVIII/2, et le paragraphe</w:t>
      </w:r>
      <w:r w:rsidR="00D50A20" w:rsidRPr="00A52C0B">
        <w:rPr>
          <w:lang w:val="fr-CA"/>
        </w:rPr>
        <w:t> </w:t>
      </w:r>
      <w:r w:rsidRPr="00A52C0B">
        <w:rPr>
          <w:lang w:val="fr-CA"/>
        </w:rPr>
        <w:t>2 de la décision</w:t>
      </w:r>
      <w:r w:rsidR="00D50A20" w:rsidRPr="00A52C0B">
        <w:rPr>
          <w:lang w:val="fr-CA"/>
        </w:rPr>
        <w:t> </w:t>
      </w:r>
      <w:r w:rsidRPr="00A52C0B">
        <w:rPr>
          <w:lang w:val="fr-CA"/>
        </w:rPr>
        <w:t xml:space="preserve">XXX/5, vu le lien étroit existant entre les deux documents. </w:t>
      </w:r>
    </w:p>
    <w:p w14:paraId="2B187810" w14:textId="004CC896" w:rsidR="005A5A1E" w:rsidRPr="00A52C0B" w:rsidRDefault="00A37E3C" w:rsidP="005A5A1E">
      <w:pPr>
        <w:pStyle w:val="Heading1"/>
        <w:rPr>
          <w:lang w:val="fr-CA"/>
        </w:rPr>
      </w:pPr>
      <w:r w:rsidRPr="00A52C0B">
        <w:rPr>
          <w:lang w:val="fr-CA"/>
        </w:rPr>
        <w:t>À cet égard, le Secrétariat note que dans le cas où un financement supplémentaire sera</w:t>
      </w:r>
      <w:r w:rsidR="005939DC" w:rsidRPr="00A52C0B">
        <w:rPr>
          <w:lang w:val="fr-CA"/>
        </w:rPr>
        <w:t>it</w:t>
      </w:r>
      <w:r w:rsidRPr="00A52C0B">
        <w:rPr>
          <w:lang w:val="fr-CA"/>
        </w:rPr>
        <w:t xml:space="preserve"> procuré au titre des PGEH, les activités relatives au maintien de l’efficacité énergétique dans le secteur de l’entretien et des services aux utilisateurs ne seraient applicables que pour l’équipement à base de HCFC. Mais si d’autres fon</w:t>
      </w:r>
      <w:r w:rsidR="005939DC" w:rsidRPr="00A52C0B">
        <w:rPr>
          <w:lang w:val="fr-CA"/>
        </w:rPr>
        <w:t xml:space="preserve">ds </w:t>
      </w:r>
      <w:r w:rsidRPr="00A52C0B">
        <w:rPr>
          <w:lang w:val="fr-CA"/>
        </w:rPr>
        <w:t>seraient octroyés suite à une approche intégrée pour l’élimination des HCFC et la réduction progressive des HFC, ils seraient applicables à tout l’équipement de réfrigération et de climatisation en service (c.</w:t>
      </w:r>
      <w:r w:rsidR="00471A2B" w:rsidRPr="00A52C0B">
        <w:rPr>
          <w:lang w:val="fr-CA"/>
        </w:rPr>
        <w:noBreakHyphen/>
      </w:r>
      <w:r w:rsidRPr="00A52C0B">
        <w:rPr>
          <w:lang w:val="fr-CA"/>
        </w:rPr>
        <w:t>à</w:t>
      </w:r>
      <w:r w:rsidR="00471A2B" w:rsidRPr="00A52C0B">
        <w:rPr>
          <w:lang w:val="fr-CA"/>
        </w:rPr>
        <w:noBreakHyphen/>
      </w:r>
      <w:r w:rsidRPr="00A52C0B">
        <w:rPr>
          <w:lang w:val="fr-CA"/>
        </w:rPr>
        <w:t>d.,</w:t>
      </w:r>
      <w:r w:rsidR="00B9272C" w:rsidRPr="00A52C0B">
        <w:rPr>
          <w:lang w:val="fr-CA"/>
        </w:rPr>
        <w:t> </w:t>
      </w:r>
      <w:r w:rsidRPr="00A52C0B">
        <w:rPr>
          <w:lang w:val="fr-CA"/>
        </w:rPr>
        <w:t>frigorigène</w:t>
      </w:r>
      <w:r w:rsidR="00B9272C" w:rsidRPr="00A52C0B">
        <w:rPr>
          <w:lang w:val="fr-CA"/>
        </w:rPr>
        <w:t>s</w:t>
      </w:r>
      <w:r w:rsidRPr="00A52C0B">
        <w:rPr>
          <w:lang w:val="fr-CA"/>
        </w:rPr>
        <w:t xml:space="preserve"> à base de HCFC et de HFC). </w:t>
      </w:r>
    </w:p>
    <w:p w14:paraId="64C2B87B" w14:textId="048F96FF" w:rsidR="005A5A1E" w:rsidRPr="00A52C0B" w:rsidRDefault="00A37E3C" w:rsidP="005A5A1E">
      <w:pPr>
        <w:pStyle w:val="Heading1"/>
        <w:rPr>
          <w:lang w:val="fr-CA"/>
        </w:rPr>
      </w:pPr>
      <w:r w:rsidRPr="00A52C0B">
        <w:rPr>
          <w:lang w:val="fr-CA"/>
        </w:rPr>
        <w:t>Par ailleurs, en adoptant l’Amendement de Kigali, les Parties ont demandé au Comité exécutif d’envisager de financer la gestion des stocks de substances réglementées us</w:t>
      </w:r>
      <w:r w:rsidR="00B9272C" w:rsidRPr="00A52C0B">
        <w:rPr>
          <w:lang w:val="fr-CA"/>
        </w:rPr>
        <w:t>ées</w:t>
      </w:r>
      <w:r w:rsidRPr="00A52C0B">
        <w:rPr>
          <w:lang w:val="fr-CA"/>
        </w:rPr>
        <w:t xml:space="preserve"> ou indésirables, y</w:t>
      </w:r>
      <w:r w:rsidR="00B9272C" w:rsidRPr="00A52C0B">
        <w:rPr>
          <w:lang w:val="fr-CA"/>
        </w:rPr>
        <w:t> </w:t>
      </w:r>
      <w:r w:rsidRPr="00A52C0B">
        <w:rPr>
          <w:lang w:val="fr-CA"/>
        </w:rPr>
        <w:t>compris leur destruction, par des méthodes d’un bon rapport coût</w:t>
      </w:r>
      <w:r w:rsidR="00471A2B" w:rsidRPr="00A52C0B">
        <w:rPr>
          <w:lang w:val="fr-CA"/>
        </w:rPr>
        <w:noBreakHyphen/>
      </w:r>
      <w:r w:rsidRPr="00A52C0B">
        <w:rPr>
          <w:lang w:val="fr-CA"/>
        </w:rPr>
        <w:t>efficacité (paragraphe</w:t>
      </w:r>
      <w:r w:rsidR="009A0433" w:rsidRPr="00A52C0B">
        <w:rPr>
          <w:lang w:val="fr-CA"/>
        </w:rPr>
        <w:t> </w:t>
      </w:r>
      <w:r w:rsidRPr="00A52C0B">
        <w:rPr>
          <w:lang w:val="fr-CA"/>
        </w:rPr>
        <w:t>24 de la décision</w:t>
      </w:r>
      <w:r w:rsidR="009A0433" w:rsidRPr="00A52C0B">
        <w:rPr>
          <w:lang w:val="fr-CA"/>
        </w:rPr>
        <w:t> </w:t>
      </w:r>
      <w:r w:rsidRPr="00A52C0B">
        <w:rPr>
          <w:lang w:val="fr-CA"/>
        </w:rPr>
        <w:t>XXVIII/2)</w:t>
      </w:r>
      <w:r w:rsidR="005A5A1E" w:rsidRPr="00A52C0B">
        <w:rPr>
          <w:vertAlign w:val="superscript"/>
          <w:lang w:val="fr-CA"/>
        </w:rPr>
        <w:footnoteReference w:id="20"/>
      </w:r>
      <w:r w:rsidR="00B9272C" w:rsidRPr="00A52C0B">
        <w:rPr>
          <w:lang w:val="fr-CA"/>
        </w:rPr>
        <w:t>.</w:t>
      </w:r>
      <w:r w:rsidR="005A5A1E" w:rsidRPr="00A52C0B">
        <w:rPr>
          <w:lang w:val="fr-CA"/>
        </w:rPr>
        <w:t xml:space="preserve"> </w:t>
      </w:r>
      <w:r w:rsidR="003B7476" w:rsidRPr="00A52C0B">
        <w:rPr>
          <w:lang w:val="fr-CA"/>
        </w:rPr>
        <w:t>L</w:t>
      </w:r>
      <w:r w:rsidR="008B682A" w:rsidRPr="00A52C0B">
        <w:rPr>
          <w:lang w:val="fr-CA"/>
        </w:rPr>
        <w:t>e Comité à sa 84</w:t>
      </w:r>
      <w:r w:rsidR="008B682A" w:rsidRPr="00A52C0B">
        <w:rPr>
          <w:vertAlign w:val="superscript"/>
          <w:lang w:val="fr-CA"/>
        </w:rPr>
        <w:t>e</w:t>
      </w:r>
      <w:r w:rsidR="009A0433" w:rsidRPr="00A52C0B">
        <w:rPr>
          <w:lang w:val="fr-CA"/>
        </w:rPr>
        <w:t> </w:t>
      </w:r>
      <w:r w:rsidR="008B682A" w:rsidRPr="00A52C0B">
        <w:rPr>
          <w:lang w:val="fr-CA"/>
        </w:rPr>
        <w:t>réunion a prié le Secrétariat de préparer pour la 85</w:t>
      </w:r>
      <w:r w:rsidR="008B682A" w:rsidRPr="00A52C0B">
        <w:rPr>
          <w:vertAlign w:val="superscript"/>
          <w:lang w:val="fr-CA"/>
        </w:rPr>
        <w:t>e</w:t>
      </w:r>
      <w:r w:rsidR="009A0433" w:rsidRPr="00A52C0B">
        <w:rPr>
          <w:lang w:val="fr-CA"/>
        </w:rPr>
        <w:t> </w:t>
      </w:r>
      <w:r w:rsidR="008B682A" w:rsidRPr="00A52C0B">
        <w:rPr>
          <w:lang w:val="fr-CA"/>
        </w:rPr>
        <w:t>réunion un rapport de synthèse décrivant les pratiques exemplaires et les façons dont le Comité exécutif pourrait envisager d’opérationnaliser le paragraphe</w:t>
      </w:r>
      <w:r w:rsidR="009A0433" w:rsidRPr="00A52C0B">
        <w:rPr>
          <w:lang w:val="fr-CA"/>
        </w:rPr>
        <w:t> </w:t>
      </w:r>
      <w:r w:rsidR="008B682A" w:rsidRPr="00A52C0B">
        <w:rPr>
          <w:lang w:val="fr-CA"/>
        </w:rPr>
        <w:t>24 de la décision</w:t>
      </w:r>
      <w:r w:rsidR="009A0433" w:rsidRPr="00A52C0B">
        <w:rPr>
          <w:lang w:val="fr-CA"/>
        </w:rPr>
        <w:t> </w:t>
      </w:r>
      <w:r w:rsidR="008B682A" w:rsidRPr="00A52C0B">
        <w:rPr>
          <w:lang w:val="fr-CA"/>
        </w:rPr>
        <w:t xml:space="preserve">XXVIII/2, en tenant compte du rapport final sur l’évaluation des projets de démonstration </w:t>
      </w:r>
      <w:r w:rsidR="009F6770" w:rsidRPr="00A52C0B">
        <w:rPr>
          <w:lang w:val="fr-CA"/>
        </w:rPr>
        <w:t>pilote</w:t>
      </w:r>
      <w:r w:rsidR="008B682A" w:rsidRPr="00A52C0B">
        <w:rPr>
          <w:lang w:val="fr-CA"/>
        </w:rPr>
        <w:t xml:space="preserve"> concernant l’élimination et la destruction des</w:t>
      </w:r>
      <w:r w:rsidR="004B5820" w:rsidRPr="00A52C0B">
        <w:rPr>
          <w:lang w:val="fr-CA"/>
        </w:rPr>
        <w:t xml:space="preserve"> SAO</w:t>
      </w:r>
      <w:r w:rsidR="005A5A1E" w:rsidRPr="00A52C0B">
        <w:rPr>
          <w:vertAlign w:val="superscript"/>
          <w:lang w:val="fr-CA"/>
        </w:rPr>
        <w:footnoteReference w:id="21"/>
      </w:r>
      <w:r w:rsidR="005A5A1E" w:rsidRPr="00A52C0B">
        <w:rPr>
          <w:lang w:val="fr-CA"/>
        </w:rPr>
        <w:t xml:space="preserve"> </w:t>
      </w:r>
      <w:r w:rsidR="008B682A" w:rsidRPr="00A52C0B">
        <w:rPr>
          <w:lang w:val="fr-CA"/>
        </w:rPr>
        <w:t xml:space="preserve">et du rapport de synthèse sur les projets </w:t>
      </w:r>
      <w:r w:rsidR="009F6770" w:rsidRPr="00A52C0B">
        <w:rPr>
          <w:lang w:val="fr-CA"/>
        </w:rPr>
        <w:t>pilote</w:t>
      </w:r>
      <w:r w:rsidR="004B5820" w:rsidRPr="00A52C0B">
        <w:rPr>
          <w:lang w:val="fr-CA"/>
        </w:rPr>
        <w:t xml:space="preserve"> </w:t>
      </w:r>
      <w:r w:rsidR="008B682A" w:rsidRPr="00A52C0B">
        <w:rPr>
          <w:lang w:val="fr-CA"/>
        </w:rPr>
        <w:t>d’élimination des SAO</w:t>
      </w:r>
      <w:r w:rsidR="005A5A1E" w:rsidRPr="00A52C0B">
        <w:rPr>
          <w:vertAlign w:val="superscript"/>
          <w:lang w:val="fr-CA"/>
        </w:rPr>
        <w:footnoteReference w:id="22"/>
      </w:r>
      <w:r w:rsidR="004B5820" w:rsidRPr="00A52C0B">
        <w:rPr>
          <w:lang w:val="fr-CA"/>
        </w:rPr>
        <w:t>;</w:t>
      </w:r>
      <w:r w:rsidR="005A5A1E" w:rsidRPr="00A52C0B">
        <w:rPr>
          <w:lang w:val="fr-CA"/>
        </w:rPr>
        <w:t xml:space="preserve"> </w:t>
      </w:r>
      <w:r w:rsidR="008B682A" w:rsidRPr="00A52C0B">
        <w:rPr>
          <w:lang w:val="fr-CA"/>
        </w:rPr>
        <w:t>d’autres projets pertinents mis en</w:t>
      </w:r>
      <w:r w:rsidR="000F71A8">
        <w:rPr>
          <w:lang w:val="fr-CA"/>
        </w:rPr>
        <w:t xml:space="preserve"> œuvre dans le cadre des PGEH; d</w:t>
      </w:r>
      <w:r w:rsidR="008B682A" w:rsidRPr="00A52C0B">
        <w:rPr>
          <w:lang w:val="fr-CA"/>
        </w:rPr>
        <w:t xml:space="preserve">es enseignements tirés de l’infrastructure et des politiques actuelles qui </w:t>
      </w:r>
      <w:r w:rsidR="008B682A" w:rsidRPr="00A52C0B">
        <w:rPr>
          <w:lang w:val="fr-CA"/>
        </w:rPr>
        <w:lastRenderedPageBreak/>
        <w:t>pourraient servir à la gestion des stocks de substances réglementées us</w:t>
      </w:r>
      <w:r w:rsidR="004B5820" w:rsidRPr="00A52C0B">
        <w:rPr>
          <w:lang w:val="fr-CA"/>
        </w:rPr>
        <w:t>ées</w:t>
      </w:r>
      <w:r w:rsidR="008B682A" w:rsidRPr="00A52C0B">
        <w:rPr>
          <w:lang w:val="fr-CA"/>
        </w:rPr>
        <w:t xml:space="preserve"> ou indésirables par des méthodes d’un bon rapport coût</w:t>
      </w:r>
      <w:r w:rsidR="00471A2B" w:rsidRPr="00A52C0B">
        <w:rPr>
          <w:lang w:val="fr-CA"/>
        </w:rPr>
        <w:noBreakHyphen/>
      </w:r>
      <w:r w:rsidR="008B682A" w:rsidRPr="00A52C0B">
        <w:rPr>
          <w:lang w:val="fr-CA"/>
        </w:rPr>
        <w:t>efficacité et des possibilités de financement externe et des programmes et partenariats d’élimination existants (décision</w:t>
      </w:r>
      <w:r w:rsidR="004B5820" w:rsidRPr="00A52C0B">
        <w:rPr>
          <w:lang w:val="fr-CA"/>
        </w:rPr>
        <w:t> </w:t>
      </w:r>
      <w:r w:rsidR="008B682A" w:rsidRPr="00A52C0B">
        <w:rPr>
          <w:lang w:val="fr-CA"/>
        </w:rPr>
        <w:t>84/87</w:t>
      </w:r>
      <w:r w:rsidR="004B5820" w:rsidRPr="00A52C0B">
        <w:rPr>
          <w:lang w:val="fr-CA"/>
        </w:rPr>
        <w:t> </w:t>
      </w:r>
      <w:r w:rsidR="008B682A" w:rsidRPr="00A52C0B">
        <w:rPr>
          <w:lang w:val="fr-CA"/>
        </w:rPr>
        <w:t xml:space="preserve">b)). </w:t>
      </w:r>
    </w:p>
    <w:p w14:paraId="1D2C2924" w14:textId="391087BD" w:rsidR="005A5A1E" w:rsidRPr="00A52C0B" w:rsidRDefault="00D9633A" w:rsidP="005A5A1E">
      <w:pPr>
        <w:pStyle w:val="Heading1"/>
        <w:rPr>
          <w:lang w:val="fr-CA"/>
        </w:rPr>
      </w:pPr>
      <w:r w:rsidRPr="00A52C0B">
        <w:rPr>
          <w:lang w:val="fr-CA"/>
        </w:rPr>
        <w:t>En réponse à la décision</w:t>
      </w:r>
      <w:r w:rsidR="00BA3AD2" w:rsidRPr="00A52C0B">
        <w:rPr>
          <w:lang w:val="fr-CA"/>
        </w:rPr>
        <w:t> </w:t>
      </w:r>
      <w:r w:rsidRPr="00A52C0B">
        <w:rPr>
          <w:lang w:val="fr-CA"/>
        </w:rPr>
        <w:t>84/87</w:t>
      </w:r>
      <w:r w:rsidR="00BA3AD2" w:rsidRPr="00A52C0B">
        <w:rPr>
          <w:lang w:val="fr-CA"/>
        </w:rPr>
        <w:t> b</w:t>
      </w:r>
      <w:r w:rsidRPr="00A52C0B">
        <w:rPr>
          <w:lang w:val="fr-CA"/>
        </w:rPr>
        <w:t xml:space="preserve">), </w:t>
      </w:r>
      <w:r w:rsidR="000C1249" w:rsidRPr="00A52C0B">
        <w:rPr>
          <w:lang w:val="fr-CA"/>
        </w:rPr>
        <w:t>le document</w:t>
      </w:r>
      <w:r w:rsidR="00BA3AD2" w:rsidRPr="00A52C0B">
        <w:rPr>
          <w:lang w:val="fr-CA"/>
        </w:rPr>
        <w:t> </w:t>
      </w:r>
      <w:r w:rsidR="005A5A1E" w:rsidRPr="00A52C0B">
        <w:rPr>
          <w:lang w:val="fr-CA"/>
        </w:rPr>
        <w:t>UNEP/OzL.Pro/ExCom/86/90</w:t>
      </w:r>
      <w:r w:rsidR="00CB19F3">
        <w:rPr>
          <w:rStyle w:val="FootnoteReference"/>
          <w:lang w:val="fr-CA"/>
        </w:rPr>
        <w:footnoteReference w:id="23"/>
      </w:r>
      <w:r w:rsidR="005A5A1E" w:rsidRPr="00A52C0B">
        <w:rPr>
          <w:lang w:val="fr-CA"/>
        </w:rPr>
        <w:t xml:space="preserve"> </w:t>
      </w:r>
      <w:r w:rsidR="000C1249" w:rsidRPr="00A52C0B">
        <w:rPr>
          <w:lang w:val="fr-CA"/>
        </w:rPr>
        <w:t>a été soumis à la 86</w:t>
      </w:r>
      <w:r w:rsidR="000C1249" w:rsidRPr="00A52C0B">
        <w:rPr>
          <w:vertAlign w:val="superscript"/>
          <w:lang w:val="fr-CA"/>
        </w:rPr>
        <w:t>e</w:t>
      </w:r>
      <w:r w:rsidR="009A0433" w:rsidRPr="00A52C0B">
        <w:rPr>
          <w:lang w:val="fr-CA"/>
        </w:rPr>
        <w:t> </w:t>
      </w:r>
      <w:r w:rsidR="000C1249" w:rsidRPr="00A52C0B">
        <w:rPr>
          <w:lang w:val="fr-CA"/>
        </w:rPr>
        <w:t>réunion. Le document indique que la majorité des activités déjà mises en œuvre dans le secteur de l’entretien de l’équipement de réfrigération au titre des PGEH et des futurs plans de réduction progressive des HFC fournissent des occasions d’envisager l’adoption d’une approche intégrée pour la gestion durable des substances réglementées indésirables par des méthodes d’un bon rapport</w:t>
      </w:r>
      <w:r w:rsidR="003B7476" w:rsidRPr="00A52C0B">
        <w:rPr>
          <w:lang w:val="fr-CA"/>
        </w:rPr>
        <w:t xml:space="preserve"> </w:t>
      </w:r>
      <w:r w:rsidR="000C1249" w:rsidRPr="00A52C0B">
        <w:rPr>
          <w:lang w:val="fr-CA"/>
        </w:rPr>
        <w:t>coût</w:t>
      </w:r>
      <w:r w:rsidR="00471A2B" w:rsidRPr="00A52C0B">
        <w:rPr>
          <w:lang w:val="fr-CA"/>
        </w:rPr>
        <w:noBreakHyphen/>
      </w:r>
      <w:r w:rsidR="000C1249" w:rsidRPr="00A52C0B">
        <w:rPr>
          <w:lang w:val="fr-CA"/>
        </w:rPr>
        <w:t>efficacité, afin d’éviter les émissions dangereuses pour l’environnement. Inclure une stratégie pour la gestion écologique des déchets de SAO et d’autres substances réglementées,</w:t>
      </w:r>
      <w:r w:rsidR="00741131" w:rsidRPr="00A52C0B">
        <w:rPr>
          <w:lang w:val="fr-CA"/>
        </w:rPr>
        <w:t xml:space="preserve"> quand </w:t>
      </w:r>
      <w:r w:rsidR="000C1249" w:rsidRPr="00A52C0B">
        <w:rPr>
          <w:lang w:val="fr-CA"/>
        </w:rPr>
        <w:t>cela est économiquement faisable, permettra d</w:t>
      </w:r>
      <w:r w:rsidR="00741131" w:rsidRPr="00A52C0B">
        <w:rPr>
          <w:lang w:val="fr-CA"/>
        </w:rPr>
        <w:t>e s</w:t>
      </w:r>
      <w:r w:rsidR="000C1249" w:rsidRPr="00A52C0B">
        <w:rPr>
          <w:lang w:val="fr-CA"/>
        </w:rPr>
        <w:t>’assurer que tous les aspects de la gestion des frigorigènes sont pris en compte jusqu’à leur élimination complète.</w:t>
      </w:r>
      <w:r w:rsidR="005A5A1E" w:rsidRPr="00A52C0B">
        <w:rPr>
          <w:lang w:val="fr-CA"/>
        </w:rPr>
        <w:t xml:space="preserve"> </w:t>
      </w:r>
    </w:p>
    <w:p w14:paraId="4233177B" w14:textId="4885F638" w:rsidR="005A5A1E" w:rsidRPr="00A52C0B" w:rsidRDefault="000C1249" w:rsidP="005A5A1E">
      <w:pPr>
        <w:keepNext/>
        <w:rPr>
          <w:b/>
          <w:lang w:val="fr-CA"/>
        </w:rPr>
      </w:pPr>
      <w:r w:rsidRPr="00A52C0B">
        <w:rPr>
          <w:b/>
          <w:lang w:val="fr-CA"/>
        </w:rPr>
        <w:t>Modalités et niveaux de financement pour la réduction progressive des HFC dans le secteur de l’entretien de l’équipement de réfrigération (phase</w:t>
      </w:r>
      <w:r w:rsidR="00741131" w:rsidRPr="00A52C0B">
        <w:rPr>
          <w:b/>
          <w:lang w:val="fr-CA"/>
        </w:rPr>
        <w:t> </w:t>
      </w:r>
      <w:r w:rsidRPr="00A52C0B">
        <w:rPr>
          <w:b/>
          <w:lang w:val="fr-CA"/>
        </w:rPr>
        <w:t xml:space="preserve">I) </w:t>
      </w:r>
    </w:p>
    <w:p w14:paraId="3D189583" w14:textId="77777777" w:rsidR="005A5A1E" w:rsidRPr="00A52C0B" w:rsidRDefault="005A5A1E" w:rsidP="005A5A1E">
      <w:pPr>
        <w:keepNext/>
        <w:rPr>
          <w:lang w:val="fr-CA"/>
        </w:rPr>
      </w:pPr>
    </w:p>
    <w:p w14:paraId="732C9588" w14:textId="232119F2" w:rsidR="005A5A1E" w:rsidRPr="00A52C0B" w:rsidRDefault="000C1249" w:rsidP="005A5A1E">
      <w:pPr>
        <w:pStyle w:val="Heading1"/>
        <w:rPr>
          <w:lang w:val="fr-CA"/>
        </w:rPr>
      </w:pPr>
      <w:r w:rsidRPr="00A52C0B">
        <w:rPr>
          <w:lang w:val="fr-CA"/>
        </w:rPr>
        <w:t>Les modalités et niveaux de financement proposé</w:t>
      </w:r>
      <w:r w:rsidR="00741131" w:rsidRPr="00A52C0B">
        <w:rPr>
          <w:lang w:val="fr-CA"/>
        </w:rPr>
        <w:t>s</w:t>
      </w:r>
      <w:r w:rsidRPr="00A52C0B">
        <w:rPr>
          <w:lang w:val="fr-CA"/>
        </w:rPr>
        <w:t xml:space="preserve"> pour la réduction progressive des HFC dans le secteur de l’entretien de l’équipement de réfrigération se fonde</w:t>
      </w:r>
      <w:r w:rsidR="003B7476" w:rsidRPr="00A52C0B">
        <w:rPr>
          <w:lang w:val="fr-CA"/>
        </w:rPr>
        <w:t>nt</w:t>
      </w:r>
      <w:r w:rsidRPr="00A52C0B">
        <w:rPr>
          <w:lang w:val="fr-CA"/>
        </w:rPr>
        <w:t xml:space="preserve"> sur l’analyse et l’information approfondie</w:t>
      </w:r>
      <w:r w:rsidR="000F71A8">
        <w:rPr>
          <w:lang w:val="fr-CA"/>
        </w:rPr>
        <w:t>s</w:t>
      </w:r>
      <w:r w:rsidRPr="00A52C0B">
        <w:rPr>
          <w:lang w:val="fr-CA"/>
        </w:rPr>
        <w:t xml:space="preserve"> figurant dans les divers documents qui ont été examinés par le Comité exécutif (énumérés dans l</w:t>
      </w:r>
      <w:r w:rsidR="00741131" w:rsidRPr="00A52C0B">
        <w:rPr>
          <w:lang w:val="fr-CA"/>
        </w:rPr>
        <w:t>a</w:t>
      </w:r>
      <w:r w:rsidRPr="00A52C0B">
        <w:rPr>
          <w:lang w:val="fr-CA"/>
        </w:rPr>
        <w:t xml:space="preserve"> section Contexte du présent document), et l’examen de tous les projets relatifs au secteur de l</w:t>
      </w:r>
      <w:r w:rsidR="005D544F" w:rsidRPr="00A52C0B">
        <w:rPr>
          <w:lang w:val="fr-CA"/>
        </w:rPr>
        <w:t>’</w:t>
      </w:r>
      <w:r w:rsidRPr="00A52C0B">
        <w:rPr>
          <w:lang w:val="fr-CA"/>
        </w:rPr>
        <w:t xml:space="preserve">entretien qui ont été approuvés, </w:t>
      </w:r>
      <w:r w:rsidR="000F71A8">
        <w:rPr>
          <w:lang w:val="fr-CA"/>
        </w:rPr>
        <w:t>notamment</w:t>
      </w:r>
      <w:r w:rsidR="009A0433" w:rsidRPr="00A52C0B">
        <w:rPr>
          <w:lang w:val="fr-CA"/>
        </w:rPr>
        <w:t xml:space="preserve"> au titre des PGEH. En particulier, les facteurs suivants doivent être pris en compte :</w:t>
      </w:r>
    </w:p>
    <w:p w14:paraId="10718589" w14:textId="73F36898" w:rsidR="005A5A1E" w:rsidRPr="00A52C0B" w:rsidRDefault="009A0433" w:rsidP="005A5A1E">
      <w:pPr>
        <w:pStyle w:val="Heading2"/>
        <w:rPr>
          <w:lang w:val="fr-CA"/>
        </w:rPr>
      </w:pPr>
      <w:r w:rsidRPr="00A52C0B">
        <w:rPr>
          <w:lang w:val="fr-CA"/>
        </w:rPr>
        <w:t xml:space="preserve">Nécessité de satisfaire les exigences du gel (toutes les </w:t>
      </w:r>
      <w:r w:rsidR="000F71A8">
        <w:rPr>
          <w:lang w:val="fr-CA"/>
        </w:rPr>
        <w:t>P</w:t>
      </w:r>
      <w:r w:rsidRPr="00A52C0B">
        <w:rPr>
          <w:lang w:val="fr-CA"/>
        </w:rPr>
        <w:t>arties visées à l’article 5) et de la réduction de 10 pour</w:t>
      </w:r>
      <w:r w:rsidR="00741131" w:rsidRPr="00A52C0B">
        <w:rPr>
          <w:lang w:val="fr-CA"/>
        </w:rPr>
        <w:t> </w:t>
      </w:r>
      <w:r w:rsidRPr="00A52C0B">
        <w:rPr>
          <w:lang w:val="fr-CA"/>
        </w:rPr>
        <w:t>cent (tous les pays visé</w:t>
      </w:r>
      <w:r w:rsidR="00741131" w:rsidRPr="00A52C0B">
        <w:rPr>
          <w:lang w:val="fr-CA"/>
        </w:rPr>
        <w:t>s</w:t>
      </w:r>
      <w:r w:rsidRPr="00A52C0B">
        <w:rPr>
          <w:lang w:val="fr-CA"/>
        </w:rPr>
        <w:t xml:space="preserve"> à l’article 5</w:t>
      </w:r>
      <w:r w:rsidR="000F71A8">
        <w:rPr>
          <w:lang w:val="fr-CA"/>
        </w:rPr>
        <w:t xml:space="preserve"> du groupe I</w:t>
      </w:r>
      <w:r w:rsidRPr="00A52C0B">
        <w:rPr>
          <w:lang w:val="fr-CA"/>
        </w:rPr>
        <w:t>) de la consommation de HFC, alors que le</w:t>
      </w:r>
      <w:r w:rsidR="00741131" w:rsidRPr="00A52C0B">
        <w:rPr>
          <w:lang w:val="fr-CA"/>
        </w:rPr>
        <w:t>s</w:t>
      </w:r>
      <w:r w:rsidRPr="00A52C0B">
        <w:rPr>
          <w:lang w:val="fr-CA"/>
        </w:rPr>
        <w:t xml:space="preserve"> niveau</w:t>
      </w:r>
      <w:r w:rsidR="00741131" w:rsidRPr="00A52C0B">
        <w:rPr>
          <w:lang w:val="fr-CA"/>
        </w:rPr>
        <w:t>x</w:t>
      </w:r>
      <w:r w:rsidRPr="00A52C0B">
        <w:rPr>
          <w:lang w:val="fr-CA"/>
        </w:rPr>
        <w:t xml:space="preserve"> réel</w:t>
      </w:r>
      <w:r w:rsidR="00741131" w:rsidRPr="00A52C0B">
        <w:rPr>
          <w:lang w:val="fr-CA"/>
        </w:rPr>
        <w:t>s</w:t>
      </w:r>
      <w:r w:rsidRPr="00A52C0B">
        <w:rPr>
          <w:lang w:val="fr-CA"/>
        </w:rPr>
        <w:t xml:space="preserve"> de consommation de HFC,</w:t>
      </w:r>
      <w:r w:rsidR="00741131" w:rsidRPr="00A52C0B">
        <w:rPr>
          <w:lang w:val="fr-CA"/>
        </w:rPr>
        <w:t xml:space="preserve"> le</w:t>
      </w:r>
      <w:r w:rsidRPr="00A52C0B">
        <w:rPr>
          <w:lang w:val="fr-CA"/>
        </w:rPr>
        <w:t xml:space="preserve"> type de HFC (pur</w:t>
      </w:r>
      <w:r w:rsidR="003A0023" w:rsidRPr="00A52C0B">
        <w:rPr>
          <w:lang w:val="fr-CA"/>
        </w:rPr>
        <w:t>s</w:t>
      </w:r>
      <w:r w:rsidRPr="00A52C0B">
        <w:rPr>
          <w:lang w:val="fr-CA"/>
        </w:rPr>
        <w:t xml:space="preserve"> ou renfermé</w:t>
      </w:r>
      <w:r w:rsidR="003A0023" w:rsidRPr="00A52C0B">
        <w:rPr>
          <w:lang w:val="fr-CA"/>
        </w:rPr>
        <w:t>s</w:t>
      </w:r>
      <w:r w:rsidRPr="00A52C0B">
        <w:rPr>
          <w:lang w:val="fr-CA"/>
        </w:rPr>
        <w:t xml:space="preserve"> dans des mélanges) consommé</w:t>
      </w:r>
      <w:r w:rsidR="00741131" w:rsidRPr="00A52C0B">
        <w:rPr>
          <w:lang w:val="fr-CA"/>
        </w:rPr>
        <w:t>s</w:t>
      </w:r>
      <w:r w:rsidRPr="00A52C0B">
        <w:rPr>
          <w:lang w:val="fr-CA"/>
        </w:rPr>
        <w:t xml:space="preserve"> et leur distribution sectorielle sont inconnus, et qu’il est impossible de prévoir avec précision les valeurs de référence des HFC;</w:t>
      </w:r>
    </w:p>
    <w:p w14:paraId="6E1C8773" w14:textId="50E51BE7" w:rsidR="005A5A1E" w:rsidRPr="00A52C0B" w:rsidRDefault="009A0433" w:rsidP="005A5A1E">
      <w:pPr>
        <w:pStyle w:val="Heading2"/>
        <w:rPr>
          <w:lang w:val="fr-CA"/>
        </w:rPr>
      </w:pPr>
      <w:r w:rsidRPr="00A52C0B">
        <w:rPr>
          <w:lang w:val="fr-CA"/>
        </w:rPr>
        <w:t>Pertinence du secteur de l’entretien au cours de la période 2020</w:t>
      </w:r>
      <w:r w:rsidR="00471A2B" w:rsidRPr="00A52C0B">
        <w:rPr>
          <w:lang w:val="fr-CA"/>
        </w:rPr>
        <w:noBreakHyphen/>
      </w:r>
      <w:r w:rsidRPr="00A52C0B">
        <w:rPr>
          <w:lang w:val="fr-CA"/>
        </w:rPr>
        <w:t>2030, compte tenu du fait que pour la majorité des pays visés à l’article 5, le reste de la consommation de HCFC concerne uniquement ou principalement l’entretien de l’équipement de réfrigération et de climatisation. De plus, les activités de réduction progressive des HFC dans ce secteur devraient être nécessaire</w:t>
      </w:r>
      <w:r w:rsidR="00164585" w:rsidRPr="00A52C0B">
        <w:rPr>
          <w:lang w:val="fr-CA"/>
        </w:rPr>
        <w:t>s</w:t>
      </w:r>
      <w:r w:rsidRPr="00A52C0B">
        <w:rPr>
          <w:lang w:val="fr-CA"/>
        </w:rPr>
        <w:t xml:space="preserve"> pour la majorité des </w:t>
      </w:r>
      <w:r w:rsidR="009260EE" w:rsidRPr="00A52C0B">
        <w:rPr>
          <w:lang w:val="fr-CA"/>
        </w:rPr>
        <w:t>pays FVC</w:t>
      </w:r>
      <w:r w:rsidRPr="00A52C0B">
        <w:rPr>
          <w:lang w:val="fr-CA"/>
        </w:rPr>
        <w:t xml:space="preserve"> </w:t>
      </w:r>
      <w:r w:rsidR="00164585" w:rsidRPr="00A52C0B">
        <w:rPr>
          <w:lang w:val="fr-CA"/>
        </w:rPr>
        <w:t xml:space="preserve">et </w:t>
      </w:r>
      <w:r w:rsidRPr="00A52C0B">
        <w:rPr>
          <w:lang w:val="fr-CA"/>
        </w:rPr>
        <w:t xml:space="preserve">plusieurs pays qui ne sont pas des </w:t>
      </w:r>
      <w:r w:rsidR="009260EE" w:rsidRPr="00A52C0B">
        <w:rPr>
          <w:lang w:val="fr-CA"/>
        </w:rPr>
        <w:t>pays FVC</w:t>
      </w:r>
      <w:r w:rsidRPr="00A52C0B">
        <w:rPr>
          <w:lang w:val="fr-CA"/>
        </w:rPr>
        <w:t xml:space="preserve"> afin de pouvoir s’acquitter de leurs obligations en matière de conformité, étant donné que les HFC ne sont utilisés que pour l’entretien de l’équipement de réfrigération et de climatisation;</w:t>
      </w:r>
    </w:p>
    <w:p w14:paraId="578526D6" w14:textId="1DA0C10C" w:rsidR="005A5A1E" w:rsidRPr="00A52C0B" w:rsidRDefault="00FC3A80" w:rsidP="005A5A1E">
      <w:pPr>
        <w:pStyle w:val="Heading2"/>
        <w:rPr>
          <w:lang w:val="fr-CA"/>
        </w:rPr>
      </w:pPr>
      <w:r>
        <w:rPr>
          <w:lang w:val="fr-CA"/>
        </w:rPr>
        <w:t>U</w:t>
      </w:r>
      <w:r w:rsidR="00F622C1" w:rsidRPr="00A52C0B">
        <w:rPr>
          <w:lang w:val="fr-CA"/>
        </w:rPr>
        <w:t xml:space="preserve">tilisation complète du cadre réglementaire et </w:t>
      </w:r>
      <w:r>
        <w:rPr>
          <w:lang w:val="fr-CA"/>
        </w:rPr>
        <w:t xml:space="preserve">de </w:t>
      </w:r>
      <w:r w:rsidR="00F622C1" w:rsidRPr="00A52C0B">
        <w:rPr>
          <w:lang w:val="fr-CA"/>
        </w:rPr>
        <w:t>l’infrastructure de formation qui a été établi</w:t>
      </w:r>
      <w:r w:rsidR="00D50A20" w:rsidRPr="00A52C0B">
        <w:rPr>
          <w:lang w:val="fr-CA"/>
        </w:rPr>
        <w:t>e</w:t>
      </w:r>
      <w:r w:rsidR="00F622C1" w:rsidRPr="00A52C0B">
        <w:rPr>
          <w:lang w:val="fr-CA"/>
        </w:rPr>
        <w:t xml:space="preserve"> depuis </w:t>
      </w:r>
      <w:r w:rsidR="00776142" w:rsidRPr="00A52C0B">
        <w:rPr>
          <w:lang w:val="fr-CA"/>
        </w:rPr>
        <w:t>la</w:t>
      </w:r>
      <w:r w:rsidR="00F622C1" w:rsidRPr="00A52C0B">
        <w:rPr>
          <w:lang w:val="fr-CA"/>
        </w:rPr>
        <w:t xml:space="preserve"> création du Fonds multilatéral </w:t>
      </w:r>
      <w:r>
        <w:rPr>
          <w:lang w:val="fr-CA"/>
        </w:rPr>
        <w:t>et</w:t>
      </w:r>
      <w:r w:rsidR="00F622C1" w:rsidRPr="00A52C0B">
        <w:rPr>
          <w:lang w:val="fr-CA"/>
        </w:rPr>
        <w:t xml:space="preserve"> renforcé</w:t>
      </w:r>
      <w:r w:rsidR="00776142" w:rsidRPr="00A52C0B">
        <w:rPr>
          <w:lang w:val="fr-CA"/>
        </w:rPr>
        <w:t>e</w:t>
      </w:r>
      <w:r w:rsidR="00F622C1" w:rsidRPr="00A52C0B">
        <w:rPr>
          <w:lang w:val="fr-CA"/>
        </w:rPr>
        <w:t xml:space="preserve"> et élargi</w:t>
      </w:r>
      <w:r w:rsidR="00776142" w:rsidRPr="00A52C0B">
        <w:rPr>
          <w:lang w:val="fr-CA"/>
        </w:rPr>
        <w:t>e</w:t>
      </w:r>
      <w:r w:rsidR="00F622C1" w:rsidRPr="00A52C0B">
        <w:rPr>
          <w:lang w:val="fr-CA"/>
        </w:rPr>
        <w:t xml:space="preserve"> au cours de l’élimination des HCFC. Cela comprend notamment les établissements de formation et d’enseignement professionnel pour les agents des douanes et les techniciens en réfrigération qui ont été appuyé</w:t>
      </w:r>
      <w:r w:rsidR="00D50A20" w:rsidRPr="00A52C0B">
        <w:rPr>
          <w:lang w:val="fr-CA"/>
        </w:rPr>
        <w:t>s</w:t>
      </w:r>
      <w:r w:rsidR="00F622C1" w:rsidRPr="00A52C0B">
        <w:rPr>
          <w:lang w:val="fr-CA"/>
        </w:rPr>
        <w:t xml:space="preserve"> par de l’équipement, des outils et des identificateurs de frigorigène et amélior</w:t>
      </w:r>
      <w:r w:rsidR="00776142" w:rsidRPr="00A52C0B">
        <w:rPr>
          <w:lang w:val="fr-CA"/>
        </w:rPr>
        <w:t>és</w:t>
      </w:r>
      <w:r w:rsidR="00F622C1" w:rsidRPr="00A52C0B">
        <w:rPr>
          <w:lang w:val="fr-CA"/>
        </w:rPr>
        <w:t xml:space="preserve"> par des programmes d’enseignement actualisé</w:t>
      </w:r>
      <w:r w:rsidR="00776142" w:rsidRPr="00A52C0B">
        <w:rPr>
          <w:lang w:val="fr-CA"/>
        </w:rPr>
        <w:t>s</w:t>
      </w:r>
      <w:r w:rsidR="00F622C1" w:rsidRPr="00A52C0B">
        <w:rPr>
          <w:lang w:val="fr-CA"/>
        </w:rPr>
        <w:t>, y</w:t>
      </w:r>
      <w:r w:rsidR="00776142" w:rsidRPr="00A52C0B">
        <w:rPr>
          <w:lang w:val="fr-CA"/>
        </w:rPr>
        <w:t> </w:t>
      </w:r>
      <w:r w:rsidR="00F622C1" w:rsidRPr="00A52C0B">
        <w:rPr>
          <w:lang w:val="fr-CA"/>
        </w:rPr>
        <w:t>compris les pratiques d’entretien exemplaire</w:t>
      </w:r>
      <w:r w:rsidR="00776142" w:rsidRPr="00A52C0B">
        <w:rPr>
          <w:lang w:val="fr-CA"/>
        </w:rPr>
        <w:t>s</w:t>
      </w:r>
      <w:r w:rsidR="00F622C1" w:rsidRPr="00A52C0B">
        <w:rPr>
          <w:lang w:val="fr-CA"/>
        </w:rPr>
        <w:t xml:space="preserve"> et, dans de nombreux cas, la manipulation adéquate des frigorigènes inflammables et toxiques; les agents des douanes et d’exécution de la loi qui ont été formé</w:t>
      </w:r>
      <w:r w:rsidR="00D50A20" w:rsidRPr="00A52C0B">
        <w:rPr>
          <w:lang w:val="fr-CA"/>
        </w:rPr>
        <w:t>s</w:t>
      </w:r>
      <w:r w:rsidR="00F622C1" w:rsidRPr="00A52C0B">
        <w:rPr>
          <w:lang w:val="fr-CA"/>
        </w:rPr>
        <w:t>; et les techniciens en entretien qui ont été formés sur les bonnes pratiques d’entretien et la manipulation des frigorigènes inflammables et toxiques et qui ont reçu des outils d’entretien de base;</w:t>
      </w:r>
      <w:r w:rsidR="005A5A1E" w:rsidRPr="00A52C0B">
        <w:rPr>
          <w:lang w:val="fr-CA"/>
        </w:rPr>
        <w:t xml:space="preserve"> </w:t>
      </w:r>
    </w:p>
    <w:p w14:paraId="2A2FB47D" w14:textId="06E15328" w:rsidR="005A5A1E" w:rsidRPr="00A52C0B" w:rsidRDefault="00F622C1" w:rsidP="005A5A1E">
      <w:pPr>
        <w:pStyle w:val="Heading2"/>
        <w:rPr>
          <w:lang w:val="fr-CA"/>
        </w:rPr>
      </w:pPr>
      <w:r w:rsidRPr="00A52C0B">
        <w:rPr>
          <w:lang w:val="fr-CA"/>
        </w:rPr>
        <w:lastRenderedPageBreak/>
        <w:t>Avantage</w:t>
      </w:r>
      <w:r w:rsidR="00DB43A9" w:rsidRPr="00A52C0B">
        <w:rPr>
          <w:lang w:val="fr-CA"/>
        </w:rPr>
        <w:t>s</w:t>
      </w:r>
      <w:r w:rsidRPr="00A52C0B">
        <w:rPr>
          <w:lang w:val="fr-CA"/>
        </w:rPr>
        <w:t xml:space="preserve"> d</w:t>
      </w:r>
      <w:r w:rsidR="00DB43A9" w:rsidRPr="00A52C0B">
        <w:rPr>
          <w:lang w:val="fr-CA"/>
        </w:rPr>
        <w:t>é</w:t>
      </w:r>
      <w:r w:rsidRPr="00A52C0B">
        <w:rPr>
          <w:lang w:val="fr-CA"/>
        </w:rPr>
        <w:t>montr</w:t>
      </w:r>
      <w:r w:rsidR="00DB43A9" w:rsidRPr="00A52C0B">
        <w:rPr>
          <w:lang w:val="fr-CA"/>
        </w:rPr>
        <w:t>és</w:t>
      </w:r>
      <w:r w:rsidRPr="00A52C0B">
        <w:rPr>
          <w:lang w:val="fr-CA"/>
        </w:rPr>
        <w:t>, pour les pays visés à l’article</w:t>
      </w:r>
      <w:r w:rsidR="00C95C33" w:rsidRPr="00A52C0B">
        <w:rPr>
          <w:lang w:val="fr-CA"/>
        </w:rPr>
        <w:t> </w:t>
      </w:r>
      <w:r w:rsidRPr="00A52C0B">
        <w:rPr>
          <w:lang w:val="fr-CA"/>
        </w:rPr>
        <w:t xml:space="preserve">5, de la mise en œuvre d’une stratégie intégrée dans le secteur de l’entretien de l’équipement de réfrigération visant la réduction des HCFC et des HFC, au moyen d’un plan complet </w:t>
      </w:r>
      <w:r w:rsidR="009B55F8" w:rsidRPr="00A52C0B">
        <w:rPr>
          <w:lang w:val="fr-CA"/>
        </w:rPr>
        <w:t>combinant les avantages pour la couche d’ozone et le climat et le financement de l’élimination des HCFC et de la réduction progressive des HFC, selon une approche multiphase fondée sur le rendement, plutôt qu’un ensemble d’activités autonomes sans approche globale pour le secteur de l’entretien de l’équipement de réfrigération</w:t>
      </w:r>
      <w:r w:rsidR="005A5A1E" w:rsidRPr="00A52C0B">
        <w:rPr>
          <w:vertAlign w:val="superscript"/>
          <w:lang w:val="fr-CA"/>
        </w:rPr>
        <w:footnoteReference w:id="24"/>
      </w:r>
      <w:r w:rsidR="00276AEE" w:rsidRPr="00A52C0B">
        <w:rPr>
          <w:lang w:val="fr-CA"/>
        </w:rPr>
        <w:t>;</w:t>
      </w:r>
      <w:r w:rsidR="005A5A1E" w:rsidRPr="00A52C0B">
        <w:rPr>
          <w:lang w:val="fr-CA"/>
        </w:rPr>
        <w:t xml:space="preserve"> </w:t>
      </w:r>
    </w:p>
    <w:p w14:paraId="032BE399" w14:textId="54F7713E" w:rsidR="005A5A1E" w:rsidRPr="00A52C0B" w:rsidRDefault="009B55F8" w:rsidP="005A5A1E">
      <w:pPr>
        <w:pStyle w:val="Heading2"/>
        <w:rPr>
          <w:lang w:val="fr-CA"/>
        </w:rPr>
      </w:pPr>
      <w:r w:rsidRPr="00A52C0B">
        <w:rPr>
          <w:lang w:val="fr-CA"/>
        </w:rPr>
        <w:t>Niveau de financement disponible au cours de la période</w:t>
      </w:r>
      <w:r w:rsidR="00D50A20" w:rsidRPr="00A52C0B">
        <w:rPr>
          <w:lang w:val="fr-CA"/>
        </w:rPr>
        <w:t> </w:t>
      </w:r>
      <w:r w:rsidRPr="00A52C0B">
        <w:rPr>
          <w:lang w:val="fr-CA"/>
        </w:rPr>
        <w:t>2021</w:t>
      </w:r>
      <w:r w:rsidR="00471A2B" w:rsidRPr="00A52C0B">
        <w:rPr>
          <w:lang w:val="fr-CA"/>
        </w:rPr>
        <w:noBreakHyphen/>
      </w:r>
      <w:r w:rsidRPr="00A52C0B">
        <w:rPr>
          <w:lang w:val="fr-CA"/>
        </w:rPr>
        <w:t>2030 pour l’élimination des HCFC dans le secteur de l’entretien de l’équipement de réfrigération dans tous les pays visés à l’article</w:t>
      </w:r>
      <w:r w:rsidR="00D50A20" w:rsidRPr="00A52C0B">
        <w:rPr>
          <w:lang w:val="fr-CA"/>
        </w:rPr>
        <w:t> </w:t>
      </w:r>
      <w:r w:rsidRPr="00A52C0B">
        <w:rPr>
          <w:lang w:val="fr-CA"/>
        </w:rPr>
        <w:t>5. Comme cela a été expliqué précédemment et illustré au tableau</w:t>
      </w:r>
      <w:r w:rsidR="00D50A20" w:rsidRPr="00A52C0B">
        <w:rPr>
          <w:lang w:val="fr-CA"/>
        </w:rPr>
        <w:t> </w:t>
      </w:r>
      <w:r w:rsidRPr="00A52C0B">
        <w:rPr>
          <w:lang w:val="fr-CA"/>
        </w:rPr>
        <w:t>3,</w:t>
      </w:r>
      <w:r w:rsidR="00276AEE" w:rsidRPr="00A52C0B">
        <w:rPr>
          <w:lang w:val="fr-CA"/>
        </w:rPr>
        <w:t xml:space="preserve"> un</w:t>
      </w:r>
      <w:r w:rsidRPr="00A52C0B">
        <w:rPr>
          <w:lang w:val="fr-CA"/>
        </w:rPr>
        <w:t xml:space="preserve"> montant de 51</w:t>
      </w:r>
      <w:r w:rsidR="00276AEE" w:rsidRPr="00A52C0B">
        <w:rPr>
          <w:lang w:val="fr-CA"/>
        </w:rPr>
        <w:t>,0 </w:t>
      </w:r>
      <w:r w:rsidRPr="00A52C0B">
        <w:rPr>
          <w:lang w:val="fr-CA"/>
        </w:rPr>
        <w:t>millions</w:t>
      </w:r>
      <w:r w:rsidR="00276AEE" w:rsidRPr="00A52C0B">
        <w:rPr>
          <w:lang w:val="fr-CA"/>
        </w:rPr>
        <w:t xml:space="preserve"> de</w:t>
      </w:r>
      <w:r w:rsidRPr="00A52C0B">
        <w:rPr>
          <w:lang w:val="fr-CA"/>
        </w:rPr>
        <w:t xml:space="preserve"> dollars</w:t>
      </w:r>
      <w:r w:rsidR="00276AEE" w:rsidRPr="00A52C0B">
        <w:rPr>
          <w:lang w:val="fr-CA"/>
        </w:rPr>
        <w:t> </w:t>
      </w:r>
      <w:r w:rsidRPr="00A52C0B">
        <w:rPr>
          <w:lang w:val="fr-CA"/>
        </w:rPr>
        <w:t xml:space="preserve">US a été approuvé en principe pour les </w:t>
      </w:r>
      <w:r w:rsidR="009260EE" w:rsidRPr="00A52C0B">
        <w:rPr>
          <w:lang w:val="fr-CA"/>
        </w:rPr>
        <w:t>pays FVC</w:t>
      </w:r>
      <w:r w:rsidRPr="00A52C0B">
        <w:rPr>
          <w:lang w:val="fr-CA"/>
        </w:rPr>
        <w:t xml:space="preserve"> (une grande partie ét</w:t>
      </w:r>
      <w:r w:rsidR="00276AEE" w:rsidRPr="00A52C0B">
        <w:rPr>
          <w:lang w:val="fr-CA"/>
        </w:rPr>
        <w:t>ant</w:t>
      </w:r>
      <w:r w:rsidRPr="00A52C0B">
        <w:rPr>
          <w:lang w:val="fr-CA"/>
        </w:rPr>
        <w:t xml:space="preserve"> déjà décaissée) et un montant de 26,8</w:t>
      </w:r>
      <w:r w:rsidR="00D50A20" w:rsidRPr="00A52C0B">
        <w:rPr>
          <w:lang w:val="fr-CA"/>
        </w:rPr>
        <w:t> </w:t>
      </w:r>
      <w:r w:rsidRPr="00A52C0B">
        <w:rPr>
          <w:lang w:val="fr-CA"/>
        </w:rPr>
        <w:t>millions de dollars</w:t>
      </w:r>
      <w:r w:rsidR="00912F3A" w:rsidRPr="00A52C0B">
        <w:rPr>
          <w:lang w:val="fr-CA"/>
        </w:rPr>
        <w:t> </w:t>
      </w:r>
      <w:r w:rsidRPr="00A52C0B">
        <w:rPr>
          <w:lang w:val="fr-CA"/>
        </w:rPr>
        <w:t xml:space="preserve">US devrait être approuvé. Pour les pays qui ne sont pas des </w:t>
      </w:r>
      <w:r w:rsidR="009260EE" w:rsidRPr="00A52C0B">
        <w:rPr>
          <w:lang w:val="fr-CA"/>
        </w:rPr>
        <w:t>pays FVC</w:t>
      </w:r>
      <w:r w:rsidRPr="00A52C0B">
        <w:rPr>
          <w:lang w:val="fr-CA"/>
        </w:rPr>
        <w:t>, un montant de 141,6</w:t>
      </w:r>
      <w:r w:rsidR="00D50A20" w:rsidRPr="00A52C0B">
        <w:rPr>
          <w:lang w:val="fr-CA"/>
        </w:rPr>
        <w:t> </w:t>
      </w:r>
      <w:r w:rsidRPr="00A52C0B">
        <w:rPr>
          <w:lang w:val="fr-CA"/>
        </w:rPr>
        <w:t>millions de dollars</w:t>
      </w:r>
      <w:r w:rsidR="00912F3A" w:rsidRPr="00A52C0B">
        <w:rPr>
          <w:lang w:val="fr-CA"/>
        </w:rPr>
        <w:t> </w:t>
      </w:r>
      <w:r w:rsidRPr="00A52C0B">
        <w:rPr>
          <w:lang w:val="fr-CA"/>
        </w:rPr>
        <w:t>US a été approuvé en principe (une partie ayant été décaissé</w:t>
      </w:r>
      <w:r w:rsidR="00912F3A" w:rsidRPr="00A52C0B">
        <w:rPr>
          <w:lang w:val="fr-CA"/>
        </w:rPr>
        <w:t>e</w:t>
      </w:r>
      <w:r w:rsidRPr="00A52C0B">
        <w:rPr>
          <w:lang w:val="fr-CA"/>
        </w:rPr>
        <w:t xml:space="preserve">), </w:t>
      </w:r>
      <w:r w:rsidR="001C55B6" w:rsidRPr="00A52C0B">
        <w:rPr>
          <w:lang w:val="fr-CA"/>
        </w:rPr>
        <w:t>et un autre 559,4</w:t>
      </w:r>
      <w:r w:rsidR="00D50A20" w:rsidRPr="00A52C0B">
        <w:rPr>
          <w:lang w:val="fr-CA"/>
        </w:rPr>
        <w:t> </w:t>
      </w:r>
      <w:r w:rsidR="001C55B6" w:rsidRPr="00A52C0B">
        <w:rPr>
          <w:lang w:val="fr-CA"/>
        </w:rPr>
        <w:t>millions de dollars</w:t>
      </w:r>
      <w:r w:rsidR="00912F3A" w:rsidRPr="00A52C0B">
        <w:rPr>
          <w:lang w:val="fr-CA"/>
        </w:rPr>
        <w:t> </w:t>
      </w:r>
      <w:r w:rsidR="001C55B6" w:rsidRPr="00A52C0B">
        <w:rPr>
          <w:lang w:val="fr-CA"/>
        </w:rPr>
        <w:t>US</w:t>
      </w:r>
      <w:r w:rsidR="005A5A1E" w:rsidRPr="00A52C0B">
        <w:rPr>
          <w:vertAlign w:val="superscript"/>
          <w:lang w:val="fr-CA"/>
        </w:rPr>
        <w:footnoteReference w:id="25"/>
      </w:r>
      <w:r w:rsidR="005A5A1E" w:rsidRPr="00A52C0B">
        <w:rPr>
          <w:lang w:val="fr-CA"/>
        </w:rPr>
        <w:t xml:space="preserve"> </w:t>
      </w:r>
      <w:r w:rsidR="001C55B6" w:rsidRPr="00A52C0B">
        <w:rPr>
          <w:lang w:val="fr-CA"/>
        </w:rPr>
        <w:t xml:space="preserve">reste à approuver. </w:t>
      </w:r>
    </w:p>
    <w:p w14:paraId="45C7234C" w14:textId="024D0C4D" w:rsidR="005A5A1E" w:rsidRPr="00A52C0B" w:rsidRDefault="00AF63DE" w:rsidP="005A5A1E">
      <w:pPr>
        <w:pStyle w:val="Heading1"/>
        <w:rPr>
          <w:lang w:val="fr-CA"/>
        </w:rPr>
      </w:pPr>
      <w:r w:rsidRPr="00A52C0B">
        <w:rPr>
          <w:lang w:val="fr-CA"/>
        </w:rPr>
        <w:t>Compte tenu des faits ci</w:t>
      </w:r>
      <w:r w:rsidR="00471A2B" w:rsidRPr="00A52C0B">
        <w:rPr>
          <w:lang w:val="fr-CA"/>
        </w:rPr>
        <w:noBreakHyphen/>
      </w:r>
      <w:r w:rsidRPr="00A52C0B">
        <w:rPr>
          <w:lang w:val="fr-CA"/>
        </w:rPr>
        <w:t>dessus, le Secrétariat a évalué plusieurs modalités et niveaux de financement de la réduction progressive des HFC dans le secteur</w:t>
      </w:r>
      <w:r w:rsidR="00912F3A" w:rsidRPr="00A52C0B">
        <w:rPr>
          <w:lang w:val="fr-CA"/>
        </w:rPr>
        <w:t xml:space="preserve"> </w:t>
      </w:r>
      <w:r w:rsidRPr="00A52C0B">
        <w:rPr>
          <w:lang w:val="fr-CA"/>
        </w:rPr>
        <w:t>de l’entretien de l’équipement de réfrigération, comme cela est décrit ci</w:t>
      </w:r>
      <w:r w:rsidR="00471A2B" w:rsidRPr="00A52C0B">
        <w:rPr>
          <w:lang w:val="fr-CA"/>
        </w:rPr>
        <w:noBreakHyphen/>
      </w:r>
      <w:r w:rsidRPr="00A52C0B">
        <w:rPr>
          <w:lang w:val="fr-CA"/>
        </w:rPr>
        <w:t xml:space="preserve">dessous. </w:t>
      </w:r>
    </w:p>
    <w:p w14:paraId="03A1F5BB" w14:textId="630A2352" w:rsidR="005A5A1E" w:rsidRPr="00A52C0B" w:rsidRDefault="00AF63DE" w:rsidP="005A5A1E">
      <w:pPr>
        <w:rPr>
          <w:u w:val="single"/>
          <w:lang w:val="fr-CA"/>
        </w:rPr>
      </w:pPr>
      <w:r w:rsidRPr="00A52C0B">
        <w:rPr>
          <w:u w:val="single"/>
          <w:lang w:val="fr-CA"/>
        </w:rPr>
        <w:t>Modalité</w:t>
      </w:r>
      <w:r w:rsidR="00912F3A" w:rsidRPr="00A52C0B">
        <w:rPr>
          <w:u w:val="single"/>
          <w:lang w:val="fr-CA"/>
        </w:rPr>
        <w:t> </w:t>
      </w:r>
      <w:r w:rsidR="005A5A1E" w:rsidRPr="00A52C0B">
        <w:rPr>
          <w:u w:val="single"/>
          <w:lang w:val="fr-CA"/>
        </w:rPr>
        <w:t>1</w:t>
      </w:r>
    </w:p>
    <w:p w14:paraId="775CA640" w14:textId="77777777" w:rsidR="005A5A1E" w:rsidRPr="00A52C0B" w:rsidRDefault="005A5A1E" w:rsidP="005A5A1E">
      <w:pPr>
        <w:rPr>
          <w:lang w:val="fr-CA"/>
        </w:rPr>
      </w:pPr>
    </w:p>
    <w:p w14:paraId="3862E29B" w14:textId="31C9C23E" w:rsidR="005A5A1E" w:rsidRPr="00A52C0B" w:rsidRDefault="00AF63DE" w:rsidP="005A5A1E">
      <w:pPr>
        <w:pStyle w:val="Heading1"/>
        <w:rPr>
          <w:lang w:val="fr-CA"/>
        </w:rPr>
      </w:pPr>
      <w:r w:rsidRPr="00A52C0B">
        <w:rPr>
          <w:lang w:val="fr-CA"/>
        </w:rPr>
        <w:t>Vu les incertitudes liées au co</w:t>
      </w:r>
      <w:r w:rsidR="00912F3A" w:rsidRPr="00A52C0B">
        <w:rPr>
          <w:lang w:val="fr-CA"/>
        </w:rPr>
        <w:t xml:space="preserve">ût </w:t>
      </w:r>
      <w:r w:rsidRPr="00A52C0B">
        <w:rPr>
          <w:lang w:val="fr-CA"/>
        </w:rPr>
        <w:t xml:space="preserve">des efforts supplémentaires </w:t>
      </w:r>
      <w:r w:rsidR="00912F3A" w:rsidRPr="00A52C0B">
        <w:rPr>
          <w:lang w:val="fr-CA"/>
        </w:rPr>
        <w:t xml:space="preserve">à </w:t>
      </w:r>
      <w:r w:rsidRPr="00A52C0B">
        <w:rPr>
          <w:lang w:val="fr-CA"/>
        </w:rPr>
        <w:t>déploy</w:t>
      </w:r>
      <w:r w:rsidR="00912F3A" w:rsidRPr="00A52C0B">
        <w:rPr>
          <w:lang w:val="fr-CA"/>
        </w:rPr>
        <w:t>er</w:t>
      </w:r>
      <w:r w:rsidRPr="00A52C0B">
        <w:rPr>
          <w:lang w:val="fr-CA"/>
        </w:rPr>
        <w:t xml:space="preserve"> en vue de réduire la consommation de HFC de manière à atteindre </w:t>
      </w:r>
      <w:r w:rsidR="00C36A90" w:rsidRPr="00A52C0B">
        <w:rPr>
          <w:lang w:val="fr-CA"/>
        </w:rPr>
        <w:t>la</w:t>
      </w:r>
      <w:r w:rsidRPr="00A52C0B">
        <w:rPr>
          <w:lang w:val="fr-CA"/>
        </w:rPr>
        <w:t xml:space="preserve"> réduction de 10</w:t>
      </w:r>
      <w:r w:rsidR="00D50A20" w:rsidRPr="00A52C0B">
        <w:rPr>
          <w:lang w:val="fr-CA"/>
        </w:rPr>
        <w:t> </w:t>
      </w:r>
      <w:r w:rsidRPr="00A52C0B">
        <w:rPr>
          <w:lang w:val="fr-CA"/>
        </w:rPr>
        <w:t>pour</w:t>
      </w:r>
      <w:r w:rsidR="00C36A90" w:rsidRPr="00A52C0B">
        <w:rPr>
          <w:lang w:val="fr-CA"/>
        </w:rPr>
        <w:t> </w:t>
      </w:r>
      <w:r w:rsidRPr="00A52C0B">
        <w:rPr>
          <w:lang w:val="fr-CA"/>
        </w:rPr>
        <w:t xml:space="preserve">cent tout en </w:t>
      </w:r>
      <w:r w:rsidR="00FC3A80">
        <w:rPr>
          <w:lang w:val="fr-CA"/>
        </w:rPr>
        <w:t>achevant</w:t>
      </w:r>
      <w:r w:rsidRPr="00A52C0B">
        <w:rPr>
          <w:lang w:val="fr-CA"/>
        </w:rPr>
        <w:t xml:space="preserve"> l’élimination complète des HCFC, l’une des modalités envisag</w:t>
      </w:r>
      <w:r w:rsidR="00C36A90" w:rsidRPr="00A52C0B">
        <w:rPr>
          <w:lang w:val="fr-CA"/>
        </w:rPr>
        <w:t>ées,</w:t>
      </w:r>
      <w:r w:rsidRPr="00A52C0B">
        <w:rPr>
          <w:lang w:val="fr-CA"/>
        </w:rPr>
        <w:t xml:space="preserve"> semblable à celle suivi</w:t>
      </w:r>
      <w:r w:rsidR="00C36A90" w:rsidRPr="00A52C0B">
        <w:rPr>
          <w:lang w:val="fr-CA"/>
        </w:rPr>
        <w:t>e</w:t>
      </w:r>
      <w:r w:rsidRPr="00A52C0B">
        <w:rPr>
          <w:lang w:val="fr-CA"/>
        </w:rPr>
        <w:t xml:space="preserve"> avant l’approbation des premiers plans de gestion des frig</w:t>
      </w:r>
      <w:r w:rsidR="00FC3A80">
        <w:rPr>
          <w:lang w:val="fr-CA"/>
        </w:rPr>
        <w:t>origènes, consiste à approuver l</w:t>
      </w:r>
      <w:r w:rsidRPr="00A52C0B">
        <w:rPr>
          <w:lang w:val="fr-CA"/>
        </w:rPr>
        <w:t>es activités autonomes nécessaires pour réduire la consommation de HFC, à un niveau de financement proportionn</w:t>
      </w:r>
      <w:r w:rsidR="00FC3A80">
        <w:rPr>
          <w:lang w:val="fr-CA"/>
        </w:rPr>
        <w:t>el</w:t>
      </w:r>
      <w:r w:rsidRPr="00A52C0B">
        <w:rPr>
          <w:lang w:val="fr-CA"/>
        </w:rPr>
        <w:t xml:space="preserve"> à l’activité soumise. </w:t>
      </w:r>
      <w:r w:rsidR="005A5A1E" w:rsidRPr="00A52C0B">
        <w:rPr>
          <w:lang w:val="fr-CA"/>
        </w:rPr>
        <w:t xml:space="preserve"> </w:t>
      </w:r>
    </w:p>
    <w:p w14:paraId="449C29CD" w14:textId="37C4B9B3" w:rsidR="005A5A1E" w:rsidRPr="00A52C0B" w:rsidRDefault="00AF63DE" w:rsidP="005A5A1E">
      <w:pPr>
        <w:pStyle w:val="Heading1"/>
        <w:rPr>
          <w:lang w:val="fr-CA"/>
        </w:rPr>
      </w:pPr>
      <w:r w:rsidRPr="00A52C0B">
        <w:rPr>
          <w:lang w:val="fr-CA"/>
        </w:rPr>
        <w:t xml:space="preserve">Cette modalité </w:t>
      </w:r>
      <w:r w:rsidR="00162C79" w:rsidRPr="00A52C0B">
        <w:rPr>
          <w:lang w:val="fr-CA"/>
        </w:rPr>
        <w:t>pourrait aider les pays visés à l’article</w:t>
      </w:r>
      <w:r w:rsidR="00D50A20" w:rsidRPr="00A52C0B">
        <w:rPr>
          <w:lang w:val="fr-CA"/>
        </w:rPr>
        <w:t> </w:t>
      </w:r>
      <w:r w:rsidR="00162C79" w:rsidRPr="00A52C0B">
        <w:rPr>
          <w:lang w:val="fr-CA"/>
        </w:rPr>
        <w:t xml:space="preserve">5 à gérer de manière rationnelle la réduction progressive des HFC et </w:t>
      </w:r>
      <w:r w:rsidR="00C36A90" w:rsidRPr="00A52C0B">
        <w:rPr>
          <w:lang w:val="fr-CA"/>
        </w:rPr>
        <w:t>s</w:t>
      </w:r>
      <w:r w:rsidR="00162C79" w:rsidRPr="00A52C0B">
        <w:rPr>
          <w:lang w:val="fr-CA"/>
        </w:rPr>
        <w:t xml:space="preserve">es coûts associés. Cela limiterait toutefois la possibilité de suivre une stratégie globale dans le cadre de laquelle les activités semblables destinées à éliminer les HCFC et </w:t>
      </w:r>
      <w:r w:rsidR="00C36A90" w:rsidRPr="00A52C0B">
        <w:rPr>
          <w:lang w:val="fr-CA"/>
        </w:rPr>
        <w:t xml:space="preserve">à </w:t>
      </w:r>
      <w:r w:rsidR="00162C79" w:rsidRPr="00A52C0B">
        <w:rPr>
          <w:lang w:val="fr-CA"/>
        </w:rPr>
        <w:t>réduire progressivement les HFC pourraient être intégré</w:t>
      </w:r>
      <w:r w:rsidR="00D50A20" w:rsidRPr="00A52C0B">
        <w:rPr>
          <w:lang w:val="fr-CA"/>
        </w:rPr>
        <w:t>es</w:t>
      </w:r>
      <w:r w:rsidR="00162C79" w:rsidRPr="00A52C0B">
        <w:rPr>
          <w:lang w:val="fr-CA"/>
        </w:rPr>
        <w:t xml:space="preserve"> et mis</w:t>
      </w:r>
      <w:r w:rsidR="00D50A20" w:rsidRPr="00A52C0B">
        <w:rPr>
          <w:lang w:val="fr-CA"/>
        </w:rPr>
        <w:t>es</w:t>
      </w:r>
      <w:r w:rsidR="00162C79" w:rsidRPr="00A52C0B">
        <w:rPr>
          <w:lang w:val="fr-CA"/>
        </w:rPr>
        <w:t xml:space="preserve"> en œuvre (p.</w:t>
      </w:r>
      <w:r w:rsidR="00C36A90" w:rsidRPr="00A52C0B">
        <w:rPr>
          <w:lang w:val="fr-CA"/>
        </w:rPr>
        <w:t> </w:t>
      </w:r>
      <w:r w:rsidR="00162C79" w:rsidRPr="00A52C0B">
        <w:rPr>
          <w:lang w:val="fr-CA"/>
        </w:rPr>
        <w:t>ex.,</w:t>
      </w:r>
      <w:r w:rsidR="00C36A90" w:rsidRPr="00A52C0B">
        <w:rPr>
          <w:lang w:val="fr-CA"/>
        </w:rPr>
        <w:t> </w:t>
      </w:r>
      <w:r w:rsidR="00162C79" w:rsidRPr="00A52C0B">
        <w:rPr>
          <w:lang w:val="fr-CA"/>
        </w:rPr>
        <w:t>intégr</w:t>
      </w:r>
      <w:r w:rsidR="007138C2" w:rsidRPr="00A52C0B">
        <w:rPr>
          <w:lang w:val="fr-CA"/>
        </w:rPr>
        <w:t>er</w:t>
      </w:r>
      <w:r w:rsidR="00162C79" w:rsidRPr="00A52C0B">
        <w:rPr>
          <w:lang w:val="fr-CA"/>
        </w:rPr>
        <w:t xml:space="preserve"> </w:t>
      </w:r>
      <w:r w:rsidR="00C36A90" w:rsidRPr="00A52C0B">
        <w:rPr>
          <w:lang w:val="fr-CA"/>
        </w:rPr>
        <w:t>l</w:t>
      </w:r>
      <w:r w:rsidR="00162C79" w:rsidRPr="00A52C0B">
        <w:rPr>
          <w:lang w:val="fr-CA"/>
        </w:rPr>
        <w:t>es activités relatives aux HFC dans des programmes de formation</w:t>
      </w:r>
      <w:r w:rsidR="00C36A90" w:rsidRPr="00A52C0B">
        <w:rPr>
          <w:lang w:val="fr-CA"/>
        </w:rPr>
        <w:t xml:space="preserve"> en cours</w:t>
      </w:r>
      <w:r w:rsidR="00162C79" w:rsidRPr="00A52C0B">
        <w:rPr>
          <w:lang w:val="fr-CA"/>
        </w:rPr>
        <w:t xml:space="preserve"> pour la réduction progressive des HFC serait plus efficace et moins coûteux que mettre en place un nouveau programme de formation seulement pour les</w:t>
      </w:r>
      <w:r w:rsidR="00C36A90" w:rsidRPr="00A52C0B">
        <w:rPr>
          <w:lang w:val="fr-CA"/>
        </w:rPr>
        <w:t> </w:t>
      </w:r>
      <w:r w:rsidR="00162C79" w:rsidRPr="00A52C0B">
        <w:rPr>
          <w:lang w:val="fr-CA"/>
        </w:rPr>
        <w:t xml:space="preserve">HFC). Par ailleurs, une approche axée sur les projets autonomes dans le contexte actuel compliquerait </w:t>
      </w:r>
      <w:r w:rsidR="00D578BB" w:rsidRPr="00A52C0B">
        <w:rPr>
          <w:lang w:val="fr-CA"/>
        </w:rPr>
        <w:t>l’</w:t>
      </w:r>
      <w:r w:rsidR="00162C79" w:rsidRPr="00A52C0B">
        <w:rPr>
          <w:lang w:val="fr-CA"/>
        </w:rPr>
        <w:t>évaluation de l’incidence de différentes composantes de projet et augmente</w:t>
      </w:r>
      <w:r w:rsidR="00D578BB" w:rsidRPr="00A52C0B">
        <w:rPr>
          <w:lang w:val="fr-CA"/>
        </w:rPr>
        <w:t>rait</w:t>
      </w:r>
      <w:r w:rsidR="00162C79" w:rsidRPr="00A52C0B">
        <w:rPr>
          <w:lang w:val="fr-CA"/>
        </w:rPr>
        <w:t xml:space="preserve"> sensiblement la charge de travail administrative des institutions du Fonds multilatéral sur le plan de l’examen, de l’approbation et du suivi des activités distinctes.</w:t>
      </w:r>
    </w:p>
    <w:p w14:paraId="35FC80FA" w14:textId="6E3B952D" w:rsidR="005A5A1E" w:rsidRPr="00A52C0B" w:rsidRDefault="005A5A1E" w:rsidP="005A5A1E">
      <w:pPr>
        <w:rPr>
          <w:u w:val="single"/>
          <w:lang w:val="fr-CA"/>
        </w:rPr>
      </w:pPr>
      <w:r w:rsidRPr="00A52C0B">
        <w:rPr>
          <w:u w:val="single"/>
          <w:lang w:val="fr-CA"/>
        </w:rPr>
        <w:t>Modalit</w:t>
      </w:r>
      <w:r w:rsidR="009F6770" w:rsidRPr="00A52C0B">
        <w:rPr>
          <w:u w:val="single"/>
          <w:lang w:val="fr-CA"/>
        </w:rPr>
        <w:t>é </w:t>
      </w:r>
      <w:r w:rsidRPr="00A52C0B">
        <w:rPr>
          <w:u w:val="single"/>
          <w:lang w:val="fr-CA"/>
        </w:rPr>
        <w:t>2</w:t>
      </w:r>
    </w:p>
    <w:p w14:paraId="32ECD90D" w14:textId="77777777" w:rsidR="005A5A1E" w:rsidRPr="00A52C0B" w:rsidRDefault="005A5A1E" w:rsidP="005A5A1E">
      <w:pPr>
        <w:rPr>
          <w:lang w:val="fr-CA"/>
        </w:rPr>
      </w:pPr>
    </w:p>
    <w:p w14:paraId="434FA695" w14:textId="773E6135" w:rsidR="005A5A1E" w:rsidRPr="00A52C0B" w:rsidRDefault="00B235ED" w:rsidP="005A5A1E">
      <w:pPr>
        <w:pStyle w:val="Heading1"/>
        <w:rPr>
          <w:lang w:val="fr-CA"/>
        </w:rPr>
      </w:pPr>
      <w:r w:rsidRPr="00A52C0B">
        <w:rPr>
          <w:lang w:val="fr-CA"/>
        </w:rPr>
        <w:t>Une autre modalité envisag</w:t>
      </w:r>
      <w:r w:rsidR="009F6770" w:rsidRPr="00A52C0B">
        <w:rPr>
          <w:lang w:val="fr-CA"/>
        </w:rPr>
        <w:t xml:space="preserve">ée </w:t>
      </w:r>
      <w:r w:rsidR="00FC3A80">
        <w:rPr>
          <w:lang w:val="fr-CA"/>
        </w:rPr>
        <w:t>est</w:t>
      </w:r>
      <w:r w:rsidRPr="00A52C0B">
        <w:rPr>
          <w:lang w:val="fr-CA"/>
        </w:rPr>
        <w:t xml:space="preserve"> de regrouper les pays visés à l’article</w:t>
      </w:r>
      <w:r w:rsidR="00D50A20" w:rsidRPr="00A52C0B">
        <w:rPr>
          <w:lang w:val="fr-CA"/>
        </w:rPr>
        <w:t> </w:t>
      </w:r>
      <w:r w:rsidRPr="00A52C0B">
        <w:rPr>
          <w:lang w:val="fr-CA"/>
        </w:rPr>
        <w:t>5 selon leur valeur de référence des HCFC (valeur indirecte en l’absence de valeur de référence estimée/calculé</w:t>
      </w:r>
      <w:r w:rsidR="007138C2" w:rsidRPr="00A52C0B">
        <w:rPr>
          <w:lang w:val="fr-CA"/>
        </w:rPr>
        <w:t>e</w:t>
      </w:r>
      <w:r w:rsidRPr="00A52C0B">
        <w:rPr>
          <w:lang w:val="fr-CA"/>
        </w:rPr>
        <w:t xml:space="preserve">), sans différencier les </w:t>
      </w:r>
      <w:r w:rsidR="009260EE" w:rsidRPr="00A52C0B">
        <w:rPr>
          <w:lang w:val="fr-CA"/>
        </w:rPr>
        <w:t>pays FVC</w:t>
      </w:r>
      <w:r w:rsidRPr="00A52C0B">
        <w:rPr>
          <w:lang w:val="fr-CA"/>
        </w:rPr>
        <w:t xml:space="preserve"> </w:t>
      </w:r>
      <w:r w:rsidR="002C5DA8" w:rsidRPr="00A52C0B">
        <w:rPr>
          <w:lang w:val="fr-CA"/>
        </w:rPr>
        <w:t xml:space="preserve">des pays qui ne sont pas des </w:t>
      </w:r>
      <w:r w:rsidR="009260EE" w:rsidRPr="00A52C0B">
        <w:rPr>
          <w:lang w:val="fr-CA"/>
        </w:rPr>
        <w:t>pays FVC</w:t>
      </w:r>
      <w:r w:rsidR="002C5DA8" w:rsidRPr="00A52C0B">
        <w:rPr>
          <w:lang w:val="fr-CA"/>
        </w:rPr>
        <w:t>, avec des niveaux de financement croissant</w:t>
      </w:r>
      <w:r w:rsidR="00CE18C7" w:rsidRPr="00A52C0B">
        <w:rPr>
          <w:lang w:val="fr-CA"/>
        </w:rPr>
        <w:t>s</w:t>
      </w:r>
      <w:r w:rsidR="002C5DA8" w:rsidRPr="00A52C0B">
        <w:rPr>
          <w:lang w:val="fr-CA"/>
        </w:rPr>
        <w:t xml:space="preserve"> proportionnel</w:t>
      </w:r>
      <w:r w:rsidR="00CE18C7" w:rsidRPr="00A52C0B">
        <w:rPr>
          <w:lang w:val="fr-CA"/>
        </w:rPr>
        <w:t>s</w:t>
      </w:r>
      <w:r w:rsidR="002C5DA8" w:rsidRPr="00A52C0B">
        <w:rPr>
          <w:lang w:val="fr-CA"/>
        </w:rPr>
        <w:t xml:space="preserve"> à l’augmentation des valeurs de référence. Cette modalité est semblable à l’approche utilisée pour l’élimination des HCFC dans les </w:t>
      </w:r>
      <w:r w:rsidR="009260EE" w:rsidRPr="00A52C0B">
        <w:rPr>
          <w:lang w:val="fr-CA"/>
        </w:rPr>
        <w:t>pays FVC</w:t>
      </w:r>
      <w:r w:rsidR="002C5DA8" w:rsidRPr="00A52C0B">
        <w:rPr>
          <w:lang w:val="fr-CA"/>
        </w:rPr>
        <w:t xml:space="preserve"> par la décision</w:t>
      </w:r>
      <w:r w:rsidR="00D50A20" w:rsidRPr="00A52C0B">
        <w:rPr>
          <w:lang w:val="fr-CA"/>
        </w:rPr>
        <w:t> </w:t>
      </w:r>
      <w:r w:rsidR="002C5DA8" w:rsidRPr="00A52C0B">
        <w:rPr>
          <w:lang w:val="fr-CA"/>
        </w:rPr>
        <w:t>60/44 (pour la phase</w:t>
      </w:r>
      <w:r w:rsidR="00CE18C7" w:rsidRPr="00A52C0B">
        <w:rPr>
          <w:lang w:val="fr-CA"/>
        </w:rPr>
        <w:t> </w:t>
      </w:r>
      <w:r w:rsidR="002C5DA8" w:rsidRPr="00A52C0B">
        <w:rPr>
          <w:lang w:val="fr-CA"/>
        </w:rPr>
        <w:t>I des PGEH) et la décision</w:t>
      </w:r>
      <w:r w:rsidR="00D50A20" w:rsidRPr="00A52C0B">
        <w:rPr>
          <w:lang w:val="fr-CA"/>
        </w:rPr>
        <w:t> </w:t>
      </w:r>
      <w:r w:rsidR="002C5DA8" w:rsidRPr="00A52C0B">
        <w:rPr>
          <w:lang w:val="fr-CA"/>
        </w:rPr>
        <w:t xml:space="preserve">74/50 (pour les phases ultérieures), et étendue aux pays qui ne sont pas des </w:t>
      </w:r>
      <w:r w:rsidR="009260EE" w:rsidRPr="00A52C0B">
        <w:rPr>
          <w:lang w:val="fr-CA"/>
        </w:rPr>
        <w:t>pays FVC</w:t>
      </w:r>
      <w:r w:rsidR="002C5DA8" w:rsidRPr="00A52C0B">
        <w:rPr>
          <w:lang w:val="fr-CA"/>
        </w:rPr>
        <w:t xml:space="preserve">, au lieu d’utiliser un seuil </w:t>
      </w:r>
      <w:r w:rsidR="0000437E">
        <w:rPr>
          <w:lang w:val="fr-CA"/>
        </w:rPr>
        <w:t xml:space="preserve">de </w:t>
      </w:r>
      <w:r w:rsidR="002C5DA8" w:rsidRPr="00A52C0B">
        <w:rPr>
          <w:lang w:val="fr-CA"/>
        </w:rPr>
        <w:t>coût</w:t>
      </w:r>
      <w:r w:rsidR="00471A2B" w:rsidRPr="00A52C0B">
        <w:rPr>
          <w:lang w:val="fr-CA"/>
        </w:rPr>
        <w:noBreakHyphen/>
      </w:r>
      <w:r w:rsidR="002C5DA8" w:rsidRPr="00A52C0B">
        <w:rPr>
          <w:lang w:val="fr-CA"/>
        </w:rPr>
        <w:t>efficacité unique (p.</w:t>
      </w:r>
      <w:r w:rsidR="00CE18C7" w:rsidRPr="00A52C0B">
        <w:rPr>
          <w:lang w:val="fr-CA"/>
        </w:rPr>
        <w:t> </w:t>
      </w:r>
      <w:r w:rsidR="002C5DA8" w:rsidRPr="00A52C0B">
        <w:rPr>
          <w:lang w:val="fr-CA"/>
        </w:rPr>
        <w:t>ex.,</w:t>
      </w:r>
      <w:r w:rsidR="00CE18C7" w:rsidRPr="00A52C0B">
        <w:rPr>
          <w:lang w:val="fr-CA"/>
        </w:rPr>
        <w:t> </w:t>
      </w:r>
      <w:r w:rsidR="002C5DA8" w:rsidRPr="00A52C0B">
        <w:rPr>
          <w:lang w:val="fr-CA"/>
        </w:rPr>
        <w:t>4,80</w:t>
      </w:r>
      <w:r w:rsidR="00D50A20" w:rsidRPr="00A52C0B">
        <w:rPr>
          <w:lang w:val="fr-CA"/>
        </w:rPr>
        <w:t> </w:t>
      </w:r>
      <w:r w:rsidR="002C5DA8" w:rsidRPr="00A52C0B">
        <w:rPr>
          <w:lang w:val="fr-CA"/>
        </w:rPr>
        <w:t xml:space="preserve">$US/kg) applicable à la </w:t>
      </w:r>
      <w:r w:rsidR="002C5DA8" w:rsidRPr="00A52C0B">
        <w:rPr>
          <w:lang w:val="fr-CA"/>
        </w:rPr>
        <w:lastRenderedPageBreak/>
        <w:t xml:space="preserve">consommation de HCFC dans le secteur de l’entretien de l’équipement de réfrigération </w:t>
      </w:r>
      <w:r w:rsidR="009F6770" w:rsidRPr="00A52C0B">
        <w:rPr>
          <w:lang w:val="fr-CA"/>
        </w:rPr>
        <w:t xml:space="preserve">admissible </w:t>
      </w:r>
      <w:r w:rsidR="00CE18C7" w:rsidRPr="00A52C0B">
        <w:rPr>
          <w:lang w:val="fr-CA"/>
        </w:rPr>
        <w:t>à un</w:t>
      </w:r>
      <w:r w:rsidR="009F6770" w:rsidRPr="00A52C0B">
        <w:rPr>
          <w:lang w:val="fr-CA"/>
        </w:rPr>
        <w:t xml:space="preserve"> financement</w:t>
      </w:r>
      <w:r w:rsidR="002C5DA8" w:rsidRPr="00A52C0B">
        <w:rPr>
          <w:lang w:val="fr-CA"/>
        </w:rPr>
        <w:t>.</w:t>
      </w:r>
      <w:r w:rsidR="005A5A1E" w:rsidRPr="00A52C0B">
        <w:rPr>
          <w:lang w:val="fr-CA"/>
        </w:rPr>
        <w:t xml:space="preserve"> </w:t>
      </w:r>
    </w:p>
    <w:p w14:paraId="61B67A51" w14:textId="2F241BA7" w:rsidR="005A5A1E" w:rsidRPr="00A52C0B" w:rsidRDefault="002C5DA8" w:rsidP="005A5A1E">
      <w:pPr>
        <w:pStyle w:val="Heading1"/>
        <w:rPr>
          <w:lang w:val="fr-CA"/>
        </w:rPr>
      </w:pPr>
      <w:r w:rsidRPr="00A52C0B">
        <w:rPr>
          <w:lang w:val="fr-CA"/>
        </w:rPr>
        <w:t xml:space="preserve">Cette modalité permettrait d’établir une stratégie globale pour l’élimination des HCFC et la réduction progressive des HFC, en vue d’exécuter un certain nombre d’activités communes concernant </w:t>
      </w:r>
      <w:r w:rsidR="0000437E">
        <w:rPr>
          <w:lang w:val="fr-CA"/>
        </w:rPr>
        <w:t xml:space="preserve">les </w:t>
      </w:r>
      <w:r w:rsidRPr="00A52C0B">
        <w:rPr>
          <w:lang w:val="fr-CA"/>
        </w:rPr>
        <w:t>de</w:t>
      </w:r>
      <w:r w:rsidR="00CE18C7" w:rsidRPr="00A52C0B">
        <w:rPr>
          <w:lang w:val="fr-CA"/>
        </w:rPr>
        <w:t xml:space="preserve">ux </w:t>
      </w:r>
      <w:r w:rsidRPr="00A52C0B">
        <w:rPr>
          <w:lang w:val="fr-CA"/>
        </w:rPr>
        <w:t xml:space="preserve">groupes de substances réglementées, en évitant le </w:t>
      </w:r>
      <w:r w:rsidR="00CE18C7" w:rsidRPr="00A52C0B">
        <w:rPr>
          <w:lang w:val="fr-CA"/>
        </w:rPr>
        <w:t>dédoublement</w:t>
      </w:r>
      <w:r w:rsidRPr="00A52C0B">
        <w:rPr>
          <w:lang w:val="fr-CA"/>
        </w:rPr>
        <w:t xml:space="preserve"> des efforts (et des coûts), et </w:t>
      </w:r>
      <w:r w:rsidR="00CE18C7" w:rsidRPr="00A52C0B">
        <w:rPr>
          <w:lang w:val="fr-CA"/>
        </w:rPr>
        <w:t>allégeant</w:t>
      </w:r>
      <w:r w:rsidRPr="00A52C0B">
        <w:rPr>
          <w:lang w:val="fr-CA"/>
        </w:rPr>
        <w:t xml:space="preserve"> la charge de travail administrative pour les institutions du Fonds multilatéral.</w:t>
      </w:r>
    </w:p>
    <w:p w14:paraId="307F6D9D" w14:textId="174590A4" w:rsidR="005A5A1E" w:rsidRPr="00A52C0B" w:rsidRDefault="002C5DA8" w:rsidP="005A5A1E">
      <w:pPr>
        <w:pStyle w:val="Heading1"/>
        <w:rPr>
          <w:lang w:val="fr-CA"/>
        </w:rPr>
      </w:pPr>
      <w:r w:rsidRPr="00A52C0B">
        <w:rPr>
          <w:lang w:val="fr-CA"/>
        </w:rPr>
        <w:t>Même si cela serait la modalité de financement privilégié</w:t>
      </w:r>
      <w:r w:rsidR="00CE18C7" w:rsidRPr="00A52C0B">
        <w:rPr>
          <w:lang w:val="fr-CA"/>
        </w:rPr>
        <w:t>e</w:t>
      </w:r>
      <w:r w:rsidRPr="00A52C0B">
        <w:rPr>
          <w:lang w:val="fr-CA"/>
        </w:rPr>
        <w:t>, pour le moment, en l’absence de valeur</w:t>
      </w:r>
      <w:r w:rsidR="0000437E">
        <w:rPr>
          <w:lang w:val="fr-CA"/>
        </w:rPr>
        <w:t>s</w:t>
      </w:r>
      <w:r w:rsidRPr="00A52C0B">
        <w:rPr>
          <w:lang w:val="fr-CA"/>
        </w:rPr>
        <w:t xml:space="preserve"> de référence des HFC </w:t>
      </w:r>
      <w:r w:rsidR="00D50A20" w:rsidRPr="00A52C0B">
        <w:rPr>
          <w:lang w:val="fr-CA"/>
        </w:rPr>
        <w:t>estimées/établi</w:t>
      </w:r>
      <w:r w:rsidR="007138C2" w:rsidRPr="00A52C0B">
        <w:rPr>
          <w:lang w:val="fr-CA"/>
        </w:rPr>
        <w:t>es</w:t>
      </w:r>
      <w:r w:rsidR="00D50A20" w:rsidRPr="00A52C0B">
        <w:rPr>
          <w:lang w:val="fr-CA"/>
        </w:rPr>
        <w:t xml:space="preserve"> et de données sur la distribution sectorielle des HFC dans les diverses applications, il n’est pas possible de regrouper de manière rationnelle les pays visés à l’article 5 (en particulier dans le cas des pays qui ne sont pas des </w:t>
      </w:r>
      <w:r w:rsidR="009260EE" w:rsidRPr="00A52C0B">
        <w:rPr>
          <w:lang w:val="fr-CA"/>
        </w:rPr>
        <w:t>pays FVC</w:t>
      </w:r>
      <w:r w:rsidR="00D50A20" w:rsidRPr="00A52C0B">
        <w:rPr>
          <w:lang w:val="fr-CA"/>
        </w:rPr>
        <w:t>) et d’établir les niveaux de financement associé</w:t>
      </w:r>
      <w:r w:rsidR="006371FA" w:rsidRPr="00A52C0B">
        <w:rPr>
          <w:lang w:val="fr-CA"/>
        </w:rPr>
        <w:t>s</w:t>
      </w:r>
      <w:r w:rsidR="00D50A20" w:rsidRPr="00A52C0B">
        <w:rPr>
          <w:lang w:val="fr-CA"/>
        </w:rPr>
        <w:t xml:space="preserve"> en vue de s’acquitter des obligations en matière de contrôle établi</w:t>
      </w:r>
      <w:r w:rsidR="006371FA" w:rsidRPr="00A52C0B">
        <w:rPr>
          <w:lang w:val="fr-CA"/>
        </w:rPr>
        <w:t>es</w:t>
      </w:r>
      <w:r w:rsidR="00D50A20" w:rsidRPr="00A52C0B">
        <w:rPr>
          <w:lang w:val="fr-CA"/>
        </w:rPr>
        <w:t xml:space="preserve"> en vertu de l’Amendement de Kigali.</w:t>
      </w:r>
      <w:r w:rsidR="005A5A1E" w:rsidRPr="00A52C0B">
        <w:rPr>
          <w:lang w:val="fr-CA"/>
        </w:rPr>
        <w:t xml:space="preserve"> </w:t>
      </w:r>
    </w:p>
    <w:p w14:paraId="239CE100" w14:textId="69A40079" w:rsidR="005A5A1E" w:rsidRPr="00A52C0B" w:rsidRDefault="00D50A20" w:rsidP="005A5A1E">
      <w:pPr>
        <w:pStyle w:val="Heading1"/>
        <w:keepNext/>
        <w:rPr>
          <w:lang w:val="fr-CA"/>
        </w:rPr>
      </w:pPr>
      <w:r w:rsidRPr="00A52C0B">
        <w:rPr>
          <w:lang w:val="fr-CA"/>
        </w:rPr>
        <w:t>De plus, après 2030, les pays visés à l’article 5 auront éliminé les</w:t>
      </w:r>
      <w:r w:rsidR="006371FA" w:rsidRPr="00A52C0B">
        <w:rPr>
          <w:lang w:val="fr-CA"/>
        </w:rPr>
        <w:t xml:space="preserve"> HCFC</w:t>
      </w:r>
      <w:r w:rsidR="005A5A1E" w:rsidRPr="00A52C0B">
        <w:rPr>
          <w:vertAlign w:val="superscript"/>
          <w:lang w:val="fr-CA"/>
        </w:rPr>
        <w:footnoteReference w:id="26"/>
      </w:r>
      <w:r w:rsidR="0000437E">
        <w:rPr>
          <w:lang w:val="fr-CA"/>
        </w:rPr>
        <w:t>,</w:t>
      </w:r>
      <w:r w:rsidRPr="00A52C0B">
        <w:rPr>
          <w:lang w:val="fr-CA"/>
        </w:rPr>
        <w:t xml:space="preserve"> et les activités menées dans le secteur de l’entretien de l’équipement de réfrigération ne concerner</w:t>
      </w:r>
      <w:r w:rsidR="0000437E">
        <w:rPr>
          <w:lang w:val="fr-CA"/>
        </w:rPr>
        <w:t>ont</w:t>
      </w:r>
      <w:r w:rsidRPr="00A52C0B">
        <w:rPr>
          <w:lang w:val="fr-CA"/>
        </w:rPr>
        <w:t xml:space="preserve"> que la réduction progressive des HFC; on devra alors procéder à une évaluation approfondie des modalités et des niveaux de financement pour la réduction progressive de la consommation de HFC dans le secteur de l’entretien de l’équipement de réfrigération</w:t>
      </w:r>
      <w:r w:rsidR="0000437E">
        <w:rPr>
          <w:lang w:val="fr-CA"/>
        </w:rPr>
        <w:t>,</w:t>
      </w:r>
      <w:r w:rsidRPr="00A52C0B">
        <w:rPr>
          <w:lang w:val="fr-CA"/>
        </w:rPr>
        <w:t xml:space="preserve"> selon ce qu’il restera de HFC et le scénario des utilisations de HFC et </w:t>
      </w:r>
      <w:r w:rsidR="004F44D2" w:rsidRPr="00A52C0B">
        <w:rPr>
          <w:lang w:val="fr-CA"/>
        </w:rPr>
        <w:t>d</w:t>
      </w:r>
      <w:r w:rsidRPr="00A52C0B">
        <w:rPr>
          <w:lang w:val="fr-CA"/>
        </w:rPr>
        <w:t>es solutions de remplacement disponible</w:t>
      </w:r>
      <w:r w:rsidR="004F44D2" w:rsidRPr="00A52C0B">
        <w:rPr>
          <w:lang w:val="fr-CA"/>
        </w:rPr>
        <w:t>s</w:t>
      </w:r>
      <w:r w:rsidRPr="00A52C0B">
        <w:rPr>
          <w:lang w:val="fr-CA"/>
        </w:rPr>
        <w:t xml:space="preserve"> sur le marché. </w:t>
      </w:r>
    </w:p>
    <w:p w14:paraId="547082FB" w14:textId="1BEA811B" w:rsidR="005A5A1E" w:rsidRPr="00A52C0B" w:rsidRDefault="005A5A1E" w:rsidP="005A5A1E">
      <w:pPr>
        <w:rPr>
          <w:u w:val="single"/>
          <w:lang w:val="fr-CA"/>
        </w:rPr>
      </w:pPr>
      <w:r w:rsidRPr="00A52C0B">
        <w:rPr>
          <w:u w:val="single"/>
          <w:lang w:val="fr-CA"/>
        </w:rPr>
        <w:t>Modalit</w:t>
      </w:r>
      <w:r w:rsidR="004F44D2" w:rsidRPr="00A52C0B">
        <w:rPr>
          <w:u w:val="single"/>
          <w:lang w:val="fr-CA"/>
        </w:rPr>
        <w:t>é </w:t>
      </w:r>
      <w:r w:rsidRPr="00A52C0B">
        <w:rPr>
          <w:u w:val="single"/>
          <w:lang w:val="fr-CA"/>
        </w:rPr>
        <w:t>3</w:t>
      </w:r>
    </w:p>
    <w:p w14:paraId="7B5DCA0C" w14:textId="77777777" w:rsidR="005A5A1E" w:rsidRPr="00A52C0B" w:rsidRDefault="005A5A1E" w:rsidP="005A5A1E">
      <w:pPr>
        <w:rPr>
          <w:lang w:val="fr-CA"/>
        </w:rPr>
      </w:pPr>
    </w:p>
    <w:p w14:paraId="581D19A8" w14:textId="479AE120" w:rsidR="005A5A1E" w:rsidRPr="00A52C0B" w:rsidRDefault="005A2E41" w:rsidP="005A5A1E">
      <w:pPr>
        <w:pStyle w:val="Heading1"/>
        <w:widowControl w:val="0"/>
        <w:rPr>
          <w:lang w:val="fr-CA"/>
        </w:rPr>
      </w:pPr>
      <w:r w:rsidRPr="00A52C0B">
        <w:rPr>
          <w:lang w:val="fr-CA"/>
        </w:rPr>
        <w:t>Cette modalité veut élargir la modalité de financement convenu</w:t>
      </w:r>
      <w:r w:rsidR="004241CB" w:rsidRPr="00A52C0B">
        <w:rPr>
          <w:lang w:val="fr-CA"/>
        </w:rPr>
        <w:t>e</w:t>
      </w:r>
      <w:r w:rsidRPr="00A52C0B">
        <w:rPr>
          <w:lang w:val="fr-CA"/>
        </w:rPr>
        <w:t xml:space="preserve"> en vertu de la décision</w:t>
      </w:r>
      <w:r w:rsidR="00787B3E" w:rsidRPr="00A52C0B">
        <w:rPr>
          <w:lang w:val="fr-CA"/>
        </w:rPr>
        <w:t> </w:t>
      </w:r>
      <w:r w:rsidRPr="00A52C0B">
        <w:rPr>
          <w:lang w:val="fr-CA"/>
        </w:rPr>
        <w:t xml:space="preserve">74/50 pour la première phase des plans de réduction progressive des HFC quand </w:t>
      </w:r>
      <w:r w:rsidR="004241CB" w:rsidRPr="00A52C0B">
        <w:rPr>
          <w:lang w:val="fr-CA"/>
        </w:rPr>
        <w:t>l’</w:t>
      </w:r>
      <w:r w:rsidRPr="00A52C0B">
        <w:rPr>
          <w:lang w:val="fr-CA"/>
        </w:rPr>
        <w:t>élimination des HCFC et la réduction progressive des HFC se chevauche</w:t>
      </w:r>
      <w:r w:rsidR="004241CB" w:rsidRPr="00A52C0B">
        <w:rPr>
          <w:lang w:val="fr-CA"/>
        </w:rPr>
        <w:t>nt</w:t>
      </w:r>
      <w:r w:rsidR="005A5A1E" w:rsidRPr="00A52C0B">
        <w:rPr>
          <w:vertAlign w:val="superscript"/>
          <w:lang w:val="fr-CA"/>
        </w:rPr>
        <w:footnoteReference w:id="27"/>
      </w:r>
      <w:r w:rsidR="004241CB" w:rsidRPr="00A52C0B">
        <w:rPr>
          <w:lang w:val="fr-CA"/>
        </w:rPr>
        <w:t>.</w:t>
      </w:r>
      <w:r w:rsidR="005A5A1E" w:rsidRPr="00A52C0B">
        <w:rPr>
          <w:lang w:val="fr-CA"/>
        </w:rPr>
        <w:t xml:space="preserve"> </w:t>
      </w:r>
      <w:r w:rsidRPr="00A52C0B">
        <w:rPr>
          <w:lang w:val="fr-CA"/>
        </w:rPr>
        <w:t>En l’absence de valeur</w:t>
      </w:r>
      <w:r w:rsidR="00E33912" w:rsidRPr="00A52C0B">
        <w:rPr>
          <w:lang w:val="fr-CA"/>
        </w:rPr>
        <w:t>s</w:t>
      </w:r>
      <w:r w:rsidRPr="00A52C0B">
        <w:rPr>
          <w:lang w:val="fr-CA"/>
        </w:rPr>
        <w:t xml:space="preserve"> de consommation </w:t>
      </w:r>
      <w:r w:rsidR="0000437E">
        <w:rPr>
          <w:lang w:val="fr-CA"/>
        </w:rPr>
        <w:t xml:space="preserve">de référence </w:t>
      </w:r>
      <w:r w:rsidRPr="00A52C0B">
        <w:rPr>
          <w:lang w:val="fr-CA"/>
        </w:rPr>
        <w:t>de</w:t>
      </w:r>
      <w:r w:rsidR="0000437E">
        <w:rPr>
          <w:lang w:val="fr-CA"/>
        </w:rPr>
        <w:t>s</w:t>
      </w:r>
      <w:r w:rsidRPr="00A52C0B">
        <w:rPr>
          <w:lang w:val="fr-CA"/>
        </w:rPr>
        <w:t xml:space="preserve"> HFC estimées/établies, les </w:t>
      </w:r>
      <w:r w:rsidR="009260EE" w:rsidRPr="00A52C0B">
        <w:rPr>
          <w:lang w:val="fr-CA"/>
        </w:rPr>
        <w:t>pays FVC</w:t>
      </w:r>
      <w:r w:rsidRPr="00A52C0B">
        <w:rPr>
          <w:lang w:val="fr-CA"/>
        </w:rPr>
        <w:t xml:space="preserve"> ont été regroupés </w:t>
      </w:r>
      <w:r w:rsidR="00C42B12" w:rsidRPr="00A52C0B">
        <w:rPr>
          <w:lang w:val="fr-CA"/>
        </w:rPr>
        <w:t>selon leur</w:t>
      </w:r>
      <w:r w:rsidR="00E33912" w:rsidRPr="00A52C0B">
        <w:rPr>
          <w:lang w:val="fr-CA"/>
        </w:rPr>
        <w:t>s</w:t>
      </w:r>
      <w:r w:rsidR="00C42B12" w:rsidRPr="00A52C0B">
        <w:rPr>
          <w:lang w:val="fr-CA"/>
        </w:rPr>
        <w:t xml:space="preserve"> valeur</w:t>
      </w:r>
      <w:r w:rsidR="00E33912" w:rsidRPr="00A52C0B">
        <w:rPr>
          <w:lang w:val="fr-CA"/>
        </w:rPr>
        <w:t>s</w:t>
      </w:r>
      <w:r w:rsidR="00C42B12" w:rsidRPr="00A52C0B">
        <w:rPr>
          <w:lang w:val="fr-CA"/>
        </w:rPr>
        <w:t xml:space="preserve"> de référence de HCFC (huit </w:t>
      </w:r>
      <w:r w:rsidR="00E33912" w:rsidRPr="00A52C0B">
        <w:rPr>
          <w:lang w:val="fr-CA"/>
        </w:rPr>
        <w:t>g</w:t>
      </w:r>
      <w:r w:rsidR="00C42B12" w:rsidRPr="00A52C0B">
        <w:rPr>
          <w:lang w:val="fr-CA"/>
        </w:rPr>
        <w:t>roup</w:t>
      </w:r>
      <w:r w:rsidR="00E33912" w:rsidRPr="00A52C0B">
        <w:rPr>
          <w:lang w:val="fr-CA"/>
        </w:rPr>
        <w:t>es</w:t>
      </w:r>
      <w:r w:rsidR="00C42B12" w:rsidRPr="00A52C0B">
        <w:rPr>
          <w:lang w:val="fr-CA"/>
        </w:rPr>
        <w:t>), avec le</w:t>
      </w:r>
      <w:r w:rsidR="00E33912" w:rsidRPr="00A52C0B">
        <w:rPr>
          <w:lang w:val="fr-CA"/>
        </w:rPr>
        <w:t>s</w:t>
      </w:r>
      <w:r w:rsidR="00C42B12" w:rsidRPr="00A52C0B">
        <w:rPr>
          <w:lang w:val="fr-CA"/>
        </w:rPr>
        <w:t xml:space="preserve"> niveau</w:t>
      </w:r>
      <w:r w:rsidR="00E33912" w:rsidRPr="00A52C0B">
        <w:rPr>
          <w:lang w:val="fr-CA"/>
        </w:rPr>
        <w:t>x</w:t>
      </w:r>
      <w:r w:rsidR="00C42B12" w:rsidRPr="00A52C0B">
        <w:rPr>
          <w:lang w:val="fr-CA"/>
        </w:rPr>
        <w:t xml:space="preserve"> de financement associé</w:t>
      </w:r>
      <w:r w:rsidR="00E33912" w:rsidRPr="00A52C0B">
        <w:rPr>
          <w:lang w:val="fr-CA"/>
        </w:rPr>
        <w:t>s</w:t>
      </w:r>
      <w:r w:rsidR="00C42B12" w:rsidRPr="00A52C0B">
        <w:rPr>
          <w:lang w:val="fr-CA"/>
        </w:rPr>
        <w:t xml:space="preserve">; et les pays qui ne sont pas des </w:t>
      </w:r>
      <w:r w:rsidR="009260EE" w:rsidRPr="00A52C0B">
        <w:rPr>
          <w:lang w:val="fr-CA"/>
        </w:rPr>
        <w:t>pays FVC</w:t>
      </w:r>
      <w:r w:rsidR="00C42B12" w:rsidRPr="00A52C0B">
        <w:rPr>
          <w:lang w:val="fr-CA"/>
        </w:rPr>
        <w:t xml:space="preserve"> avec des valeurs de référence de</w:t>
      </w:r>
      <w:r w:rsidR="00E33912" w:rsidRPr="00A52C0B">
        <w:rPr>
          <w:lang w:val="fr-CA"/>
        </w:rPr>
        <w:t xml:space="preserve">s </w:t>
      </w:r>
      <w:r w:rsidR="00C42B12" w:rsidRPr="00A52C0B">
        <w:rPr>
          <w:lang w:val="fr-CA"/>
        </w:rPr>
        <w:t>HFC inférieur</w:t>
      </w:r>
      <w:r w:rsidR="00E33912" w:rsidRPr="00A52C0B">
        <w:rPr>
          <w:lang w:val="fr-CA"/>
        </w:rPr>
        <w:t>es</w:t>
      </w:r>
      <w:r w:rsidR="00C42B12" w:rsidRPr="00A52C0B">
        <w:rPr>
          <w:lang w:val="fr-CA"/>
        </w:rPr>
        <w:t xml:space="preserve"> à 25</w:t>
      </w:r>
      <w:r w:rsidR="00E33912" w:rsidRPr="00A52C0B">
        <w:rPr>
          <w:lang w:val="fr-CA"/>
        </w:rPr>
        <w:t> </w:t>
      </w:r>
      <w:r w:rsidR="00C42B12" w:rsidRPr="00A52C0B">
        <w:rPr>
          <w:lang w:val="fr-CA"/>
        </w:rPr>
        <w:t>000</w:t>
      </w:r>
      <w:r w:rsidR="00E33912" w:rsidRPr="00A52C0B">
        <w:rPr>
          <w:lang w:val="fr-CA"/>
        </w:rPr>
        <w:t> tm</w:t>
      </w:r>
      <w:r w:rsidR="00C42B12" w:rsidRPr="00A52C0B">
        <w:rPr>
          <w:lang w:val="fr-CA"/>
        </w:rPr>
        <w:t xml:space="preserve"> sont tous considérés comme appartenant à un seul groupe, peu importe leur</w:t>
      </w:r>
      <w:r w:rsidR="00E33912" w:rsidRPr="00A52C0B">
        <w:rPr>
          <w:lang w:val="fr-CA"/>
        </w:rPr>
        <w:t>s</w:t>
      </w:r>
      <w:r w:rsidR="00C42B12" w:rsidRPr="00A52C0B">
        <w:rPr>
          <w:lang w:val="fr-CA"/>
        </w:rPr>
        <w:t xml:space="preserve"> valeur</w:t>
      </w:r>
      <w:r w:rsidR="00E33912" w:rsidRPr="00A52C0B">
        <w:rPr>
          <w:lang w:val="fr-CA"/>
        </w:rPr>
        <w:t>s</w:t>
      </w:r>
      <w:r w:rsidR="00C42B12" w:rsidRPr="00A52C0B">
        <w:rPr>
          <w:lang w:val="fr-CA"/>
        </w:rPr>
        <w:t xml:space="preserve"> de référence des HCFC, avec le financement des activités d’élimination </w:t>
      </w:r>
      <w:r w:rsidR="0000437E">
        <w:rPr>
          <w:lang w:val="fr-CA"/>
        </w:rPr>
        <w:t>accordé</w:t>
      </w:r>
      <w:r w:rsidR="00C42B12" w:rsidRPr="00A52C0B">
        <w:rPr>
          <w:lang w:val="fr-CA"/>
        </w:rPr>
        <w:t xml:space="preserve"> </w:t>
      </w:r>
      <w:r w:rsidR="0000437E">
        <w:rPr>
          <w:lang w:val="fr-CA"/>
        </w:rPr>
        <w:t xml:space="preserve">selon </w:t>
      </w:r>
      <w:r w:rsidR="00C42B12" w:rsidRPr="00A52C0B">
        <w:rPr>
          <w:lang w:val="fr-CA"/>
        </w:rPr>
        <w:t>un rapport de coût</w:t>
      </w:r>
      <w:r w:rsidR="00471A2B" w:rsidRPr="00A52C0B">
        <w:rPr>
          <w:lang w:val="fr-CA"/>
        </w:rPr>
        <w:noBreakHyphen/>
      </w:r>
      <w:r w:rsidR="00C42B12" w:rsidRPr="00A52C0B">
        <w:rPr>
          <w:lang w:val="fr-CA"/>
        </w:rPr>
        <w:t>efficacité fixe. Le financement des pays visés à l’article</w:t>
      </w:r>
      <w:r w:rsidR="00787B3E" w:rsidRPr="00A52C0B">
        <w:rPr>
          <w:lang w:val="fr-CA"/>
        </w:rPr>
        <w:t> </w:t>
      </w:r>
      <w:r w:rsidR="00C42B12" w:rsidRPr="00A52C0B">
        <w:rPr>
          <w:lang w:val="fr-CA"/>
        </w:rPr>
        <w:t>5 dont la valeur de référence des HCFC est supérieure à 25</w:t>
      </w:r>
      <w:r w:rsidR="00E33912" w:rsidRPr="00A52C0B">
        <w:rPr>
          <w:lang w:val="fr-CA"/>
        </w:rPr>
        <w:t> </w:t>
      </w:r>
      <w:r w:rsidR="00C42B12" w:rsidRPr="00A52C0B">
        <w:rPr>
          <w:lang w:val="fr-CA"/>
        </w:rPr>
        <w:t>000</w:t>
      </w:r>
      <w:r w:rsidR="00E33912" w:rsidRPr="00A52C0B">
        <w:rPr>
          <w:lang w:val="fr-CA"/>
        </w:rPr>
        <w:t> tm</w:t>
      </w:r>
      <w:r w:rsidR="00C42B12" w:rsidRPr="00A52C0B">
        <w:rPr>
          <w:lang w:val="fr-CA"/>
        </w:rPr>
        <w:t xml:space="preserve"> serait examiné au cas par cas. Comme la modalité précédente, cette modalité permettrait d’élaborer une stratégie globale d’élimination des HCFC et de réduction progressive des HFC, en vue de mener plusieurs activités s’adressant aux deux groupes de substances réglementées, en évitant le chevauchement des efforts et </w:t>
      </w:r>
      <w:r w:rsidR="00E33912" w:rsidRPr="00A52C0B">
        <w:rPr>
          <w:lang w:val="fr-CA"/>
        </w:rPr>
        <w:t xml:space="preserve">en </w:t>
      </w:r>
      <w:r w:rsidR="00C42B12" w:rsidRPr="00A52C0B">
        <w:rPr>
          <w:lang w:val="fr-CA"/>
        </w:rPr>
        <w:t>allégeant la charge de travail administrative des institutions du Fonds.</w:t>
      </w:r>
      <w:r w:rsidR="005A5A1E" w:rsidRPr="00A52C0B">
        <w:rPr>
          <w:lang w:val="fr-CA"/>
        </w:rPr>
        <w:t xml:space="preserve"> </w:t>
      </w:r>
    </w:p>
    <w:p w14:paraId="6F6E2010" w14:textId="43B655FE" w:rsidR="005A5A1E" w:rsidRPr="00A52C0B" w:rsidRDefault="00C42B12" w:rsidP="005A5A1E">
      <w:pPr>
        <w:pStyle w:val="Heading1"/>
        <w:rPr>
          <w:lang w:val="fr-CA"/>
        </w:rPr>
      </w:pPr>
      <w:r w:rsidRPr="00A52C0B">
        <w:rPr>
          <w:lang w:val="fr-CA"/>
        </w:rPr>
        <w:t xml:space="preserve"> </w:t>
      </w:r>
      <w:r w:rsidR="00787B3E" w:rsidRPr="00A52C0B">
        <w:rPr>
          <w:lang w:val="fr-CA"/>
        </w:rPr>
        <w:t>E</w:t>
      </w:r>
      <w:r w:rsidRPr="00A52C0B">
        <w:rPr>
          <w:lang w:val="fr-CA"/>
        </w:rPr>
        <w:t>n l’absence de</w:t>
      </w:r>
      <w:r w:rsidR="00787B3E" w:rsidRPr="00A52C0B">
        <w:rPr>
          <w:lang w:val="fr-CA"/>
        </w:rPr>
        <w:t xml:space="preserve"> </w:t>
      </w:r>
      <w:r w:rsidRPr="00A52C0B">
        <w:rPr>
          <w:lang w:val="fr-CA"/>
        </w:rPr>
        <w:t>valeurs de référence des HFC estimées</w:t>
      </w:r>
      <w:r w:rsidR="005633A2" w:rsidRPr="00A52C0B">
        <w:rPr>
          <w:lang w:val="fr-CA"/>
        </w:rPr>
        <w:t>/</w:t>
      </w:r>
      <w:r w:rsidRPr="00A52C0B">
        <w:rPr>
          <w:lang w:val="fr-CA"/>
        </w:rPr>
        <w:t>établi</w:t>
      </w:r>
      <w:r w:rsidR="00787B3E" w:rsidRPr="00A52C0B">
        <w:rPr>
          <w:lang w:val="fr-CA"/>
        </w:rPr>
        <w:t>es</w:t>
      </w:r>
      <w:r w:rsidRPr="00A52C0B">
        <w:rPr>
          <w:lang w:val="fr-CA"/>
        </w:rPr>
        <w:t xml:space="preserve"> et de données sur la distribution sectorielle des HFC</w:t>
      </w:r>
      <w:r w:rsidR="00787B3E" w:rsidRPr="00A52C0B">
        <w:rPr>
          <w:lang w:val="fr-CA"/>
        </w:rPr>
        <w:t>,</w:t>
      </w:r>
      <w:r w:rsidRPr="00A52C0B">
        <w:rPr>
          <w:lang w:val="fr-CA"/>
        </w:rPr>
        <w:t xml:space="preserve"> il s’agit de la modalité privilégiée pour satisfaire les exigences du gel et de la réduction de 10</w:t>
      </w:r>
      <w:r w:rsidR="005633A2" w:rsidRPr="00A52C0B">
        <w:rPr>
          <w:lang w:val="fr-CA"/>
        </w:rPr>
        <w:t> </w:t>
      </w:r>
      <w:r w:rsidRPr="00A52C0B">
        <w:rPr>
          <w:lang w:val="fr-CA"/>
        </w:rPr>
        <w:t>pour</w:t>
      </w:r>
      <w:r w:rsidR="005633A2" w:rsidRPr="00A52C0B">
        <w:rPr>
          <w:lang w:val="fr-CA"/>
        </w:rPr>
        <w:t> </w:t>
      </w:r>
      <w:r w:rsidRPr="00A52C0B">
        <w:rPr>
          <w:lang w:val="fr-CA"/>
        </w:rPr>
        <w:t>cent par rapport aux valeurs de référence des HFC, étant donné que le regroupement des pays</w:t>
      </w:r>
      <w:r w:rsidR="005633A2" w:rsidRPr="00A52C0B">
        <w:rPr>
          <w:lang w:val="fr-CA"/>
        </w:rPr>
        <w:t xml:space="preserve"> et</w:t>
      </w:r>
      <w:r w:rsidRPr="00A52C0B">
        <w:rPr>
          <w:lang w:val="fr-CA"/>
        </w:rPr>
        <w:t xml:space="preserve"> les niveaux de financement associé</w:t>
      </w:r>
      <w:r w:rsidR="005633A2" w:rsidRPr="00A52C0B">
        <w:rPr>
          <w:lang w:val="fr-CA"/>
        </w:rPr>
        <w:t>s</w:t>
      </w:r>
      <w:r w:rsidRPr="00A52C0B">
        <w:rPr>
          <w:lang w:val="fr-CA"/>
        </w:rPr>
        <w:t xml:space="preserve"> des PGEH en cours demeureront, ce qui faciliterait l’intégration </w:t>
      </w:r>
      <w:r w:rsidR="00774D6F" w:rsidRPr="00A52C0B">
        <w:rPr>
          <w:lang w:val="fr-CA"/>
        </w:rPr>
        <w:t xml:space="preserve">des activités d’élimination/réduction progressive dans le secteur de l’entretien. </w:t>
      </w:r>
    </w:p>
    <w:p w14:paraId="6ED10470" w14:textId="1BBB6610" w:rsidR="005A5A1E" w:rsidRPr="00A52C0B" w:rsidRDefault="00774D6F" w:rsidP="005A5A1E">
      <w:pPr>
        <w:pStyle w:val="Heading1"/>
        <w:rPr>
          <w:lang w:val="fr-CA"/>
        </w:rPr>
      </w:pPr>
      <w:r w:rsidRPr="00A52C0B">
        <w:rPr>
          <w:lang w:val="fr-CA"/>
        </w:rPr>
        <w:t xml:space="preserve">Quant aux </w:t>
      </w:r>
      <w:r w:rsidR="009260EE" w:rsidRPr="00A52C0B">
        <w:rPr>
          <w:lang w:val="fr-CA"/>
        </w:rPr>
        <w:t>pays FVC</w:t>
      </w:r>
      <w:r w:rsidRPr="00A52C0B">
        <w:rPr>
          <w:lang w:val="fr-CA"/>
        </w:rPr>
        <w:t>, le Secrétariat estime que le financement supplémentaire pourrait atteindre 15</w:t>
      </w:r>
      <w:r w:rsidR="00787B3E" w:rsidRPr="00A52C0B">
        <w:rPr>
          <w:lang w:val="fr-CA"/>
        </w:rPr>
        <w:t> </w:t>
      </w:r>
      <w:r w:rsidRPr="00A52C0B">
        <w:rPr>
          <w:lang w:val="fr-CA"/>
        </w:rPr>
        <w:t>pour</w:t>
      </w:r>
      <w:r w:rsidR="00491F53" w:rsidRPr="00A52C0B">
        <w:rPr>
          <w:lang w:val="fr-CA"/>
        </w:rPr>
        <w:t> </w:t>
      </w:r>
      <w:r w:rsidRPr="00A52C0B">
        <w:rPr>
          <w:lang w:val="fr-CA"/>
        </w:rPr>
        <w:t>cent du financement global convenu au titre de la décision</w:t>
      </w:r>
      <w:r w:rsidR="00787B3E" w:rsidRPr="00A52C0B">
        <w:rPr>
          <w:lang w:val="fr-CA"/>
        </w:rPr>
        <w:t> </w:t>
      </w:r>
      <w:r w:rsidRPr="00A52C0B">
        <w:rPr>
          <w:lang w:val="fr-CA"/>
        </w:rPr>
        <w:t xml:space="preserve">74/50, étant entendu que les </w:t>
      </w:r>
      <w:r w:rsidR="009260EE" w:rsidRPr="00A52C0B">
        <w:rPr>
          <w:lang w:val="fr-CA"/>
        </w:rPr>
        <w:t>pays FVC</w:t>
      </w:r>
      <w:r w:rsidRPr="00A52C0B">
        <w:rPr>
          <w:lang w:val="fr-CA"/>
        </w:rPr>
        <w:t xml:space="preserve"> s’engagent à satisfaire les exigences du gel et de la réduction de 10</w:t>
      </w:r>
      <w:r w:rsidR="00787B3E" w:rsidRPr="00A52C0B">
        <w:rPr>
          <w:lang w:val="fr-CA"/>
        </w:rPr>
        <w:t> </w:t>
      </w:r>
      <w:r w:rsidRPr="00A52C0B">
        <w:rPr>
          <w:lang w:val="fr-CA"/>
        </w:rPr>
        <w:t>pour</w:t>
      </w:r>
      <w:r w:rsidR="00491F53" w:rsidRPr="00A52C0B">
        <w:rPr>
          <w:lang w:val="fr-CA"/>
        </w:rPr>
        <w:t> </w:t>
      </w:r>
      <w:r w:rsidRPr="00A52C0B">
        <w:rPr>
          <w:lang w:val="fr-CA"/>
        </w:rPr>
        <w:t xml:space="preserve">cent de leur valeur de référence des HFC. Ce financement, qui se situe à environ une fois et demie le financement approuvé pour atteindre </w:t>
      </w:r>
      <w:r w:rsidRPr="00A52C0B">
        <w:rPr>
          <w:lang w:val="fr-CA"/>
        </w:rPr>
        <w:lastRenderedPageBreak/>
        <w:t>la réduction de 10</w:t>
      </w:r>
      <w:r w:rsidR="00787B3E" w:rsidRPr="00A52C0B">
        <w:rPr>
          <w:lang w:val="fr-CA"/>
        </w:rPr>
        <w:t> </w:t>
      </w:r>
      <w:r w:rsidRPr="00A52C0B">
        <w:rPr>
          <w:lang w:val="fr-CA"/>
        </w:rPr>
        <w:t>pour</w:t>
      </w:r>
      <w:r w:rsidR="00491F53" w:rsidRPr="00A52C0B">
        <w:rPr>
          <w:lang w:val="fr-CA"/>
        </w:rPr>
        <w:t> </w:t>
      </w:r>
      <w:r w:rsidRPr="00A52C0B">
        <w:rPr>
          <w:lang w:val="fr-CA"/>
        </w:rPr>
        <w:t>cent de la consommation de HCFC en vertu de la décision</w:t>
      </w:r>
      <w:r w:rsidR="00787B3E" w:rsidRPr="00A52C0B">
        <w:rPr>
          <w:lang w:val="fr-CA"/>
        </w:rPr>
        <w:t> </w:t>
      </w:r>
      <w:r w:rsidRPr="00A52C0B">
        <w:rPr>
          <w:lang w:val="fr-CA"/>
        </w:rPr>
        <w:t>60/44</w:t>
      </w:r>
      <w:r w:rsidR="0000437E">
        <w:rPr>
          <w:lang w:val="fr-CA"/>
        </w:rPr>
        <w:t>,</w:t>
      </w:r>
      <w:r w:rsidRPr="00A52C0B">
        <w:rPr>
          <w:lang w:val="fr-CA"/>
        </w:rPr>
        <w:t xml:space="preserve"> permettra aux </w:t>
      </w:r>
      <w:r w:rsidR="009260EE" w:rsidRPr="00A52C0B">
        <w:rPr>
          <w:lang w:val="fr-CA"/>
        </w:rPr>
        <w:t>pays FVC</w:t>
      </w:r>
      <w:r w:rsidRPr="00A52C0B">
        <w:rPr>
          <w:lang w:val="fr-CA"/>
        </w:rPr>
        <w:t xml:space="preserve"> </w:t>
      </w:r>
      <w:r w:rsidR="00787876" w:rsidRPr="00A52C0B">
        <w:rPr>
          <w:lang w:val="fr-CA"/>
        </w:rPr>
        <w:t>de répondre aux enjeux décrits dans les documents qui portent sur le secteur de l’entretien de l’équipement de réfrigération et la mise en œuvre en parallèle et intégr</w:t>
      </w:r>
      <w:r w:rsidR="00491F53" w:rsidRPr="00A52C0B">
        <w:rPr>
          <w:lang w:val="fr-CA"/>
        </w:rPr>
        <w:t>ée</w:t>
      </w:r>
      <w:r w:rsidR="00787876" w:rsidRPr="00A52C0B">
        <w:rPr>
          <w:lang w:val="fr-CA"/>
        </w:rPr>
        <w:t xml:space="preserve"> des activités d’élimination des HCFC et de réduction progressive des HFC, dont il est question dans la section Contexte, et récapitulé</w:t>
      </w:r>
      <w:r w:rsidR="00491F53" w:rsidRPr="00A52C0B">
        <w:rPr>
          <w:lang w:val="fr-CA"/>
        </w:rPr>
        <w:t>es</w:t>
      </w:r>
      <w:r w:rsidR="00787876" w:rsidRPr="00A52C0B">
        <w:rPr>
          <w:lang w:val="fr-CA"/>
        </w:rPr>
        <w:t xml:space="preserve"> dans le présent document.</w:t>
      </w:r>
      <w:r w:rsidR="005A5A1E" w:rsidRPr="00A52C0B">
        <w:rPr>
          <w:lang w:val="fr-CA"/>
        </w:rPr>
        <w:t xml:space="preserve"> </w:t>
      </w:r>
    </w:p>
    <w:p w14:paraId="63A43BFD" w14:textId="58E91032" w:rsidR="005A5A1E" w:rsidRPr="00A52C0B" w:rsidRDefault="00787876" w:rsidP="005A5A1E">
      <w:pPr>
        <w:pStyle w:val="Heading1"/>
        <w:rPr>
          <w:lang w:val="fr-CA"/>
        </w:rPr>
      </w:pPr>
      <w:r w:rsidRPr="00A52C0B">
        <w:rPr>
          <w:lang w:val="fr-CA"/>
        </w:rPr>
        <w:t>En outre, à l’intérieur de ces niveaux de financement, on pourrait donner suite à la demande présentée par les Parties au paragraphe</w:t>
      </w:r>
      <w:r w:rsidR="00787B3E" w:rsidRPr="00A52C0B">
        <w:rPr>
          <w:lang w:val="fr-CA"/>
        </w:rPr>
        <w:t> </w:t>
      </w:r>
      <w:r w:rsidRPr="00A52C0B">
        <w:rPr>
          <w:lang w:val="fr-CA"/>
        </w:rPr>
        <w:t>16 de la décision</w:t>
      </w:r>
      <w:r w:rsidR="00787B3E" w:rsidRPr="00A52C0B">
        <w:rPr>
          <w:lang w:val="fr-CA"/>
        </w:rPr>
        <w:t> </w:t>
      </w:r>
      <w:r w:rsidRPr="00A52C0B">
        <w:rPr>
          <w:lang w:val="fr-CA"/>
        </w:rPr>
        <w:t>XXVIII/2 (c.</w:t>
      </w:r>
      <w:r w:rsidR="00471A2B" w:rsidRPr="00A52C0B">
        <w:rPr>
          <w:lang w:val="fr-CA"/>
        </w:rPr>
        <w:noBreakHyphen/>
      </w:r>
      <w:r w:rsidRPr="00A52C0B">
        <w:rPr>
          <w:lang w:val="fr-CA"/>
        </w:rPr>
        <w:t>à</w:t>
      </w:r>
      <w:r w:rsidR="00471A2B" w:rsidRPr="00A52C0B">
        <w:rPr>
          <w:lang w:val="fr-CA"/>
        </w:rPr>
        <w:noBreakHyphen/>
      </w:r>
      <w:r w:rsidRPr="00A52C0B">
        <w:rPr>
          <w:lang w:val="fr-CA"/>
        </w:rPr>
        <w:t>d.,</w:t>
      </w:r>
      <w:r w:rsidR="00017203" w:rsidRPr="00A52C0B">
        <w:rPr>
          <w:lang w:val="fr-CA"/>
        </w:rPr>
        <w:t> </w:t>
      </w:r>
      <w:r w:rsidRPr="00A52C0B">
        <w:rPr>
          <w:lang w:val="fr-CA"/>
        </w:rPr>
        <w:t>introduction de solutions de remplacement des HCFC par des frigorigènes à faible</w:t>
      </w:r>
      <w:r w:rsidR="00017203" w:rsidRPr="00A52C0B">
        <w:rPr>
          <w:lang w:val="fr-CA"/>
        </w:rPr>
        <w:t> </w:t>
      </w:r>
      <w:r w:rsidRPr="00A52C0B">
        <w:rPr>
          <w:lang w:val="fr-CA"/>
        </w:rPr>
        <w:t xml:space="preserve">PRG et/ou </w:t>
      </w:r>
      <w:r w:rsidR="00017203" w:rsidRPr="00A52C0B">
        <w:rPr>
          <w:lang w:val="fr-CA"/>
        </w:rPr>
        <w:t xml:space="preserve">à </w:t>
      </w:r>
      <w:r w:rsidRPr="00A52C0B">
        <w:rPr>
          <w:lang w:val="fr-CA"/>
        </w:rPr>
        <w:t>PRG</w:t>
      </w:r>
      <w:r w:rsidR="00017203" w:rsidRPr="00A52C0B">
        <w:rPr>
          <w:lang w:val="fr-CA"/>
        </w:rPr>
        <w:t> </w:t>
      </w:r>
      <w:r w:rsidRPr="00A52C0B">
        <w:rPr>
          <w:lang w:val="fr-CA"/>
        </w:rPr>
        <w:t xml:space="preserve">nul et maintien de l’efficacité énergétique dans le secteur de l’entretien/service aux utilisateurs). </w:t>
      </w:r>
    </w:p>
    <w:p w14:paraId="2E9E4A21" w14:textId="1DE13309" w:rsidR="005A5A1E" w:rsidRPr="00A52C0B" w:rsidRDefault="00787876" w:rsidP="005A5A1E">
      <w:pPr>
        <w:pStyle w:val="Heading1"/>
        <w:rPr>
          <w:lang w:val="fr-CA"/>
        </w:rPr>
      </w:pPr>
      <w:r w:rsidRPr="00A52C0B">
        <w:rPr>
          <w:lang w:val="fr-CA"/>
        </w:rPr>
        <w:t>Le tableau</w:t>
      </w:r>
      <w:r w:rsidR="00787B3E" w:rsidRPr="00A52C0B">
        <w:rPr>
          <w:lang w:val="fr-CA"/>
        </w:rPr>
        <w:t> </w:t>
      </w:r>
      <w:r w:rsidRPr="00A52C0B">
        <w:rPr>
          <w:lang w:val="fr-CA"/>
        </w:rPr>
        <w:t>5 ci</w:t>
      </w:r>
      <w:r w:rsidR="00471A2B" w:rsidRPr="00A52C0B">
        <w:rPr>
          <w:lang w:val="fr-CA"/>
        </w:rPr>
        <w:noBreakHyphen/>
      </w:r>
      <w:r w:rsidRPr="00A52C0B">
        <w:rPr>
          <w:lang w:val="fr-CA"/>
        </w:rPr>
        <w:t>après présente les niveaux de financement proposé</w:t>
      </w:r>
      <w:r w:rsidR="00017203" w:rsidRPr="00A52C0B">
        <w:rPr>
          <w:lang w:val="fr-CA"/>
        </w:rPr>
        <w:t>s</w:t>
      </w:r>
      <w:r w:rsidRPr="00A52C0B">
        <w:rPr>
          <w:lang w:val="fr-CA"/>
        </w:rPr>
        <w:t xml:space="preserve"> pour la phase</w:t>
      </w:r>
      <w:r w:rsidR="00017203" w:rsidRPr="00A52C0B">
        <w:rPr>
          <w:lang w:val="fr-CA"/>
        </w:rPr>
        <w:t> </w:t>
      </w:r>
      <w:r w:rsidRPr="00A52C0B">
        <w:rPr>
          <w:lang w:val="fr-CA"/>
        </w:rPr>
        <w:t xml:space="preserve">I des plans de réduction progressive des HFC </w:t>
      </w:r>
      <w:r w:rsidR="00074452">
        <w:rPr>
          <w:lang w:val="fr-CA"/>
        </w:rPr>
        <w:t>dans</w:t>
      </w:r>
      <w:r w:rsidRPr="00A52C0B">
        <w:rPr>
          <w:lang w:val="fr-CA"/>
        </w:rPr>
        <w:t xml:space="preserve"> les </w:t>
      </w:r>
      <w:r w:rsidR="009260EE" w:rsidRPr="00A52C0B">
        <w:rPr>
          <w:lang w:val="fr-CA"/>
        </w:rPr>
        <w:t>pays FVC</w:t>
      </w:r>
      <w:r w:rsidRPr="00A52C0B">
        <w:rPr>
          <w:lang w:val="fr-CA"/>
        </w:rPr>
        <w:t>.</w:t>
      </w:r>
    </w:p>
    <w:p w14:paraId="098E9913" w14:textId="086CDD60" w:rsidR="005A5A1E" w:rsidRPr="00A52C0B" w:rsidRDefault="005A5A1E" w:rsidP="005A5A1E">
      <w:pPr>
        <w:pStyle w:val="Heading1"/>
        <w:numPr>
          <w:ilvl w:val="0"/>
          <w:numId w:val="0"/>
        </w:numPr>
        <w:spacing w:after="0"/>
        <w:rPr>
          <w:b/>
          <w:sz w:val="21"/>
          <w:szCs w:val="21"/>
          <w:lang w:val="fr-CA"/>
        </w:rPr>
      </w:pPr>
      <w:r w:rsidRPr="00A52C0B">
        <w:rPr>
          <w:b/>
          <w:sz w:val="21"/>
          <w:szCs w:val="21"/>
          <w:lang w:val="fr-CA"/>
        </w:rPr>
        <w:t>Table</w:t>
      </w:r>
      <w:r w:rsidR="001527BF" w:rsidRPr="00A52C0B">
        <w:rPr>
          <w:b/>
          <w:sz w:val="21"/>
          <w:szCs w:val="21"/>
          <w:lang w:val="fr-CA"/>
        </w:rPr>
        <w:t>au</w:t>
      </w:r>
      <w:r w:rsidR="00787B3E" w:rsidRPr="00A52C0B">
        <w:rPr>
          <w:b/>
          <w:sz w:val="21"/>
          <w:szCs w:val="21"/>
          <w:lang w:val="fr-CA"/>
        </w:rPr>
        <w:t> </w:t>
      </w:r>
      <w:r w:rsidRPr="00A52C0B">
        <w:rPr>
          <w:b/>
          <w:sz w:val="21"/>
          <w:szCs w:val="21"/>
          <w:lang w:val="fr-CA"/>
        </w:rPr>
        <w:t xml:space="preserve">5. </w:t>
      </w:r>
      <w:r w:rsidR="00787876" w:rsidRPr="00A52C0B">
        <w:rPr>
          <w:b/>
          <w:sz w:val="21"/>
          <w:szCs w:val="21"/>
          <w:lang w:val="fr-CA"/>
        </w:rPr>
        <w:t>Niveau</w:t>
      </w:r>
      <w:r w:rsidR="00017203" w:rsidRPr="00A52C0B">
        <w:rPr>
          <w:b/>
          <w:sz w:val="21"/>
          <w:szCs w:val="21"/>
          <w:lang w:val="fr-CA"/>
        </w:rPr>
        <w:t>x</w:t>
      </w:r>
      <w:r w:rsidR="00787876" w:rsidRPr="00A52C0B">
        <w:rPr>
          <w:b/>
          <w:sz w:val="21"/>
          <w:szCs w:val="21"/>
          <w:lang w:val="fr-CA"/>
        </w:rPr>
        <w:t xml:space="preserve"> de financement proposé</w:t>
      </w:r>
      <w:r w:rsidR="00017203" w:rsidRPr="00A52C0B">
        <w:rPr>
          <w:b/>
          <w:sz w:val="21"/>
          <w:szCs w:val="21"/>
          <w:lang w:val="fr-CA"/>
        </w:rPr>
        <w:t>s</w:t>
      </w:r>
      <w:r w:rsidR="00787876" w:rsidRPr="00A52C0B">
        <w:rPr>
          <w:b/>
          <w:sz w:val="21"/>
          <w:szCs w:val="21"/>
          <w:lang w:val="fr-CA"/>
        </w:rPr>
        <w:t xml:space="preserve"> pour la phase</w:t>
      </w:r>
      <w:r w:rsidR="00017203" w:rsidRPr="00A52C0B">
        <w:rPr>
          <w:b/>
          <w:sz w:val="21"/>
          <w:szCs w:val="21"/>
          <w:lang w:val="fr-CA"/>
        </w:rPr>
        <w:t> </w:t>
      </w:r>
      <w:r w:rsidR="00787876" w:rsidRPr="00A52C0B">
        <w:rPr>
          <w:b/>
          <w:sz w:val="21"/>
          <w:szCs w:val="21"/>
          <w:lang w:val="fr-CA"/>
        </w:rPr>
        <w:t xml:space="preserve">I des plans de réduction progressive des HFC dans les </w:t>
      </w:r>
      <w:r w:rsidR="009260EE" w:rsidRPr="00A52C0B">
        <w:rPr>
          <w:b/>
          <w:sz w:val="21"/>
          <w:szCs w:val="21"/>
          <w:lang w:val="fr-CA"/>
        </w:rPr>
        <w:t>pays FVC</w:t>
      </w:r>
      <w:r w:rsidR="00787876" w:rsidRPr="00A52C0B">
        <w:rPr>
          <w:b/>
          <w:sz w:val="21"/>
          <w:szCs w:val="21"/>
          <w:lang w:val="fr-CA"/>
        </w:rPr>
        <w:t xml:space="preserve"> ($US) </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8"/>
        <w:gridCol w:w="1676"/>
        <w:gridCol w:w="1677"/>
        <w:gridCol w:w="1677"/>
        <w:gridCol w:w="1676"/>
        <w:gridCol w:w="1676"/>
      </w:tblGrid>
      <w:tr w:rsidR="005A5A1E" w:rsidRPr="00AA6F65" w14:paraId="11A050C2" w14:textId="77777777" w:rsidTr="005A5A1E">
        <w:trPr>
          <w:tblHeader/>
        </w:trPr>
        <w:tc>
          <w:tcPr>
            <w:tcW w:w="518" w:type="pct"/>
            <w:vMerge w:val="restart"/>
            <w:shd w:val="clear" w:color="auto" w:fill="auto"/>
            <w:noWrap/>
          </w:tcPr>
          <w:p w14:paraId="3E933383" w14:textId="2B8844A6" w:rsidR="005A5A1E" w:rsidRPr="00A52C0B" w:rsidRDefault="001527BF" w:rsidP="005A5A1E">
            <w:pPr>
              <w:jc w:val="center"/>
              <w:rPr>
                <w:b/>
                <w:bCs/>
                <w:color w:val="000000"/>
                <w:sz w:val="20"/>
                <w:szCs w:val="20"/>
                <w:lang w:val="fr-CA" w:eastAsia="es-419"/>
              </w:rPr>
            </w:pPr>
            <w:r w:rsidRPr="00A52C0B">
              <w:rPr>
                <w:b/>
                <w:bCs/>
                <w:color w:val="000000"/>
                <w:sz w:val="20"/>
                <w:szCs w:val="20"/>
                <w:lang w:val="fr-CA" w:eastAsia="es-419"/>
              </w:rPr>
              <w:t>Valeur de référence</w:t>
            </w:r>
            <w:r w:rsidR="005A5A1E" w:rsidRPr="00A52C0B">
              <w:rPr>
                <w:b/>
                <w:bCs/>
                <w:color w:val="000000"/>
                <w:sz w:val="20"/>
                <w:szCs w:val="20"/>
                <w:lang w:val="fr-CA" w:eastAsia="es-419"/>
              </w:rPr>
              <w:t xml:space="preserve"> (</w:t>
            </w:r>
            <w:r w:rsidRPr="00A52C0B">
              <w:rPr>
                <w:b/>
                <w:bCs/>
                <w:color w:val="000000"/>
                <w:sz w:val="20"/>
                <w:szCs w:val="20"/>
                <w:lang w:val="fr-CA" w:eastAsia="es-419"/>
              </w:rPr>
              <w:t>tm</w:t>
            </w:r>
            <w:r w:rsidR="005A5A1E" w:rsidRPr="00A52C0B">
              <w:rPr>
                <w:b/>
                <w:bCs/>
                <w:color w:val="000000"/>
                <w:sz w:val="20"/>
                <w:szCs w:val="20"/>
                <w:lang w:val="fr-CA" w:eastAsia="es-419"/>
              </w:rPr>
              <w:t>)</w:t>
            </w:r>
          </w:p>
        </w:tc>
        <w:tc>
          <w:tcPr>
            <w:tcW w:w="1793" w:type="pct"/>
            <w:gridSpan w:val="2"/>
            <w:shd w:val="clear" w:color="auto" w:fill="auto"/>
            <w:noWrap/>
            <w:tcMar>
              <w:left w:w="0" w:type="dxa"/>
              <w:right w:w="0" w:type="dxa"/>
            </w:tcMar>
          </w:tcPr>
          <w:p w14:paraId="302BF89D" w14:textId="1E6EE0B1" w:rsidR="005A5A1E" w:rsidRPr="00A52C0B" w:rsidRDefault="001527BF" w:rsidP="005A5A1E">
            <w:pPr>
              <w:jc w:val="center"/>
              <w:rPr>
                <w:b/>
                <w:bCs/>
                <w:color w:val="000000"/>
                <w:sz w:val="20"/>
                <w:szCs w:val="20"/>
                <w:lang w:val="fr-CA" w:eastAsia="es-419"/>
              </w:rPr>
            </w:pPr>
            <w:r w:rsidRPr="00A52C0B">
              <w:rPr>
                <w:b/>
                <w:bCs/>
                <w:color w:val="000000"/>
                <w:sz w:val="20"/>
                <w:szCs w:val="20"/>
                <w:lang w:val="fr-CA" w:eastAsia="es-419"/>
              </w:rPr>
              <w:t xml:space="preserve">Financement </w:t>
            </w:r>
            <w:r w:rsidR="004044D7">
              <w:rPr>
                <w:b/>
                <w:bCs/>
                <w:color w:val="000000"/>
                <w:sz w:val="20"/>
                <w:szCs w:val="20"/>
                <w:lang w:val="fr-CA" w:eastAsia="es-419"/>
              </w:rPr>
              <w:t xml:space="preserve">élimination </w:t>
            </w:r>
            <w:r w:rsidR="00584BE1">
              <w:rPr>
                <w:b/>
                <w:bCs/>
                <w:color w:val="000000"/>
                <w:sz w:val="20"/>
                <w:szCs w:val="20"/>
                <w:lang w:val="fr-CA" w:eastAsia="es-419"/>
              </w:rPr>
              <w:t>des</w:t>
            </w:r>
            <w:r w:rsidR="004044D7">
              <w:rPr>
                <w:b/>
                <w:bCs/>
                <w:color w:val="000000"/>
                <w:sz w:val="20"/>
                <w:szCs w:val="20"/>
                <w:lang w:val="fr-CA" w:eastAsia="es-419"/>
              </w:rPr>
              <w:t xml:space="preserve"> </w:t>
            </w:r>
            <w:r w:rsidR="005A5A1E" w:rsidRPr="00A52C0B">
              <w:rPr>
                <w:b/>
                <w:bCs/>
                <w:color w:val="000000"/>
                <w:sz w:val="20"/>
                <w:szCs w:val="20"/>
                <w:lang w:val="fr-CA" w:eastAsia="es-419"/>
              </w:rPr>
              <w:t>HCFC</w:t>
            </w:r>
          </w:p>
        </w:tc>
        <w:tc>
          <w:tcPr>
            <w:tcW w:w="897" w:type="pct"/>
            <w:vMerge w:val="restart"/>
            <w:shd w:val="clear" w:color="auto" w:fill="auto"/>
            <w:noWrap/>
            <w:tcMar>
              <w:left w:w="0" w:type="dxa"/>
              <w:right w:w="0" w:type="dxa"/>
            </w:tcMar>
          </w:tcPr>
          <w:p w14:paraId="21ED7894" w14:textId="6FF6A25D" w:rsidR="005A5A1E" w:rsidRPr="004044D7" w:rsidRDefault="001527BF" w:rsidP="004044D7">
            <w:pPr>
              <w:jc w:val="center"/>
              <w:rPr>
                <w:b/>
                <w:bCs/>
                <w:color w:val="000000"/>
                <w:sz w:val="20"/>
                <w:szCs w:val="20"/>
                <w:lang w:val="fr-CA" w:eastAsia="es-419"/>
              </w:rPr>
            </w:pPr>
            <w:r w:rsidRPr="004044D7">
              <w:rPr>
                <w:b/>
                <w:bCs/>
                <w:color w:val="000000"/>
                <w:sz w:val="20"/>
                <w:szCs w:val="20"/>
                <w:lang w:val="fr-CA" w:eastAsia="es-419"/>
              </w:rPr>
              <w:t xml:space="preserve">Financement maximal </w:t>
            </w:r>
            <w:r w:rsidR="00584BE1" w:rsidRPr="004044D7">
              <w:rPr>
                <w:b/>
                <w:bCs/>
                <w:color w:val="000000"/>
                <w:sz w:val="20"/>
                <w:szCs w:val="20"/>
                <w:lang w:val="fr-CA" w:eastAsia="es-419"/>
              </w:rPr>
              <w:t>réduction</w:t>
            </w:r>
            <w:r w:rsidR="004044D7" w:rsidRPr="004044D7">
              <w:rPr>
                <w:b/>
                <w:bCs/>
                <w:color w:val="000000"/>
                <w:sz w:val="20"/>
                <w:szCs w:val="20"/>
                <w:lang w:val="fr-CA" w:eastAsia="es-419"/>
              </w:rPr>
              <w:t xml:space="preserve"> progressive d</w:t>
            </w:r>
            <w:r w:rsidR="004044D7">
              <w:rPr>
                <w:b/>
                <w:bCs/>
                <w:color w:val="000000"/>
                <w:sz w:val="20"/>
                <w:szCs w:val="20"/>
                <w:lang w:val="fr-CA" w:eastAsia="es-419"/>
              </w:rPr>
              <w:t>es</w:t>
            </w:r>
            <w:r w:rsidR="004044D7" w:rsidRPr="004044D7">
              <w:rPr>
                <w:b/>
                <w:bCs/>
                <w:color w:val="000000"/>
                <w:sz w:val="20"/>
                <w:szCs w:val="20"/>
                <w:lang w:val="fr-CA" w:eastAsia="es-419"/>
              </w:rPr>
              <w:t xml:space="preserve"> </w:t>
            </w:r>
            <w:r w:rsidRPr="004044D7">
              <w:rPr>
                <w:b/>
                <w:bCs/>
                <w:color w:val="000000"/>
                <w:sz w:val="20"/>
                <w:szCs w:val="20"/>
                <w:lang w:val="fr-CA" w:eastAsia="es-419"/>
              </w:rPr>
              <w:t>HFC</w:t>
            </w:r>
          </w:p>
          <w:p w14:paraId="2E377B91" w14:textId="2864A8FA" w:rsidR="005A5A1E" w:rsidRPr="00CC1480" w:rsidRDefault="001527BF" w:rsidP="005A5A1E">
            <w:pPr>
              <w:jc w:val="center"/>
              <w:rPr>
                <w:b/>
                <w:bCs/>
                <w:color w:val="000000"/>
                <w:sz w:val="20"/>
                <w:szCs w:val="20"/>
                <w:lang w:val="en-CA" w:eastAsia="es-419"/>
              </w:rPr>
            </w:pPr>
            <w:r w:rsidRPr="00CC1480">
              <w:rPr>
                <w:b/>
                <w:bCs/>
                <w:color w:val="000000"/>
                <w:sz w:val="20"/>
                <w:szCs w:val="20"/>
                <w:lang w:val="en-CA" w:eastAsia="es-419"/>
              </w:rPr>
              <w:t>Phase </w:t>
            </w:r>
            <w:r w:rsidR="005A5A1E" w:rsidRPr="00CC1480">
              <w:rPr>
                <w:b/>
                <w:bCs/>
                <w:color w:val="000000"/>
                <w:sz w:val="20"/>
                <w:szCs w:val="20"/>
                <w:lang w:val="en-CA" w:eastAsia="es-419"/>
              </w:rPr>
              <w:t>I</w:t>
            </w:r>
            <w:r w:rsidRPr="00CC1480">
              <w:rPr>
                <w:b/>
                <w:bCs/>
                <w:color w:val="000000"/>
                <w:sz w:val="20"/>
                <w:szCs w:val="20"/>
                <w:lang w:val="en-CA" w:eastAsia="es-419"/>
              </w:rPr>
              <w:t> </w:t>
            </w:r>
            <w:r w:rsidR="005A5A1E" w:rsidRPr="00CC1480">
              <w:rPr>
                <w:b/>
                <w:bCs/>
                <w:color w:val="000000"/>
                <w:sz w:val="20"/>
                <w:szCs w:val="20"/>
                <w:lang w:val="en-CA" w:eastAsia="es-419"/>
              </w:rPr>
              <w:t>: 10</w:t>
            </w:r>
            <w:r w:rsidRPr="00CC1480">
              <w:rPr>
                <w:b/>
                <w:bCs/>
                <w:color w:val="000000"/>
                <w:sz w:val="20"/>
                <w:szCs w:val="20"/>
                <w:lang w:val="en-CA" w:eastAsia="es-419"/>
              </w:rPr>
              <w:t> </w:t>
            </w:r>
            <w:r w:rsidR="005A5A1E" w:rsidRPr="00CC1480">
              <w:rPr>
                <w:b/>
                <w:bCs/>
                <w:color w:val="000000"/>
                <w:sz w:val="20"/>
                <w:szCs w:val="20"/>
                <w:lang w:val="en-CA" w:eastAsia="es-419"/>
              </w:rPr>
              <w:t>%</w:t>
            </w:r>
          </w:p>
        </w:tc>
        <w:tc>
          <w:tcPr>
            <w:tcW w:w="896" w:type="pct"/>
            <w:vMerge w:val="restart"/>
            <w:shd w:val="clear" w:color="auto" w:fill="auto"/>
            <w:noWrap/>
            <w:tcMar>
              <w:left w:w="0" w:type="dxa"/>
              <w:right w:w="0" w:type="dxa"/>
            </w:tcMar>
          </w:tcPr>
          <w:p w14:paraId="218C2D30" w14:textId="77D5FD50" w:rsidR="005A5A1E" w:rsidRPr="00A52C0B" w:rsidRDefault="001527BF" w:rsidP="005A5A1E">
            <w:pPr>
              <w:jc w:val="center"/>
              <w:rPr>
                <w:b/>
                <w:bCs/>
                <w:color w:val="000000"/>
                <w:sz w:val="20"/>
                <w:szCs w:val="20"/>
                <w:lang w:val="fr-CA" w:eastAsia="es-419"/>
              </w:rPr>
            </w:pPr>
            <w:r w:rsidRPr="00A52C0B">
              <w:rPr>
                <w:b/>
                <w:bCs/>
                <w:color w:val="000000"/>
                <w:sz w:val="20"/>
                <w:szCs w:val="20"/>
                <w:lang w:val="fr-CA" w:eastAsia="es-419"/>
              </w:rPr>
              <w:t>Nombre</w:t>
            </w:r>
            <w:r w:rsidR="00787B3E" w:rsidRPr="00A52C0B">
              <w:rPr>
                <w:b/>
                <w:bCs/>
                <w:color w:val="000000"/>
                <w:sz w:val="20"/>
                <w:szCs w:val="20"/>
                <w:lang w:val="fr-CA" w:eastAsia="es-419"/>
              </w:rPr>
              <w:br/>
            </w:r>
            <w:r w:rsidRPr="00A52C0B">
              <w:rPr>
                <w:b/>
                <w:bCs/>
                <w:color w:val="000000"/>
                <w:sz w:val="20"/>
                <w:szCs w:val="20"/>
                <w:lang w:val="fr-CA" w:eastAsia="es-419"/>
              </w:rPr>
              <w:t>de pays</w:t>
            </w:r>
            <w:r w:rsidR="005A5A1E" w:rsidRPr="00A52C0B">
              <w:rPr>
                <w:b/>
                <w:bCs/>
                <w:color w:val="000000"/>
                <w:sz w:val="20"/>
                <w:szCs w:val="20"/>
                <w:lang w:val="fr-CA" w:eastAsia="es-419"/>
              </w:rPr>
              <w:t>*</w:t>
            </w:r>
          </w:p>
        </w:tc>
        <w:tc>
          <w:tcPr>
            <w:tcW w:w="896" w:type="pct"/>
            <w:vMerge w:val="restart"/>
            <w:shd w:val="clear" w:color="auto" w:fill="auto"/>
            <w:noWrap/>
            <w:tcMar>
              <w:left w:w="0" w:type="dxa"/>
              <w:right w:w="0" w:type="dxa"/>
            </w:tcMar>
          </w:tcPr>
          <w:p w14:paraId="19AE572B" w14:textId="6C96F1AE" w:rsidR="001527BF" w:rsidRPr="00A52C0B" w:rsidRDefault="001527BF" w:rsidP="001527BF">
            <w:pPr>
              <w:jc w:val="center"/>
              <w:rPr>
                <w:b/>
                <w:bCs/>
                <w:color w:val="000000"/>
                <w:sz w:val="20"/>
                <w:szCs w:val="20"/>
                <w:lang w:val="fr-CA" w:eastAsia="es-419"/>
              </w:rPr>
            </w:pPr>
            <w:r w:rsidRPr="00A52C0B">
              <w:rPr>
                <w:b/>
                <w:bCs/>
                <w:color w:val="000000"/>
                <w:sz w:val="20"/>
                <w:szCs w:val="20"/>
                <w:lang w:val="fr-CA" w:eastAsia="es-419"/>
              </w:rPr>
              <w:t xml:space="preserve">Financement total phase I </w:t>
            </w:r>
            <w:r w:rsidR="004044D7">
              <w:rPr>
                <w:b/>
                <w:bCs/>
                <w:color w:val="000000"/>
                <w:sz w:val="20"/>
                <w:szCs w:val="20"/>
                <w:lang w:val="fr-CA" w:eastAsia="es-419"/>
              </w:rPr>
              <w:t xml:space="preserve">réduction progressive </w:t>
            </w:r>
            <w:r w:rsidR="00787B3E" w:rsidRPr="00A52C0B">
              <w:rPr>
                <w:b/>
                <w:bCs/>
                <w:color w:val="000000"/>
                <w:sz w:val="20"/>
                <w:szCs w:val="20"/>
                <w:lang w:val="fr-CA" w:eastAsia="es-419"/>
              </w:rPr>
              <w:t>d</w:t>
            </w:r>
            <w:r w:rsidRPr="00A52C0B">
              <w:rPr>
                <w:b/>
                <w:bCs/>
                <w:color w:val="000000"/>
                <w:sz w:val="20"/>
                <w:szCs w:val="20"/>
                <w:lang w:val="fr-CA" w:eastAsia="es-419"/>
              </w:rPr>
              <w:t>es HFC</w:t>
            </w:r>
          </w:p>
          <w:p w14:paraId="5052C019" w14:textId="7D92A06F" w:rsidR="005A5A1E" w:rsidRPr="00A52C0B" w:rsidRDefault="005A5A1E" w:rsidP="005A5A1E">
            <w:pPr>
              <w:jc w:val="center"/>
              <w:rPr>
                <w:b/>
                <w:bCs/>
                <w:color w:val="000000"/>
                <w:sz w:val="20"/>
                <w:szCs w:val="20"/>
                <w:lang w:val="fr-CA" w:eastAsia="es-419"/>
              </w:rPr>
            </w:pPr>
          </w:p>
        </w:tc>
      </w:tr>
      <w:tr w:rsidR="005A5A1E" w:rsidRPr="00A52C0B" w14:paraId="6D67F8E1" w14:textId="77777777" w:rsidTr="005A5A1E">
        <w:trPr>
          <w:tblHeader/>
        </w:trPr>
        <w:tc>
          <w:tcPr>
            <w:tcW w:w="518" w:type="pct"/>
            <w:vMerge/>
            <w:shd w:val="clear" w:color="auto" w:fill="auto"/>
            <w:noWrap/>
            <w:hideMark/>
          </w:tcPr>
          <w:p w14:paraId="4E46D581" w14:textId="77777777" w:rsidR="005A5A1E" w:rsidRPr="00A52C0B" w:rsidRDefault="005A5A1E" w:rsidP="005A5A1E">
            <w:pPr>
              <w:jc w:val="center"/>
              <w:rPr>
                <w:b/>
                <w:bCs/>
                <w:color w:val="000000"/>
                <w:sz w:val="20"/>
                <w:szCs w:val="20"/>
                <w:lang w:val="fr-CA" w:eastAsia="es-419"/>
              </w:rPr>
            </w:pPr>
          </w:p>
        </w:tc>
        <w:tc>
          <w:tcPr>
            <w:tcW w:w="896" w:type="pct"/>
            <w:shd w:val="clear" w:color="auto" w:fill="auto"/>
            <w:noWrap/>
            <w:tcMar>
              <w:left w:w="0" w:type="dxa"/>
              <w:right w:w="0" w:type="dxa"/>
            </w:tcMar>
            <w:hideMark/>
          </w:tcPr>
          <w:p w14:paraId="0E798417" w14:textId="77777777" w:rsidR="005A5A1E" w:rsidRPr="00A52C0B" w:rsidRDefault="005A5A1E" w:rsidP="005A5A1E">
            <w:pPr>
              <w:jc w:val="center"/>
              <w:rPr>
                <w:b/>
                <w:bCs/>
                <w:color w:val="000000"/>
                <w:sz w:val="20"/>
                <w:szCs w:val="20"/>
                <w:lang w:val="fr-CA" w:eastAsia="es-419"/>
              </w:rPr>
            </w:pPr>
            <w:r w:rsidRPr="00A52C0B">
              <w:rPr>
                <w:b/>
                <w:bCs/>
                <w:color w:val="000000"/>
                <w:sz w:val="20"/>
                <w:szCs w:val="20"/>
                <w:lang w:val="fr-CA" w:eastAsia="es-419"/>
              </w:rPr>
              <w:t xml:space="preserve">Total </w:t>
            </w:r>
          </w:p>
          <w:p w14:paraId="66CD321B" w14:textId="65A0CBDE" w:rsidR="005A5A1E" w:rsidRPr="00A52C0B" w:rsidRDefault="005A5A1E" w:rsidP="005A5A1E">
            <w:pPr>
              <w:jc w:val="center"/>
              <w:rPr>
                <w:b/>
                <w:bCs/>
                <w:color w:val="000000"/>
                <w:sz w:val="20"/>
                <w:szCs w:val="20"/>
                <w:lang w:val="fr-CA" w:eastAsia="es-419"/>
              </w:rPr>
            </w:pPr>
            <w:r w:rsidRPr="00A52C0B">
              <w:rPr>
                <w:b/>
                <w:bCs/>
                <w:color w:val="000000"/>
                <w:sz w:val="20"/>
                <w:szCs w:val="20"/>
                <w:lang w:val="fr-CA" w:eastAsia="es-419"/>
              </w:rPr>
              <w:t>(d</w:t>
            </w:r>
            <w:r w:rsidR="001527BF" w:rsidRPr="00A52C0B">
              <w:rPr>
                <w:b/>
                <w:bCs/>
                <w:color w:val="000000"/>
                <w:sz w:val="20"/>
                <w:szCs w:val="20"/>
                <w:lang w:val="fr-CA" w:eastAsia="es-419"/>
              </w:rPr>
              <w:t>é</w:t>
            </w:r>
            <w:r w:rsidRPr="00A52C0B">
              <w:rPr>
                <w:b/>
                <w:bCs/>
                <w:color w:val="000000"/>
                <w:sz w:val="20"/>
                <w:szCs w:val="20"/>
                <w:lang w:val="fr-CA" w:eastAsia="es-419"/>
              </w:rPr>
              <w:t>cision</w:t>
            </w:r>
            <w:r w:rsidR="001527BF" w:rsidRPr="00A52C0B">
              <w:rPr>
                <w:b/>
                <w:bCs/>
                <w:color w:val="000000"/>
                <w:sz w:val="20"/>
                <w:szCs w:val="20"/>
                <w:lang w:val="fr-CA" w:eastAsia="es-419"/>
              </w:rPr>
              <w:t> </w:t>
            </w:r>
            <w:r w:rsidRPr="00A52C0B">
              <w:rPr>
                <w:b/>
                <w:bCs/>
                <w:color w:val="000000"/>
                <w:sz w:val="20"/>
                <w:szCs w:val="20"/>
                <w:lang w:val="fr-CA" w:eastAsia="es-419"/>
              </w:rPr>
              <w:t>74/50)</w:t>
            </w:r>
          </w:p>
        </w:tc>
        <w:tc>
          <w:tcPr>
            <w:tcW w:w="897" w:type="pct"/>
            <w:tcMar>
              <w:left w:w="0" w:type="dxa"/>
              <w:right w:w="0" w:type="dxa"/>
            </w:tcMar>
          </w:tcPr>
          <w:p w14:paraId="69082826" w14:textId="479FCDC4" w:rsidR="005A5A1E" w:rsidRPr="00A52C0B" w:rsidRDefault="00017203" w:rsidP="005A5A1E">
            <w:pPr>
              <w:jc w:val="center"/>
              <w:rPr>
                <w:b/>
                <w:bCs/>
                <w:color w:val="000000"/>
                <w:sz w:val="20"/>
                <w:szCs w:val="20"/>
                <w:lang w:val="fr-CA" w:eastAsia="es-419"/>
              </w:rPr>
            </w:pPr>
            <w:r w:rsidRPr="00A52C0B">
              <w:rPr>
                <w:b/>
                <w:bCs/>
                <w:color w:val="000000"/>
                <w:sz w:val="20"/>
                <w:szCs w:val="20"/>
                <w:lang w:val="fr-CA" w:eastAsia="es-419"/>
              </w:rPr>
              <w:t>Phase </w:t>
            </w:r>
            <w:r w:rsidR="005A5A1E" w:rsidRPr="00A52C0B">
              <w:rPr>
                <w:b/>
                <w:bCs/>
                <w:color w:val="000000"/>
                <w:sz w:val="20"/>
                <w:szCs w:val="20"/>
                <w:lang w:val="fr-CA" w:eastAsia="es-419"/>
              </w:rPr>
              <w:t>I</w:t>
            </w:r>
            <w:r w:rsidR="00787876" w:rsidRPr="00A52C0B">
              <w:rPr>
                <w:b/>
                <w:bCs/>
                <w:color w:val="000000"/>
                <w:sz w:val="20"/>
                <w:szCs w:val="20"/>
                <w:lang w:val="fr-CA" w:eastAsia="es-419"/>
              </w:rPr>
              <w:t> </w:t>
            </w:r>
            <w:r w:rsidR="005A5A1E" w:rsidRPr="00A52C0B">
              <w:rPr>
                <w:b/>
                <w:bCs/>
                <w:color w:val="000000"/>
                <w:sz w:val="20"/>
                <w:szCs w:val="20"/>
                <w:lang w:val="fr-CA" w:eastAsia="es-419"/>
              </w:rPr>
              <w:t>: 10</w:t>
            </w:r>
            <w:r w:rsidR="00787876" w:rsidRPr="00A52C0B">
              <w:rPr>
                <w:b/>
                <w:bCs/>
                <w:color w:val="000000"/>
                <w:sz w:val="20"/>
                <w:szCs w:val="20"/>
                <w:lang w:val="fr-CA" w:eastAsia="es-419"/>
              </w:rPr>
              <w:t> </w:t>
            </w:r>
            <w:r w:rsidR="005A5A1E" w:rsidRPr="00A52C0B">
              <w:rPr>
                <w:b/>
                <w:bCs/>
                <w:color w:val="000000"/>
                <w:sz w:val="20"/>
                <w:szCs w:val="20"/>
                <w:lang w:val="fr-CA" w:eastAsia="es-419"/>
              </w:rPr>
              <w:t>% (d</w:t>
            </w:r>
            <w:r w:rsidR="00787876" w:rsidRPr="00A52C0B">
              <w:rPr>
                <w:b/>
                <w:bCs/>
                <w:color w:val="000000"/>
                <w:sz w:val="20"/>
                <w:szCs w:val="20"/>
                <w:lang w:val="fr-CA" w:eastAsia="es-419"/>
              </w:rPr>
              <w:t>é</w:t>
            </w:r>
            <w:r w:rsidR="005A5A1E" w:rsidRPr="00A52C0B">
              <w:rPr>
                <w:b/>
                <w:bCs/>
                <w:color w:val="000000"/>
                <w:sz w:val="20"/>
                <w:szCs w:val="20"/>
                <w:lang w:val="fr-CA" w:eastAsia="es-419"/>
              </w:rPr>
              <w:t>cision</w:t>
            </w:r>
            <w:r w:rsidR="00787876" w:rsidRPr="00A52C0B">
              <w:rPr>
                <w:b/>
                <w:bCs/>
                <w:color w:val="000000"/>
                <w:sz w:val="20"/>
                <w:szCs w:val="20"/>
                <w:lang w:val="fr-CA" w:eastAsia="es-419"/>
              </w:rPr>
              <w:t> </w:t>
            </w:r>
            <w:r w:rsidR="005A5A1E" w:rsidRPr="00A52C0B">
              <w:rPr>
                <w:b/>
                <w:bCs/>
                <w:color w:val="000000"/>
                <w:sz w:val="20"/>
                <w:szCs w:val="20"/>
                <w:lang w:val="fr-CA" w:eastAsia="es-419"/>
              </w:rPr>
              <w:t>60/44)</w:t>
            </w:r>
          </w:p>
        </w:tc>
        <w:tc>
          <w:tcPr>
            <w:tcW w:w="897" w:type="pct"/>
            <w:vMerge/>
            <w:shd w:val="clear" w:color="auto" w:fill="auto"/>
            <w:noWrap/>
            <w:tcMar>
              <w:left w:w="0" w:type="dxa"/>
              <w:right w:w="0" w:type="dxa"/>
            </w:tcMar>
            <w:hideMark/>
          </w:tcPr>
          <w:p w14:paraId="78F91AAF" w14:textId="77777777" w:rsidR="005A5A1E" w:rsidRPr="00A52C0B" w:rsidRDefault="005A5A1E" w:rsidP="005A5A1E">
            <w:pPr>
              <w:jc w:val="center"/>
              <w:rPr>
                <w:b/>
                <w:bCs/>
                <w:color w:val="000000"/>
                <w:sz w:val="20"/>
                <w:szCs w:val="20"/>
                <w:lang w:val="fr-CA" w:eastAsia="es-419"/>
              </w:rPr>
            </w:pPr>
          </w:p>
        </w:tc>
        <w:tc>
          <w:tcPr>
            <w:tcW w:w="896" w:type="pct"/>
            <w:vMerge/>
            <w:shd w:val="clear" w:color="auto" w:fill="auto"/>
            <w:noWrap/>
            <w:tcMar>
              <w:left w:w="0" w:type="dxa"/>
              <w:right w:w="0" w:type="dxa"/>
            </w:tcMar>
            <w:hideMark/>
          </w:tcPr>
          <w:p w14:paraId="0781A676" w14:textId="77777777" w:rsidR="005A5A1E" w:rsidRPr="00A52C0B" w:rsidRDefault="005A5A1E" w:rsidP="005A5A1E">
            <w:pPr>
              <w:jc w:val="center"/>
              <w:rPr>
                <w:b/>
                <w:bCs/>
                <w:color w:val="000000"/>
                <w:sz w:val="20"/>
                <w:szCs w:val="20"/>
                <w:lang w:val="fr-CA" w:eastAsia="es-419"/>
              </w:rPr>
            </w:pPr>
          </w:p>
        </w:tc>
        <w:tc>
          <w:tcPr>
            <w:tcW w:w="896" w:type="pct"/>
            <w:vMerge/>
            <w:shd w:val="clear" w:color="auto" w:fill="auto"/>
            <w:noWrap/>
            <w:tcMar>
              <w:left w:w="0" w:type="dxa"/>
              <w:right w:w="0" w:type="dxa"/>
            </w:tcMar>
            <w:hideMark/>
          </w:tcPr>
          <w:p w14:paraId="13DBAC26" w14:textId="77777777" w:rsidR="005A5A1E" w:rsidRPr="00A52C0B" w:rsidRDefault="005A5A1E" w:rsidP="005A5A1E">
            <w:pPr>
              <w:jc w:val="center"/>
              <w:rPr>
                <w:b/>
                <w:bCs/>
                <w:color w:val="000000"/>
                <w:sz w:val="20"/>
                <w:szCs w:val="20"/>
                <w:lang w:val="fr-CA" w:eastAsia="es-419"/>
              </w:rPr>
            </w:pPr>
          </w:p>
        </w:tc>
      </w:tr>
      <w:tr w:rsidR="005A5A1E" w:rsidRPr="00A52C0B" w14:paraId="32AAEA12" w14:textId="77777777" w:rsidTr="005A5A1E">
        <w:tc>
          <w:tcPr>
            <w:tcW w:w="518" w:type="pct"/>
            <w:shd w:val="clear" w:color="auto" w:fill="auto"/>
            <w:noWrap/>
            <w:hideMark/>
          </w:tcPr>
          <w:p w14:paraId="48C3D017" w14:textId="77777777" w:rsidR="005A5A1E" w:rsidRPr="00A52C0B" w:rsidRDefault="005A5A1E" w:rsidP="005A5A1E">
            <w:pPr>
              <w:jc w:val="left"/>
              <w:rPr>
                <w:color w:val="000000"/>
                <w:sz w:val="20"/>
                <w:szCs w:val="20"/>
                <w:lang w:val="fr-CA" w:eastAsia="es-419"/>
              </w:rPr>
            </w:pPr>
            <w:r w:rsidRPr="00A52C0B">
              <w:rPr>
                <w:color w:val="000000"/>
                <w:sz w:val="20"/>
                <w:szCs w:val="20"/>
                <w:lang w:val="fr-CA" w:eastAsia="es-419"/>
              </w:rPr>
              <w:t>&gt;0 &lt;15</w:t>
            </w:r>
          </w:p>
        </w:tc>
        <w:tc>
          <w:tcPr>
            <w:tcW w:w="896" w:type="pct"/>
            <w:shd w:val="clear" w:color="auto" w:fill="auto"/>
            <w:noWrap/>
            <w:tcMar>
              <w:right w:w="202" w:type="dxa"/>
            </w:tcMar>
            <w:vAlign w:val="center"/>
            <w:hideMark/>
          </w:tcPr>
          <w:p w14:paraId="1B12E20B" w14:textId="0868C471" w:rsidR="005A5A1E" w:rsidRPr="00A52C0B" w:rsidRDefault="005A5A1E" w:rsidP="005A5A1E">
            <w:pPr>
              <w:jc w:val="right"/>
              <w:rPr>
                <w:color w:val="000000"/>
                <w:sz w:val="20"/>
                <w:szCs w:val="20"/>
                <w:lang w:val="fr-CA" w:eastAsia="es-419"/>
              </w:rPr>
            </w:pPr>
            <w:r w:rsidRPr="00A52C0B">
              <w:rPr>
                <w:color w:val="000000"/>
                <w:sz w:val="20"/>
                <w:szCs w:val="20"/>
                <w:lang w:val="fr-CA" w:eastAsia="es-419"/>
              </w:rPr>
              <w:t>587</w:t>
            </w:r>
            <w:r w:rsidR="001527BF" w:rsidRPr="00A52C0B">
              <w:rPr>
                <w:color w:val="000000"/>
                <w:sz w:val="20"/>
                <w:szCs w:val="20"/>
                <w:lang w:val="fr-CA" w:eastAsia="es-419"/>
              </w:rPr>
              <w:t> </w:t>
            </w:r>
            <w:r w:rsidRPr="00A52C0B">
              <w:rPr>
                <w:color w:val="000000"/>
                <w:sz w:val="20"/>
                <w:szCs w:val="20"/>
                <w:lang w:val="fr-CA" w:eastAsia="es-419"/>
              </w:rPr>
              <w:t>500</w:t>
            </w:r>
          </w:p>
        </w:tc>
        <w:tc>
          <w:tcPr>
            <w:tcW w:w="897" w:type="pct"/>
            <w:shd w:val="clear" w:color="auto" w:fill="auto"/>
            <w:tcMar>
              <w:right w:w="202" w:type="dxa"/>
            </w:tcMar>
            <w:vAlign w:val="center"/>
          </w:tcPr>
          <w:p w14:paraId="3E7671C0" w14:textId="0CDAC8B5" w:rsidR="005A5A1E" w:rsidRPr="00A52C0B" w:rsidRDefault="005A5A1E" w:rsidP="005A5A1E">
            <w:pPr>
              <w:jc w:val="right"/>
              <w:rPr>
                <w:color w:val="000000"/>
                <w:sz w:val="20"/>
                <w:szCs w:val="20"/>
                <w:lang w:val="fr-CA" w:eastAsia="es-419"/>
              </w:rPr>
            </w:pPr>
            <w:r w:rsidRPr="00A52C0B">
              <w:rPr>
                <w:color w:val="000000"/>
                <w:sz w:val="20"/>
                <w:szCs w:val="20"/>
                <w:lang w:val="fr-CA" w:eastAsia="es-419"/>
              </w:rPr>
              <w:t>51</w:t>
            </w:r>
            <w:r w:rsidR="001527BF" w:rsidRPr="00A52C0B">
              <w:rPr>
                <w:color w:val="000000"/>
                <w:sz w:val="20"/>
                <w:szCs w:val="20"/>
                <w:lang w:val="fr-CA" w:eastAsia="es-419"/>
              </w:rPr>
              <w:t> </w:t>
            </w:r>
            <w:r w:rsidRPr="00A52C0B">
              <w:rPr>
                <w:color w:val="000000"/>
                <w:sz w:val="20"/>
                <w:szCs w:val="20"/>
                <w:lang w:val="fr-CA" w:eastAsia="es-419"/>
              </w:rPr>
              <w:t>700</w:t>
            </w:r>
          </w:p>
        </w:tc>
        <w:tc>
          <w:tcPr>
            <w:tcW w:w="897" w:type="pct"/>
            <w:shd w:val="clear" w:color="auto" w:fill="auto"/>
            <w:noWrap/>
            <w:tcMar>
              <w:right w:w="202" w:type="dxa"/>
            </w:tcMar>
            <w:vAlign w:val="center"/>
            <w:hideMark/>
          </w:tcPr>
          <w:p w14:paraId="60F69D9A" w14:textId="35CA4991" w:rsidR="005A5A1E" w:rsidRPr="00A52C0B" w:rsidRDefault="005A5A1E" w:rsidP="005A5A1E">
            <w:pPr>
              <w:jc w:val="right"/>
              <w:rPr>
                <w:color w:val="000000"/>
                <w:sz w:val="20"/>
                <w:szCs w:val="20"/>
                <w:lang w:val="fr-CA" w:eastAsia="es-419"/>
              </w:rPr>
            </w:pPr>
            <w:r w:rsidRPr="00A52C0B">
              <w:rPr>
                <w:color w:val="000000"/>
                <w:sz w:val="20"/>
                <w:szCs w:val="20"/>
                <w:lang w:val="fr-CA" w:eastAsia="es-419"/>
              </w:rPr>
              <w:t>88</w:t>
            </w:r>
            <w:r w:rsidR="001527BF" w:rsidRPr="00A52C0B">
              <w:rPr>
                <w:color w:val="000000"/>
                <w:sz w:val="20"/>
                <w:szCs w:val="20"/>
                <w:lang w:val="fr-CA" w:eastAsia="es-419"/>
              </w:rPr>
              <w:t> </w:t>
            </w:r>
            <w:r w:rsidRPr="00A52C0B">
              <w:rPr>
                <w:color w:val="000000"/>
                <w:sz w:val="20"/>
                <w:szCs w:val="20"/>
                <w:lang w:val="fr-CA" w:eastAsia="es-419"/>
              </w:rPr>
              <w:t>125</w:t>
            </w:r>
          </w:p>
        </w:tc>
        <w:tc>
          <w:tcPr>
            <w:tcW w:w="896" w:type="pct"/>
            <w:shd w:val="clear" w:color="auto" w:fill="auto"/>
            <w:noWrap/>
            <w:tcMar>
              <w:right w:w="202" w:type="dxa"/>
            </w:tcMar>
            <w:vAlign w:val="center"/>
            <w:hideMark/>
          </w:tcPr>
          <w:p w14:paraId="70090864" w14:textId="77777777" w:rsidR="005A5A1E" w:rsidRPr="00A52C0B" w:rsidRDefault="005A5A1E" w:rsidP="005A5A1E">
            <w:pPr>
              <w:jc w:val="right"/>
              <w:rPr>
                <w:color w:val="000000"/>
                <w:sz w:val="20"/>
                <w:szCs w:val="20"/>
                <w:lang w:val="fr-CA" w:eastAsia="es-419"/>
              </w:rPr>
            </w:pPr>
            <w:r w:rsidRPr="00A52C0B">
              <w:rPr>
                <w:color w:val="000000"/>
                <w:sz w:val="20"/>
                <w:szCs w:val="20"/>
                <w:lang w:val="fr-CA" w:eastAsia="es-419"/>
              </w:rPr>
              <w:t>21</w:t>
            </w:r>
          </w:p>
        </w:tc>
        <w:tc>
          <w:tcPr>
            <w:tcW w:w="896" w:type="pct"/>
            <w:shd w:val="clear" w:color="auto" w:fill="auto"/>
            <w:noWrap/>
            <w:tcMar>
              <w:right w:w="202" w:type="dxa"/>
            </w:tcMar>
            <w:vAlign w:val="center"/>
            <w:hideMark/>
          </w:tcPr>
          <w:p w14:paraId="2593D04D" w14:textId="0B641642" w:rsidR="005A5A1E" w:rsidRPr="00A52C0B" w:rsidRDefault="005A5A1E" w:rsidP="005A5A1E">
            <w:pPr>
              <w:jc w:val="right"/>
              <w:rPr>
                <w:color w:val="000000"/>
                <w:sz w:val="20"/>
                <w:szCs w:val="20"/>
                <w:lang w:val="fr-CA" w:eastAsia="es-419"/>
              </w:rPr>
            </w:pPr>
            <w:r w:rsidRPr="00A52C0B">
              <w:rPr>
                <w:color w:val="000000"/>
                <w:sz w:val="20"/>
                <w:szCs w:val="20"/>
                <w:lang w:val="fr-CA" w:eastAsia="es-419"/>
              </w:rPr>
              <w:t>1</w:t>
            </w:r>
            <w:r w:rsidR="001527BF" w:rsidRPr="00A52C0B">
              <w:rPr>
                <w:color w:val="000000"/>
                <w:sz w:val="20"/>
                <w:szCs w:val="20"/>
                <w:lang w:val="fr-CA" w:eastAsia="es-419"/>
              </w:rPr>
              <w:t> </w:t>
            </w:r>
            <w:r w:rsidRPr="00A52C0B">
              <w:rPr>
                <w:color w:val="000000"/>
                <w:sz w:val="20"/>
                <w:szCs w:val="20"/>
                <w:lang w:val="fr-CA" w:eastAsia="es-419"/>
              </w:rPr>
              <w:t>850</w:t>
            </w:r>
            <w:r w:rsidR="001527BF" w:rsidRPr="00A52C0B">
              <w:rPr>
                <w:color w:val="000000"/>
                <w:sz w:val="20"/>
                <w:szCs w:val="20"/>
                <w:lang w:val="fr-CA" w:eastAsia="es-419"/>
              </w:rPr>
              <w:t> </w:t>
            </w:r>
            <w:r w:rsidRPr="00A52C0B">
              <w:rPr>
                <w:color w:val="000000"/>
                <w:sz w:val="20"/>
                <w:szCs w:val="20"/>
                <w:lang w:val="fr-CA" w:eastAsia="es-419"/>
              </w:rPr>
              <w:t>625</w:t>
            </w:r>
          </w:p>
        </w:tc>
      </w:tr>
      <w:tr w:rsidR="005A5A1E" w:rsidRPr="00A52C0B" w14:paraId="5D3D8D77" w14:textId="77777777" w:rsidTr="005A5A1E">
        <w:tc>
          <w:tcPr>
            <w:tcW w:w="518" w:type="pct"/>
            <w:shd w:val="clear" w:color="auto" w:fill="auto"/>
            <w:noWrap/>
            <w:hideMark/>
          </w:tcPr>
          <w:p w14:paraId="61E2950C" w14:textId="77777777" w:rsidR="005A5A1E" w:rsidRPr="00A52C0B" w:rsidRDefault="005A5A1E" w:rsidP="005A5A1E">
            <w:pPr>
              <w:jc w:val="left"/>
              <w:rPr>
                <w:color w:val="000000"/>
                <w:sz w:val="20"/>
                <w:szCs w:val="20"/>
                <w:lang w:val="fr-CA" w:eastAsia="es-419"/>
              </w:rPr>
            </w:pPr>
            <w:r w:rsidRPr="00A52C0B">
              <w:rPr>
                <w:color w:val="000000"/>
                <w:sz w:val="20"/>
                <w:szCs w:val="20"/>
                <w:lang w:val="fr-CA" w:eastAsia="es-419"/>
              </w:rPr>
              <w:t>15 &lt;40</w:t>
            </w:r>
          </w:p>
        </w:tc>
        <w:tc>
          <w:tcPr>
            <w:tcW w:w="896" w:type="pct"/>
            <w:shd w:val="clear" w:color="auto" w:fill="auto"/>
            <w:noWrap/>
            <w:tcMar>
              <w:right w:w="202" w:type="dxa"/>
            </w:tcMar>
            <w:vAlign w:val="center"/>
            <w:hideMark/>
          </w:tcPr>
          <w:p w14:paraId="4C7CC566" w14:textId="0FF74DA1" w:rsidR="005A5A1E" w:rsidRPr="00A52C0B" w:rsidRDefault="005A5A1E" w:rsidP="005A5A1E">
            <w:pPr>
              <w:jc w:val="right"/>
              <w:rPr>
                <w:color w:val="000000"/>
                <w:sz w:val="20"/>
                <w:szCs w:val="20"/>
                <w:lang w:val="fr-CA" w:eastAsia="es-419"/>
              </w:rPr>
            </w:pPr>
            <w:r w:rsidRPr="00A52C0B">
              <w:rPr>
                <w:color w:val="000000"/>
                <w:sz w:val="20"/>
                <w:szCs w:val="20"/>
                <w:lang w:val="fr-CA" w:eastAsia="es-419"/>
              </w:rPr>
              <w:t>750</w:t>
            </w:r>
            <w:r w:rsidR="001527BF" w:rsidRPr="00A52C0B">
              <w:rPr>
                <w:color w:val="000000"/>
                <w:sz w:val="20"/>
                <w:szCs w:val="20"/>
                <w:lang w:val="fr-CA" w:eastAsia="es-419"/>
              </w:rPr>
              <w:t> </w:t>
            </w:r>
            <w:r w:rsidRPr="00A52C0B">
              <w:rPr>
                <w:color w:val="000000"/>
                <w:sz w:val="20"/>
                <w:szCs w:val="20"/>
                <w:lang w:val="fr-CA" w:eastAsia="es-419"/>
              </w:rPr>
              <w:t>000</w:t>
            </w:r>
          </w:p>
        </w:tc>
        <w:tc>
          <w:tcPr>
            <w:tcW w:w="897" w:type="pct"/>
            <w:shd w:val="clear" w:color="auto" w:fill="auto"/>
            <w:tcMar>
              <w:right w:w="202" w:type="dxa"/>
            </w:tcMar>
            <w:vAlign w:val="center"/>
          </w:tcPr>
          <w:p w14:paraId="69ADC44D" w14:textId="016FB44F" w:rsidR="005A5A1E" w:rsidRPr="00A52C0B" w:rsidRDefault="005A5A1E" w:rsidP="005A5A1E">
            <w:pPr>
              <w:jc w:val="right"/>
              <w:rPr>
                <w:color w:val="000000"/>
                <w:sz w:val="20"/>
                <w:szCs w:val="20"/>
                <w:lang w:val="fr-CA" w:eastAsia="es-419"/>
              </w:rPr>
            </w:pPr>
            <w:r w:rsidRPr="00A52C0B">
              <w:rPr>
                <w:color w:val="000000"/>
                <w:sz w:val="20"/>
                <w:szCs w:val="20"/>
                <w:lang w:val="fr-CA" w:eastAsia="es-419"/>
              </w:rPr>
              <w:t>66</w:t>
            </w:r>
            <w:r w:rsidR="001527BF" w:rsidRPr="00A52C0B">
              <w:rPr>
                <w:color w:val="000000"/>
                <w:sz w:val="20"/>
                <w:szCs w:val="20"/>
                <w:lang w:val="fr-CA" w:eastAsia="es-419"/>
              </w:rPr>
              <w:t> </w:t>
            </w:r>
            <w:r w:rsidRPr="00A52C0B">
              <w:rPr>
                <w:color w:val="000000"/>
                <w:sz w:val="20"/>
                <w:szCs w:val="20"/>
                <w:lang w:val="fr-CA" w:eastAsia="es-419"/>
              </w:rPr>
              <w:t>000</w:t>
            </w:r>
          </w:p>
        </w:tc>
        <w:tc>
          <w:tcPr>
            <w:tcW w:w="897" w:type="pct"/>
            <w:shd w:val="clear" w:color="auto" w:fill="auto"/>
            <w:noWrap/>
            <w:tcMar>
              <w:right w:w="202" w:type="dxa"/>
            </w:tcMar>
            <w:vAlign w:val="center"/>
            <w:hideMark/>
          </w:tcPr>
          <w:p w14:paraId="4A50AD8A" w14:textId="7B06B20B" w:rsidR="005A5A1E" w:rsidRPr="00A52C0B" w:rsidRDefault="005A5A1E" w:rsidP="005A5A1E">
            <w:pPr>
              <w:jc w:val="right"/>
              <w:rPr>
                <w:color w:val="000000"/>
                <w:sz w:val="20"/>
                <w:szCs w:val="20"/>
                <w:lang w:val="fr-CA" w:eastAsia="es-419"/>
              </w:rPr>
            </w:pPr>
            <w:r w:rsidRPr="00A52C0B">
              <w:rPr>
                <w:color w:val="000000"/>
                <w:sz w:val="20"/>
                <w:szCs w:val="20"/>
                <w:lang w:val="fr-CA" w:eastAsia="es-419"/>
              </w:rPr>
              <w:t>112</w:t>
            </w:r>
            <w:r w:rsidR="001527BF" w:rsidRPr="00A52C0B">
              <w:rPr>
                <w:color w:val="000000"/>
                <w:sz w:val="20"/>
                <w:szCs w:val="20"/>
                <w:lang w:val="fr-CA" w:eastAsia="es-419"/>
              </w:rPr>
              <w:t> </w:t>
            </w:r>
            <w:r w:rsidRPr="00A52C0B">
              <w:rPr>
                <w:color w:val="000000"/>
                <w:sz w:val="20"/>
                <w:szCs w:val="20"/>
                <w:lang w:val="fr-CA" w:eastAsia="es-419"/>
              </w:rPr>
              <w:t>500</w:t>
            </w:r>
          </w:p>
        </w:tc>
        <w:tc>
          <w:tcPr>
            <w:tcW w:w="896" w:type="pct"/>
            <w:shd w:val="clear" w:color="auto" w:fill="auto"/>
            <w:noWrap/>
            <w:tcMar>
              <w:right w:w="202" w:type="dxa"/>
            </w:tcMar>
            <w:vAlign w:val="center"/>
            <w:hideMark/>
          </w:tcPr>
          <w:p w14:paraId="141E72BC" w14:textId="77777777" w:rsidR="005A5A1E" w:rsidRPr="00A52C0B" w:rsidRDefault="005A5A1E" w:rsidP="005A5A1E">
            <w:pPr>
              <w:jc w:val="right"/>
              <w:rPr>
                <w:color w:val="000000"/>
                <w:sz w:val="20"/>
                <w:szCs w:val="20"/>
                <w:lang w:val="fr-CA" w:eastAsia="es-419"/>
              </w:rPr>
            </w:pPr>
            <w:r w:rsidRPr="00A52C0B">
              <w:rPr>
                <w:color w:val="000000"/>
                <w:sz w:val="20"/>
                <w:szCs w:val="20"/>
                <w:lang w:val="fr-CA" w:eastAsia="es-419"/>
              </w:rPr>
              <w:t>17</w:t>
            </w:r>
          </w:p>
        </w:tc>
        <w:tc>
          <w:tcPr>
            <w:tcW w:w="896" w:type="pct"/>
            <w:shd w:val="clear" w:color="auto" w:fill="auto"/>
            <w:noWrap/>
            <w:tcMar>
              <w:right w:w="202" w:type="dxa"/>
            </w:tcMar>
            <w:vAlign w:val="center"/>
            <w:hideMark/>
          </w:tcPr>
          <w:p w14:paraId="6F24437A" w14:textId="54078B47" w:rsidR="005A5A1E" w:rsidRPr="00A52C0B" w:rsidRDefault="005A5A1E" w:rsidP="005A5A1E">
            <w:pPr>
              <w:jc w:val="right"/>
              <w:rPr>
                <w:color w:val="000000"/>
                <w:sz w:val="20"/>
                <w:szCs w:val="20"/>
                <w:lang w:val="fr-CA" w:eastAsia="es-419"/>
              </w:rPr>
            </w:pPr>
            <w:r w:rsidRPr="00A52C0B">
              <w:rPr>
                <w:color w:val="000000"/>
                <w:sz w:val="20"/>
                <w:szCs w:val="20"/>
                <w:lang w:val="fr-CA" w:eastAsia="es-419"/>
              </w:rPr>
              <w:t>1</w:t>
            </w:r>
            <w:r w:rsidR="001527BF" w:rsidRPr="00A52C0B">
              <w:rPr>
                <w:color w:val="000000"/>
                <w:sz w:val="20"/>
                <w:szCs w:val="20"/>
                <w:lang w:val="fr-CA" w:eastAsia="es-419"/>
              </w:rPr>
              <w:t> </w:t>
            </w:r>
            <w:r w:rsidRPr="00A52C0B">
              <w:rPr>
                <w:color w:val="000000"/>
                <w:sz w:val="20"/>
                <w:szCs w:val="20"/>
                <w:lang w:val="fr-CA" w:eastAsia="es-419"/>
              </w:rPr>
              <w:t>912</w:t>
            </w:r>
            <w:r w:rsidR="001527BF" w:rsidRPr="00A52C0B">
              <w:rPr>
                <w:color w:val="000000"/>
                <w:sz w:val="20"/>
                <w:szCs w:val="20"/>
                <w:lang w:val="fr-CA" w:eastAsia="es-419"/>
              </w:rPr>
              <w:t> </w:t>
            </w:r>
            <w:r w:rsidRPr="00A52C0B">
              <w:rPr>
                <w:color w:val="000000"/>
                <w:sz w:val="20"/>
                <w:szCs w:val="20"/>
                <w:lang w:val="fr-CA" w:eastAsia="es-419"/>
              </w:rPr>
              <w:t>000</w:t>
            </w:r>
          </w:p>
        </w:tc>
      </w:tr>
      <w:tr w:rsidR="005A5A1E" w:rsidRPr="00A52C0B" w14:paraId="09A0533E" w14:textId="77777777" w:rsidTr="005A5A1E">
        <w:tc>
          <w:tcPr>
            <w:tcW w:w="518" w:type="pct"/>
            <w:shd w:val="clear" w:color="auto" w:fill="auto"/>
            <w:noWrap/>
            <w:hideMark/>
          </w:tcPr>
          <w:p w14:paraId="1D68E8AC" w14:textId="77777777" w:rsidR="005A5A1E" w:rsidRPr="00A52C0B" w:rsidRDefault="005A5A1E" w:rsidP="005A5A1E">
            <w:pPr>
              <w:jc w:val="left"/>
              <w:rPr>
                <w:color w:val="000000"/>
                <w:sz w:val="20"/>
                <w:szCs w:val="20"/>
                <w:lang w:val="fr-CA" w:eastAsia="es-419"/>
              </w:rPr>
            </w:pPr>
            <w:r w:rsidRPr="00A52C0B">
              <w:rPr>
                <w:color w:val="000000"/>
                <w:sz w:val="20"/>
                <w:szCs w:val="20"/>
                <w:lang w:val="fr-CA" w:eastAsia="es-419"/>
              </w:rPr>
              <w:t>40 &lt;80</w:t>
            </w:r>
          </w:p>
        </w:tc>
        <w:tc>
          <w:tcPr>
            <w:tcW w:w="896" w:type="pct"/>
            <w:shd w:val="clear" w:color="auto" w:fill="auto"/>
            <w:noWrap/>
            <w:tcMar>
              <w:right w:w="202" w:type="dxa"/>
            </w:tcMar>
            <w:vAlign w:val="center"/>
            <w:hideMark/>
          </w:tcPr>
          <w:p w14:paraId="5CB2CB2D" w14:textId="33449C4E" w:rsidR="005A5A1E" w:rsidRPr="00A52C0B" w:rsidRDefault="005A5A1E" w:rsidP="005A5A1E">
            <w:pPr>
              <w:jc w:val="right"/>
              <w:rPr>
                <w:color w:val="000000"/>
                <w:sz w:val="20"/>
                <w:szCs w:val="20"/>
                <w:lang w:val="fr-CA" w:eastAsia="es-419"/>
              </w:rPr>
            </w:pPr>
            <w:r w:rsidRPr="00A52C0B">
              <w:rPr>
                <w:color w:val="000000"/>
                <w:sz w:val="20"/>
                <w:szCs w:val="20"/>
                <w:lang w:val="fr-CA" w:eastAsia="es-419"/>
              </w:rPr>
              <w:t>800</w:t>
            </w:r>
            <w:r w:rsidR="001527BF" w:rsidRPr="00A52C0B">
              <w:rPr>
                <w:color w:val="000000"/>
                <w:sz w:val="20"/>
                <w:szCs w:val="20"/>
                <w:lang w:val="fr-CA" w:eastAsia="es-419"/>
              </w:rPr>
              <w:t> </w:t>
            </w:r>
            <w:r w:rsidRPr="00A52C0B">
              <w:rPr>
                <w:color w:val="000000"/>
                <w:sz w:val="20"/>
                <w:szCs w:val="20"/>
                <w:lang w:val="fr-CA" w:eastAsia="es-419"/>
              </w:rPr>
              <w:t>000</w:t>
            </w:r>
          </w:p>
        </w:tc>
        <w:tc>
          <w:tcPr>
            <w:tcW w:w="897" w:type="pct"/>
            <w:shd w:val="clear" w:color="auto" w:fill="auto"/>
            <w:tcMar>
              <w:right w:w="202" w:type="dxa"/>
            </w:tcMar>
            <w:vAlign w:val="center"/>
          </w:tcPr>
          <w:p w14:paraId="52295C22" w14:textId="611A29D3" w:rsidR="005A5A1E" w:rsidRPr="00A52C0B" w:rsidRDefault="005A5A1E" w:rsidP="005A5A1E">
            <w:pPr>
              <w:jc w:val="right"/>
              <w:rPr>
                <w:color w:val="000000"/>
                <w:sz w:val="20"/>
                <w:szCs w:val="20"/>
                <w:lang w:val="fr-CA" w:eastAsia="es-419"/>
              </w:rPr>
            </w:pPr>
            <w:r w:rsidRPr="00A52C0B">
              <w:rPr>
                <w:color w:val="000000"/>
                <w:sz w:val="20"/>
                <w:szCs w:val="20"/>
                <w:lang w:val="fr-CA" w:eastAsia="es-419"/>
              </w:rPr>
              <w:t>88</w:t>
            </w:r>
            <w:r w:rsidR="001527BF" w:rsidRPr="00A52C0B">
              <w:rPr>
                <w:color w:val="000000"/>
                <w:sz w:val="20"/>
                <w:szCs w:val="20"/>
                <w:lang w:val="fr-CA" w:eastAsia="es-419"/>
              </w:rPr>
              <w:t> </w:t>
            </w:r>
            <w:r w:rsidRPr="00A52C0B">
              <w:rPr>
                <w:color w:val="000000"/>
                <w:sz w:val="20"/>
                <w:szCs w:val="20"/>
                <w:lang w:val="fr-CA" w:eastAsia="es-419"/>
              </w:rPr>
              <w:t>000</w:t>
            </w:r>
          </w:p>
        </w:tc>
        <w:tc>
          <w:tcPr>
            <w:tcW w:w="897" w:type="pct"/>
            <w:shd w:val="clear" w:color="auto" w:fill="auto"/>
            <w:noWrap/>
            <w:tcMar>
              <w:right w:w="202" w:type="dxa"/>
            </w:tcMar>
            <w:vAlign w:val="center"/>
            <w:hideMark/>
          </w:tcPr>
          <w:p w14:paraId="17C05594" w14:textId="396216E3" w:rsidR="005A5A1E" w:rsidRPr="00A52C0B" w:rsidRDefault="005A5A1E" w:rsidP="005A5A1E">
            <w:pPr>
              <w:jc w:val="right"/>
              <w:rPr>
                <w:color w:val="000000"/>
                <w:sz w:val="20"/>
                <w:szCs w:val="20"/>
                <w:lang w:val="fr-CA" w:eastAsia="es-419"/>
              </w:rPr>
            </w:pPr>
            <w:r w:rsidRPr="00A52C0B">
              <w:rPr>
                <w:color w:val="000000"/>
                <w:sz w:val="20"/>
                <w:szCs w:val="20"/>
                <w:lang w:val="fr-CA" w:eastAsia="es-419"/>
              </w:rPr>
              <w:t>120</w:t>
            </w:r>
            <w:r w:rsidR="001527BF" w:rsidRPr="00A52C0B">
              <w:rPr>
                <w:color w:val="000000"/>
                <w:sz w:val="20"/>
                <w:szCs w:val="20"/>
                <w:lang w:val="fr-CA" w:eastAsia="es-419"/>
              </w:rPr>
              <w:t> </w:t>
            </w:r>
            <w:r w:rsidRPr="00A52C0B">
              <w:rPr>
                <w:color w:val="000000"/>
                <w:sz w:val="20"/>
                <w:szCs w:val="20"/>
                <w:lang w:val="fr-CA" w:eastAsia="es-419"/>
              </w:rPr>
              <w:t>000</w:t>
            </w:r>
          </w:p>
        </w:tc>
        <w:tc>
          <w:tcPr>
            <w:tcW w:w="896" w:type="pct"/>
            <w:shd w:val="clear" w:color="auto" w:fill="auto"/>
            <w:noWrap/>
            <w:tcMar>
              <w:right w:w="202" w:type="dxa"/>
            </w:tcMar>
            <w:vAlign w:val="center"/>
            <w:hideMark/>
          </w:tcPr>
          <w:p w14:paraId="489FBE58" w14:textId="77777777" w:rsidR="005A5A1E" w:rsidRPr="00A52C0B" w:rsidRDefault="005A5A1E" w:rsidP="005A5A1E">
            <w:pPr>
              <w:jc w:val="right"/>
              <w:rPr>
                <w:color w:val="000000"/>
                <w:sz w:val="20"/>
                <w:szCs w:val="20"/>
                <w:lang w:val="fr-CA" w:eastAsia="es-419"/>
              </w:rPr>
            </w:pPr>
            <w:r w:rsidRPr="00A52C0B">
              <w:rPr>
                <w:color w:val="000000"/>
                <w:sz w:val="20"/>
                <w:szCs w:val="20"/>
                <w:lang w:val="fr-CA" w:eastAsia="es-419"/>
              </w:rPr>
              <w:t>13</w:t>
            </w:r>
          </w:p>
        </w:tc>
        <w:tc>
          <w:tcPr>
            <w:tcW w:w="896" w:type="pct"/>
            <w:shd w:val="clear" w:color="auto" w:fill="auto"/>
            <w:noWrap/>
            <w:tcMar>
              <w:right w:w="202" w:type="dxa"/>
            </w:tcMar>
            <w:vAlign w:val="center"/>
            <w:hideMark/>
          </w:tcPr>
          <w:p w14:paraId="33561CEC" w14:textId="44B35EA2" w:rsidR="005A5A1E" w:rsidRPr="00A52C0B" w:rsidRDefault="005A5A1E" w:rsidP="005A5A1E">
            <w:pPr>
              <w:jc w:val="right"/>
              <w:rPr>
                <w:color w:val="000000"/>
                <w:sz w:val="20"/>
                <w:szCs w:val="20"/>
                <w:lang w:val="fr-CA" w:eastAsia="es-419"/>
              </w:rPr>
            </w:pPr>
            <w:r w:rsidRPr="00A52C0B">
              <w:rPr>
                <w:color w:val="000000"/>
                <w:sz w:val="20"/>
                <w:szCs w:val="20"/>
                <w:lang w:val="fr-CA" w:eastAsia="es-419"/>
              </w:rPr>
              <w:t>1</w:t>
            </w:r>
            <w:r w:rsidR="001527BF" w:rsidRPr="00A52C0B">
              <w:rPr>
                <w:color w:val="000000"/>
                <w:sz w:val="20"/>
                <w:szCs w:val="20"/>
                <w:lang w:val="fr-CA" w:eastAsia="es-419"/>
              </w:rPr>
              <w:t> </w:t>
            </w:r>
            <w:r w:rsidRPr="00A52C0B">
              <w:rPr>
                <w:color w:val="000000"/>
                <w:sz w:val="20"/>
                <w:szCs w:val="20"/>
                <w:lang w:val="fr-CA" w:eastAsia="es-419"/>
              </w:rPr>
              <w:t>560</w:t>
            </w:r>
            <w:r w:rsidR="001527BF" w:rsidRPr="00A52C0B">
              <w:rPr>
                <w:color w:val="000000"/>
                <w:sz w:val="20"/>
                <w:szCs w:val="20"/>
                <w:lang w:val="fr-CA" w:eastAsia="es-419"/>
              </w:rPr>
              <w:t> </w:t>
            </w:r>
            <w:r w:rsidRPr="00A52C0B">
              <w:rPr>
                <w:color w:val="000000"/>
                <w:sz w:val="20"/>
                <w:szCs w:val="20"/>
                <w:lang w:val="fr-CA" w:eastAsia="es-419"/>
              </w:rPr>
              <w:t>000</w:t>
            </w:r>
          </w:p>
        </w:tc>
      </w:tr>
      <w:tr w:rsidR="005A5A1E" w:rsidRPr="00A52C0B" w14:paraId="7A3FDE1E" w14:textId="77777777" w:rsidTr="005A5A1E">
        <w:tc>
          <w:tcPr>
            <w:tcW w:w="518" w:type="pct"/>
            <w:shd w:val="clear" w:color="auto" w:fill="auto"/>
            <w:noWrap/>
            <w:hideMark/>
          </w:tcPr>
          <w:p w14:paraId="66A62C44" w14:textId="77777777" w:rsidR="005A5A1E" w:rsidRPr="00A52C0B" w:rsidRDefault="005A5A1E" w:rsidP="005A5A1E">
            <w:pPr>
              <w:jc w:val="left"/>
              <w:rPr>
                <w:color w:val="000000"/>
                <w:sz w:val="20"/>
                <w:szCs w:val="20"/>
                <w:lang w:val="fr-CA" w:eastAsia="es-419"/>
              </w:rPr>
            </w:pPr>
            <w:r w:rsidRPr="00A52C0B">
              <w:rPr>
                <w:color w:val="000000"/>
                <w:sz w:val="20"/>
                <w:szCs w:val="20"/>
                <w:lang w:val="fr-CA" w:eastAsia="es-419"/>
              </w:rPr>
              <w:t>80 &lt;120</w:t>
            </w:r>
          </w:p>
        </w:tc>
        <w:tc>
          <w:tcPr>
            <w:tcW w:w="896" w:type="pct"/>
            <w:shd w:val="clear" w:color="auto" w:fill="auto"/>
            <w:noWrap/>
            <w:tcMar>
              <w:right w:w="202" w:type="dxa"/>
            </w:tcMar>
            <w:vAlign w:val="center"/>
            <w:hideMark/>
          </w:tcPr>
          <w:p w14:paraId="0FFD1621" w14:textId="79E3C2DE" w:rsidR="005A5A1E" w:rsidRPr="00A52C0B" w:rsidRDefault="005A5A1E" w:rsidP="005A5A1E">
            <w:pPr>
              <w:jc w:val="right"/>
              <w:rPr>
                <w:color w:val="000000"/>
                <w:sz w:val="20"/>
                <w:szCs w:val="20"/>
                <w:lang w:val="fr-CA" w:eastAsia="es-419"/>
              </w:rPr>
            </w:pPr>
            <w:r w:rsidRPr="00A52C0B">
              <w:rPr>
                <w:color w:val="000000"/>
                <w:sz w:val="20"/>
                <w:szCs w:val="20"/>
                <w:lang w:val="fr-CA" w:eastAsia="es-419"/>
              </w:rPr>
              <w:t>900</w:t>
            </w:r>
            <w:r w:rsidR="001527BF" w:rsidRPr="00A52C0B">
              <w:rPr>
                <w:color w:val="000000"/>
                <w:sz w:val="20"/>
                <w:szCs w:val="20"/>
                <w:lang w:val="fr-CA" w:eastAsia="es-419"/>
              </w:rPr>
              <w:t> </w:t>
            </w:r>
            <w:r w:rsidRPr="00A52C0B">
              <w:rPr>
                <w:color w:val="000000"/>
                <w:sz w:val="20"/>
                <w:szCs w:val="20"/>
                <w:lang w:val="fr-CA" w:eastAsia="es-419"/>
              </w:rPr>
              <w:t>000</w:t>
            </w:r>
          </w:p>
        </w:tc>
        <w:tc>
          <w:tcPr>
            <w:tcW w:w="897" w:type="pct"/>
            <w:shd w:val="clear" w:color="auto" w:fill="auto"/>
            <w:tcMar>
              <w:right w:w="202" w:type="dxa"/>
            </w:tcMar>
            <w:vAlign w:val="center"/>
          </w:tcPr>
          <w:p w14:paraId="7B46B944" w14:textId="6DBD69FF" w:rsidR="005A5A1E" w:rsidRPr="00A52C0B" w:rsidRDefault="005A5A1E" w:rsidP="005A5A1E">
            <w:pPr>
              <w:jc w:val="right"/>
              <w:rPr>
                <w:color w:val="000000"/>
                <w:sz w:val="20"/>
                <w:szCs w:val="20"/>
                <w:lang w:val="fr-CA" w:eastAsia="es-419"/>
              </w:rPr>
            </w:pPr>
            <w:r w:rsidRPr="00A52C0B">
              <w:rPr>
                <w:color w:val="000000"/>
                <w:sz w:val="20"/>
                <w:szCs w:val="20"/>
                <w:lang w:val="fr-CA" w:eastAsia="es-419"/>
              </w:rPr>
              <w:t>99</w:t>
            </w:r>
            <w:r w:rsidR="001527BF" w:rsidRPr="00A52C0B">
              <w:rPr>
                <w:color w:val="000000"/>
                <w:sz w:val="20"/>
                <w:szCs w:val="20"/>
                <w:lang w:val="fr-CA" w:eastAsia="es-419"/>
              </w:rPr>
              <w:t> </w:t>
            </w:r>
            <w:r w:rsidRPr="00A52C0B">
              <w:rPr>
                <w:color w:val="000000"/>
                <w:sz w:val="20"/>
                <w:szCs w:val="20"/>
                <w:lang w:val="fr-CA" w:eastAsia="es-419"/>
              </w:rPr>
              <w:t>000</w:t>
            </w:r>
          </w:p>
        </w:tc>
        <w:tc>
          <w:tcPr>
            <w:tcW w:w="897" w:type="pct"/>
            <w:shd w:val="clear" w:color="auto" w:fill="auto"/>
            <w:noWrap/>
            <w:tcMar>
              <w:right w:w="202" w:type="dxa"/>
            </w:tcMar>
            <w:vAlign w:val="center"/>
            <w:hideMark/>
          </w:tcPr>
          <w:p w14:paraId="633E5844" w14:textId="6BCC1283" w:rsidR="005A5A1E" w:rsidRPr="00A52C0B" w:rsidRDefault="005A5A1E" w:rsidP="005A5A1E">
            <w:pPr>
              <w:jc w:val="right"/>
              <w:rPr>
                <w:color w:val="000000"/>
                <w:sz w:val="20"/>
                <w:szCs w:val="20"/>
                <w:lang w:val="fr-CA" w:eastAsia="es-419"/>
              </w:rPr>
            </w:pPr>
            <w:r w:rsidRPr="00A52C0B">
              <w:rPr>
                <w:color w:val="000000"/>
                <w:sz w:val="20"/>
                <w:szCs w:val="20"/>
                <w:lang w:val="fr-CA" w:eastAsia="es-419"/>
              </w:rPr>
              <w:t>135</w:t>
            </w:r>
            <w:r w:rsidR="001527BF" w:rsidRPr="00A52C0B">
              <w:rPr>
                <w:color w:val="000000"/>
                <w:sz w:val="20"/>
                <w:szCs w:val="20"/>
                <w:lang w:val="fr-CA" w:eastAsia="es-419"/>
              </w:rPr>
              <w:t> </w:t>
            </w:r>
            <w:r w:rsidRPr="00A52C0B">
              <w:rPr>
                <w:color w:val="000000"/>
                <w:sz w:val="20"/>
                <w:szCs w:val="20"/>
                <w:lang w:val="fr-CA" w:eastAsia="es-419"/>
              </w:rPr>
              <w:t>000</w:t>
            </w:r>
          </w:p>
        </w:tc>
        <w:tc>
          <w:tcPr>
            <w:tcW w:w="896" w:type="pct"/>
            <w:shd w:val="clear" w:color="auto" w:fill="auto"/>
            <w:noWrap/>
            <w:tcMar>
              <w:right w:w="202" w:type="dxa"/>
            </w:tcMar>
            <w:vAlign w:val="center"/>
            <w:hideMark/>
          </w:tcPr>
          <w:p w14:paraId="69CD1E90" w14:textId="77777777" w:rsidR="005A5A1E" w:rsidRPr="00A52C0B" w:rsidRDefault="005A5A1E" w:rsidP="005A5A1E">
            <w:pPr>
              <w:jc w:val="right"/>
              <w:rPr>
                <w:color w:val="000000"/>
                <w:sz w:val="20"/>
                <w:szCs w:val="20"/>
                <w:lang w:val="fr-CA" w:eastAsia="es-419"/>
              </w:rPr>
            </w:pPr>
            <w:r w:rsidRPr="00A52C0B">
              <w:rPr>
                <w:color w:val="000000"/>
                <w:sz w:val="20"/>
                <w:szCs w:val="20"/>
                <w:lang w:val="fr-CA" w:eastAsia="es-419"/>
              </w:rPr>
              <w:t>10</w:t>
            </w:r>
          </w:p>
        </w:tc>
        <w:tc>
          <w:tcPr>
            <w:tcW w:w="896" w:type="pct"/>
            <w:shd w:val="clear" w:color="auto" w:fill="auto"/>
            <w:noWrap/>
            <w:tcMar>
              <w:right w:w="202" w:type="dxa"/>
            </w:tcMar>
            <w:vAlign w:val="center"/>
            <w:hideMark/>
          </w:tcPr>
          <w:p w14:paraId="7D1A6FCC" w14:textId="440BB073" w:rsidR="005A5A1E" w:rsidRPr="00A52C0B" w:rsidRDefault="005A5A1E" w:rsidP="005A5A1E">
            <w:pPr>
              <w:jc w:val="right"/>
              <w:rPr>
                <w:color w:val="000000"/>
                <w:sz w:val="20"/>
                <w:szCs w:val="20"/>
                <w:lang w:val="fr-CA" w:eastAsia="es-419"/>
              </w:rPr>
            </w:pPr>
            <w:r w:rsidRPr="00A52C0B">
              <w:rPr>
                <w:color w:val="000000"/>
                <w:sz w:val="20"/>
                <w:szCs w:val="20"/>
                <w:lang w:val="fr-CA" w:eastAsia="es-419"/>
              </w:rPr>
              <w:t>1</w:t>
            </w:r>
            <w:r w:rsidR="001527BF" w:rsidRPr="00A52C0B">
              <w:rPr>
                <w:color w:val="000000"/>
                <w:sz w:val="20"/>
                <w:szCs w:val="20"/>
                <w:lang w:val="fr-CA" w:eastAsia="es-419"/>
              </w:rPr>
              <w:t> </w:t>
            </w:r>
            <w:r w:rsidRPr="00A52C0B">
              <w:rPr>
                <w:color w:val="000000"/>
                <w:sz w:val="20"/>
                <w:szCs w:val="20"/>
                <w:lang w:val="fr-CA" w:eastAsia="es-419"/>
              </w:rPr>
              <w:t>350</w:t>
            </w:r>
            <w:r w:rsidR="001527BF" w:rsidRPr="00A52C0B">
              <w:rPr>
                <w:color w:val="000000"/>
                <w:sz w:val="20"/>
                <w:szCs w:val="20"/>
                <w:lang w:val="fr-CA" w:eastAsia="es-419"/>
              </w:rPr>
              <w:t> </w:t>
            </w:r>
            <w:r w:rsidRPr="00A52C0B">
              <w:rPr>
                <w:color w:val="000000"/>
                <w:sz w:val="20"/>
                <w:szCs w:val="20"/>
                <w:lang w:val="fr-CA" w:eastAsia="es-419"/>
              </w:rPr>
              <w:t>000</w:t>
            </w:r>
          </w:p>
        </w:tc>
      </w:tr>
      <w:tr w:rsidR="005A5A1E" w:rsidRPr="00A52C0B" w14:paraId="352F8EBA" w14:textId="77777777" w:rsidTr="005A5A1E">
        <w:tc>
          <w:tcPr>
            <w:tcW w:w="518" w:type="pct"/>
            <w:shd w:val="clear" w:color="auto" w:fill="auto"/>
            <w:noWrap/>
            <w:hideMark/>
          </w:tcPr>
          <w:p w14:paraId="7F390C39" w14:textId="77777777" w:rsidR="005A5A1E" w:rsidRPr="00A52C0B" w:rsidRDefault="005A5A1E" w:rsidP="005A5A1E">
            <w:pPr>
              <w:jc w:val="left"/>
              <w:rPr>
                <w:color w:val="000000"/>
                <w:sz w:val="20"/>
                <w:szCs w:val="20"/>
                <w:lang w:val="fr-CA" w:eastAsia="es-419"/>
              </w:rPr>
            </w:pPr>
            <w:r w:rsidRPr="00A52C0B">
              <w:rPr>
                <w:color w:val="000000"/>
                <w:sz w:val="20"/>
                <w:szCs w:val="20"/>
                <w:lang w:val="fr-CA" w:eastAsia="es-419"/>
              </w:rPr>
              <w:t>120 &lt;160</w:t>
            </w:r>
          </w:p>
        </w:tc>
        <w:tc>
          <w:tcPr>
            <w:tcW w:w="896" w:type="pct"/>
            <w:shd w:val="clear" w:color="auto" w:fill="auto"/>
            <w:noWrap/>
            <w:tcMar>
              <w:right w:w="202" w:type="dxa"/>
            </w:tcMar>
            <w:vAlign w:val="center"/>
            <w:hideMark/>
          </w:tcPr>
          <w:p w14:paraId="4A96D321" w14:textId="47595215" w:rsidR="005A5A1E" w:rsidRPr="00A52C0B" w:rsidRDefault="005A5A1E" w:rsidP="005A5A1E">
            <w:pPr>
              <w:jc w:val="right"/>
              <w:rPr>
                <w:color w:val="000000"/>
                <w:sz w:val="20"/>
                <w:szCs w:val="20"/>
                <w:lang w:val="fr-CA" w:eastAsia="es-419"/>
              </w:rPr>
            </w:pPr>
            <w:r w:rsidRPr="00A52C0B">
              <w:rPr>
                <w:color w:val="000000"/>
                <w:sz w:val="20"/>
                <w:szCs w:val="20"/>
                <w:lang w:val="fr-CA" w:eastAsia="es-419"/>
              </w:rPr>
              <w:t>950</w:t>
            </w:r>
            <w:r w:rsidR="001527BF" w:rsidRPr="00A52C0B">
              <w:rPr>
                <w:color w:val="000000"/>
                <w:sz w:val="20"/>
                <w:szCs w:val="20"/>
                <w:lang w:val="fr-CA" w:eastAsia="es-419"/>
              </w:rPr>
              <w:t> </w:t>
            </w:r>
            <w:r w:rsidRPr="00A52C0B">
              <w:rPr>
                <w:color w:val="000000"/>
                <w:sz w:val="20"/>
                <w:szCs w:val="20"/>
                <w:lang w:val="fr-CA" w:eastAsia="es-419"/>
              </w:rPr>
              <w:t>000</w:t>
            </w:r>
          </w:p>
        </w:tc>
        <w:tc>
          <w:tcPr>
            <w:tcW w:w="897" w:type="pct"/>
            <w:shd w:val="clear" w:color="auto" w:fill="auto"/>
            <w:tcMar>
              <w:right w:w="202" w:type="dxa"/>
            </w:tcMar>
            <w:vAlign w:val="center"/>
          </w:tcPr>
          <w:p w14:paraId="172E6C89" w14:textId="75D5625B" w:rsidR="005A5A1E" w:rsidRPr="00A52C0B" w:rsidRDefault="005A5A1E" w:rsidP="005A5A1E">
            <w:pPr>
              <w:jc w:val="right"/>
              <w:rPr>
                <w:color w:val="000000"/>
                <w:sz w:val="20"/>
                <w:szCs w:val="20"/>
                <w:lang w:val="fr-CA" w:eastAsia="es-419"/>
              </w:rPr>
            </w:pPr>
            <w:r w:rsidRPr="00A52C0B">
              <w:rPr>
                <w:color w:val="000000"/>
                <w:sz w:val="20"/>
                <w:szCs w:val="20"/>
                <w:lang w:val="fr-CA" w:eastAsia="es-419"/>
              </w:rPr>
              <w:t>104</w:t>
            </w:r>
            <w:r w:rsidR="001527BF" w:rsidRPr="00A52C0B">
              <w:rPr>
                <w:color w:val="000000"/>
                <w:sz w:val="20"/>
                <w:szCs w:val="20"/>
                <w:lang w:val="fr-CA" w:eastAsia="es-419"/>
              </w:rPr>
              <w:t> </w:t>
            </w:r>
            <w:r w:rsidRPr="00A52C0B">
              <w:rPr>
                <w:color w:val="000000"/>
                <w:sz w:val="20"/>
                <w:szCs w:val="20"/>
                <w:lang w:val="fr-CA" w:eastAsia="es-419"/>
              </w:rPr>
              <w:t>500</w:t>
            </w:r>
          </w:p>
        </w:tc>
        <w:tc>
          <w:tcPr>
            <w:tcW w:w="897" w:type="pct"/>
            <w:shd w:val="clear" w:color="auto" w:fill="auto"/>
            <w:noWrap/>
            <w:tcMar>
              <w:right w:w="202" w:type="dxa"/>
            </w:tcMar>
            <w:vAlign w:val="center"/>
            <w:hideMark/>
          </w:tcPr>
          <w:p w14:paraId="6B068B8C" w14:textId="128F73E3" w:rsidR="005A5A1E" w:rsidRPr="00A52C0B" w:rsidRDefault="005A5A1E" w:rsidP="005A5A1E">
            <w:pPr>
              <w:jc w:val="right"/>
              <w:rPr>
                <w:color w:val="000000"/>
                <w:sz w:val="20"/>
                <w:szCs w:val="20"/>
                <w:lang w:val="fr-CA" w:eastAsia="es-419"/>
              </w:rPr>
            </w:pPr>
            <w:r w:rsidRPr="00A52C0B">
              <w:rPr>
                <w:color w:val="000000"/>
                <w:sz w:val="20"/>
                <w:szCs w:val="20"/>
                <w:lang w:val="fr-CA" w:eastAsia="es-419"/>
              </w:rPr>
              <w:t>142</w:t>
            </w:r>
            <w:r w:rsidR="001527BF" w:rsidRPr="00A52C0B">
              <w:rPr>
                <w:color w:val="000000"/>
                <w:sz w:val="20"/>
                <w:szCs w:val="20"/>
                <w:lang w:val="fr-CA" w:eastAsia="es-419"/>
              </w:rPr>
              <w:t> </w:t>
            </w:r>
            <w:r w:rsidRPr="00A52C0B">
              <w:rPr>
                <w:color w:val="000000"/>
                <w:sz w:val="20"/>
                <w:szCs w:val="20"/>
                <w:lang w:val="fr-CA" w:eastAsia="es-419"/>
              </w:rPr>
              <w:t>500</w:t>
            </w:r>
          </w:p>
        </w:tc>
        <w:tc>
          <w:tcPr>
            <w:tcW w:w="896" w:type="pct"/>
            <w:shd w:val="clear" w:color="auto" w:fill="auto"/>
            <w:noWrap/>
            <w:tcMar>
              <w:right w:w="202" w:type="dxa"/>
            </w:tcMar>
            <w:vAlign w:val="center"/>
            <w:hideMark/>
          </w:tcPr>
          <w:p w14:paraId="75247A82" w14:textId="77777777" w:rsidR="005A5A1E" w:rsidRPr="00A52C0B" w:rsidRDefault="005A5A1E" w:rsidP="005A5A1E">
            <w:pPr>
              <w:jc w:val="right"/>
              <w:rPr>
                <w:color w:val="000000"/>
                <w:sz w:val="20"/>
                <w:szCs w:val="20"/>
                <w:lang w:val="fr-CA" w:eastAsia="es-419"/>
              </w:rPr>
            </w:pPr>
            <w:r w:rsidRPr="00A52C0B">
              <w:rPr>
                <w:color w:val="000000"/>
                <w:sz w:val="20"/>
                <w:szCs w:val="20"/>
                <w:lang w:val="fr-CA" w:eastAsia="es-419"/>
              </w:rPr>
              <w:t>9</w:t>
            </w:r>
          </w:p>
        </w:tc>
        <w:tc>
          <w:tcPr>
            <w:tcW w:w="896" w:type="pct"/>
            <w:shd w:val="clear" w:color="auto" w:fill="auto"/>
            <w:noWrap/>
            <w:tcMar>
              <w:right w:w="202" w:type="dxa"/>
            </w:tcMar>
            <w:vAlign w:val="center"/>
            <w:hideMark/>
          </w:tcPr>
          <w:p w14:paraId="137CC8C9" w14:textId="44FAD1CB" w:rsidR="005A5A1E" w:rsidRPr="00A52C0B" w:rsidRDefault="005A5A1E" w:rsidP="005A5A1E">
            <w:pPr>
              <w:jc w:val="right"/>
              <w:rPr>
                <w:color w:val="000000"/>
                <w:sz w:val="20"/>
                <w:szCs w:val="20"/>
                <w:lang w:val="fr-CA" w:eastAsia="es-419"/>
              </w:rPr>
            </w:pPr>
            <w:r w:rsidRPr="00A52C0B">
              <w:rPr>
                <w:color w:val="000000"/>
                <w:sz w:val="20"/>
                <w:szCs w:val="20"/>
                <w:lang w:val="fr-CA" w:eastAsia="es-419"/>
              </w:rPr>
              <w:t>1</w:t>
            </w:r>
            <w:r w:rsidR="001527BF" w:rsidRPr="00A52C0B">
              <w:rPr>
                <w:color w:val="000000"/>
                <w:sz w:val="20"/>
                <w:szCs w:val="20"/>
                <w:lang w:val="fr-CA" w:eastAsia="es-419"/>
              </w:rPr>
              <w:t> </w:t>
            </w:r>
            <w:r w:rsidRPr="00A52C0B">
              <w:rPr>
                <w:color w:val="000000"/>
                <w:sz w:val="20"/>
                <w:szCs w:val="20"/>
                <w:lang w:val="fr-CA" w:eastAsia="es-419"/>
              </w:rPr>
              <w:t>282</w:t>
            </w:r>
            <w:r w:rsidR="001527BF" w:rsidRPr="00A52C0B">
              <w:rPr>
                <w:color w:val="000000"/>
                <w:sz w:val="20"/>
                <w:szCs w:val="20"/>
                <w:lang w:val="fr-CA" w:eastAsia="es-419"/>
              </w:rPr>
              <w:t> </w:t>
            </w:r>
            <w:r w:rsidRPr="00A52C0B">
              <w:rPr>
                <w:color w:val="000000"/>
                <w:sz w:val="20"/>
                <w:szCs w:val="20"/>
                <w:lang w:val="fr-CA" w:eastAsia="es-419"/>
              </w:rPr>
              <w:t>500</w:t>
            </w:r>
          </w:p>
        </w:tc>
      </w:tr>
      <w:tr w:rsidR="005A5A1E" w:rsidRPr="00A52C0B" w14:paraId="254BA36F" w14:textId="77777777" w:rsidTr="005A5A1E">
        <w:tc>
          <w:tcPr>
            <w:tcW w:w="518" w:type="pct"/>
            <w:shd w:val="clear" w:color="auto" w:fill="auto"/>
            <w:noWrap/>
            <w:hideMark/>
          </w:tcPr>
          <w:p w14:paraId="7C8348E3" w14:textId="77777777" w:rsidR="005A5A1E" w:rsidRPr="00A52C0B" w:rsidRDefault="005A5A1E" w:rsidP="005A5A1E">
            <w:pPr>
              <w:jc w:val="left"/>
              <w:rPr>
                <w:color w:val="000000"/>
                <w:sz w:val="20"/>
                <w:szCs w:val="20"/>
                <w:lang w:val="fr-CA" w:eastAsia="es-419"/>
              </w:rPr>
            </w:pPr>
            <w:r w:rsidRPr="00A52C0B">
              <w:rPr>
                <w:color w:val="000000"/>
                <w:sz w:val="20"/>
                <w:szCs w:val="20"/>
                <w:lang w:val="fr-CA" w:eastAsia="es-419"/>
              </w:rPr>
              <w:t>160 &lt;200</w:t>
            </w:r>
          </w:p>
        </w:tc>
        <w:tc>
          <w:tcPr>
            <w:tcW w:w="896" w:type="pct"/>
            <w:shd w:val="clear" w:color="auto" w:fill="auto"/>
            <w:noWrap/>
            <w:tcMar>
              <w:right w:w="202" w:type="dxa"/>
            </w:tcMar>
            <w:vAlign w:val="center"/>
            <w:hideMark/>
          </w:tcPr>
          <w:p w14:paraId="53902C11" w14:textId="10FF2BB9" w:rsidR="005A5A1E" w:rsidRPr="00A52C0B" w:rsidRDefault="005A5A1E" w:rsidP="005A5A1E">
            <w:pPr>
              <w:jc w:val="right"/>
              <w:rPr>
                <w:color w:val="000000"/>
                <w:sz w:val="20"/>
                <w:szCs w:val="20"/>
                <w:lang w:val="fr-CA" w:eastAsia="es-419"/>
              </w:rPr>
            </w:pPr>
            <w:r w:rsidRPr="00A52C0B">
              <w:rPr>
                <w:color w:val="000000"/>
                <w:sz w:val="20"/>
                <w:szCs w:val="20"/>
                <w:lang w:val="fr-CA" w:eastAsia="es-419"/>
              </w:rPr>
              <w:t>1</w:t>
            </w:r>
            <w:r w:rsidR="001527BF" w:rsidRPr="00A52C0B">
              <w:rPr>
                <w:color w:val="000000"/>
                <w:sz w:val="20"/>
                <w:szCs w:val="20"/>
                <w:lang w:val="fr-CA" w:eastAsia="es-419"/>
              </w:rPr>
              <w:t> </w:t>
            </w:r>
            <w:r w:rsidRPr="00A52C0B">
              <w:rPr>
                <w:color w:val="000000"/>
                <w:sz w:val="20"/>
                <w:szCs w:val="20"/>
                <w:lang w:val="fr-CA" w:eastAsia="es-419"/>
              </w:rPr>
              <w:t>000</w:t>
            </w:r>
            <w:r w:rsidR="001527BF" w:rsidRPr="00A52C0B">
              <w:rPr>
                <w:color w:val="000000"/>
                <w:sz w:val="20"/>
                <w:szCs w:val="20"/>
                <w:lang w:val="fr-CA" w:eastAsia="es-419"/>
              </w:rPr>
              <w:t> </w:t>
            </w:r>
            <w:r w:rsidRPr="00A52C0B">
              <w:rPr>
                <w:color w:val="000000"/>
                <w:sz w:val="20"/>
                <w:szCs w:val="20"/>
                <w:lang w:val="fr-CA" w:eastAsia="es-419"/>
              </w:rPr>
              <w:t>000</w:t>
            </w:r>
          </w:p>
        </w:tc>
        <w:tc>
          <w:tcPr>
            <w:tcW w:w="897" w:type="pct"/>
            <w:shd w:val="clear" w:color="auto" w:fill="auto"/>
            <w:tcMar>
              <w:right w:w="202" w:type="dxa"/>
            </w:tcMar>
            <w:vAlign w:val="center"/>
          </w:tcPr>
          <w:p w14:paraId="5CF76EE7" w14:textId="48802F8C" w:rsidR="005A5A1E" w:rsidRPr="00A52C0B" w:rsidRDefault="005A5A1E" w:rsidP="005A5A1E">
            <w:pPr>
              <w:jc w:val="right"/>
              <w:rPr>
                <w:color w:val="000000"/>
                <w:sz w:val="20"/>
                <w:szCs w:val="20"/>
                <w:lang w:val="fr-CA" w:eastAsia="es-419"/>
              </w:rPr>
            </w:pPr>
            <w:r w:rsidRPr="00A52C0B">
              <w:rPr>
                <w:color w:val="000000"/>
                <w:sz w:val="20"/>
                <w:szCs w:val="20"/>
                <w:lang w:val="fr-CA" w:eastAsia="es-419"/>
              </w:rPr>
              <w:t>110</w:t>
            </w:r>
            <w:r w:rsidR="001527BF" w:rsidRPr="00A52C0B">
              <w:rPr>
                <w:color w:val="000000"/>
                <w:sz w:val="20"/>
                <w:szCs w:val="20"/>
                <w:lang w:val="fr-CA" w:eastAsia="es-419"/>
              </w:rPr>
              <w:t> </w:t>
            </w:r>
            <w:r w:rsidRPr="00A52C0B">
              <w:rPr>
                <w:color w:val="000000"/>
                <w:sz w:val="20"/>
                <w:szCs w:val="20"/>
                <w:lang w:val="fr-CA" w:eastAsia="es-419"/>
              </w:rPr>
              <w:t>000</w:t>
            </w:r>
          </w:p>
        </w:tc>
        <w:tc>
          <w:tcPr>
            <w:tcW w:w="897" w:type="pct"/>
            <w:shd w:val="clear" w:color="auto" w:fill="auto"/>
            <w:noWrap/>
            <w:tcMar>
              <w:right w:w="202" w:type="dxa"/>
            </w:tcMar>
            <w:vAlign w:val="center"/>
            <w:hideMark/>
          </w:tcPr>
          <w:p w14:paraId="1B666EE2" w14:textId="1E8355B5" w:rsidR="005A5A1E" w:rsidRPr="00A52C0B" w:rsidRDefault="005A5A1E" w:rsidP="005A5A1E">
            <w:pPr>
              <w:jc w:val="right"/>
              <w:rPr>
                <w:color w:val="000000"/>
                <w:sz w:val="20"/>
                <w:szCs w:val="20"/>
                <w:lang w:val="fr-CA" w:eastAsia="es-419"/>
              </w:rPr>
            </w:pPr>
            <w:r w:rsidRPr="00A52C0B">
              <w:rPr>
                <w:color w:val="000000"/>
                <w:sz w:val="20"/>
                <w:szCs w:val="20"/>
                <w:lang w:val="fr-CA" w:eastAsia="es-419"/>
              </w:rPr>
              <w:t>150</w:t>
            </w:r>
            <w:r w:rsidR="001527BF" w:rsidRPr="00A52C0B">
              <w:rPr>
                <w:color w:val="000000"/>
                <w:sz w:val="20"/>
                <w:szCs w:val="20"/>
                <w:lang w:val="fr-CA" w:eastAsia="es-419"/>
              </w:rPr>
              <w:t> </w:t>
            </w:r>
            <w:r w:rsidRPr="00A52C0B">
              <w:rPr>
                <w:color w:val="000000"/>
                <w:sz w:val="20"/>
                <w:szCs w:val="20"/>
                <w:lang w:val="fr-CA" w:eastAsia="es-419"/>
              </w:rPr>
              <w:t>000</w:t>
            </w:r>
          </w:p>
        </w:tc>
        <w:tc>
          <w:tcPr>
            <w:tcW w:w="896" w:type="pct"/>
            <w:shd w:val="clear" w:color="auto" w:fill="auto"/>
            <w:noWrap/>
            <w:tcMar>
              <w:right w:w="202" w:type="dxa"/>
            </w:tcMar>
            <w:vAlign w:val="center"/>
            <w:hideMark/>
          </w:tcPr>
          <w:p w14:paraId="43B89B35" w14:textId="77777777" w:rsidR="005A5A1E" w:rsidRPr="00A52C0B" w:rsidRDefault="005A5A1E" w:rsidP="005A5A1E">
            <w:pPr>
              <w:jc w:val="right"/>
              <w:rPr>
                <w:color w:val="000000"/>
                <w:sz w:val="20"/>
                <w:szCs w:val="20"/>
                <w:lang w:val="fr-CA" w:eastAsia="es-419"/>
              </w:rPr>
            </w:pPr>
            <w:r w:rsidRPr="00A52C0B">
              <w:rPr>
                <w:color w:val="000000"/>
                <w:sz w:val="20"/>
                <w:szCs w:val="20"/>
                <w:lang w:val="fr-CA" w:eastAsia="es-419"/>
              </w:rPr>
              <w:t>3</w:t>
            </w:r>
          </w:p>
        </w:tc>
        <w:tc>
          <w:tcPr>
            <w:tcW w:w="896" w:type="pct"/>
            <w:shd w:val="clear" w:color="auto" w:fill="auto"/>
            <w:noWrap/>
            <w:tcMar>
              <w:right w:w="202" w:type="dxa"/>
            </w:tcMar>
            <w:vAlign w:val="center"/>
            <w:hideMark/>
          </w:tcPr>
          <w:p w14:paraId="1C27288E" w14:textId="3A0872B9" w:rsidR="005A5A1E" w:rsidRPr="00A52C0B" w:rsidRDefault="005A5A1E" w:rsidP="005A5A1E">
            <w:pPr>
              <w:jc w:val="right"/>
              <w:rPr>
                <w:color w:val="000000"/>
                <w:sz w:val="20"/>
                <w:szCs w:val="20"/>
                <w:lang w:val="fr-CA" w:eastAsia="es-419"/>
              </w:rPr>
            </w:pPr>
            <w:r w:rsidRPr="00A52C0B">
              <w:rPr>
                <w:color w:val="000000"/>
                <w:sz w:val="20"/>
                <w:szCs w:val="20"/>
                <w:lang w:val="fr-CA" w:eastAsia="es-419"/>
              </w:rPr>
              <w:t>450</w:t>
            </w:r>
            <w:r w:rsidR="001527BF" w:rsidRPr="00A52C0B">
              <w:rPr>
                <w:color w:val="000000"/>
                <w:sz w:val="20"/>
                <w:szCs w:val="20"/>
                <w:lang w:val="fr-CA" w:eastAsia="es-419"/>
              </w:rPr>
              <w:t> </w:t>
            </w:r>
            <w:r w:rsidRPr="00A52C0B">
              <w:rPr>
                <w:color w:val="000000"/>
                <w:sz w:val="20"/>
                <w:szCs w:val="20"/>
                <w:lang w:val="fr-CA" w:eastAsia="es-419"/>
              </w:rPr>
              <w:t>000</w:t>
            </w:r>
          </w:p>
        </w:tc>
      </w:tr>
      <w:tr w:rsidR="005A5A1E" w:rsidRPr="00A52C0B" w14:paraId="7907AC7F" w14:textId="77777777" w:rsidTr="005A5A1E">
        <w:tc>
          <w:tcPr>
            <w:tcW w:w="518" w:type="pct"/>
            <w:shd w:val="clear" w:color="auto" w:fill="auto"/>
            <w:noWrap/>
            <w:hideMark/>
          </w:tcPr>
          <w:p w14:paraId="61C9969D" w14:textId="77777777" w:rsidR="005A5A1E" w:rsidRPr="00A52C0B" w:rsidRDefault="005A5A1E" w:rsidP="005A5A1E">
            <w:pPr>
              <w:jc w:val="left"/>
              <w:rPr>
                <w:color w:val="000000"/>
                <w:sz w:val="20"/>
                <w:szCs w:val="20"/>
                <w:lang w:val="fr-CA" w:eastAsia="es-419"/>
              </w:rPr>
            </w:pPr>
            <w:r w:rsidRPr="00A52C0B">
              <w:rPr>
                <w:color w:val="000000"/>
                <w:sz w:val="20"/>
                <w:szCs w:val="20"/>
                <w:lang w:val="fr-CA" w:eastAsia="es-419"/>
              </w:rPr>
              <w:t>200 &lt;320</w:t>
            </w:r>
          </w:p>
        </w:tc>
        <w:tc>
          <w:tcPr>
            <w:tcW w:w="896" w:type="pct"/>
            <w:shd w:val="clear" w:color="auto" w:fill="auto"/>
            <w:noWrap/>
            <w:tcMar>
              <w:right w:w="202" w:type="dxa"/>
            </w:tcMar>
            <w:vAlign w:val="center"/>
            <w:hideMark/>
          </w:tcPr>
          <w:p w14:paraId="0DA3F535" w14:textId="57D4748A" w:rsidR="005A5A1E" w:rsidRPr="00A52C0B" w:rsidRDefault="005A5A1E" w:rsidP="005A5A1E">
            <w:pPr>
              <w:jc w:val="right"/>
              <w:rPr>
                <w:color w:val="000000"/>
                <w:sz w:val="20"/>
                <w:szCs w:val="20"/>
                <w:lang w:val="fr-CA" w:eastAsia="es-419"/>
              </w:rPr>
            </w:pPr>
            <w:r w:rsidRPr="00A52C0B">
              <w:rPr>
                <w:color w:val="000000"/>
                <w:sz w:val="20"/>
                <w:szCs w:val="20"/>
                <w:lang w:val="fr-CA" w:eastAsia="es-419"/>
              </w:rPr>
              <w:t>1</w:t>
            </w:r>
            <w:r w:rsidR="001527BF" w:rsidRPr="00A52C0B">
              <w:rPr>
                <w:color w:val="000000"/>
                <w:sz w:val="20"/>
                <w:szCs w:val="20"/>
                <w:lang w:val="fr-CA" w:eastAsia="es-419"/>
              </w:rPr>
              <w:t> </w:t>
            </w:r>
            <w:r w:rsidRPr="00A52C0B">
              <w:rPr>
                <w:color w:val="000000"/>
                <w:sz w:val="20"/>
                <w:szCs w:val="20"/>
                <w:lang w:val="fr-CA" w:eastAsia="es-419"/>
              </w:rPr>
              <w:t>600</w:t>
            </w:r>
            <w:r w:rsidR="001527BF" w:rsidRPr="00A52C0B">
              <w:rPr>
                <w:color w:val="000000"/>
                <w:sz w:val="20"/>
                <w:szCs w:val="20"/>
                <w:lang w:val="fr-CA" w:eastAsia="es-419"/>
              </w:rPr>
              <w:t> </w:t>
            </w:r>
            <w:r w:rsidRPr="00A52C0B">
              <w:rPr>
                <w:color w:val="000000"/>
                <w:sz w:val="20"/>
                <w:szCs w:val="20"/>
                <w:lang w:val="fr-CA" w:eastAsia="es-419"/>
              </w:rPr>
              <w:t>000</w:t>
            </w:r>
          </w:p>
        </w:tc>
        <w:tc>
          <w:tcPr>
            <w:tcW w:w="897" w:type="pct"/>
            <w:shd w:val="clear" w:color="auto" w:fill="auto"/>
            <w:tcMar>
              <w:right w:w="202" w:type="dxa"/>
            </w:tcMar>
            <w:vAlign w:val="center"/>
          </w:tcPr>
          <w:p w14:paraId="6602A281" w14:textId="4CB1F78F" w:rsidR="005A5A1E" w:rsidRPr="00A52C0B" w:rsidRDefault="005A5A1E" w:rsidP="005A5A1E">
            <w:pPr>
              <w:jc w:val="right"/>
              <w:rPr>
                <w:color w:val="000000"/>
                <w:sz w:val="20"/>
                <w:szCs w:val="20"/>
                <w:lang w:val="fr-CA" w:eastAsia="es-419"/>
              </w:rPr>
            </w:pPr>
            <w:r w:rsidRPr="00A52C0B">
              <w:rPr>
                <w:color w:val="000000"/>
                <w:sz w:val="20"/>
                <w:szCs w:val="20"/>
                <w:lang w:val="fr-CA" w:eastAsia="es-419"/>
              </w:rPr>
              <w:t>176</w:t>
            </w:r>
            <w:r w:rsidR="001527BF" w:rsidRPr="00A52C0B">
              <w:rPr>
                <w:color w:val="000000"/>
                <w:sz w:val="20"/>
                <w:szCs w:val="20"/>
                <w:lang w:val="fr-CA" w:eastAsia="es-419"/>
              </w:rPr>
              <w:t> </w:t>
            </w:r>
            <w:r w:rsidRPr="00A52C0B">
              <w:rPr>
                <w:color w:val="000000"/>
                <w:sz w:val="20"/>
                <w:szCs w:val="20"/>
                <w:lang w:val="fr-CA" w:eastAsia="es-419"/>
              </w:rPr>
              <w:t>000</w:t>
            </w:r>
          </w:p>
        </w:tc>
        <w:tc>
          <w:tcPr>
            <w:tcW w:w="897" w:type="pct"/>
            <w:shd w:val="clear" w:color="auto" w:fill="auto"/>
            <w:noWrap/>
            <w:tcMar>
              <w:right w:w="202" w:type="dxa"/>
            </w:tcMar>
            <w:vAlign w:val="center"/>
            <w:hideMark/>
          </w:tcPr>
          <w:p w14:paraId="0E212E2B" w14:textId="71784E77" w:rsidR="005A5A1E" w:rsidRPr="00A52C0B" w:rsidRDefault="005A5A1E" w:rsidP="005A5A1E">
            <w:pPr>
              <w:jc w:val="right"/>
              <w:rPr>
                <w:color w:val="000000"/>
                <w:sz w:val="20"/>
                <w:szCs w:val="20"/>
                <w:lang w:val="fr-CA" w:eastAsia="es-419"/>
              </w:rPr>
            </w:pPr>
            <w:r w:rsidRPr="00A52C0B">
              <w:rPr>
                <w:color w:val="000000"/>
                <w:sz w:val="20"/>
                <w:szCs w:val="20"/>
                <w:lang w:val="fr-CA" w:eastAsia="es-419"/>
              </w:rPr>
              <w:t>240</w:t>
            </w:r>
            <w:r w:rsidR="001527BF" w:rsidRPr="00A52C0B">
              <w:rPr>
                <w:color w:val="000000"/>
                <w:sz w:val="20"/>
                <w:szCs w:val="20"/>
                <w:lang w:val="fr-CA" w:eastAsia="es-419"/>
              </w:rPr>
              <w:t> </w:t>
            </w:r>
            <w:r w:rsidRPr="00A52C0B">
              <w:rPr>
                <w:color w:val="000000"/>
                <w:sz w:val="20"/>
                <w:szCs w:val="20"/>
                <w:lang w:val="fr-CA" w:eastAsia="es-419"/>
              </w:rPr>
              <w:t>000</w:t>
            </w:r>
          </w:p>
        </w:tc>
        <w:tc>
          <w:tcPr>
            <w:tcW w:w="896" w:type="pct"/>
            <w:shd w:val="clear" w:color="auto" w:fill="auto"/>
            <w:noWrap/>
            <w:tcMar>
              <w:right w:w="202" w:type="dxa"/>
            </w:tcMar>
            <w:vAlign w:val="center"/>
            <w:hideMark/>
          </w:tcPr>
          <w:p w14:paraId="29F4F267" w14:textId="77777777" w:rsidR="005A5A1E" w:rsidRPr="00A52C0B" w:rsidRDefault="005A5A1E" w:rsidP="005A5A1E">
            <w:pPr>
              <w:jc w:val="right"/>
              <w:rPr>
                <w:color w:val="000000"/>
                <w:sz w:val="20"/>
                <w:szCs w:val="20"/>
                <w:lang w:val="fr-CA" w:eastAsia="es-419"/>
              </w:rPr>
            </w:pPr>
            <w:r w:rsidRPr="00A52C0B">
              <w:rPr>
                <w:color w:val="000000"/>
                <w:sz w:val="20"/>
                <w:szCs w:val="20"/>
                <w:lang w:val="fr-CA" w:eastAsia="es-419"/>
              </w:rPr>
              <w:t>12</w:t>
            </w:r>
          </w:p>
        </w:tc>
        <w:tc>
          <w:tcPr>
            <w:tcW w:w="896" w:type="pct"/>
            <w:shd w:val="clear" w:color="auto" w:fill="auto"/>
            <w:noWrap/>
            <w:tcMar>
              <w:right w:w="202" w:type="dxa"/>
            </w:tcMar>
            <w:vAlign w:val="center"/>
            <w:hideMark/>
          </w:tcPr>
          <w:p w14:paraId="35041789" w14:textId="3D718608" w:rsidR="005A5A1E" w:rsidRPr="00A52C0B" w:rsidRDefault="005A5A1E" w:rsidP="005A5A1E">
            <w:pPr>
              <w:jc w:val="right"/>
              <w:rPr>
                <w:color w:val="000000"/>
                <w:sz w:val="20"/>
                <w:szCs w:val="20"/>
                <w:lang w:val="fr-CA" w:eastAsia="es-419"/>
              </w:rPr>
            </w:pPr>
            <w:r w:rsidRPr="00A52C0B">
              <w:rPr>
                <w:color w:val="000000"/>
                <w:sz w:val="20"/>
                <w:szCs w:val="20"/>
                <w:lang w:val="fr-CA" w:eastAsia="es-419"/>
              </w:rPr>
              <w:t>2</w:t>
            </w:r>
            <w:r w:rsidR="001527BF" w:rsidRPr="00A52C0B">
              <w:rPr>
                <w:color w:val="000000"/>
                <w:sz w:val="20"/>
                <w:szCs w:val="20"/>
                <w:lang w:val="fr-CA" w:eastAsia="es-419"/>
              </w:rPr>
              <w:t> </w:t>
            </w:r>
            <w:r w:rsidRPr="00A52C0B">
              <w:rPr>
                <w:color w:val="000000"/>
                <w:sz w:val="20"/>
                <w:szCs w:val="20"/>
                <w:lang w:val="fr-CA" w:eastAsia="es-419"/>
              </w:rPr>
              <w:t>880</w:t>
            </w:r>
            <w:r w:rsidR="001527BF" w:rsidRPr="00A52C0B">
              <w:rPr>
                <w:color w:val="000000"/>
                <w:sz w:val="20"/>
                <w:szCs w:val="20"/>
                <w:lang w:val="fr-CA" w:eastAsia="es-419"/>
              </w:rPr>
              <w:t> </w:t>
            </w:r>
            <w:r w:rsidRPr="00A52C0B">
              <w:rPr>
                <w:color w:val="000000"/>
                <w:sz w:val="20"/>
                <w:szCs w:val="20"/>
                <w:lang w:val="fr-CA" w:eastAsia="es-419"/>
              </w:rPr>
              <w:t>000</w:t>
            </w:r>
          </w:p>
        </w:tc>
      </w:tr>
      <w:tr w:rsidR="005A5A1E" w:rsidRPr="00A52C0B" w14:paraId="3302D2A5" w14:textId="77777777" w:rsidTr="005A5A1E">
        <w:tc>
          <w:tcPr>
            <w:tcW w:w="518" w:type="pct"/>
            <w:shd w:val="clear" w:color="auto" w:fill="auto"/>
            <w:noWrap/>
            <w:hideMark/>
          </w:tcPr>
          <w:p w14:paraId="36717A26" w14:textId="77777777" w:rsidR="005A5A1E" w:rsidRPr="00A52C0B" w:rsidRDefault="005A5A1E" w:rsidP="005A5A1E">
            <w:pPr>
              <w:jc w:val="left"/>
              <w:rPr>
                <w:color w:val="000000"/>
                <w:sz w:val="20"/>
                <w:szCs w:val="20"/>
                <w:lang w:val="fr-CA" w:eastAsia="es-419"/>
              </w:rPr>
            </w:pPr>
            <w:r w:rsidRPr="00A52C0B">
              <w:rPr>
                <w:color w:val="000000"/>
                <w:sz w:val="20"/>
                <w:szCs w:val="20"/>
                <w:lang w:val="fr-CA" w:eastAsia="es-419"/>
              </w:rPr>
              <w:t>320 &lt;360</w:t>
            </w:r>
          </w:p>
        </w:tc>
        <w:tc>
          <w:tcPr>
            <w:tcW w:w="896" w:type="pct"/>
            <w:shd w:val="clear" w:color="auto" w:fill="auto"/>
            <w:noWrap/>
            <w:tcMar>
              <w:right w:w="202" w:type="dxa"/>
            </w:tcMar>
            <w:vAlign w:val="center"/>
            <w:hideMark/>
          </w:tcPr>
          <w:p w14:paraId="3A67E0F1" w14:textId="05A9AB2E" w:rsidR="005A5A1E" w:rsidRPr="00A52C0B" w:rsidRDefault="005A5A1E" w:rsidP="005A5A1E">
            <w:pPr>
              <w:jc w:val="right"/>
              <w:rPr>
                <w:color w:val="000000"/>
                <w:sz w:val="20"/>
                <w:szCs w:val="20"/>
                <w:lang w:val="fr-CA" w:eastAsia="es-419"/>
              </w:rPr>
            </w:pPr>
            <w:r w:rsidRPr="00A52C0B">
              <w:rPr>
                <w:color w:val="000000"/>
                <w:sz w:val="20"/>
                <w:szCs w:val="20"/>
                <w:lang w:val="fr-CA" w:eastAsia="es-419"/>
              </w:rPr>
              <w:t>1</w:t>
            </w:r>
            <w:r w:rsidR="001527BF" w:rsidRPr="00A52C0B">
              <w:rPr>
                <w:color w:val="000000"/>
                <w:sz w:val="20"/>
                <w:szCs w:val="20"/>
                <w:lang w:val="fr-CA" w:eastAsia="es-419"/>
              </w:rPr>
              <w:t> </w:t>
            </w:r>
            <w:r w:rsidRPr="00A52C0B">
              <w:rPr>
                <w:color w:val="000000"/>
                <w:sz w:val="20"/>
                <w:szCs w:val="20"/>
                <w:lang w:val="fr-CA" w:eastAsia="es-419"/>
              </w:rPr>
              <w:t>800</w:t>
            </w:r>
            <w:r w:rsidR="001527BF" w:rsidRPr="00A52C0B">
              <w:rPr>
                <w:color w:val="000000"/>
                <w:sz w:val="20"/>
                <w:szCs w:val="20"/>
                <w:lang w:val="fr-CA" w:eastAsia="es-419"/>
              </w:rPr>
              <w:t> </w:t>
            </w:r>
            <w:r w:rsidRPr="00A52C0B">
              <w:rPr>
                <w:color w:val="000000"/>
                <w:sz w:val="20"/>
                <w:szCs w:val="20"/>
                <w:lang w:val="fr-CA" w:eastAsia="es-419"/>
              </w:rPr>
              <w:t>000</w:t>
            </w:r>
          </w:p>
        </w:tc>
        <w:tc>
          <w:tcPr>
            <w:tcW w:w="897" w:type="pct"/>
            <w:shd w:val="clear" w:color="auto" w:fill="auto"/>
            <w:tcMar>
              <w:right w:w="202" w:type="dxa"/>
            </w:tcMar>
            <w:vAlign w:val="center"/>
          </w:tcPr>
          <w:p w14:paraId="3E2D4EEC" w14:textId="21A91B99" w:rsidR="005A5A1E" w:rsidRPr="00A52C0B" w:rsidRDefault="005A5A1E" w:rsidP="005A5A1E">
            <w:pPr>
              <w:jc w:val="right"/>
              <w:rPr>
                <w:color w:val="000000"/>
                <w:sz w:val="20"/>
                <w:szCs w:val="20"/>
                <w:lang w:val="fr-CA" w:eastAsia="es-419"/>
              </w:rPr>
            </w:pPr>
            <w:r w:rsidRPr="00A52C0B">
              <w:rPr>
                <w:color w:val="000000"/>
                <w:sz w:val="20"/>
                <w:szCs w:val="20"/>
                <w:lang w:val="fr-CA" w:eastAsia="es-419"/>
              </w:rPr>
              <w:t>198</w:t>
            </w:r>
            <w:r w:rsidR="001527BF" w:rsidRPr="00A52C0B">
              <w:rPr>
                <w:color w:val="000000"/>
                <w:sz w:val="20"/>
                <w:szCs w:val="20"/>
                <w:lang w:val="fr-CA" w:eastAsia="es-419"/>
              </w:rPr>
              <w:t> </w:t>
            </w:r>
            <w:r w:rsidRPr="00A52C0B">
              <w:rPr>
                <w:color w:val="000000"/>
                <w:sz w:val="20"/>
                <w:szCs w:val="20"/>
                <w:lang w:val="fr-CA" w:eastAsia="es-419"/>
              </w:rPr>
              <w:t>000</w:t>
            </w:r>
          </w:p>
        </w:tc>
        <w:tc>
          <w:tcPr>
            <w:tcW w:w="897" w:type="pct"/>
            <w:shd w:val="clear" w:color="auto" w:fill="auto"/>
            <w:noWrap/>
            <w:tcMar>
              <w:right w:w="202" w:type="dxa"/>
            </w:tcMar>
            <w:vAlign w:val="center"/>
            <w:hideMark/>
          </w:tcPr>
          <w:p w14:paraId="6B39979D" w14:textId="2F5EE14F" w:rsidR="005A5A1E" w:rsidRPr="00A52C0B" w:rsidRDefault="005A5A1E" w:rsidP="005A5A1E">
            <w:pPr>
              <w:jc w:val="right"/>
              <w:rPr>
                <w:color w:val="000000"/>
                <w:sz w:val="20"/>
                <w:szCs w:val="20"/>
                <w:lang w:val="fr-CA" w:eastAsia="es-419"/>
              </w:rPr>
            </w:pPr>
            <w:r w:rsidRPr="00A52C0B">
              <w:rPr>
                <w:color w:val="000000"/>
                <w:sz w:val="20"/>
                <w:szCs w:val="20"/>
                <w:lang w:val="fr-CA" w:eastAsia="es-419"/>
              </w:rPr>
              <w:t>270</w:t>
            </w:r>
            <w:r w:rsidR="001527BF" w:rsidRPr="00A52C0B">
              <w:rPr>
                <w:color w:val="000000"/>
                <w:sz w:val="20"/>
                <w:szCs w:val="20"/>
                <w:lang w:val="fr-CA" w:eastAsia="es-419"/>
              </w:rPr>
              <w:t> </w:t>
            </w:r>
            <w:r w:rsidRPr="00A52C0B">
              <w:rPr>
                <w:color w:val="000000"/>
                <w:sz w:val="20"/>
                <w:szCs w:val="20"/>
                <w:lang w:val="fr-CA" w:eastAsia="es-419"/>
              </w:rPr>
              <w:t>000</w:t>
            </w:r>
          </w:p>
        </w:tc>
        <w:tc>
          <w:tcPr>
            <w:tcW w:w="896" w:type="pct"/>
            <w:shd w:val="clear" w:color="auto" w:fill="auto"/>
            <w:noWrap/>
            <w:tcMar>
              <w:right w:w="202" w:type="dxa"/>
            </w:tcMar>
            <w:vAlign w:val="center"/>
            <w:hideMark/>
          </w:tcPr>
          <w:p w14:paraId="1B7A40BF" w14:textId="77777777" w:rsidR="005A5A1E" w:rsidRPr="00A52C0B" w:rsidRDefault="005A5A1E" w:rsidP="005A5A1E">
            <w:pPr>
              <w:jc w:val="right"/>
              <w:rPr>
                <w:color w:val="000000"/>
                <w:sz w:val="20"/>
                <w:szCs w:val="20"/>
                <w:lang w:val="fr-CA" w:eastAsia="es-419"/>
              </w:rPr>
            </w:pPr>
            <w:r w:rsidRPr="00A52C0B">
              <w:rPr>
                <w:color w:val="000000"/>
                <w:sz w:val="20"/>
                <w:szCs w:val="20"/>
                <w:lang w:val="fr-CA" w:eastAsia="es-419"/>
              </w:rPr>
              <w:t>2</w:t>
            </w:r>
          </w:p>
        </w:tc>
        <w:tc>
          <w:tcPr>
            <w:tcW w:w="896" w:type="pct"/>
            <w:shd w:val="clear" w:color="auto" w:fill="auto"/>
            <w:noWrap/>
            <w:tcMar>
              <w:right w:w="202" w:type="dxa"/>
            </w:tcMar>
            <w:vAlign w:val="center"/>
            <w:hideMark/>
          </w:tcPr>
          <w:p w14:paraId="3C12A9A4" w14:textId="375135C6" w:rsidR="005A5A1E" w:rsidRPr="00A52C0B" w:rsidRDefault="005A5A1E" w:rsidP="005A5A1E">
            <w:pPr>
              <w:jc w:val="right"/>
              <w:rPr>
                <w:color w:val="000000"/>
                <w:sz w:val="20"/>
                <w:szCs w:val="20"/>
                <w:lang w:val="fr-CA" w:eastAsia="es-419"/>
              </w:rPr>
            </w:pPr>
            <w:r w:rsidRPr="00A52C0B">
              <w:rPr>
                <w:color w:val="000000"/>
                <w:sz w:val="20"/>
                <w:szCs w:val="20"/>
                <w:lang w:val="fr-CA" w:eastAsia="es-419"/>
              </w:rPr>
              <w:t>540</w:t>
            </w:r>
            <w:r w:rsidR="001527BF" w:rsidRPr="00A52C0B">
              <w:rPr>
                <w:color w:val="000000"/>
                <w:sz w:val="20"/>
                <w:szCs w:val="20"/>
                <w:lang w:val="fr-CA" w:eastAsia="es-419"/>
              </w:rPr>
              <w:t> </w:t>
            </w:r>
            <w:r w:rsidRPr="00A52C0B">
              <w:rPr>
                <w:color w:val="000000"/>
                <w:sz w:val="20"/>
                <w:szCs w:val="20"/>
                <w:lang w:val="fr-CA" w:eastAsia="es-419"/>
              </w:rPr>
              <w:t>000</w:t>
            </w:r>
          </w:p>
        </w:tc>
      </w:tr>
    </w:tbl>
    <w:p w14:paraId="0E57C429" w14:textId="5A841E19" w:rsidR="005A5A1E" w:rsidRPr="00A52C0B" w:rsidRDefault="005A5A1E" w:rsidP="005A5A1E">
      <w:pPr>
        <w:pStyle w:val="Heading1"/>
        <w:numPr>
          <w:ilvl w:val="0"/>
          <w:numId w:val="0"/>
        </w:numPr>
        <w:rPr>
          <w:sz w:val="19"/>
          <w:szCs w:val="19"/>
          <w:lang w:val="fr-CA"/>
        </w:rPr>
      </w:pPr>
      <w:r w:rsidRPr="00A52C0B">
        <w:rPr>
          <w:sz w:val="19"/>
          <w:szCs w:val="19"/>
          <w:lang w:val="fr-CA"/>
        </w:rPr>
        <w:t>*</w:t>
      </w:r>
      <w:r w:rsidR="00787B3E" w:rsidRPr="00A52C0B">
        <w:rPr>
          <w:sz w:val="19"/>
          <w:szCs w:val="19"/>
          <w:lang w:val="fr-CA"/>
        </w:rPr>
        <w:t xml:space="preserve">Sept pays qui ne sont pas des </w:t>
      </w:r>
      <w:r w:rsidR="009260EE" w:rsidRPr="00A52C0B">
        <w:rPr>
          <w:sz w:val="19"/>
          <w:szCs w:val="19"/>
          <w:lang w:val="fr-CA"/>
        </w:rPr>
        <w:t>pays FVC</w:t>
      </w:r>
      <w:r w:rsidR="00787B3E" w:rsidRPr="00A52C0B">
        <w:rPr>
          <w:sz w:val="19"/>
          <w:szCs w:val="19"/>
          <w:lang w:val="fr-CA"/>
        </w:rPr>
        <w:t xml:space="preserve"> (Bénin, Burkina Faso, Congo, Équateur, Gabon, Madagascar, République démocratique du Congo et Togo) ont demandé un financement semblable pour les pays dont la valeur de référence des HCFC se situe entre 320 et 360 tm.</w:t>
      </w:r>
      <w:r w:rsidRPr="00A52C0B">
        <w:rPr>
          <w:sz w:val="19"/>
          <w:szCs w:val="19"/>
          <w:lang w:val="fr-CA"/>
        </w:rPr>
        <w:t xml:space="preserve"> </w:t>
      </w:r>
    </w:p>
    <w:p w14:paraId="580CFF8E" w14:textId="196E2376" w:rsidR="005A5A1E" w:rsidRPr="00A52C0B" w:rsidRDefault="00507E98" w:rsidP="005A5A1E">
      <w:pPr>
        <w:pStyle w:val="Heading1"/>
        <w:rPr>
          <w:lang w:val="fr-CA"/>
        </w:rPr>
      </w:pPr>
      <w:r w:rsidRPr="00A52C0B">
        <w:rPr>
          <w:lang w:val="fr-CA"/>
        </w:rPr>
        <w:t xml:space="preserve">Pour ce qui est des pays qui ne sont pas des </w:t>
      </w:r>
      <w:r w:rsidR="009260EE" w:rsidRPr="00A52C0B">
        <w:rPr>
          <w:lang w:val="fr-CA"/>
        </w:rPr>
        <w:t>pays FVC</w:t>
      </w:r>
      <w:r w:rsidRPr="00A52C0B">
        <w:rPr>
          <w:lang w:val="fr-CA"/>
        </w:rPr>
        <w:t>, on peut s’attendre à ce que la conformité aux objectifs du gel et de</w:t>
      </w:r>
      <w:r w:rsidR="009260EE" w:rsidRPr="00A52C0B">
        <w:rPr>
          <w:lang w:val="fr-CA"/>
        </w:rPr>
        <w:t xml:space="preserve"> la</w:t>
      </w:r>
      <w:r w:rsidRPr="00A52C0B">
        <w:rPr>
          <w:lang w:val="fr-CA"/>
        </w:rPr>
        <w:t xml:space="preserve"> réduction de 10</w:t>
      </w:r>
      <w:r w:rsidR="009260EE" w:rsidRPr="00A52C0B">
        <w:rPr>
          <w:lang w:val="fr-CA"/>
        </w:rPr>
        <w:t> </w:t>
      </w:r>
      <w:r w:rsidRPr="00A52C0B">
        <w:rPr>
          <w:lang w:val="fr-CA"/>
        </w:rPr>
        <w:t>pour</w:t>
      </w:r>
      <w:r w:rsidR="009260EE" w:rsidRPr="00A52C0B">
        <w:rPr>
          <w:lang w:val="fr-CA"/>
        </w:rPr>
        <w:t> </w:t>
      </w:r>
      <w:r w:rsidRPr="00A52C0B">
        <w:rPr>
          <w:lang w:val="fr-CA"/>
        </w:rPr>
        <w:t>cent de la valeur de référence des HFC pourrait être atteint</w:t>
      </w:r>
      <w:r w:rsidR="00060038" w:rsidRPr="00A52C0B">
        <w:rPr>
          <w:lang w:val="fr-CA"/>
        </w:rPr>
        <w:t>e</w:t>
      </w:r>
      <w:r w:rsidRPr="00A52C0B">
        <w:rPr>
          <w:lang w:val="fr-CA"/>
        </w:rPr>
        <w:t xml:space="preserve"> uniquement ou principalement par la reconversion des entreprises manufacturières. Étant donné que ces pays mettront en œuvre à grande échelle des activités dans le secteur de l’entretien </w:t>
      </w:r>
      <w:r w:rsidR="001E3DE5">
        <w:rPr>
          <w:lang w:val="fr-CA"/>
        </w:rPr>
        <w:t>en</w:t>
      </w:r>
      <w:r w:rsidRPr="00A52C0B">
        <w:rPr>
          <w:lang w:val="fr-CA"/>
        </w:rPr>
        <w:t xml:space="preserve"> réfrigération en vue de satisfaire leurs derniers objectifs de conformité des HCFC, et malgré le fait que le financement pourrait ne pas être encore décaissé ou être en attente d’approbation lors des futures phases de leur</w:t>
      </w:r>
      <w:r w:rsidR="009260EE" w:rsidRPr="00A52C0B">
        <w:rPr>
          <w:lang w:val="fr-CA"/>
        </w:rPr>
        <w:t>s</w:t>
      </w:r>
      <w:r w:rsidRPr="00A52C0B">
        <w:rPr>
          <w:lang w:val="fr-CA"/>
        </w:rPr>
        <w:t xml:space="preserve"> PGEH (estimé à 559,3</w:t>
      </w:r>
      <w:r w:rsidR="009260EE" w:rsidRPr="00A52C0B">
        <w:rPr>
          <w:lang w:val="fr-CA"/>
        </w:rPr>
        <w:t> </w:t>
      </w:r>
      <w:r w:rsidRPr="00A52C0B">
        <w:rPr>
          <w:lang w:val="fr-CA"/>
        </w:rPr>
        <w:t>millions de dollars</w:t>
      </w:r>
      <w:r w:rsidR="009260EE" w:rsidRPr="00A52C0B">
        <w:rPr>
          <w:lang w:val="fr-CA"/>
        </w:rPr>
        <w:t> </w:t>
      </w:r>
      <w:r w:rsidRPr="00A52C0B">
        <w:rPr>
          <w:lang w:val="fr-CA"/>
        </w:rPr>
        <w:t>US</w:t>
      </w:r>
      <w:r w:rsidR="005A5A1E" w:rsidRPr="00A52C0B">
        <w:rPr>
          <w:vertAlign w:val="superscript"/>
          <w:lang w:val="fr-CA"/>
        </w:rPr>
        <w:footnoteReference w:id="28"/>
      </w:r>
      <w:r w:rsidR="005A5A1E" w:rsidRPr="00A52C0B">
        <w:rPr>
          <w:lang w:val="fr-CA"/>
        </w:rPr>
        <w:t xml:space="preserve">), </w:t>
      </w:r>
      <w:r w:rsidR="004D4BB0" w:rsidRPr="00A52C0B">
        <w:rPr>
          <w:lang w:val="fr-CA"/>
        </w:rPr>
        <w:t xml:space="preserve">il serait pertinent d’approuver </w:t>
      </w:r>
      <w:r w:rsidR="00966905" w:rsidRPr="00A52C0B">
        <w:rPr>
          <w:lang w:val="fr-CA"/>
        </w:rPr>
        <w:t>un</w:t>
      </w:r>
      <w:r w:rsidR="004D4BB0" w:rsidRPr="00A52C0B">
        <w:rPr>
          <w:lang w:val="fr-CA"/>
        </w:rPr>
        <w:t xml:space="preserve"> financement supplémentaire pour la réduction progressive des HFC dans le secteur de l’entretien, étant donné que l’incidence de l’intégration des deux groupes de substances dans une stratégie globale sur les activités mises en œuvre serait élevée, et que cela favoriserait l’adoption de solutions de remplacement à faible</w:t>
      </w:r>
      <w:r w:rsidR="00966905" w:rsidRPr="00A52C0B">
        <w:rPr>
          <w:lang w:val="fr-CA"/>
        </w:rPr>
        <w:t> </w:t>
      </w:r>
      <w:r w:rsidR="004D4BB0" w:rsidRPr="00A52C0B">
        <w:rPr>
          <w:lang w:val="fr-CA"/>
        </w:rPr>
        <w:t>PRG au cours de la période chevauchement et résulterait en une baisse de la consommation de HFC qui aur</w:t>
      </w:r>
      <w:r w:rsidR="00966905" w:rsidRPr="00A52C0B">
        <w:rPr>
          <w:lang w:val="fr-CA"/>
        </w:rPr>
        <w:t>a</w:t>
      </w:r>
      <w:r w:rsidR="004D4BB0" w:rsidRPr="00A52C0B">
        <w:rPr>
          <w:lang w:val="fr-CA"/>
        </w:rPr>
        <w:t xml:space="preserve">it été nécessaire pour l’entretien de l’équipement de réfrigération et de climatisation à base de HFC. En outre, le financement </w:t>
      </w:r>
      <w:r w:rsidR="006400F5" w:rsidRPr="00A52C0B">
        <w:rPr>
          <w:lang w:val="fr-CA"/>
        </w:rPr>
        <w:t xml:space="preserve">aiderait </w:t>
      </w:r>
      <w:r w:rsidR="004D4BB0" w:rsidRPr="00A52C0B">
        <w:rPr>
          <w:lang w:val="fr-CA"/>
        </w:rPr>
        <w:t xml:space="preserve">les pays qui ne sont pas des </w:t>
      </w:r>
      <w:r w:rsidR="009260EE" w:rsidRPr="00A52C0B">
        <w:rPr>
          <w:lang w:val="fr-CA"/>
        </w:rPr>
        <w:t>pays FVC</w:t>
      </w:r>
      <w:r w:rsidR="004D4BB0" w:rsidRPr="00A52C0B">
        <w:rPr>
          <w:lang w:val="fr-CA"/>
        </w:rPr>
        <w:t xml:space="preserve"> </w:t>
      </w:r>
      <w:r w:rsidR="006400F5" w:rsidRPr="00A52C0B">
        <w:rPr>
          <w:lang w:val="fr-CA"/>
        </w:rPr>
        <w:t xml:space="preserve">à </w:t>
      </w:r>
      <w:r w:rsidR="004D4BB0" w:rsidRPr="00A52C0B">
        <w:rPr>
          <w:lang w:val="fr-CA"/>
        </w:rPr>
        <w:t>commenc</w:t>
      </w:r>
      <w:r w:rsidR="006400F5" w:rsidRPr="00A52C0B">
        <w:rPr>
          <w:lang w:val="fr-CA"/>
        </w:rPr>
        <w:t>er</w:t>
      </w:r>
      <w:r w:rsidR="004D4BB0" w:rsidRPr="00A52C0B">
        <w:rPr>
          <w:lang w:val="fr-CA"/>
        </w:rPr>
        <w:t xml:space="preserve"> à s’occuper, au besoin, des applications non traitées au cours du processus d’élimination des HCFC et pour lesquel</w:t>
      </w:r>
      <w:r w:rsidR="006400F5" w:rsidRPr="00A52C0B">
        <w:rPr>
          <w:lang w:val="fr-CA"/>
        </w:rPr>
        <w:t>le</w:t>
      </w:r>
      <w:r w:rsidR="004D4BB0" w:rsidRPr="00A52C0B">
        <w:rPr>
          <w:lang w:val="fr-CA"/>
        </w:rPr>
        <w:t>s il faut freiner la croissance de la consommation de HFC.</w:t>
      </w:r>
    </w:p>
    <w:p w14:paraId="05B4E04D" w14:textId="7C147C4E" w:rsidR="005A5A1E" w:rsidRPr="00A52C0B" w:rsidRDefault="004D4BB0" w:rsidP="005A5A1E">
      <w:pPr>
        <w:pStyle w:val="Heading1"/>
        <w:rPr>
          <w:lang w:val="fr-CA"/>
        </w:rPr>
      </w:pPr>
      <w:r w:rsidRPr="00A52C0B">
        <w:rPr>
          <w:lang w:val="fr-CA"/>
        </w:rPr>
        <w:t xml:space="preserve">Ainsi, compte tenu de l’importante série d’activités en cours dans le secteur de l’entretien de l’équipement de réfrigération et du niveau de financement déjà approuvé et disponible à l’approbation en vertu des dernières phases des PGEH </w:t>
      </w:r>
      <w:r w:rsidR="00923DDF" w:rsidRPr="00A52C0B">
        <w:rPr>
          <w:lang w:val="fr-CA"/>
        </w:rPr>
        <w:t xml:space="preserve">pour les pays qui ne sont pas des </w:t>
      </w:r>
      <w:r w:rsidR="009260EE" w:rsidRPr="00A52C0B">
        <w:rPr>
          <w:lang w:val="fr-CA"/>
        </w:rPr>
        <w:t>pays FVC</w:t>
      </w:r>
      <w:r w:rsidR="00923DDF" w:rsidRPr="00A52C0B">
        <w:rPr>
          <w:lang w:val="fr-CA"/>
        </w:rPr>
        <w:t xml:space="preserve">, le Secrétariat propose </w:t>
      </w:r>
      <w:r w:rsidR="00923DDF" w:rsidRPr="00A52C0B">
        <w:rPr>
          <w:lang w:val="fr-CA"/>
        </w:rPr>
        <w:lastRenderedPageBreak/>
        <w:t>un financement supplémentaire atteignant 3,20</w:t>
      </w:r>
      <w:r w:rsidR="00F741C6" w:rsidRPr="00A52C0B">
        <w:rPr>
          <w:lang w:val="fr-CA"/>
        </w:rPr>
        <w:t> </w:t>
      </w:r>
      <w:r w:rsidR="00923DDF" w:rsidRPr="00A52C0B">
        <w:rPr>
          <w:lang w:val="fr-CA"/>
        </w:rPr>
        <w:t>$US/kg</w:t>
      </w:r>
      <w:r w:rsidR="005A5A1E" w:rsidRPr="00A52C0B">
        <w:rPr>
          <w:vertAlign w:val="superscript"/>
          <w:lang w:val="fr-CA"/>
        </w:rPr>
        <w:footnoteReference w:id="29"/>
      </w:r>
      <w:r w:rsidR="005A5A1E" w:rsidRPr="00A52C0B">
        <w:rPr>
          <w:lang w:val="fr-CA"/>
        </w:rPr>
        <w:t xml:space="preserve"> </w:t>
      </w:r>
      <w:r w:rsidR="00923DDF" w:rsidRPr="00A52C0B">
        <w:rPr>
          <w:lang w:val="fr-CA"/>
        </w:rPr>
        <w:t xml:space="preserve">pour la réduction progressive des HFC utilisés dans le secteur de l’entretien de l’équipement de réfrigération par les pays qui ne sont pas des </w:t>
      </w:r>
      <w:r w:rsidR="009260EE" w:rsidRPr="00A52C0B">
        <w:rPr>
          <w:lang w:val="fr-CA"/>
        </w:rPr>
        <w:t>pays FVC</w:t>
      </w:r>
      <w:r w:rsidR="00923DDF" w:rsidRPr="00A52C0B">
        <w:rPr>
          <w:lang w:val="fr-CA"/>
        </w:rPr>
        <w:t xml:space="preserve"> pour la phase</w:t>
      </w:r>
      <w:r w:rsidR="00F741C6" w:rsidRPr="00A52C0B">
        <w:rPr>
          <w:lang w:val="fr-CA"/>
        </w:rPr>
        <w:t> </w:t>
      </w:r>
      <w:r w:rsidR="00923DDF" w:rsidRPr="00A52C0B">
        <w:rPr>
          <w:lang w:val="fr-CA"/>
        </w:rPr>
        <w:t>I des plans de réduction progressive des HFC (c.</w:t>
      </w:r>
      <w:r w:rsidR="00471A2B" w:rsidRPr="00A52C0B">
        <w:rPr>
          <w:lang w:val="fr-CA"/>
        </w:rPr>
        <w:noBreakHyphen/>
      </w:r>
      <w:r w:rsidR="00923DDF" w:rsidRPr="00A52C0B">
        <w:rPr>
          <w:lang w:val="fr-CA"/>
        </w:rPr>
        <w:t>à</w:t>
      </w:r>
      <w:r w:rsidR="00471A2B" w:rsidRPr="00A52C0B">
        <w:rPr>
          <w:lang w:val="fr-CA"/>
        </w:rPr>
        <w:noBreakHyphen/>
      </w:r>
      <w:r w:rsidR="00923DDF" w:rsidRPr="00A52C0B">
        <w:rPr>
          <w:lang w:val="fr-CA"/>
        </w:rPr>
        <w:t>d.,</w:t>
      </w:r>
      <w:r w:rsidR="00F741C6" w:rsidRPr="00A52C0B">
        <w:rPr>
          <w:lang w:val="fr-CA"/>
        </w:rPr>
        <w:t> </w:t>
      </w:r>
      <w:r w:rsidR="00923DDF" w:rsidRPr="00A52C0B">
        <w:rPr>
          <w:lang w:val="fr-CA"/>
        </w:rPr>
        <w:t xml:space="preserve">période </w:t>
      </w:r>
      <w:r w:rsidR="00F741C6" w:rsidRPr="00A52C0B">
        <w:rPr>
          <w:lang w:val="fr-CA"/>
        </w:rPr>
        <w:t xml:space="preserve">de </w:t>
      </w:r>
      <w:r w:rsidR="00923DDF" w:rsidRPr="00A52C0B">
        <w:rPr>
          <w:lang w:val="fr-CA"/>
        </w:rPr>
        <w:t>chevauchement entre l’élimination des HCFC et la réduction progressive des HFC), étant entendu que le tonnage associé au financement approuvé sera déduit du point de départ de la consommation globale de</w:t>
      </w:r>
      <w:r w:rsidR="00F741C6" w:rsidRPr="00A52C0B">
        <w:rPr>
          <w:lang w:val="fr-CA"/>
        </w:rPr>
        <w:t xml:space="preserve"> </w:t>
      </w:r>
      <w:r w:rsidR="00923DDF" w:rsidRPr="00A52C0B">
        <w:rPr>
          <w:lang w:val="fr-CA"/>
        </w:rPr>
        <w:t xml:space="preserve">HFC, que ce montant ne sera applicable que pendant la période </w:t>
      </w:r>
      <w:r w:rsidR="00F741C6" w:rsidRPr="00A52C0B">
        <w:rPr>
          <w:lang w:val="fr-CA"/>
        </w:rPr>
        <w:t xml:space="preserve">de </w:t>
      </w:r>
      <w:r w:rsidR="00923DDF" w:rsidRPr="00A52C0B">
        <w:rPr>
          <w:lang w:val="fr-CA"/>
        </w:rPr>
        <w:t>chevauchement et sera revu lors des futures phases dans le cadre d’une évaluation des besoins dans le secteur de l’entretien de l’équipement de réfrigération qui sera menée en</w:t>
      </w:r>
      <w:r w:rsidR="00F741C6" w:rsidRPr="00A52C0B">
        <w:rPr>
          <w:lang w:val="fr-CA"/>
        </w:rPr>
        <w:t> </w:t>
      </w:r>
      <w:r w:rsidR="00923DDF" w:rsidRPr="00A52C0B">
        <w:rPr>
          <w:lang w:val="fr-CA"/>
        </w:rPr>
        <w:t xml:space="preserve">2028 lorsque les valeurs de référence des HFC seront déjà établies, que la distribution sectorielle des HFC sera déjà connue et que le scénario des solutions de remplacement des HFC aura évolué. </w:t>
      </w:r>
    </w:p>
    <w:p w14:paraId="070DAB2A" w14:textId="1C56D246" w:rsidR="005A5A1E" w:rsidRPr="00A52C0B" w:rsidRDefault="00923DDF" w:rsidP="005A5A1E">
      <w:pPr>
        <w:pStyle w:val="Heading1"/>
        <w:rPr>
          <w:lang w:val="fr-CA"/>
        </w:rPr>
      </w:pPr>
      <w:r w:rsidRPr="00A52C0B">
        <w:rPr>
          <w:lang w:val="fr-CA"/>
        </w:rPr>
        <w:t xml:space="preserve">Au cours du processus d’élimination des HCFC, </w:t>
      </w:r>
      <w:r w:rsidR="00060038" w:rsidRPr="00A52C0B">
        <w:rPr>
          <w:lang w:val="fr-CA"/>
        </w:rPr>
        <w:t xml:space="preserve">sept </w:t>
      </w:r>
      <w:r w:rsidRPr="00A52C0B">
        <w:rPr>
          <w:lang w:val="fr-CA"/>
        </w:rPr>
        <w:t xml:space="preserve">pays qui ne sont pas des </w:t>
      </w:r>
      <w:r w:rsidR="009260EE" w:rsidRPr="00A52C0B">
        <w:rPr>
          <w:lang w:val="fr-CA"/>
        </w:rPr>
        <w:t>pays FVC</w:t>
      </w:r>
      <w:r w:rsidRPr="00A52C0B">
        <w:rPr>
          <w:lang w:val="fr-CA"/>
        </w:rPr>
        <w:t>, d</w:t>
      </w:r>
      <w:r w:rsidR="00B97AA3" w:rsidRPr="00A52C0B">
        <w:rPr>
          <w:lang w:val="fr-CA"/>
        </w:rPr>
        <w:t>ont</w:t>
      </w:r>
      <w:r w:rsidRPr="00A52C0B">
        <w:rPr>
          <w:lang w:val="fr-CA"/>
        </w:rPr>
        <w:t xml:space="preserve"> la majorité de la consommation de HCFC concernait le secteur de l’entretien de l’équipement de réfrigération, ont décidé de demander un financement à partir d</w:t>
      </w:r>
      <w:r w:rsidR="00B97AA3" w:rsidRPr="00A52C0B">
        <w:rPr>
          <w:lang w:val="fr-CA"/>
        </w:rPr>
        <w:t>es</w:t>
      </w:r>
      <w:r w:rsidRPr="00A52C0B">
        <w:rPr>
          <w:lang w:val="fr-CA"/>
        </w:rPr>
        <w:t xml:space="preserve"> niveau</w:t>
      </w:r>
      <w:r w:rsidR="00B97AA3" w:rsidRPr="00A52C0B">
        <w:rPr>
          <w:lang w:val="fr-CA"/>
        </w:rPr>
        <w:t>x</w:t>
      </w:r>
      <w:r w:rsidRPr="00A52C0B">
        <w:rPr>
          <w:lang w:val="fr-CA"/>
        </w:rPr>
        <w:t xml:space="preserve"> de financement pour les </w:t>
      </w:r>
      <w:r w:rsidR="009260EE" w:rsidRPr="00A52C0B">
        <w:rPr>
          <w:lang w:val="fr-CA"/>
        </w:rPr>
        <w:t>pays FVC</w:t>
      </w:r>
      <w:r w:rsidRPr="00A52C0B">
        <w:rPr>
          <w:lang w:val="fr-CA"/>
        </w:rPr>
        <w:t>, avec une valeur de référence des HCFC se situant entre</w:t>
      </w:r>
      <w:r w:rsidR="00B97AA3" w:rsidRPr="00A52C0B">
        <w:rPr>
          <w:lang w:val="fr-CA"/>
        </w:rPr>
        <w:t> </w:t>
      </w:r>
      <w:r w:rsidRPr="00A52C0B">
        <w:rPr>
          <w:lang w:val="fr-CA"/>
        </w:rPr>
        <w:t>320 et 360</w:t>
      </w:r>
      <w:r w:rsidR="00B97AA3" w:rsidRPr="00A52C0B">
        <w:rPr>
          <w:lang w:val="fr-CA"/>
        </w:rPr>
        <w:t> tm</w:t>
      </w:r>
      <w:r w:rsidRPr="00A52C0B">
        <w:rPr>
          <w:lang w:val="fr-CA"/>
        </w:rPr>
        <w:t>, convenus en vertu de la décision</w:t>
      </w:r>
      <w:r w:rsidR="00060038" w:rsidRPr="00A52C0B">
        <w:rPr>
          <w:lang w:val="fr-CA"/>
        </w:rPr>
        <w:t> </w:t>
      </w:r>
      <w:r w:rsidRPr="00A52C0B">
        <w:rPr>
          <w:lang w:val="fr-CA"/>
        </w:rPr>
        <w:t xml:space="preserve">74/50. Pour le moment, on ne sait pas si la consommation de HFC dans ces </w:t>
      </w:r>
      <w:r w:rsidR="00060038" w:rsidRPr="00A52C0B">
        <w:rPr>
          <w:lang w:val="fr-CA"/>
        </w:rPr>
        <w:t xml:space="preserve">sept </w:t>
      </w:r>
      <w:r w:rsidRPr="00A52C0B">
        <w:rPr>
          <w:lang w:val="fr-CA"/>
        </w:rPr>
        <w:t xml:space="preserve">pays (ou éventuellement </w:t>
      </w:r>
      <w:r w:rsidR="00060038" w:rsidRPr="00A52C0B">
        <w:rPr>
          <w:lang w:val="fr-CA"/>
        </w:rPr>
        <w:t xml:space="preserve">dans d’autres pays qui ne sont pas des </w:t>
      </w:r>
      <w:r w:rsidR="009260EE" w:rsidRPr="00A52C0B">
        <w:rPr>
          <w:lang w:val="fr-CA"/>
        </w:rPr>
        <w:t>pays FVC</w:t>
      </w:r>
      <w:r w:rsidR="00060038" w:rsidRPr="00A52C0B">
        <w:rPr>
          <w:lang w:val="fr-CA"/>
        </w:rPr>
        <w:t>) serait uniquement associé</w:t>
      </w:r>
      <w:r w:rsidR="00B97AA3" w:rsidRPr="00A52C0B">
        <w:rPr>
          <w:lang w:val="fr-CA"/>
        </w:rPr>
        <w:t>e</w:t>
      </w:r>
      <w:r w:rsidR="00060038" w:rsidRPr="00A52C0B">
        <w:rPr>
          <w:lang w:val="fr-CA"/>
        </w:rPr>
        <w:t xml:space="preserve"> au secteur de l’entretien </w:t>
      </w:r>
      <w:r w:rsidR="001E3DE5">
        <w:rPr>
          <w:lang w:val="fr-CA"/>
        </w:rPr>
        <w:t>en</w:t>
      </w:r>
      <w:r w:rsidR="00060038" w:rsidRPr="00A52C0B">
        <w:rPr>
          <w:lang w:val="fr-CA"/>
        </w:rPr>
        <w:t xml:space="preserve"> réfrigération ou si une consommation importante de HFC serait liée au secteur manufacturier. Pour tous ces pays qui ne sont pas des </w:t>
      </w:r>
      <w:r w:rsidR="009260EE" w:rsidRPr="00A52C0B">
        <w:rPr>
          <w:lang w:val="fr-CA"/>
        </w:rPr>
        <w:t>pays FVC</w:t>
      </w:r>
      <w:r w:rsidR="00060038" w:rsidRPr="00A52C0B">
        <w:rPr>
          <w:lang w:val="fr-CA"/>
        </w:rPr>
        <w:t xml:space="preserve"> qui atteindront l’objectif de réduction de 10 pour</w:t>
      </w:r>
      <w:r w:rsidR="00B97AA3" w:rsidRPr="00A52C0B">
        <w:rPr>
          <w:lang w:val="fr-CA"/>
        </w:rPr>
        <w:t> </w:t>
      </w:r>
      <w:r w:rsidR="00060038" w:rsidRPr="00A52C0B">
        <w:rPr>
          <w:lang w:val="fr-CA"/>
        </w:rPr>
        <w:t>cent de la consommation de HFC uniquement au moyen d’activités menées dans le secteur de l’entretien de l’équipement de réfrigération, le Secrétariat propose de financer la phase</w:t>
      </w:r>
      <w:r w:rsidR="00B97AA3" w:rsidRPr="00A52C0B">
        <w:rPr>
          <w:lang w:val="fr-CA"/>
        </w:rPr>
        <w:t> </w:t>
      </w:r>
      <w:r w:rsidR="00060038" w:rsidRPr="00A52C0B">
        <w:rPr>
          <w:lang w:val="fr-CA"/>
        </w:rPr>
        <w:t>I de la réduction progressive des</w:t>
      </w:r>
      <w:r w:rsidR="00B97AA3" w:rsidRPr="00A52C0B">
        <w:rPr>
          <w:lang w:val="fr-CA"/>
        </w:rPr>
        <w:t> </w:t>
      </w:r>
      <w:r w:rsidR="00060038" w:rsidRPr="00A52C0B">
        <w:rPr>
          <w:lang w:val="fr-CA"/>
        </w:rPr>
        <w:t>HFC jusqu’à hauteur de 2</w:t>
      </w:r>
      <w:r w:rsidR="00B97AA3" w:rsidRPr="00A52C0B">
        <w:rPr>
          <w:lang w:val="fr-CA"/>
        </w:rPr>
        <w:t>7</w:t>
      </w:r>
      <w:r w:rsidR="00060038" w:rsidRPr="00A52C0B">
        <w:rPr>
          <w:lang w:val="fr-CA"/>
        </w:rPr>
        <w:t>0 000 $US, c.</w:t>
      </w:r>
      <w:r w:rsidR="00471A2B" w:rsidRPr="00A52C0B">
        <w:rPr>
          <w:lang w:val="fr-CA"/>
        </w:rPr>
        <w:noBreakHyphen/>
      </w:r>
      <w:r w:rsidR="00060038" w:rsidRPr="00A52C0B">
        <w:rPr>
          <w:lang w:val="fr-CA"/>
        </w:rPr>
        <w:t>à</w:t>
      </w:r>
      <w:r w:rsidR="00471A2B" w:rsidRPr="00A52C0B">
        <w:rPr>
          <w:lang w:val="fr-CA"/>
        </w:rPr>
        <w:noBreakHyphen/>
      </w:r>
      <w:r w:rsidR="00060038" w:rsidRPr="00A52C0B">
        <w:rPr>
          <w:lang w:val="fr-CA"/>
        </w:rPr>
        <w:t>d.,</w:t>
      </w:r>
      <w:r w:rsidR="00B97AA3" w:rsidRPr="00A52C0B">
        <w:rPr>
          <w:lang w:val="fr-CA"/>
        </w:rPr>
        <w:t xml:space="preserve"> le</w:t>
      </w:r>
      <w:r w:rsidR="00060038" w:rsidRPr="00A52C0B">
        <w:rPr>
          <w:lang w:val="fr-CA"/>
        </w:rPr>
        <w:t xml:space="preserve"> niveau de financement des </w:t>
      </w:r>
      <w:r w:rsidR="009260EE" w:rsidRPr="00A52C0B">
        <w:rPr>
          <w:lang w:val="fr-CA"/>
        </w:rPr>
        <w:t>pays FVC</w:t>
      </w:r>
      <w:r w:rsidR="00060038" w:rsidRPr="00A52C0B">
        <w:rPr>
          <w:lang w:val="fr-CA"/>
        </w:rPr>
        <w:t xml:space="preserve"> dont la valeur de référence des HCFC se situe entre</w:t>
      </w:r>
      <w:r w:rsidR="00B97AA3" w:rsidRPr="00A52C0B">
        <w:rPr>
          <w:lang w:val="fr-CA"/>
        </w:rPr>
        <w:t> </w:t>
      </w:r>
      <w:r w:rsidR="00060038" w:rsidRPr="00A52C0B">
        <w:rPr>
          <w:lang w:val="fr-CA"/>
        </w:rPr>
        <w:t>320 et 360</w:t>
      </w:r>
      <w:r w:rsidR="00B97AA3" w:rsidRPr="00A52C0B">
        <w:rPr>
          <w:lang w:val="fr-CA"/>
        </w:rPr>
        <w:t> tm</w:t>
      </w:r>
      <w:r w:rsidR="00060038" w:rsidRPr="00A52C0B">
        <w:rPr>
          <w:lang w:val="fr-CA"/>
        </w:rPr>
        <w:t xml:space="preserve">. </w:t>
      </w:r>
    </w:p>
    <w:p w14:paraId="326C1EC9" w14:textId="51199286" w:rsidR="005A5A1E" w:rsidRPr="00A52C0B" w:rsidRDefault="00060038" w:rsidP="005A5A1E">
      <w:pPr>
        <w:rPr>
          <w:u w:val="single"/>
          <w:lang w:val="fr-CA"/>
        </w:rPr>
      </w:pPr>
      <w:r w:rsidRPr="00A52C0B">
        <w:rPr>
          <w:u w:val="single"/>
          <w:lang w:val="fr-CA"/>
        </w:rPr>
        <w:t xml:space="preserve">Révision des modalités et niveaux de financement </w:t>
      </w:r>
    </w:p>
    <w:p w14:paraId="78E5C528" w14:textId="77777777" w:rsidR="005A5A1E" w:rsidRPr="00A52C0B" w:rsidRDefault="005A5A1E" w:rsidP="005A5A1E">
      <w:pPr>
        <w:rPr>
          <w:lang w:val="fr-CA"/>
        </w:rPr>
      </w:pPr>
    </w:p>
    <w:p w14:paraId="21C97BF4" w14:textId="148FB105" w:rsidR="005A5A1E" w:rsidRPr="00A52C0B" w:rsidRDefault="00633DDB" w:rsidP="005A5A1E">
      <w:pPr>
        <w:pStyle w:val="Heading1"/>
        <w:rPr>
          <w:lang w:val="fr-CA"/>
        </w:rPr>
      </w:pPr>
      <w:r w:rsidRPr="00A52C0B">
        <w:rPr>
          <w:lang w:val="fr-CA"/>
        </w:rPr>
        <w:t>Les modalités et niveaux de financement proposé</w:t>
      </w:r>
      <w:r w:rsidR="0000738D" w:rsidRPr="00A52C0B">
        <w:rPr>
          <w:lang w:val="fr-CA"/>
        </w:rPr>
        <w:t>s</w:t>
      </w:r>
      <w:r w:rsidRPr="00A52C0B">
        <w:rPr>
          <w:lang w:val="fr-CA"/>
        </w:rPr>
        <w:t xml:space="preserve"> dans le présent document ne concernent que la période de</w:t>
      </w:r>
      <w:r w:rsidR="0000738D" w:rsidRPr="00A52C0B">
        <w:rPr>
          <w:lang w:val="fr-CA"/>
        </w:rPr>
        <w:t> </w:t>
      </w:r>
      <w:r w:rsidRPr="00A52C0B">
        <w:rPr>
          <w:lang w:val="fr-CA"/>
        </w:rPr>
        <w:t>2021</w:t>
      </w:r>
      <w:r w:rsidR="00471A2B" w:rsidRPr="00A52C0B">
        <w:rPr>
          <w:lang w:val="fr-CA"/>
        </w:rPr>
        <w:noBreakHyphen/>
      </w:r>
      <w:r w:rsidRPr="00A52C0B">
        <w:rPr>
          <w:lang w:val="fr-CA"/>
        </w:rPr>
        <w:t>2030, au cours de laquelle les pays visés à l’article</w:t>
      </w:r>
      <w:r w:rsidR="004E3CCB" w:rsidRPr="00A52C0B">
        <w:rPr>
          <w:lang w:val="fr-CA"/>
        </w:rPr>
        <w:t> </w:t>
      </w:r>
      <w:r w:rsidRPr="00A52C0B">
        <w:rPr>
          <w:lang w:val="fr-CA"/>
        </w:rPr>
        <w:t>5 procéderont simultanément à l’élimination des HCFC et à la réduction progressive des HFC. Ce</w:t>
      </w:r>
      <w:r w:rsidR="004E3CCB" w:rsidRPr="00A52C0B">
        <w:rPr>
          <w:lang w:val="fr-CA"/>
        </w:rPr>
        <w:t>s</w:t>
      </w:r>
      <w:r w:rsidRPr="00A52C0B">
        <w:rPr>
          <w:lang w:val="fr-CA"/>
        </w:rPr>
        <w:t xml:space="preserve"> niveau</w:t>
      </w:r>
      <w:r w:rsidR="004E3CCB" w:rsidRPr="00A52C0B">
        <w:rPr>
          <w:lang w:val="fr-CA"/>
        </w:rPr>
        <w:t>x</w:t>
      </w:r>
      <w:r w:rsidRPr="00A52C0B">
        <w:rPr>
          <w:lang w:val="fr-CA"/>
        </w:rPr>
        <w:t xml:space="preserve"> de financement ne créeront pa</w:t>
      </w:r>
      <w:bookmarkStart w:id="0" w:name="_GoBack"/>
      <w:bookmarkEnd w:id="0"/>
      <w:r w:rsidRPr="00A52C0B">
        <w:rPr>
          <w:lang w:val="fr-CA"/>
        </w:rPr>
        <w:t xml:space="preserve">s </w:t>
      </w:r>
      <w:r w:rsidR="001E3DE5">
        <w:rPr>
          <w:lang w:val="fr-CA"/>
        </w:rPr>
        <w:t>de</w:t>
      </w:r>
      <w:r w:rsidRPr="00A52C0B">
        <w:rPr>
          <w:lang w:val="fr-CA"/>
        </w:rPr>
        <w:t xml:space="preserve"> précédent pour le financement total qui serait requis dans le secteur de l’entretien de l’équipement de réfrigération après</w:t>
      </w:r>
      <w:r w:rsidR="0000738D" w:rsidRPr="00A52C0B">
        <w:rPr>
          <w:lang w:val="fr-CA"/>
        </w:rPr>
        <w:t> </w:t>
      </w:r>
      <w:r w:rsidRPr="00A52C0B">
        <w:rPr>
          <w:lang w:val="fr-CA"/>
        </w:rPr>
        <w:t>2030. Au</w:t>
      </w:r>
      <w:r w:rsidR="00471A2B" w:rsidRPr="00A52C0B">
        <w:rPr>
          <w:lang w:val="fr-CA"/>
        </w:rPr>
        <w:noBreakHyphen/>
      </w:r>
      <w:r w:rsidRPr="00A52C0B">
        <w:rPr>
          <w:lang w:val="fr-CA"/>
        </w:rPr>
        <w:t>delà de cette période, alors que les pays ne feront que réduire progressivement les HFC, il faudra évaluer de manière approfondie les modalités et les niveaux de financement des activités menées dans le secteur de l’entretien de l’équipement de réfrigération, en tenant compte du fait que les valeurs de référence des HFC seront déjà établies, que la distribution sectorielle des HFC sera déjà connue et que le scénario des solutions de remplacement des HFC aura évolué. Les niveaux de financement approuvé</w:t>
      </w:r>
      <w:r w:rsidR="0000738D" w:rsidRPr="00A52C0B">
        <w:rPr>
          <w:lang w:val="fr-CA"/>
        </w:rPr>
        <w:t>s</w:t>
      </w:r>
      <w:r w:rsidRPr="00A52C0B">
        <w:rPr>
          <w:lang w:val="fr-CA"/>
        </w:rPr>
        <w:t xml:space="preserve"> pour la période</w:t>
      </w:r>
      <w:r w:rsidR="0000738D" w:rsidRPr="00A52C0B">
        <w:rPr>
          <w:lang w:val="fr-CA"/>
        </w:rPr>
        <w:t> </w:t>
      </w:r>
      <w:r w:rsidRPr="00A52C0B">
        <w:rPr>
          <w:lang w:val="fr-CA"/>
        </w:rPr>
        <w:t>2021</w:t>
      </w:r>
      <w:r w:rsidR="00471A2B" w:rsidRPr="00A52C0B">
        <w:rPr>
          <w:lang w:val="fr-CA"/>
        </w:rPr>
        <w:noBreakHyphen/>
      </w:r>
      <w:r w:rsidRPr="00A52C0B">
        <w:rPr>
          <w:lang w:val="fr-CA"/>
        </w:rPr>
        <w:t xml:space="preserve">2030 seront inclus dans le niveau de financement global de l’ensemble du secteur de l’entretien </w:t>
      </w:r>
      <w:r w:rsidR="001E3DE5">
        <w:rPr>
          <w:lang w:val="fr-CA"/>
        </w:rPr>
        <w:t>en</w:t>
      </w:r>
      <w:r w:rsidRPr="00A52C0B">
        <w:rPr>
          <w:lang w:val="fr-CA"/>
        </w:rPr>
        <w:t xml:space="preserve"> réfrigération. Le Comité exécutif pourrait souhaiter envisager de demander au Secrétariat de préparer cette analyse lors de la dernière réunion de</w:t>
      </w:r>
      <w:r w:rsidR="0000738D" w:rsidRPr="00A52C0B">
        <w:rPr>
          <w:lang w:val="fr-CA"/>
        </w:rPr>
        <w:t> </w:t>
      </w:r>
      <w:r w:rsidRPr="00A52C0B">
        <w:rPr>
          <w:lang w:val="fr-CA"/>
        </w:rPr>
        <w:t xml:space="preserve">2028. </w:t>
      </w:r>
    </w:p>
    <w:p w14:paraId="59C14D54" w14:textId="1EFA6FC5" w:rsidR="005A5A1E" w:rsidRPr="00A52C0B" w:rsidRDefault="005A5A1E" w:rsidP="005A5A1E">
      <w:pPr>
        <w:rPr>
          <w:lang w:val="fr-CA"/>
        </w:rPr>
      </w:pPr>
      <w:r w:rsidRPr="00A52C0B">
        <w:rPr>
          <w:b/>
          <w:lang w:val="fr-CA"/>
        </w:rPr>
        <w:t>RECOMM</w:t>
      </w:r>
      <w:r w:rsidR="0000738D" w:rsidRPr="00A52C0B">
        <w:rPr>
          <w:b/>
          <w:lang w:val="fr-CA"/>
        </w:rPr>
        <w:t>A</w:t>
      </w:r>
      <w:r w:rsidRPr="00A52C0B">
        <w:rPr>
          <w:b/>
          <w:lang w:val="fr-CA"/>
        </w:rPr>
        <w:t xml:space="preserve">NDATION </w:t>
      </w:r>
    </w:p>
    <w:p w14:paraId="67C08261" w14:textId="77777777" w:rsidR="005A5A1E" w:rsidRPr="00A52C0B" w:rsidRDefault="005A5A1E" w:rsidP="005A5A1E">
      <w:pPr>
        <w:rPr>
          <w:lang w:val="fr-CA"/>
        </w:rPr>
      </w:pPr>
    </w:p>
    <w:p w14:paraId="5F56AE89" w14:textId="2116752A" w:rsidR="005A5A1E" w:rsidRPr="00A52C0B" w:rsidRDefault="00633DDB" w:rsidP="005A5A1E">
      <w:pPr>
        <w:pStyle w:val="Heading1"/>
        <w:rPr>
          <w:lang w:val="fr-CA"/>
        </w:rPr>
      </w:pPr>
      <w:r w:rsidRPr="00A52C0B">
        <w:rPr>
          <w:lang w:val="fr-CA"/>
        </w:rPr>
        <w:t>Le Comité exécutif pourrait souhaiter envisager</w:t>
      </w:r>
      <w:r w:rsidR="004E3CCB" w:rsidRPr="00A52C0B">
        <w:rPr>
          <w:lang w:val="fr-CA"/>
        </w:rPr>
        <w:t> </w:t>
      </w:r>
      <w:r w:rsidRPr="00A52C0B">
        <w:rPr>
          <w:lang w:val="fr-CA"/>
        </w:rPr>
        <w:t>:</w:t>
      </w:r>
    </w:p>
    <w:p w14:paraId="1B729BCF" w14:textId="22916BA6" w:rsidR="005A5A1E" w:rsidRPr="00A52C0B" w:rsidRDefault="009152D9" w:rsidP="004044D7">
      <w:pPr>
        <w:pStyle w:val="Heading2"/>
        <w:rPr>
          <w:lang w:val="fr-CA"/>
        </w:rPr>
      </w:pPr>
      <w:r>
        <w:rPr>
          <w:lang w:val="fr-CA"/>
        </w:rPr>
        <w:t>De p</w:t>
      </w:r>
      <w:r w:rsidR="00633DDB" w:rsidRPr="00A52C0B">
        <w:rPr>
          <w:lang w:val="fr-CA"/>
        </w:rPr>
        <w:t xml:space="preserve">rendre note de l’analyse </w:t>
      </w:r>
      <w:r w:rsidR="009F303E" w:rsidRPr="00A52C0B">
        <w:rPr>
          <w:lang w:val="fr-CA"/>
        </w:rPr>
        <w:t>du niveau et des modalités de financement de la réduction progressive des HFC dans le secteur de l’entretien de l’équipement de réfrigération, figurant dans le document</w:t>
      </w:r>
      <w:r w:rsidR="007033CF" w:rsidRPr="00A52C0B">
        <w:rPr>
          <w:lang w:val="fr-CA"/>
        </w:rPr>
        <w:t> </w:t>
      </w:r>
      <w:r w:rsidR="005A5A1E" w:rsidRPr="00A52C0B">
        <w:rPr>
          <w:lang w:val="fr-CA"/>
        </w:rPr>
        <w:t>UNEP/OzL.Pro/ExCom/</w:t>
      </w:r>
      <w:r w:rsidR="004044D7">
        <w:rPr>
          <w:lang w:val="fr-CA"/>
        </w:rPr>
        <w:t>87/47</w:t>
      </w:r>
      <w:r w:rsidR="005A5A1E" w:rsidRPr="00A52C0B">
        <w:rPr>
          <w:lang w:val="fr-CA"/>
        </w:rPr>
        <w:t>;</w:t>
      </w:r>
    </w:p>
    <w:p w14:paraId="16D0061B" w14:textId="20304169" w:rsidR="005A5A1E" w:rsidRPr="00A52C0B" w:rsidRDefault="009152D9" w:rsidP="005A5A1E">
      <w:pPr>
        <w:pStyle w:val="Heading2"/>
        <w:rPr>
          <w:lang w:val="fr-CA"/>
        </w:rPr>
      </w:pPr>
      <w:r>
        <w:rPr>
          <w:lang w:val="fr-CA"/>
        </w:rPr>
        <w:t>D’a</w:t>
      </w:r>
      <w:r w:rsidR="009F303E" w:rsidRPr="00A52C0B">
        <w:rPr>
          <w:lang w:val="fr-CA"/>
        </w:rPr>
        <w:t>ppliquer les principes suivants en ce qui a trait aux surcoûts admissibles pour la phase</w:t>
      </w:r>
      <w:r w:rsidR="007033CF" w:rsidRPr="00A52C0B">
        <w:rPr>
          <w:lang w:val="fr-CA"/>
        </w:rPr>
        <w:t> </w:t>
      </w:r>
      <w:r w:rsidR="009F303E" w:rsidRPr="00A52C0B">
        <w:rPr>
          <w:lang w:val="fr-CA"/>
        </w:rPr>
        <w:t xml:space="preserve">I de la réduction progressive des HFC dans le secteur de l’entretien de </w:t>
      </w:r>
      <w:r w:rsidR="009F303E" w:rsidRPr="00A52C0B">
        <w:rPr>
          <w:lang w:val="fr-CA"/>
        </w:rPr>
        <w:lastRenderedPageBreak/>
        <w:t>l’équipement de réfrigération pour la période</w:t>
      </w:r>
      <w:r w:rsidR="007033CF" w:rsidRPr="00A52C0B">
        <w:rPr>
          <w:lang w:val="fr-CA"/>
        </w:rPr>
        <w:t> </w:t>
      </w:r>
      <w:r w:rsidR="009F303E" w:rsidRPr="00A52C0B">
        <w:rPr>
          <w:lang w:val="fr-CA"/>
        </w:rPr>
        <w:t>2021</w:t>
      </w:r>
      <w:r w:rsidR="00471A2B" w:rsidRPr="00A52C0B">
        <w:rPr>
          <w:lang w:val="fr-CA"/>
        </w:rPr>
        <w:noBreakHyphen/>
      </w:r>
      <w:r w:rsidR="009F303E" w:rsidRPr="00A52C0B">
        <w:rPr>
          <w:lang w:val="fr-CA"/>
        </w:rPr>
        <w:t>2029 dans les pays visé</w:t>
      </w:r>
      <w:r w:rsidR="007033CF" w:rsidRPr="00A52C0B">
        <w:rPr>
          <w:lang w:val="fr-CA"/>
        </w:rPr>
        <w:t>s</w:t>
      </w:r>
      <w:r w:rsidR="009F303E" w:rsidRPr="00A52C0B">
        <w:rPr>
          <w:lang w:val="fr-CA"/>
        </w:rPr>
        <w:t xml:space="preserve"> à l’article</w:t>
      </w:r>
      <w:r w:rsidR="004E3CCB" w:rsidRPr="00A52C0B">
        <w:rPr>
          <w:lang w:val="fr-CA"/>
        </w:rPr>
        <w:t> </w:t>
      </w:r>
      <w:r w:rsidR="009F303E" w:rsidRPr="00A52C0B">
        <w:rPr>
          <w:lang w:val="fr-CA"/>
        </w:rPr>
        <w:t>5</w:t>
      </w:r>
      <w:r w:rsidR="007033CF" w:rsidRPr="00A52C0B">
        <w:rPr>
          <w:lang w:val="fr-CA"/>
        </w:rPr>
        <w:t xml:space="preserve"> du groupe 1</w:t>
      </w:r>
      <w:r w:rsidR="009F303E" w:rsidRPr="00A52C0B">
        <w:rPr>
          <w:lang w:val="fr-CA"/>
        </w:rPr>
        <w:t>, et pour la période</w:t>
      </w:r>
      <w:r w:rsidR="004E3CCB" w:rsidRPr="00A52C0B">
        <w:rPr>
          <w:lang w:val="fr-CA"/>
        </w:rPr>
        <w:t> </w:t>
      </w:r>
      <w:r w:rsidR="009F303E" w:rsidRPr="00A52C0B">
        <w:rPr>
          <w:lang w:val="fr-CA"/>
        </w:rPr>
        <w:t>2021</w:t>
      </w:r>
      <w:r w:rsidR="00471A2B" w:rsidRPr="00A52C0B">
        <w:rPr>
          <w:lang w:val="fr-CA"/>
        </w:rPr>
        <w:noBreakHyphen/>
      </w:r>
      <w:r w:rsidR="009F303E" w:rsidRPr="00A52C0B">
        <w:rPr>
          <w:lang w:val="fr-CA"/>
        </w:rPr>
        <w:t>20</w:t>
      </w:r>
      <w:r w:rsidR="007033CF" w:rsidRPr="00A52C0B">
        <w:rPr>
          <w:lang w:val="fr-CA"/>
        </w:rPr>
        <w:t>32</w:t>
      </w:r>
      <w:r w:rsidR="009F303E" w:rsidRPr="00A52C0B">
        <w:rPr>
          <w:lang w:val="fr-CA"/>
        </w:rPr>
        <w:t xml:space="preserve"> dans les pays visés à l’article</w:t>
      </w:r>
      <w:r w:rsidR="004E3CCB" w:rsidRPr="00A52C0B">
        <w:rPr>
          <w:lang w:val="fr-CA"/>
        </w:rPr>
        <w:t> </w:t>
      </w:r>
      <w:r w:rsidR="009F303E" w:rsidRPr="00A52C0B">
        <w:rPr>
          <w:lang w:val="fr-CA"/>
        </w:rPr>
        <w:t>5 du groupe</w:t>
      </w:r>
      <w:r w:rsidR="004E3CCB" w:rsidRPr="00A52C0B">
        <w:rPr>
          <w:lang w:val="fr-CA"/>
        </w:rPr>
        <w:t> </w:t>
      </w:r>
      <w:r w:rsidR="009F303E" w:rsidRPr="00A52C0B">
        <w:rPr>
          <w:lang w:val="fr-CA"/>
        </w:rPr>
        <w:t>2, qui sont tous des pays autres que des pays à faible volume de consommation (FVC), étant entendu que le</w:t>
      </w:r>
      <w:r w:rsidR="00C51372">
        <w:rPr>
          <w:lang w:val="fr-CA"/>
        </w:rPr>
        <w:t>s</w:t>
      </w:r>
      <w:r w:rsidR="009F303E" w:rsidRPr="00A52C0B">
        <w:rPr>
          <w:lang w:val="fr-CA"/>
        </w:rPr>
        <w:t xml:space="preserve"> </w:t>
      </w:r>
      <w:r w:rsidR="00C51372">
        <w:rPr>
          <w:lang w:val="fr-CA"/>
        </w:rPr>
        <w:t xml:space="preserve">niveaux de </w:t>
      </w:r>
      <w:r w:rsidR="009F303E" w:rsidRPr="00A52C0B">
        <w:rPr>
          <w:lang w:val="fr-CA"/>
        </w:rPr>
        <w:t>financement spécifiés ci</w:t>
      </w:r>
      <w:r w:rsidR="00471A2B" w:rsidRPr="00A52C0B">
        <w:rPr>
          <w:lang w:val="fr-CA"/>
        </w:rPr>
        <w:noBreakHyphen/>
      </w:r>
      <w:r w:rsidR="009F303E" w:rsidRPr="00A52C0B">
        <w:rPr>
          <w:lang w:val="fr-CA"/>
        </w:rPr>
        <w:t>après seront révisés pour les activités soumises lors des futures phases de réduction progressive des HFC</w:t>
      </w:r>
      <w:r w:rsidR="00C51372">
        <w:rPr>
          <w:lang w:val="fr-CA"/>
        </w:rPr>
        <w:t>,</w:t>
      </w:r>
      <w:r w:rsidR="009F303E" w:rsidRPr="00A52C0B">
        <w:rPr>
          <w:lang w:val="fr-CA"/>
        </w:rPr>
        <w:t xml:space="preserve"> </w:t>
      </w:r>
      <w:r w:rsidR="00C51372">
        <w:rPr>
          <w:lang w:val="fr-CA"/>
        </w:rPr>
        <w:t>quand</w:t>
      </w:r>
      <w:r w:rsidR="009F303E" w:rsidRPr="00A52C0B">
        <w:rPr>
          <w:lang w:val="fr-CA"/>
        </w:rPr>
        <w:t xml:space="preserve"> les activités prévues dans le cadre des plans de gestion de l’élimination des HCFC (PGEH) auront été achevé</w:t>
      </w:r>
      <w:r w:rsidR="004E3CCB" w:rsidRPr="00A52C0B">
        <w:rPr>
          <w:lang w:val="fr-CA"/>
        </w:rPr>
        <w:t>es </w:t>
      </w:r>
      <w:r w:rsidR="009F303E" w:rsidRPr="00A52C0B">
        <w:rPr>
          <w:lang w:val="fr-CA"/>
        </w:rPr>
        <w:t xml:space="preserve">: </w:t>
      </w:r>
    </w:p>
    <w:p w14:paraId="4586EC3C" w14:textId="24B9DC19" w:rsidR="005A5A1E" w:rsidRPr="00A52C0B" w:rsidRDefault="009F303E" w:rsidP="005A5A1E">
      <w:pPr>
        <w:pStyle w:val="Heading3"/>
        <w:rPr>
          <w:lang w:val="fr-CA"/>
        </w:rPr>
      </w:pPr>
      <w:r w:rsidRPr="00A52C0B">
        <w:rPr>
          <w:lang w:val="fr-CA"/>
        </w:rPr>
        <w:t>Les pays visés à l’article</w:t>
      </w:r>
      <w:r w:rsidR="004E3CCB" w:rsidRPr="00A52C0B">
        <w:rPr>
          <w:lang w:val="fr-CA"/>
        </w:rPr>
        <w:t> </w:t>
      </w:r>
      <w:r w:rsidRPr="00A52C0B">
        <w:rPr>
          <w:lang w:val="fr-CA"/>
        </w:rPr>
        <w:t>5</w:t>
      </w:r>
      <w:r w:rsidR="00C51372">
        <w:rPr>
          <w:lang w:val="fr-CA"/>
        </w:rPr>
        <w:t>,</w:t>
      </w:r>
      <w:r w:rsidRPr="00A52C0B">
        <w:rPr>
          <w:lang w:val="fr-CA"/>
        </w:rPr>
        <w:t xml:space="preserve"> dont la valeur de consommation de référence totale des HCFC </w:t>
      </w:r>
      <w:r w:rsidR="00C51372">
        <w:rPr>
          <w:lang w:val="fr-CA"/>
        </w:rPr>
        <w:t>peut atteindre</w:t>
      </w:r>
      <w:r w:rsidRPr="00A52C0B">
        <w:rPr>
          <w:lang w:val="fr-CA"/>
        </w:rPr>
        <w:t xml:space="preserve"> 360</w:t>
      </w:r>
      <w:r w:rsidR="004E3CCB" w:rsidRPr="00A52C0B">
        <w:rPr>
          <w:lang w:val="fr-CA"/>
        </w:rPr>
        <w:t> </w:t>
      </w:r>
      <w:r w:rsidRPr="00A52C0B">
        <w:rPr>
          <w:lang w:val="fr-CA"/>
        </w:rPr>
        <w:t>tonnes</w:t>
      </w:r>
      <w:r w:rsidR="007033CF" w:rsidRPr="00A52C0B">
        <w:rPr>
          <w:lang w:val="fr-CA"/>
        </w:rPr>
        <w:t xml:space="preserve"> </w:t>
      </w:r>
      <w:r w:rsidRPr="00A52C0B">
        <w:rPr>
          <w:lang w:val="fr-CA"/>
        </w:rPr>
        <w:t>métriques</w:t>
      </w:r>
      <w:r w:rsidR="007033CF" w:rsidRPr="00A52C0B">
        <w:rPr>
          <w:lang w:val="fr-CA"/>
        </w:rPr>
        <w:t> (tm)</w:t>
      </w:r>
      <w:r w:rsidR="00C51372">
        <w:rPr>
          <w:lang w:val="fr-CA"/>
        </w:rPr>
        <w:t xml:space="preserve">, doivent inclure, au minimum ce qui suit, </w:t>
      </w:r>
      <w:r w:rsidRPr="00A52C0B">
        <w:rPr>
          <w:lang w:val="fr-CA"/>
        </w:rPr>
        <w:t>dans leurs plans de réduction progressive des HFC</w:t>
      </w:r>
      <w:r w:rsidR="004E3CCB" w:rsidRPr="00A52C0B">
        <w:rPr>
          <w:lang w:val="fr-CA"/>
        </w:rPr>
        <w:t> </w:t>
      </w:r>
      <w:r w:rsidRPr="00A52C0B">
        <w:rPr>
          <w:lang w:val="fr-CA"/>
        </w:rPr>
        <w:t>:</w:t>
      </w:r>
    </w:p>
    <w:p w14:paraId="64219D00" w14:textId="5EC756D3" w:rsidR="005A5A1E" w:rsidRPr="00A52C0B" w:rsidRDefault="001950CE" w:rsidP="005A5A1E">
      <w:pPr>
        <w:widowControl w:val="0"/>
        <w:numPr>
          <w:ilvl w:val="0"/>
          <w:numId w:val="29"/>
        </w:numPr>
        <w:tabs>
          <w:tab w:val="num" w:pos="2880"/>
          <w:tab w:val="left" w:pos="5760"/>
        </w:tabs>
        <w:spacing w:after="240"/>
        <w:ind w:left="2880" w:hanging="720"/>
        <w:rPr>
          <w:color w:val="000000" w:themeColor="text1"/>
          <w:lang w:val="fr-CA"/>
        </w:rPr>
      </w:pPr>
      <w:r w:rsidRPr="00A52C0B">
        <w:rPr>
          <w:color w:val="000000" w:themeColor="text1"/>
          <w:lang w:val="fr-CA"/>
        </w:rPr>
        <w:t>Engagement de se conformer, sans autre demande de financement, à l’objectif de réduction d’au moins 10</w:t>
      </w:r>
      <w:r w:rsidR="004E3CCB" w:rsidRPr="00A52C0B">
        <w:rPr>
          <w:color w:val="000000" w:themeColor="text1"/>
          <w:lang w:val="fr-CA"/>
        </w:rPr>
        <w:t> </w:t>
      </w:r>
      <w:r w:rsidRPr="00A52C0B">
        <w:rPr>
          <w:color w:val="000000" w:themeColor="text1"/>
          <w:lang w:val="fr-CA"/>
        </w:rPr>
        <w:t>pour</w:t>
      </w:r>
      <w:r w:rsidR="00C304CB" w:rsidRPr="00A52C0B">
        <w:rPr>
          <w:color w:val="000000" w:themeColor="text1"/>
          <w:lang w:val="fr-CA"/>
        </w:rPr>
        <w:t> </w:t>
      </w:r>
      <w:r w:rsidRPr="00A52C0B">
        <w:rPr>
          <w:color w:val="000000" w:themeColor="text1"/>
          <w:lang w:val="fr-CA"/>
        </w:rPr>
        <w:t>cent de la consommation de HFC, conformément au calendrier de conformité du Protocole de Montréal, et de limiter si nécessaire les importations d’équipement à base de HFC, afin de respecter le calendrier de conformité et d’appu</w:t>
      </w:r>
      <w:r w:rsidR="00C304CB" w:rsidRPr="00A52C0B">
        <w:rPr>
          <w:color w:val="000000" w:themeColor="text1"/>
          <w:lang w:val="fr-CA"/>
        </w:rPr>
        <w:t>yer les activités d’élimination</w:t>
      </w:r>
      <w:r w:rsidRPr="00A52C0B">
        <w:rPr>
          <w:color w:val="000000" w:themeColor="text1"/>
          <w:lang w:val="fr-CA"/>
        </w:rPr>
        <w:t xml:space="preserve"> pertinentes;</w:t>
      </w:r>
    </w:p>
    <w:p w14:paraId="7890F5B8" w14:textId="1258C603" w:rsidR="005A5A1E" w:rsidRPr="00A52C0B" w:rsidRDefault="001950CE" w:rsidP="005A5A1E">
      <w:pPr>
        <w:widowControl w:val="0"/>
        <w:numPr>
          <w:ilvl w:val="0"/>
          <w:numId w:val="29"/>
        </w:numPr>
        <w:tabs>
          <w:tab w:val="num" w:pos="2880"/>
          <w:tab w:val="left" w:pos="5760"/>
        </w:tabs>
        <w:spacing w:after="240"/>
        <w:ind w:left="2880" w:hanging="720"/>
        <w:rPr>
          <w:color w:val="000000" w:themeColor="text1"/>
          <w:lang w:val="fr-CA"/>
        </w:rPr>
      </w:pPr>
      <w:r w:rsidRPr="00A52C0B">
        <w:rPr>
          <w:color w:val="000000" w:themeColor="text1"/>
          <w:lang w:val="fr-CA"/>
        </w:rPr>
        <w:t>Remise de rapports obligatoire</w:t>
      </w:r>
      <w:r w:rsidR="00C51372">
        <w:rPr>
          <w:color w:val="000000" w:themeColor="text1"/>
          <w:lang w:val="fr-CA"/>
        </w:rPr>
        <w:t>,</w:t>
      </w:r>
      <w:r w:rsidRPr="00A52C0B">
        <w:rPr>
          <w:color w:val="000000" w:themeColor="text1"/>
          <w:lang w:val="fr-CA"/>
        </w:rPr>
        <w:t xml:space="preserve"> au moment où les tranches de financement des plans de réduction progressive des HFC sont demandées, sur la mise en œuvre des activités dans le secteur de l’entretien de l’équipement de réfrigération et le secteur manufacturier, selon qu’il convie</w:t>
      </w:r>
      <w:r w:rsidR="00C304CB" w:rsidRPr="00A52C0B">
        <w:rPr>
          <w:color w:val="000000" w:themeColor="text1"/>
          <w:lang w:val="fr-CA"/>
        </w:rPr>
        <w:t>nt</w:t>
      </w:r>
      <w:r w:rsidRPr="00A52C0B">
        <w:rPr>
          <w:color w:val="000000" w:themeColor="text1"/>
          <w:lang w:val="fr-CA"/>
        </w:rPr>
        <w:t xml:space="preserve">, dans </w:t>
      </w:r>
      <w:r w:rsidR="00C51372">
        <w:rPr>
          <w:color w:val="000000" w:themeColor="text1"/>
          <w:lang w:val="fr-CA"/>
        </w:rPr>
        <w:t xml:space="preserve">le cadre de </w:t>
      </w:r>
      <w:r w:rsidRPr="00A52C0B">
        <w:rPr>
          <w:color w:val="000000" w:themeColor="text1"/>
          <w:lang w:val="fr-CA"/>
        </w:rPr>
        <w:t>la tranche précédente, ainsi qu</w:t>
      </w:r>
      <w:r w:rsidR="004E3CCB" w:rsidRPr="00A52C0B">
        <w:rPr>
          <w:color w:val="000000" w:themeColor="text1"/>
          <w:lang w:val="fr-CA"/>
        </w:rPr>
        <w:t>’</w:t>
      </w:r>
      <w:r w:rsidRPr="00A52C0B">
        <w:rPr>
          <w:color w:val="000000" w:themeColor="text1"/>
          <w:lang w:val="fr-CA"/>
        </w:rPr>
        <w:t xml:space="preserve">un plan de travail annuel détaillé pour la mise en œuvre des activités associées à la tranche suivante; </w:t>
      </w:r>
    </w:p>
    <w:p w14:paraId="6C2F832F" w14:textId="56227BA0" w:rsidR="005A5A1E" w:rsidRPr="00A52C0B" w:rsidRDefault="001950CE" w:rsidP="005A5A1E">
      <w:pPr>
        <w:keepNext/>
        <w:numPr>
          <w:ilvl w:val="0"/>
          <w:numId w:val="29"/>
        </w:numPr>
        <w:tabs>
          <w:tab w:val="num" w:pos="2880"/>
          <w:tab w:val="left" w:pos="5760"/>
        </w:tabs>
        <w:spacing w:after="240"/>
        <w:ind w:left="2880" w:hanging="720"/>
        <w:rPr>
          <w:color w:val="000000" w:themeColor="text1"/>
          <w:lang w:val="fr-CA"/>
        </w:rPr>
      </w:pPr>
      <w:r w:rsidRPr="00A52C0B">
        <w:rPr>
          <w:color w:val="000000" w:themeColor="text1"/>
          <w:lang w:val="fr-CA"/>
        </w:rPr>
        <w:t xml:space="preserve">Description des rôles et responsabilités des principaux intervenants, et de l’agence d’exécution principale et des agences de coopération, s’il y a lieu; </w:t>
      </w:r>
    </w:p>
    <w:p w14:paraId="75C89F47" w14:textId="44194547" w:rsidR="005A5A1E" w:rsidRPr="00A52C0B" w:rsidRDefault="001950CE" w:rsidP="005A5A1E">
      <w:pPr>
        <w:pStyle w:val="Heading3"/>
        <w:rPr>
          <w:lang w:val="fr-CA"/>
        </w:rPr>
      </w:pPr>
      <w:r w:rsidRPr="00A52C0B">
        <w:rPr>
          <w:lang w:val="fr-CA"/>
        </w:rPr>
        <w:t xml:space="preserve">Les </w:t>
      </w:r>
      <w:r w:rsidR="00C341DC" w:rsidRPr="00A52C0B">
        <w:rPr>
          <w:lang w:val="fr-CA"/>
        </w:rPr>
        <w:t>pays</w:t>
      </w:r>
      <w:r w:rsidRPr="00A52C0B">
        <w:rPr>
          <w:lang w:val="fr-CA"/>
        </w:rPr>
        <w:t xml:space="preserve"> visés à l’article</w:t>
      </w:r>
      <w:r w:rsidR="004E3CCB" w:rsidRPr="00A52C0B">
        <w:rPr>
          <w:lang w:val="fr-CA"/>
        </w:rPr>
        <w:t> </w:t>
      </w:r>
      <w:r w:rsidRPr="00A52C0B">
        <w:rPr>
          <w:lang w:val="fr-CA"/>
        </w:rPr>
        <w:t xml:space="preserve">5 ayant une consommation totale de HCFC </w:t>
      </w:r>
      <w:r w:rsidR="00C341DC" w:rsidRPr="00A52C0B">
        <w:rPr>
          <w:lang w:val="fr-CA"/>
        </w:rPr>
        <w:t xml:space="preserve">telle </w:t>
      </w:r>
      <w:r w:rsidRPr="00A52C0B">
        <w:rPr>
          <w:lang w:val="fr-CA"/>
        </w:rPr>
        <w:t>que spécifié</w:t>
      </w:r>
      <w:r w:rsidR="00C341DC" w:rsidRPr="00A52C0B">
        <w:rPr>
          <w:lang w:val="fr-CA"/>
        </w:rPr>
        <w:t>e</w:t>
      </w:r>
      <w:r w:rsidRPr="00A52C0B">
        <w:rPr>
          <w:lang w:val="fr-CA"/>
        </w:rPr>
        <w:t xml:space="preserve"> </w:t>
      </w:r>
      <w:r w:rsidR="00C51372">
        <w:rPr>
          <w:lang w:val="fr-CA"/>
        </w:rPr>
        <w:t>au sous-alinéa</w:t>
      </w:r>
      <w:r w:rsidR="00C341DC" w:rsidRPr="00A52C0B">
        <w:rPr>
          <w:lang w:val="fr-CA"/>
        </w:rPr>
        <w:t> b</w:t>
      </w:r>
      <w:r w:rsidR="00442EE1" w:rsidRPr="00A52C0B">
        <w:rPr>
          <w:lang w:val="fr-CA"/>
        </w:rPr>
        <w:t>) i)</w:t>
      </w:r>
      <w:r w:rsidRPr="00A52C0B">
        <w:rPr>
          <w:lang w:val="fr-CA"/>
        </w:rPr>
        <w:t xml:space="preserve"> ci</w:t>
      </w:r>
      <w:r w:rsidR="00471A2B" w:rsidRPr="00A52C0B">
        <w:rPr>
          <w:lang w:val="fr-CA"/>
        </w:rPr>
        <w:noBreakHyphen/>
      </w:r>
      <w:r w:rsidRPr="00A52C0B">
        <w:rPr>
          <w:lang w:val="fr-CA"/>
        </w:rPr>
        <w:t>dessus recevront un financement en harmonie avec le niveau de consommation dans le secteur de l’entretien de</w:t>
      </w:r>
      <w:r w:rsidR="00442EE1" w:rsidRPr="00A52C0B">
        <w:rPr>
          <w:lang w:val="fr-CA"/>
        </w:rPr>
        <w:t xml:space="preserve"> l’</w:t>
      </w:r>
      <w:r w:rsidRPr="00A52C0B">
        <w:rPr>
          <w:lang w:val="fr-CA"/>
        </w:rPr>
        <w:t>équipement de réfrigération, comme on peut le voir au tableau ci</w:t>
      </w:r>
      <w:r w:rsidR="00471A2B" w:rsidRPr="00A52C0B">
        <w:rPr>
          <w:lang w:val="fr-CA"/>
        </w:rPr>
        <w:noBreakHyphen/>
      </w:r>
      <w:r w:rsidRPr="00A52C0B">
        <w:rPr>
          <w:lang w:val="fr-CA"/>
        </w:rPr>
        <w:t xml:space="preserve">dessous, étant entendu que les propositions de projet </w:t>
      </w:r>
      <w:r w:rsidR="003B0E67" w:rsidRPr="00A52C0B">
        <w:rPr>
          <w:lang w:val="fr-CA"/>
        </w:rPr>
        <w:t>dev</w:t>
      </w:r>
      <w:r w:rsidR="00442EE1" w:rsidRPr="00A52C0B">
        <w:rPr>
          <w:lang w:val="fr-CA"/>
        </w:rPr>
        <w:t>ro</w:t>
      </w:r>
      <w:r w:rsidR="003B0E67" w:rsidRPr="00A52C0B">
        <w:rPr>
          <w:lang w:val="fr-CA"/>
        </w:rPr>
        <w:t xml:space="preserve">nt encore démontrer que </w:t>
      </w:r>
      <w:r w:rsidR="00C51372">
        <w:rPr>
          <w:lang w:val="fr-CA"/>
        </w:rPr>
        <w:t>c</w:t>
      </w:r>
      <w:r w:rsidR="003B0E67" w:rsidRPr="00A52C0B">
        <w:rPr>
          <w:lang w:val="fr-CA"/>
        </w:rPr>
        <w:t xml:space="preserve">e niveau de financement </w:t>
      </w:r>
      <w:r w:rsidR="00442EE1" w:rsidRPr="00A52C0B">
        <w:rPr>
          <w:lang w:val="fr-CA"/>
        </w:rPr>
        <w:t xml:space="preserve">est </w:t>
      </w:r>
      <w:r w:rsidR="003B0E67" w:rsidRPr="00A52C0B">
        <w:rPr>
          <w:lang w:val="fr-CA"/>
        </w:rPr>
        <w:t>nécessaire pour atteindre au moins l</w:t>
      </w:r>
      <w:r w:rsidR="00442EE1" w:rsidRPr="00A52C0B">
        <w:rPr>
          <w:lang w:val="fr-CA"/>
        </w:rPr>
        <w:t>’</w:t>
      </w:r>
      <w:r w:rsidR="003B0E67" w:rsidRPr="00A52C0B">
        <w:rPr>
          <w:lang w:val="fr-CA"/>
        </w:rPr>
        <w:t>objectif de réduction de 10</w:t>
      </w:r>
      <w:r w:rsidR="004E3CCB" w:rsidRPr="00A52C0B">
        <w:rPr>
          <w:lang w:val="fr-CA"/>
        </w:rPr>
        <w:t> </w:t>
      </w:r>
      <w:r w:rsidR="003B0E67" w:rsidRPr="00A52C0B">
        <w:rPr>
          <w:lang w:val="fr-CA"/>
        </w:rPr>
        <w:t>pour</w:t>
      </w:r>
      <w:r w:rsidR="00442EE1" w:rsidRPr="00A52C0B">
        <w:rPr>
          <w:lang w:val="fr-CA"/>
        </w:rPr>
        <w:t> </w:t>
      </w:r>
      <w:r w:rsidR="003B0E67" w:rsidRPr="00A52C0B">
        <w:rPr>
          <w:lang w:val="fr-CA"/>
        </w:rPr>
        <w:t>cent de la consommation de HFC</w:t>
      </w:r>
      <w:r w:rsidR="004E3CCB" w:rsidRPr="00A52C0B">
        <w:rPr>
          <w:lang w:val="fr-CA"/>
        </w:rPr>
        <w:t> </w:t>
      </w:r>
      <w:r w:rsidR="003B0E67" w:rsidRPr="00A52C0B">
        <w:rPr>
          <w:lang w:val="fr-CA"/>
        </w:rPr>
        <w:t xml:space="preserve">: </w:t>
      </w:r>
    </w:p>
    <w:tbl>
      <w:tblPr>
        <w:tblW w:w="3874" w:type="pct"/>
        <w:tblInd w:w="2122" w:type="dxa"/>
        <w:tblCellMar>
          <w:left w:w="70" w:type="dxa"/>
          <w:right w:w="70" w:type="dxa"/>
        </w:tblCellMar>
        <w:tblLook w:val="04A0" w:firstRow="1" w:lastRow="0" w:firstColumn="1" w:lastColumn="0" w:noHBand="0" w:noVBand="1"/>
      </w:tblPr>
      <w:tblGrid>
        <w:gridCol w:w="3680"/>
        <w:gridCol w:w="3681"/>
      </w:tblGrid>
      <w:tr w:rsidR="005A5A1E" w:rsidRPr="00A52C0B" w14:paraId="60C1A0A3" w14:textId="77777777" w:rsidTr="005A5A1E">
        <w:trPr>
          <w:trHeight w:val="311"/>
          <w:tblHeader/>
        </w:trPr>
        <w:tc>
          <w:tcPr>
            <w:tcW w:w="2500" w:type="pct"/>
            <w:tcBorders>
              <w:top w:val="single" w:sz="4" w:space="0" w:color="auto"/>
              <w:left w:val="single" w:sz="4" w:space="0" w:color="auto"/>
              <w:bottom w:val="single" w:sz="4" w:space="0" w:color="auto"/>
              <w:right w:val="single" w:sz="4" w:space="0" w:color="auto"/>
            </w:tcBorders>
            <w:shd w:val="clear" w:color="auto" w:fill="auto"/>
            <w:noWrap/>
            <w:hideMark/>
          </w:tcPr>
          <w:p w14:paraId="2C9354B7" w14:textId="0E3A640A" w:rsidR="005A5A1E" w:rsidRPr="00A52C0B" w:rsidRDefault="001527BF" w:rsidP="005A5A1E">
            <w:pPr>
              <w:jc w:val="center"/>
              <w:rPr>
                <w:b/>
                <w:bCs/>
                <w:color w:val="000000"/>
                <w:sz w:val="21"/>
                <w:szCs w:val="21"/>
                <w:lang w:val="fr-CA" w:eastAsia="es-419"/>
              </w:rPr>
            </w:pPr>
            <w:r w:rsidRPr="00A52C0B">
              <w:rPr>
                <w:b/>
                <w:bCs/>
                <w:color w:val="000000"/>
                <w:sz w:val="21"/>
                <w:szCs w:val="21"/>
                <w:lang w:val="fr-CA" w:eastAsia="es-419"/>
              </w:rPr>
              <w:t>Valeur de référence</w:t>
            </w:r>
            <w:r w:rsidR="005A5A1E" w:rsidRPr="00A52C0B">
              <w:rPr>
                <w:b/>
                <w:bCs/>
                <w:color w:val="000000"/>
                <w:sz w:val="21"/>
                <w:szCs w:val="21"/>
                <w:lang w:val="fr-CA" w:eastAsia="es-419"/>
              </w:rPr>
              <w:t xml:space="preserve"> (t</w:t>
            </w:r>
            <w:r w:rsidRPr="00A52C0B">
              <w:rPr>
                <w:b/>
                <w:bCs/>
                <w:color w:val="000000"/>
                <w:sz w:val="21"/>
                <w:szCs w:val="21"/>
                <w:lang w:val="fr-CA" w:eastAsia="es-419"/>
              </w:rPr>
              <w:t>m</w:t>
            </w:r>
            <w:r w:rsidR="005A5A1E" w:rsidRPr="00A52C0B">
              <w:rPr>
                <w:b/>
                <w:bCs/>
                <w:color w:val="000000"/>
                <w:sz w:val="21"/>
                <w:szCs w:val="21"/>
                <w:lang w:val="fr-CA" w:eastAsia="es-419"/>
              </w:rPr>
              <w:t>)</w:t>
            </w:r>
          </w:p>
        </w:tc>
        <w:tc>
          <w:tcPr>
            <w:tcW w:w="2500" w:type="pct"/>
            <w:tcBorders>
              <w:top w:val="single" w:sz="4" w:space="0" w:color="auto"/>
              <w:left w:val="nil"/>
              <w:bottom w:val="single" w:sz="4" w:space="0" w:color="auto"/>
              <w:right w:val="single" w:sz="4" w:space="0" w:color="auto"/>
            </w:tcBorders>
            <w:shd w:val="clear" w:color="auto" w:fill="auto"/>
            <w:noWrap/>
            <w:hideMark/>
          </w:tcPr>
          <w:p w14:paraId="2B25B5F1" w14:textId="3F78F228" w:rsidR="005A5A1E" w:rsidRPr="00A52C0B" w:rsidRDefault="005A5A1E" w:rsidP="005A5A1E">
            <w:pPr>
              <w:jc w:val="center"/>
              <w:rPr>
                <w:b/>
                <w:bCs/>
                <w:color w:val="000000"/>
                <w:sz w:val="21"/>
                <w:szCs w:val="21"/>
                <w:lang w:val="fr-CA" w:eastAsia="es-419"/>
              </w:rPr>
            </w:pPr>
            <w:r w:rsidRPr="00A52C0B">
              <w:rPr>
                <w:b/>
                <w:bCs/>
                <w:color w:val="000000"/>
                <w:sz w:val="21"/>
                <w:szCs w:val="21"/>
                <w:lang w:val="fr-CA" w:eastAsia="es-419"/>
              </w:rPr>
              <w:t>F</w:t>
            </w:r>
            <w:r w:rsidR="001527BF" w:rsidRPr="00A52C0B">
              <w:rPr>
                <w:b/>
                <w:bCs/>
                <w:color w:val="000000"/>
                <w:sz w:val="21"/>
                <w:szCs w:val="21"/>
                <w:lang w:val="fr-CA" w:eastAsia="es-419"/>
              </w:rPr>
              <w:t>inancement</w:t>
            </w:r>
            <w:r w:rsidRPr="00A52C0B">
              <w:rPr>
                <w:b/>
                <w:bCs/>
                <w:color w:val="000000"/>
                <w:sz w:val="21"/>
                <w:szCs w:val="21"/>
                <w:lang w:val="fr-CA" w:eastAsia="es-419"/>
              </w:rPr>
              <w:t xml:space="preserve"> (</w:t>
            </w:r>
            <w:r w:rsidR="001527BF" w:rsidRPr="00A52C0B">
              <w:rPr>
                <w:b/>
                <w:bCs/>
                <w:color w:val="000000"/>
                <w:sz w:val="21"/>
                <w:szCs w:val="21"/>
                <w:lang w:val="fr-CA" w:eastAsia="es-419"/>
              </w:rPr>
              <w:t>$</w:t>
            </w:r>
            <w:r w:rsidRPr="00A52C0B">
              <w:rPr>
                <w:b/>
                <w:bCs/>
                <w:color w:val="000000"/>
                <w:sz w:val="21"/>
                <w:szCs w:val="21"/>
                <w:lang w:val="fr-CA" w:eastAsia="es-419"/>
              </w:rPr>
              <w:t>US)</w:t>
            </w:r>
          </w:p>
        </w:tc>
      </w:tr>
      <w:tr w:rsidR="005A5A1E" w:rsidRPr="00A52C0B" w14:paraId="26F0A547" w14:textId="77777777" w:rsidTr="005A5A1E">
        <w:trPr>
          <w:trHeight w:val="126"/>
        </w:trPr>
        <w:tc>
          <w:tcPr>
            <w:tcW w:w="2500" w:type="pct"/>
            <w:tcBorders>
              <w:top w:val="nil"/>
              <w:left w:val="single" w:sz="4" w:space="0" w:color="auto"/>
              <w:bottom w:val="single" w:sz="4" w:space="0" w:color="auto"/>
              <w:right w:val="single" w:sz="4" w:space="0" w:color="auto"/>
            </w:tcBorders>
            <w:shd w:val="clear" w:color="auto" w:fill="auto"/>
            <w:noWrap/>
            <w:hideMark/>
          </w:tcPr>
          <w:p w14:paraId="7F3C6EFE" w14:textId="77777777" w:rsidR="005A5A1E" w:rsidRPr="00A52C0B" w:rsidRDefault="005A5A1E" w:rsidP="005A5A1E">
            <w:pPr>
              <w:ind w:left="1402"/>
              <w:jc w:val="left"/>
              <w:rPr>
                <w:color w:val="000000"/>
                <w:sz w:val="21"/>
                <w:szCs w:val="21"/>
                <w:lang w:val="fr-CA" w:eastAsia="es-419"/>
              </w:rPr>
            </w:pPr>
            <w:r w:rsidRPr="00A52C0B">
              <w:rPr>
                <w:color w:val="000000"/>
                <w:sz w:val="21"/>
                <w:szCs w:val="21"/>
                <w:lang w:val="fr-CA" w:eastAsia="es-419"/>
              </w:rPr>
              <w:t>&gt;0 &lt;15</w:t>
            </w:r>
          </w:p>
        </w:tc>
        <w:tc>
          <w:tcPr>
            <w:tcW w:w="2500" w:type="pct"/>
            <w:tcBorders>
              <w:top w:val="nil"/>
              <w:left w:val="nil"/>
              <w:bottom w:val="single" w:sz="4" w:space="0" w:color="auto"/>
              <w:right w:val="single" w:sz="4" w:space="0" w:color="auto"/>
            </w:tcBorders>
            <w:shd w:val="clear" w:color="auto" w:fill="auto"/>
            <w:noWrap/>
          </w:tcPr>
          <w:p w14:paraId="4C7B080C" w14:textId="378901E0" w:rsidR="005A5A1E" w:rsidRPr="00A52C0B" w:rsidRDefault="005A5A1E" w:rsidP="005A5A1E">
            <w:pPr>
              <w:ind w:right="1290"/>
              <w:jc w:val="right"/>
              <w:rPr>
                <w:color w:val="000000"/>
                <w:sz w:val="21"/>
                <w:szCs w:val="21"/>
                <w:lang w:val="fr-CA" w:eastAsia="es-419"/>
              </w:rPr>
            </w:pPr>
            <w:r w:rsidRPr="00A52C0B">
              <w:rPr>
                <w:color w:val="000000"/>
                <w:sz w:val="21"/>
                <w:szCs w:val="21"/>
                <w:lang w:val="fr-CA" w:eastAsia="es-419"/>
              </w:rPr>
              <w:t>88</w:t>
            </w:r>
            <w:r w:rsidR="001527BF" w:rsidRPr="00A52C0B">
              <w:rPr>
                <w:color w:val="000000"/>
                <w:sz w:val="21"/>
                <w:szCs w:val="21"/>
                <w:lang w:val="fr-CA" w:eastAsia="es-419"/>
              </w:rPr>
              <w:t> </w:t>
            </w:r>
            <w:r w:rsidRPr="00A52C0B">
              <w:rPr>
                <w:color w:val="000000"/>
                <w:sz w:val="21"/>
                <w:szCs w:val="21"/>
                <w:lang w:val="fr-CA" w:eastAsia="es-419"/>
              </w:rPr>
              <w:t>125</w:t>
            </w:r>
          </w:p>
        </w:tc>
      </w:tr>
      <w:tr w:rsidR="005A5A1E" w:rsidRPr="00A52C0B" w14:paraId="17D15920" w14:textId="77777777" w:rsidTr="005A5A1E">
        <w:trPr>
          <w:trHeight w:val="55"/>
        </w:trPr>
        <w:tc>
          <w:tcPr>
            <w:tcW w:w="2500" w:type="pct"/>
            <w:tcBorders>
              <w:top w:val="nil"/>
              <w:left w:val="single" w:sz="4" w:space="0" w:color="auto"/>
              <w:bottom w:val="single" w:sz="4" w:space="0" w:color="auto"/>
              <w:right w:val="single" w:sz="4" w:space="0" w:color="auto"/>
            </w:tcBorders>
            <w:shd w:val="clear" w:color="auto" w:fill="auto"/>
            <w:noWrap/>
            <w:hideMark/>
          </w:tcPr>
          <w:p w14:paraId="7901645D" w14:textId="77777777" w:rsidR="005A5A1E" w:rsidRPr="00A52C0B" w:rsidRDefault="005A5A1E" w:rsidP="005A5A1E">
            <w:pPr>
              <w:ind w:left="1402"/>
              <w:jc w:val="left"/>
              <w:rPr>
                <w:color w:val="000000"/>
                <w:sz w:val="21"/>
                <w:szCs w:val="21"/>
                <w:lang w:val="fr-CA" w:eastAsia="es-419"/>
              </w:rPr>
            </w:pPr>
            <w:r w:rsidRPr="00A52C0B">
              <w:rPr>
                <w:color w:val="000000"/>
                <w:sz w:val="21"/>
                <w:szCs w:val="21"/>
                <w:lang w:val="fr-CA" w:eastAsia="es-419"/>
              </w:rPr>
              <w:t>15 &lt;40</w:t>
            </w:r>
          </w:p>
        </w:tc>
        <w:tc>
          <w:tcPr>
            <w:tcW w:w="2500" w:type="pct"/>
            <w:tcBorders>
              <w:top w:val="nil"/>
              <w:left w:val="nil"/>
              <w:bottom w:val="single" w:sz="4" w:space="0" w:color="auto"/>
              <w:right w:val="single" w:sz="4" w:space="0" w:color="auto"/>
            </w:tcBorders>
            <w:shd w:val="clear" w:color="auto" w:fill="auto"/>
            <w:noWrap/>
          </w:tcPr>
          <w:p w14:paraId="4574403E" w14:textId="5F422AB8" w:rsidR="005A5A1E" w:rsidRPr="00A52C0B" w:rsidRDefault="005A5A1E" w:rsidP="005A5A1E">
            <w:pPr>
              <w:ind w:right="1290"/>
              <w:jc w:val="right"/>
              <w:rPr>
                <w:color w:val="000000"/>
                <w:sz w:val="21"/>
                <w:szCs w:val="21"/>
                <w:lang w:val="fr-CA" w:eastAsia="es-419"/>
              </w:rPr>
            </w:pPr>
            <w:r w:rsidRPr="00A52C0B">
              <w:rPr>
                <w:color w:val="000000"/>
                <w:sz w:val="21"/>
                <w:szCs w:val="21"/>
                <w:lang w:val="fr-CA" w:eastAsia="es-419"/>
              </w:rPr>
              <w:t>112</w:t>
            </w:r>
            <w:r w:rsidR="001527BF" w:rsidRPr="00A52C0B">
              <w:rPr>
                <w:color w:val="000000"/>
                <w:sz w:val="21"/>
                <w:szCs w:val="21"/>
                <w:lang w:val="fr-CA" w:eastAsia="es-419"/>
              </w:rPr>
              <w:t> </w:t>
            </w:r>
            <w:r w:rsidRPr="00A52C0B">
              <w:rPr>
                <w:color w:val="000000"/>
                <w:sz w:val="21"/>
                <w:szCs w:val="21"/>
                <w:lang w:val="fr-CA" w:eastAsia="es-419"/>
              </w:rPr>
              <w:t>500</w:t>
            </w:r>
          </w:p>
        </w:tc>
      </w:tr>
      <w:tr w:rsidR="005A5A1E" w:rsidRPr="00A52C0B" w14:paraId="099CDB01" w14:textId="77777777" w:rsidTr="005A5A1E">
        <w:trPr>
          <w:trHeight w:val="74"/>
        </w:trPr>
        <w:tc>
          <w:tcPr>
            <w:tcW w:w="2500" w:type="pct"/>
            <w:tcBorders>
              <w:top w:val="nil"/>
              <w:left w:val="single" w:sz="4" w:space="0" w:color="auto"/>
              <w:bottom w:val="single" w:sz="4" w:space="0" w:color="auto"/>
              <w:right w:val="single" w:sz="4" w:space="0" w:color="auto"/>
            </w:tcBorders>
            <w:shd w:val="clear" w:color="auto" w:fill="auto"/>
            <w:noWrap/>
            <w:hideMark/>
          </w:tcPr>
          <w:p w14:paraId="5554E8DB" w14:textId="77777777" w:rsidR="005A5A1E" w:rsidRPr="00A52C0B" w:rsidRDefault="005A5A1E" w:rsidP="005A5A1E">
            <w:pPr>
              <w:ind w:left="1402"/>
              <w:jc w:val="left"/>
              <w:rPr>
                <w:color w:val="000000"/>
                <w:sz w:val="21"/>
                <w:szCs w:val="21"/>
                <w:lang w:val="fr-CA" w:eastAsia="es-419"/>
              </w:rPr>
            </w:pPr>
            <w:r w:rsidRPr="00A52C0B">
              <w:rPr>
                <w:color w:val="000000"/>
                <w:sz w:val="21"/>
                <w:szCs w:val="21"/>
                <w:lang w:val="fr-CA" w:eastAsia="es-419"/>
              </w:rPr>
              <w:t>40 &lt;80</w:t>
            </w:r>
          </w:p>
        </w:tc>
        <w:tc>
          <w:tcPr>
            <w:tcW w:w="2500" w:type="pct"/>
            <w:tcBorders>
              <w:top w:val="nil"/>
              <w:left w:val="nil"/>
              <w:bottom w:val="single" w:sz="4" w:space="0" w:color="auto"/>
              <w:right w:val="single" w:sz="4" w:space="0" w:color="auto"/>
            </w:tcBorders>
            <w:shd w:val="clear" w:color="auto" w:fill="auto"/>
            <w:noWrap/>
          </w:tcPr>
          <w:p w14:paraId="3575F74B" w14:textId="743D70F3" w:rsidR="005A5A1E" w:rsidRPr="00A52C0B" w:rsidRDefault="005A5A1E" w:rsidP="005A5A1E">
            <w:pPr>
              <w:ind w:right="1290"/>
              <w:jc w:val="right"/>
              <w:rPr>
                <w:color w:val="000000"/>
                <w:sz w:val="21"/>
                <w:szCs w:val="21"/>
                <w:lang w:val="fr-CA" w:eastAsia="es-419"/>
              </w:rPr>
            </w:pPr>
            <w:r w:rsidRPr="00A52C0B">
              <w:rPr>
                <w:color w:val="000000"/>
                <w:sz w:val="21"/>
                <w:szCs w:val="21"/>
                <w:lang w:val="fr-CA" w:eastAsia="es-419"/>
              </w:rPr>
              <w:t>120</w:t>
            </w:r>
            <w:r w:rsidR="001527BF" w:rsidRPr="00A52C0B">
              <w:rPr>
                <w:color w:val="000000"/>
                <w:sz w:val="21"/>
                <w:szCs w:val="21"/>
                <w:lang w:val="fr-CA" w:eastAsia="es-419"/>
              </w:rPr>
              <w:t> </w:t>
            </w:r>
            <w:r w:rsidRPr="00A52C0B">
              <w:rPr>
                <w:color w:val="000000"/>
                <w:sz w:val="21"/>
                <w:szCs w:val="21"/>
                <w:lang w:val="fr-CA" w:eastAsia="es-419"/>
              </w:rPr>
              <w:t>000</w:t>
            </w:r>
          </w:p>
        </w:tc>
      </w:tr>
      <w:tr w:rsidR="005A5A1E" w:rsidRPr="00A52C0B" w14:paraId="42F9CE29" w14:textId="77777777" w:rsidTr="005A5A1E">
        <w:trPr>
          <w:trHeight w:val="55"/>
        </w:trPr>
        <w:tc>
          <w:tcPr>
            <w:tcW w:w="2500" w:type="pct"/>
            <w:tcBorders>
              <w:top w:val="nil"/>
              <w:left w:val="single" w:sz="4" w:space="0" w:color="auto"/>
              <w:bottom w:val="single" w:sz="4" w:space="0" w:color="auto"/>
              <w:right w:val="single" w:sz="4" w:space="0" w:color="auto"/>
            </w:tcBorders>
            <w:shd w:val="clear" w:color="auto" w:fill="auto"/>
            <w:noWrap/>
            <w:hideMark/>
          </w:tcPr>
          <w:p w14:paraId="618A7846" w14:textId="77777777" w:rsidR="005A5A1E" w:rsidRPr="00A52C0B" w:rsidRDefault="005A5A1E" w:rsidP="005A5A1E">
            <w:pPr>
              <w:ind w:left="1402"/>
              <w:jc w:val="left"/>
              <w:rPr>
                <w:color w:val="000000"/>
                <w:sz w:val="21"/>
                <w:szCs w:val="21"/>
                <w:lang w:val="fr-CA" w:eastAsia="es-419"/>
              </w:rPr>
            </w:pPr>
            <w:r w:rsidRPr="00A52C0B">
              <w:rPr>
                <w:color w:val="000000"/>
                <w:sz w:val="21"/>
                <w:szCs w:val="21"/>
                <w:lang w:val="fr-CA" w:eastAsia="es-419"/>
              </w:rPr>
              <w:t>80 &lt;120</w:t>
            </w:r>
          </w:p>
        </w:tc>
        <w:tc>
          <w:tcPr>
            <w:tcW w:w="2500" w:type="pct"/>
            <w:tcBorders>
              <w:top w:val="nil"/>
              <w:left w:val="nil"/>
              <w:bottom w:val="single" w:sz="4" w:space="0" w:color="auto"/>
              <w:right w:val="single" w:sz="4" w:space="0" w:color="auto"/>
            </w:tcBorders>
            <w:shd w:val="clear" w:color="auto" w:fill="auto"/>
            <w:noWrap/>
          </w:tcPr>
          <w:p w14:paraId="1834F724" w14:textId="7E96D6A3" w:rsidR="005A5A1E" w:rsidRPr="00A52C0B" w:rsidRDefault="005A5A1E" w:rsidP="005A5A1E">
            <w:pPr>
              <w:ind w:right="1290"/>
              <w:jc w:val="right"/>
              <w:rPr>
                <w:color w:val="000000"/>
                <w:sz w:val="21"/>
                <w:szCs w:val="21"/>
                <w:lang w:val="fr-CA" w:eastAsia="es-419"/>
              </w:rPr>
            </w:pPr>
            <w:r w:rsidRPr="00A52C0B">
              <w:rPr>
                <w:color w:val="000000"/>
                <w:sz w:val="21"/>
                <w:szCs w:val="21"/>
                <w:lang w:val="fr-CA" w:eastAsia="es-419"/>
              </w:rPr>
              <w:t>135</w:t>
            </w:r>
            <w:r w:rsidR="001527BF" w:rsidRPr="00A52C0B">
              <w:rPr>
                <w:color w:val="000000"/>
                <w:sz w:val="21"/>
                <w:szCs w:val="21"/>
                <w:lang w:val="fr-CA" w:eastAsia="es-419"/>
              </w:rPr>
              <w:t> </w:t>
            </w:r>
            <w:r w:rsidRPr="00A52C0B">
              <w:rPr>
                <w:color w:val="000000"/>
                <w:sz w:val="21"/>
                <w:szCs w:val="21"/>
                <w:lang w:val="fr-CA" w:eastAsia="es-419"/>
              </w:rPr>
              <w:t>000</w:t>
            </w:r>
          </w:p>
        </w:tc>
      </w:tr>
      <w:tr w:rsidR="005A5A1E" w:rsidRPr="00A52C0B" w14:paraId="6AE8BEC6" w14:textId="77777777" w:rsidTr="005A5A1E">
        <w:trPr>
          <w:trHeight w:val="55"/>
        </w:trPr>
        <w:tc>
          <w:tcPr>
            <w:tcW w:w="2500" w:type="pct"/>
            <w:tcBorders>
              <w:top w:val="nil"/>
              <w:left w:val="single" w:sz="4" w:space="0" w:color="auto"/>
              <w:bottom w:val="single" w:sz="4" w:space="0" w:color="auto"/>
              <w:right w:val="single" w:sz="4" w:space="0" w:color="auto"/>
            </w:tcBorders>
            <w:shd w:val="clear" w:color="auto" w:fill="auto"/>
            <w:noWrap/>
            <w:hideMark/>
          </w:tcPr>
          <w:p w14:paraId="0466C993" w14:textId="77777777" w:rsidR="005A5A1E" w:rsidRPr="00A52C0B" w:rsidRDefault="005A5A1E" w:rsidP="005A5A1E">
            <w:pPr>
              <w:ind w:left="1402"/>
              <w:jc w:val="left"/>
              <w:rPr>
                <w:color w:val="000000"/>
                <w:sz w:val="21"/>
                <w:szCs w:val="21"/>
                <w:lang w:val="fr-CA" w:eastAsia="es-419"/>
              </w:rPr>
            </w:pPr>
            <w:r w:rsidRPr="00A52C0B">
              <w:rPr>
                <w:color w:val="000000"/>
                <w:sz w:val="21"/>
                <w:szCs w:val="21"/>
                <w:lang w:val="fr-CA" w:eastAsia="es-419"/>
              </w:rPr>
              <w:t>120 &lt;160</w:t>
            </w:r>
          </w:p>
        </w:tc>
        <w:tc>
          <w:tcPr>
            <w:tcW w:w="2500" w:type="pct"/>
            <w:tcBorders>
              <w:top w:val="nil"/>
              <w:left w:val="nil"/>
              <w:bottom w:val="single" w:sz="4" w:space="0" w:color="auto"/>
              <w:right w:val="single" w:sz="4" w:space="0" w:color="auto"/>
            </w:tcBorders>
            <w:shd w:val="clear" w:color="auto" w:fill="auto"/>
            <w:noWrap/>
          </w:tcPr>
          <w:p w14:paraId="764FB53C" w14:textId="71BF6910" w:rsidR="005A5A1E" w:rsidRPr="00A52C0B" w:rsidRDefault="005A5A1E" w:rsidP="005A5A1E">
            <w:pPr>
              <w:ind w:right="1290"/>
              <w:jc w:val="right"/>
              <w:rPr>
                <w:color w:val="000000"/>
                <w:sz w:val="21"/>
                <w:szCs w:val="21"/>
                <w:lang w:val="fr-CA" w:eastAsia="es-419"/>
              </w:rPr>
            </w:pPr>
            <w:r w:rsidRPr="00A52C0B">
              <w:rPr>
                <w:color w:val="000000"/>
                <w:sz w:val="21"/>
                <w:szCs w:val="21"/>
                <w:lang w:val="fr-CA" w:eastAsia="es-419"/>
              </w:rPr>
              <w:t>142</w:t>
            </w:r>
            <w:r w:rsidR="001527BF" w:rsidRPr="00A52C0B">
              <w:rPr>
                <w:color w:val="000000"/>
                <w:sz w:val="21"/>
                <w:szCs w:val="21"/>
                <w:lang w:val="fr-CA" w:eastAsia="es-419"/>
              </w:rPr>
              <w:t> </w:t>
            </w:r>
            <w:r w:rsidRPr="00A52C0B">
              <w:rPr>
                <w:color w:val="000000"/>
                <w:sz w:val="21"/>
                <w:szCs w:val="21"/>
                <w:lang w:val="fr-CA" w:eastAsia="es-419"/>
              </w:rPr>
              <w:t>500</w:t>
            </w:r>
          </w:p>
        </w:tc>
      </w:tr>
      <w:tr w:rsidR="005A5A1E" w:rsidRPr="00A52C0B" w14:paraId="250EE5F0" w14:textId="77777777" w:rsidTr="005A5A1E">
        <w:trPr>
          <w:trHeight w:val="218"/>
        </w:trPr>
        <w:tc>
          <w:tcPr>
            <w:tcW w:w="2500" w:type="pct"/>
            <w:tcBorders>
              <w:top w:val="nil"/>
              <w:left w:val="single" w:sz="4" w:space="0" w:color="auto"/>
              <w:bottom w:val="single" w:sz="4" w:space="0" w:color="auto"/>
              <w:right w:val="single" w:sz="4" w:space="0" w:color="auto"/>
            </w:tcBorders>
            <w:shd w:val="clear" w:color="auto" w:fill="auto"/>
            <w:noWrap/>
            <w:hideMark/>
          </w:tcPr>
          <w:p w14:paraId="7DEB950E" w14:textId="77777777" w:rsidR="005A5A1E" w:rsidRPr="00A52C0B" w:rsidRDefault="005A5A1E" w:rsidP="005A5A1E">
            <w:pPr>
              <w:ind w:left="1402"/>
              <w:jc w:val="left"/>
              <w:rPr>
                <w:color w:val="000000"/>
                <w:sz w:val="21"/>
                <w:szCs w:val="21"/>
                <w:lang w:val="fr-CA" w:eastAsia="es-419"/>
              </w:rPr>
            </w:pPr>
            <w:r w:rsidRPr="00A52C0B">
              <w:rPr>
                <w:color w:val="000000"/>
                <w:sz w:val="21"/>
                <w:szCs w:val="21"/>
                <w:lang w:val="fr-CA" w:eastAsia="es-419"/>
              </w:rPr>
              <w:t>160 &lt;200</w:t>
            </w:r>
          </w:p>
        </w:tc>
        <w:tc>
          <w:tcPr>
            <w:tcW w:w="2500" w:type="pct"/>
            <w:tcBorders>
              <w:top w:val="nil"/>
              <w:left w:val="nil"/>
              <w:bottom w:val="single" w:sz="4" w:space="0" w:color="auto"/>
              <w:right w:val="single" w:sz="4" w:space="0" w:color="auto"/>
            </w:tcBorders>
            <w:shd w:val="clear" w:color="auto" w:fill="auto"/>
            <w:noWrap/>
          </w:tcPr>
          <w:p w14:paraId="51C24647" w14:textId="2C45107B" w:rsidR="005A5A1E" w:rsidRPr="00A52C0B" w:rsidRDefault="005A5A1E" w:rsidP="005A5A1E">
            <w:pPr>
              <w:ind w:right="1290"/>
              <w:jc w:val="right"/>
              <w:rPr>
                <w:color w:val="000000"/>
                <w:sz w:val="21"/>
                <w:szCs w:val="21"/>
                <w:lang w:val="fr-CA" w:eastAsia="es-419"/>
              </w:rPr>
            </w:pPr>
            <w:r w:rsidRPr="00A52C0B">
              <w:rPr>
                <w:color w:val="000000"/>
                <w:sz w:val="21"/>
                <w:szCs w:val="21"/>
                <w:lang w:val="fr-CA" w:eastAsia="es-419"/>
              </w:rPr>
              <w:t>150</w:t>
            </w:r>
            <w:r w:rsidR="001527BF" w:rsidRPr="00A52C0B">
              <w:rPr>
                <w:color w:val="000000"/>
                <w:sz w:val="21"/>
                <w:szCs w:val="21"/>
                <w:lang w:val="fr-CA" w:eastAsia="es-419"/>
              </w:rPr>
              <w:t> </w:t>
            </w:r>
            <w:r w:rsidRPr="00A52C0B">
              <w:rPr>
                <w:color w:val="000000"/>
                <w:sz w:val="21"/>
                <w:szCs w:val="21"/>
                <w:lang w:val="fr-CA" w:eastAsia="es-419"/>
              </w:rPr>
              <w:t>000</w:t>
            </w:r>
          </w:p>
        </w:tc>
      </w:tr>
      <w:tr w:rsidR="005A5A1E" w:rsidRPr="00A52C0B" w14:paraId="0B6C965C" w14:textId="77777777" w:rsidTr="005A5A1E">
        <w:trPr>
          <w:trHeight w:val="104"/>
        </w:trPr>
        <w:tc>
          <w:tcPr>
            <w:tcW w:w="2500" w:type="pct"/>
            <w:tcBorders>
              <w:top w:val="nil"/>
              <w:left w:val="single" w:sz="4" w:space="0" w:color="auto"/>
              <w:bottom w:val="single" w:sz="4" w:space="0" w:color="auto"/>
              <w:right w:val="single" w:sz="4" w:space="0" w:color="auto"/>
            </w:tcBorders>
            <w:shd w:val="clear" w:color="auto" w:fill="auto"/>
            <w:noWrap/>
            <w:hideMark/>
          </w:tcPr>
          <w:p w14:paraId="4798015A" w14:textId="77777777" w:rsidR="005A5A1E" w:rsidRPr="00A52C0B" w:rsidRDefault="005A5A1E" w:rsidP="005A5A1E">
            <w:pPr>
              <w:ind w:left="1402"/>
              <w:jc w:val="left"/>
              <w:rPr>
                <w:color w:val="000000"/>
                <w:sz w:val="21"/>
                <w:szCs w:val="21"/>
                <w:lang w:val="fr-CA" w:eastAsia="es-419"/>
              </w:rPr>
            </w:pPr>
            <w:r w:rsidRPr="00A52C0B">
              <w:rPr>
                <w:color w:val="000000"/>
                <w:sz w:val="21"/>
                <w:szCs w:val="21"/>
                <w:lang w:val="fr-CA" w:eastAsia="es-419"/>
              </w:rPr>
              <w:t>200 &lt;320</w:t>
            </w:r>
          </w:p>
        </w:tc>
        <w:tc>
          <w:tcPr>
            <w:tcW w:w="2500" w:type="pct"/>
            <w:tcBorders>
              <w:top w:val="nil"/>
              <w:left w:val="nil"/>
              <w:bottom w:val="single" w:sz="4" w:space="0" w:color="auto"/>
              <w:right w:val="single" w:sz="4" w:space="0" w:color="auto"/>
            </w:tcBorders>
            <w:shd w:val="clear" w:color="auto" w:fill="auto"/>
            <w:noWrap/>
          </w:tcPr>
          <w:p w14:paraId="2D78B961" w14:textId="4906C08D" w:rsidR="005A5A1E" w:rsidRPr="00A52C0B" w:rsidRDefault="005A5A1E" w:rsidP="005A5A1E">
            <w:pPr>
              <w:ind w:right="1290"/>
              <w:jc w:val="right"/>
              <w:rPr>
                <w:color w:val="000000"/>
                <w:sz w:val="21"/>
                <w:szCs w:val="21"/>
                <w:lang w:val="fr-CA" w:eastAsia="es-419"/>
              </w:rPr>
            </w:pPr>
            <w:r w:rsidRPr="00A52C0B">
              <w:rPr>
                <w:color w:val="000000"/>
                <w:sz w:val="21"/>
                <w:szCs w:val="21"/>
                <w:lang w:val="fr-CA" w:eastAsia="es-419"/>
              </w:rPr>
              <w:t>240</w:t>
            </w:r>
            <w:r w:rsidR="001527BF" w:rsidRPr="00A52C0B">
              <w:rPr>
                <w:color w:val="000000"/>
                <w:sz w:val="21"/>
                <w:szCs w:val="21"/>
                <w:lang w:val="fr-CA" w:eastAsia="es-419"/>
              </w:rPr>
              <w:t> </w:t>
            </w:r>
            <w:r w:rsidRPr="00A52C0B">
              <w:rPr>
                <w:color w:val="000000"/>
                <w:sz w:val="21"/>
                <w:szCs w:val="21"/>
                <w:lang w:val="fr-CA" w:eastAsia="es-419"/>
              </w:rPr>
              <w:t>000</w:t>
            </w:r>
          </w:p>
        </w:tc>
      </w:tr>
      <w:tr w:rsidR="005A5A1E" w:rsidRPr="00A52C0B" w14:paraId="62BC9F53" w14:textId="77777777" w:rsidTr="005A5A1E">
        <w:trPr>
          <w:trHeight w:val="151"/>
        </w:trPr>
        <w:tc>
          <w:tcPr>
            <w:tcW w:w="2500" w:type="pct"/>
            <w:tcBorders>
              <w:top w:val="nil"/>
              <w:left w:val="single" w:sz="4" w:space="0" w:color="auto"/>
              <w:bottom w:val="single" w:sz="4" w:space="0" w:color="auto"/>
              <w:right w:val="single" w:sz="4" w:space="0" w:color="auto"/>
            </w:tcBorders>
            <w:shd w:val="clear" w:color="auto" w:fill="auto"/>
            <w:noWrap/>
            <w:hideMark/>
          </w:tcPr>
          <w:p w14:paraId="5FD0EBE9" w14:textId="77777777" w:rsidR="005A5A1E" w:rsidRPr="00A52C0B" w:rsidRDefault="005A5A1E" w:rsidP="005A5A1E">
            <w:pPr>
              <w:ind w:left="1402"/>
              <w:jc w:val="left"/>
              <w:rPr>
                <w:color w:val="000000"/>
                <w:sz w:val="21"/>
                <w:szCs w:val="21"/>
                <w:lang w:val="fr-CA" w:eastAsia="es-419"/>
              </w:rPr>
            </w:pPr>
            <w:r w:rsidRPr="00A52C0B">
              <w:rPr>
                <w:color w:val="000000"/>
                <w:sz w:val="21"/>
                <w:szCs w:val="21"/>
                <w:lang w:val="fr-CA" w:eastAsia="es-419"/>
              </w:rPr>
              <w:t>320 &lt;360</w:t>
            </w:r>
          </w:p>
        </w:tc>
        <w:tc>
          <w:tcPr>
            <w:tcW w:w="2500" w:type="pct"/>
            <w:tcBorders>
              <w:top w:val="nil"/>
              <w:left w:val="nil"/>
              <w:bottom w:val="single" w:sz="4" w:space="0" w:color="auto"/>
              <w:right w:val="single" w:sz="4" w:space="0" w:color="auto"/>
            </w:tcBorders>
            <w:shd w:val="clear" w:color="auto" w:fill="auto"/>
            <w:noWrap/>
          </w:tcPr>
          <w:p w14:paraId="6CF73517" w14:textId="12A7F2A5" w:rsidR="005A5A1E" w:rsidRPr="00A52C0B" w:rsidRDefault="005A5A1E" w:rsidP="005A5A1E">
            <w:pPr>
              <w:ind w:right="1290"/>
              <w:jc w:val="right"/>
              <w:rPr>
                <w:color w:val="000000"/>
                <w:sz w:val="21"/>
                <w:szCs w:val="21"/>
                <w:lang w:val="fr-CA" w:eastAsia="es-419"/>
              </w:rPr>
            </w:pPr>
            <w:r w:rsidRPr="00A52C0B">
              <w:rPr>
                <w:color w:val="000000"/>
                <w:sz w:val="21"/>
                <w:szCs w:val="21"/>
                <w:lang w:val="fr-CA" w:eastAsia="es-419"/>
              </w:rPr>
              <w:t>270</w:t>
            </w:r>
            <w:r w:rsidR="001527BF" w:rsidRPr="00A52C0B">
              <w:rPr>
                <w:color w:val="000000"/>
                <w:sz w:val="21"/>
                <w:szCs w:val="21"/>
                <w:lang w:val="fr-CA" w:eastAsia="es-419"/>
              </w:rPr>
              <w:t> </w:t>
            </w:r>
            <w:r w:rsidRPr="00A52C0B">
              <w:rPr>
                <w:color w:val="000000"/>
                <w:sz w:val="21"/>
                <w:szCs w:val="21"/>
                <w:lang w:val="fr-CA" w:eastAsia="es-419"/>
              </w:rPr>
              <w:t>000</w:t>
            </w:r>
          </w:p>
        </w:tc>
      </w:tr>
    </w:tbl>
    <w:p w14:paraId="7939299C" w14:textId="77777777" w:rsidR="005A5A1E" w:rsidRPr="00A52C0B" w:rsidRDefault="005A5A1E" w:rsidP="005A5A1E">
      <w:pPr>
        <w:rPr>
          <w:lang w:val="fr-CA"/>
        </w:rPr>
      </w:pPr>
    </w:p>
    <w:p w14:paraId="20FE4C8C" w14:textId="6ECC7427" w:rsidR="005A5A1E" w:rsidRPr="00A52C0B" w:rsidRDefault="003B0E67" w:rsidP="005A5A1E">
      <w:pPr>
        <w:pStyle w:val="Heading3"/>
        <w:rPr>
          <w:lang w:val="fr-CA"/>
        </w:rPr>
      </w:pPr>
      <w:r w:rsidRPr="00A52C0B">
        <w:rPr>
          <w:lang w:val="fr-CA"/>
        </w:rPr>
        <w:t>Les pays visés à l’article</w:t>
      </w:r>
      <w:r w:rsidR="004E3CCB" w:rsidRPr="00A52C0B">
        <w:rPr>
          <w:lang w:val="fr-CA"/>
        </w:rPr>
        <w:t> </w:t>
      </w:r>
      <w:r w:rsidRPr="00A52C0B">
        <w:rPr>
          <w:lang w:val="fr-CA"/>
        </w:rPr>
        <w:t>5</w:t>
      </w:r>
      <w:r w:rsidR="00C51372">
        <w:rPr>
          <w:lang w:val="fr-CA"/>
        </w:rPr>
        <w:t>,</w:t>
      </w:r>
      <w:r w:rsidRPr="00A52C0B">
        <w:rPr>
          <w:lang w:val="fr-CA"/>
        </w:rPr>
        <w:t xml:space="preserve"> dont la consommation totale de H</w:t>
      </w:r>
      <w:r w:rsidR="00FB237A" w:rsidRPr="00A52C0B">
        <w:rPr>
          <w:lang w:val="fr-CA"/>
        </w:rPr>
        <w:t>C</w:t>
      </w:r>
      <w:r w:rsidRPr="00A52C0B">
        <w:rPr>
          <w:lang w:val="fr-CA"/>
        </w:rPr>
        <w:t xml:space="preserve">FC </w:t>
      </w:r>
      <w:r w:rsidR="00C51372">
        <w:rPr>
          <w:lang w:val="fr-CA"/>
        </w:rPr>
        <w:t xml:space="preserve">se situe entre </w:t>
      </w:r>
      <w:r w:rsidR="00FB237A" w:rsidRPr="00A52C0B">
        <w:rPr>
          <w:lang w:val="fr-CA"/>
        </w:rPr>
        <w:t>360</w:t>
      </w:r>
      <w:r w:rsidR="00FF1A80" w:rsidRPr="00A52C0B">
        <w:rPr>
          <w:lang w:val="fr-CA"/>
        </w:rPr>
        <w:t> tm</w:t>
      </w:r>
      <w:r w:rsidR="00FB237A" w:rsidRPr="00A52C0B">
        <w:rPr>
          <w:lang w:val="fr-CA"/>
        </w:rPr>
        <w:t xml:space="preserve"> et 25</w:t>
      </w:r>
      <w:r w:rsidR="00FF1A80" w:rsidRPr="00A52C0B">
        <w:rPr>
          <w:lang w:val="fr-CA"/>
        </w:rPr>
        <w:t> </w:t>
      </w:r>
      <w:r w:rsidR="00FB237A" w:rsidRPr="00A52C0B">
        <w:rPr>
          <w:lang w:val="fr-CA"/>
        </w:rPr>
        <w:t>000</w:t>
      </w:r>
      <w:r w:rsidR="00FF1A80" w:rsidRPr="00A52C0B">
        <w:rPr>
          <w:lang w:val="fr-CA"/>
        </w:rPr>
        <w:t> tm</w:t>
      </w:r>
      <w:r w:rsidR="00FB237A" w:rsidRPr="00A52C0B">
        <w:rPr>
          <w:lang w:val="fr-CA"/>
        </w:rPr>
        <w:t xml:space="preserve"> et qui démontrent qu’ils ont besoin d’une assistance dans le secteur de l’entretien de l’équipement de réfrigération afin de se conformer au moins </w:t>
      </w:r>
      <w:r w:rsidR="00FA4DD3" w:rsidRPr="00A52C0B">
        <w:rPr>
          <w:lang w:val="fr-CA"/>
        </w:rPr>
        <w:t xml:space="preserve">à </w:t>
      </w:r>
      <w:r w:rsidR="00FB237A" w:rsidRPr="00A52C0B">
        <w:rPr>
          <w:lang w:val="fr-CA"/>
        </w:rPr>
        <w:t>l’objectif de réduction de 10</w:t>
      </w:r>
      <w:r w:rsidR="004E3CCB" w:rsidRPr="00A52C0B">
        <w:rPr>
          <w:lang w:val="fr-CA"/>
        </w:rPr>
        <w:t> </w:t>
      </w:r>
      <w:r w:rsidR="00FB237A" w:rsidRPr="00A52C0B">
        <w:rPr>
          <w:lang w:val="fr-CA"/>
        </w:rPr>
        <w:t>pour</w:t>
      </w:r>
      <w:r w:rsidR="00FA4DD3" w:rsidRPr="00A52C0B">
        <w:rPr>
          <w:lang w:val="fr-CA"/>
        </w:rPr>
        <w:t> </w:t>
      </w:r>
      <w:r w:rsidR="00FB237A" w:rsidRPr="00A52C0B">
        <w:rPr>
          <w:lang w:val="fr-CA"/>
        </w:rPr>
        <w:t xml:space="preserve">cent de la consommation de HFC, </w:t>
      </w:r>
      <w:r w:rsidR="00FB237A" w:rsidRPr="00A52C0B">
        <w:rPr>
          <w:lang w:val="fr-CA"/>
        </w:rPr>
        <w:lastRenderedPageBreak/>
        <w:t xml:space="preserve">conformément au calendrier de conformité du Protocole de Montréal, recevront un financement </w:t>
      </w:r>
      <w:r w:rsidR="009152D9">
        <w:rPr>
          <w:lang w:val="fr-CA"/>
        </w:rPr>
        <w:t>pouvant atteindre</w:t>
      </w:r>
      <w:r w:rsidR="00FB237A" w:rsidRPr="00A52C0B">
        <w:rPr>
          <w:lang w:val="fr-CA"/>
        </w:rPr>
        <w:t xml:space="preserve"> 3,20</w:t>
      </w:r>
      <w:r w:rsidR="004E3CCB" w:rsidRPr="00A52C0B">
        <w:rPr>
          <w:lang w:val="fr-CA"/>
        </w:rPr>
        <w:t> </w:t>
      </w:r>
      <w:r w:rsidR="00FB237A" w:rsidRPr="00A52C0B">
        <w:rPr>
          <w:lang w:val="fr-CA"/>
        </w:rPr>
        <w:t>$US/kg</w:t>
      </w:r>
      <w:r w:rsidR="00FA4DD3" w:rsidRPr="00A52C0B">
        <w:rPr>
          <w:lang w:val="fr-CA"/>
        </w:rPr>
        <w:t> </w:t>
      </w:r>
      <w:r w:rsidR="00FB237A" w:rsidRPr="00A52C0B">
        <w:rPr>
          <w:lang w:val="fr-CA"/>
        </w:rPr>
        <w:t xml:space="preserve">métrique, qui sera déduit de leur point de départ des réductions globales de la consommation de HFC; </w:t>
      </w:r>
      <w:r w:rsidR="005A5A1E" w:rsidRPr="00A52C0B">
        <w:rPr>
          <w:lang w:val="fr-CA"/>
        </w:rPr>
        <w:t xml:space="preserve"> </w:t>
      </w:r>
    </w:p>
    <w:p w14:paraId="56CB4889" w14:textId="520BFC53" w:rsidR="005A5A1E" w:rsidRPr="00A52C0B" w:rsidRDefault="00FB237A" w:rsidP="008C3DBB">
      <w:pPr>
        <w:pStyle w:val="Heading3"/>
        <w:keepNext/>
        <w:keepLines/>
        <w:rPr>
          <w:lang w:val="fr-CA"/>
        </w:rPr>
      </w:pPr>
      <w:r w:rsidRPr="00A52C0B">
        <w:rPr>
          <w:lang w:val="fr-CA"/>
        </w:rPr>
        <w:t>Les pays visés à l’article</w:t>
      </w:r>
      <w:r w:rsidR="004E3CCB" w:rsidRPr="00A52C0B">
        <w:rPr>
          <w:lang w:val="fr-CA"/>
        </w:rPr>
        <w:t> </w:t>
      </w:r>
      <w:r w:rsidRPr="00A52C0B">
        <w:rPr>
          <w:lang w:val="fr-CA"/>
        </w:rPr>
        <w:t>5 mentionné</w:t>
      </w:r>
      <w:r w:rsidR="00FA4DD3" w:rsidRPr="00A52C0B">
        <w:rPr>
          <w:lang w:val="fr-CA"/>
        </w:rPr>
        <w:t xml:space="preserve">s </w:t>
      </w:r>
      <w:r w:rsidR="009152D9">
        <w:rPr>
          <w:lang w:val="fr-CA"/>
        </w:rPr>
        <w:t>au sous-</w:t>
      </w:r>
      <w:r w:rsidR="00FA4DD3" w:rsidRPr="00A52C0B">
        <w:rPr>
          <w:lang w:val="fr-CA"/>
        </w:rPr>
        <w:t>ali</w:t>
      </w:r>
      <w:r w:rsidRPr="00A52C0B">
        <w:rPr>
          <w:lang w:val="fr-CA"/>
        </w:rPr>
        <w:t>néa</w:t>
      </w:r>
      <w:r w:rsidR="00FA4DD3" w:rsidRPr="00A52C0B">
        <w:rPr>
          <w:lang w:val="fr-CA"/>
        </w:rPr>
        <w:t> b) iii)</w:t>
      </w:r>
      <w:r w:rsidRPr="00A52C0B">
        <w:rPr>
          <w:lang w:val="fr-CA"/>
        </w:rPr>
        <w:t xml:space="preserve"> ci</w:t>
      </w:r>
      <w:r w:rsidR="00471A2B" w:rsidRPr="00A52C0B">
        <w:rPr>
          <w:lang w:val="fr-CA"/>
        </w:rPr>
        <w:noBreakHyphen/>
      </w:r>
      <w:r w:rsidRPr="00A52C0B">
        <w:rPr>
          <w:lang w:val="fr-CA"/>
        </w:rPr>
        <w:t>dessus ayant pu atteindre la réduction de 10</w:t>
      </w:r>
      <w:r w:rsidR="004E3CCB" w:rsidRPr="00A52C0B">
        <w:rPr>
          <w:lang w:val="fr-CA"/>
        </w:rPr>
        <w:t> </w:t>
      </w:r>
      <w:r w:rsidRPr="00A52C0B">
        <w:rPr>
          <w:lang w:val="fr-CA"/>
        </w:rPr>
        <w:t>pour</w:t>
      </w:r>
      <w:r w:rsidR="00FA4DD3" w:rsidRPr="00A52C0B">
        <w:rPr>
          <w:lang w:val="fr-CA"/>
        </w:rPr>
        <w:t> </w:t>
      </w:r>
      <w:r w:rsidRPr="00A52C0B">
        <w:rPr>
          <w:lang w:val="fr-CA"/>
        </w:rPr>
        <w:t xml:space="preserve">cent de la consommation de HFC, </w:t>
      </w:r>
      <w:r w:rsidR="00727D3C" w:rsidRPr="00A52C0B">
        <w:rPr>
          <w:lang w:val="fr-CA"/>
        </w:rPr>
        <w:t xml:space="preserve">conformément au calendrier de conformité du Protocole de Montréal, uniquement au moyen d’activités menées dans le secteur de l’entretien </w:t>
      </w:r>
      <w:r w:rsidR="009152D9">
        <w:rPr>
          <w:lang w:val="fr-CA"/>
        </w:rPr>
        <w:t xml:space="preserve">en </w:t>
      </w:r>
      <w:r w:rsidR="00727D3C" w:rsidRPr="00A52C0B">
        <w:rPr>
          <w:lang w:val="fr-CA"/>
        </w:rPr>
        <w:t>réfrigération, pourraient recevoir un financement jusqu’au niveau détermin</w:t>
      </w:r>
      <w:r w:rsidR="00FA4DD3" w:rsidRPr="00A52C0B">
        <w:rPr>
          <w:lang w:val="fr-CA"/>
        </w:rPr>
        <w:t>é</w:t>
      </w:r>
      <w:r w:rsidR="00727D3C" w:rsidRPr="00A52C0B">
        <w:rPr>
          <w:lang w:val="fr-CA"/>
        </w:rPr>
        <w:t xml:space="preserve"> pour les pays</w:t>
      </w:r>
      <w:r w:rsidR="00FA4DD3" w:rsidRPr="00A52C0B">
        <w:rPr>
          <w:lang w:val="fr-CA"/>
        </w:rPr>
        <w:t> </w:t>
      </w:r>
      <w:r w:rsidR="00727D3C" w:rsidRPr="00A52C0B">
        <w:rPr>
          <w:lang w:val="fr-CA"/>
        </w:rPr>
        <w:t>FVC dont la valeur de référence des HCFC se situe entre</w:t>
      </w:r>
      <w:r w:rsidR="00FA4DD3" w:rsidRPr="00A52C0B">
        <w:rPr>
          <w:lang w:val="fr-CA"/>
        </w:rPr>
        <w:t> </w:t>
      </w:r>
      <w:r w:rsidR="00727D3C" w:rsidRPr="00A52C0B">
        <w:rPr>
          <w:lang w:val="fr-CA"/>
        </w:rPr>
        <w:t>320 et 360</w:t>
      </w:r>
      <w:r w:rsidR="00FA4DD3" w:rsidRPr="00A52C0B">
        <w:rPr>
          <w:lang w:val="fr-CA"/>
        </w:rPr>
        <w:t> tm</w:t>
      </w:r>
      <w:r w:rsidR="00727D3C" w:rsidRPr="00A52C0B">
        <w:rPr>
          <w:lang w:val="fr-CA"/>
        </w:rPr>
        <w:t xml:space="preserve">, comme cela est spécifié </w:t>
      </w:r>
      <w:r w:rsidR="009152D9">
        <w:rPr>
          <w:lang w:val="fr-CA"/>
        </w:rPr>
        <w:t>au sous-</w:t>
      </w:r>
      <w:r w:rsidR="00727D3C" w:rsidRPr="00A52C0B">
        <w:rPr>
          <w:lang w:val="fr-CA"/>
        </w:rPr>
        <w:t>alinéa</w:t>
      </w:r>
      <w:r w:rsidR="00FA4DD3" w:rsidRPr="00A52C0B">
        <w:rPr>
          <w:lang w:val="fr-CA"/>
        </w:rPr>
        <w:t xml:space="preserve"> b) ii) </w:t>
      </w:r>
      <w:r w:rsidR="00727D3C" w:rsidRPr="00A52C0B">
        <w:rPr>
          <w:lang w:val="fr-CA"/>
        </w:rPr>
        <w:t>ci</w:t>
      </w:r>
      <w:r w:rsidR="00471A2B" w:rsidRPr="00A52C0B">
        <w:rPr>
          <w:lang w:val="fr-CA"/>
        </w:rPr>
        <w:noBreakHyphen/>
      </w:r>
      <w:r w:rsidR="00727D3C" w:rsidRPr="00A52C0B">
        <w:rPr>
          <w:lang w:val="fr-CA"/>
        </w:rPr>
        <w:t>dessus, étant entendu qu</w:t>
      </w:r>
      <w:r w:rsidR="00FA4DD3" w:rsidRPr="00A52C0B">
        <w:rPr>
          <w:lang w:val="fr-CA"/>
        </w:rPr>
        <w:t>’ils</w:t>
      </w:r>
      <w:r w:rsidR="00727D3C" w:rsidRPr="00A52C0B">
        <w:rPr>
          <w:lang w:val="fr-CA"/>
        </w:rPr>
        <w:t xml:space="preserve"> doivent inclure, au moins, dans leurs plans de réduction progressive des HFC les exigences décrites </w:t>
      </w:r>
      <w:r w:rsidR="009152D9">
        <w:rPr>
          <w:lang w:val="fr-CA"/>
        </w:rPr>
        <w:t>au sous-</w:t>
      </w:r>
      <w:r w:rsidR="00727D3C" w:rsidRPr="00A52C0B">
        <w:rPr>
          <w:lang w:val="fr-CA"/>
        </w:rPr>
        <w:t>alinéa</w:t>
      </w:r>
      <w:r w:rsidR="008D16A1" w:rsidRPr="00A52C0B">
        <w:rPr>
          <w:lang w:val="fr-CA"/>
        </w:rPr>
        <w:t> b) i)</w:t>
      </w:r>
      <w:r w:rsidR="00727D3C" w:rsidRPr="00A52C0B">
        <w:rPr>
          <w:lang w:val="fr-CA"/>
        </w:rPr>
        <w:t xml:space="preserve">; </w:t>
      </w:r>
    </w:p>
    <w:p w14:paraId="4FAA9A04" w14:textId="27516E85" w:rsidR="005A5A1E" w:rsidRPr="00A52C0B" w:rsidRDefault="00727D3C" w:rsidP="005A5A1E">
      <w:pPr>
        <w:pStyle w:val="Heading3"/>
        <w:rPr>
          <w:lang w:val="fr-CA"/>
        </w:rPr>
      </w:pPr>
      <w:r w:rsidRPr="00A52C0B">
        <w:rPr>
          <w:lang w:val="fr-CA"/>
        </w:rPr>
        <w:t>Le financement des pays visés à l’article</w:t>
      </w:r>
      <w:r w:rsidR="004E3CCB" w:rsidRPr="00A52C0B">
        <w:rPr>
          <w:lang w:val="fr-CA"/>
        </w:rPr>
        <w:t> </w:t>
      </w:r>
      <w:r w:rsidRPr="00A52C0B">
        <w:rPr>
          <w:lang w:val="fr-CA"/>
        </w:rPr>
        <w:t>5</w:t>
      </w:r>
      <w:r w:rsidR="009152D9">
        <w:rPr>
          <w:lang w:val="fr-CA"/>
        </w:rPr>
        <w:t>,</w:t>
      </w:r>
      <w:r w:rsidRPr="00A52C0B">
        <w:rPr>
          <w:lang w:val="fr-CA"/>
        </w:rPr>
        <w:t xml:space="preserve"> dont la valeur de consommation de référence totale de HCFC est supérieure 25</w:t>
      </w:r>
      <w:r w:rsidR="00A73417" w:rsidRPr="00A52C0B">
        <w:rPr>
          <w:lang w:val="fr-CA"/>
        </w:rPr>
        <w:t> 0</w:t>
      </w:r>
      <w:r w:rsidRPr="00A52C0B">
        <w:rPr>
          <w:lang w:val="fr-CA"/>
        </w:rPr>
        <w:t>00</w:t>
      </w:r>
      <w:r w:rsidR="00A73417" w:rsidRPr="00A52C0B">
        <w:rPr>
          <w:lang w:val="fr-CA"/>
        </w:rPr>
        <w:t> tm</w:t>
      </w:r>
      <w:r w:rsidR="009152D9">
        <w:rPr>
          <w:lang w:val="fr-CA"/>
        </w:rPr>
        <w:t>,</w:t>
      </w:r>
      <w:r w:rsidRPr="00A52C0B">
        <w:rPr>
          <w:lang w:val="fr-CA"/>
        </w:rPr>
        <w:t xml:space="preserve"> </w:t>
      </w:r>
      <w:r w:rsidR="00A73417" w:rsidRPr="00A52C0B">
        <w:rPr>
          <w:lang w:val="fr-CA"/>
        </w:rPr>
        <w:t xml:space="preserve">sera </w:t>
      </w:r>
      <w:r w:rsidRPr="00A52C0B">
        <w:rPr>
          <w:lang w:val="fr-CA"/>
        </w:rPr>
        <w:t xml:space="preserve">examiné au cas par cas; </w:t>
      </w:r>
    </w:p>
    <w:p w14:paraId="5EE37B05" w14:textId="40078937" w:rsidR="005A5A1E" w:rsidRPr="00A52C0B" w:rsidRDefault="009152D9" w:rsidP="005A5A1E">
      <w:pPr>
        <w:pStyle w:val="Heading2"/>
        <w:rPr>
          <w:lang w:val="fr-CA"/>
        </w:rPr>
      </w:pPr>
      <w:r>
        <w:rPr>
          <w:lang w:val="fr-CA"/>
        </w:rPr>
        <w:t>D’i</w:t>
      </w:r>
      <w:r w:rsidR="00727D3C" w:rsidRPr="00A52C0B">
        <w:rPr>
          <w:lang w:val="fr-CA"/>
        </w:rPr>
        <w:t>nclure les principes mentionnés à l’alinéa</w:t>
      </w:r>
      <w:r w:rsidR="00A73417" w:rsidRPr="00A52C0B">
        <w:rPr>
          <w:lang w:val="fr-CA"/>
        </w:rPr>
        <w:t> b)</w:t>
      </w:r>
      <w:r w:rsidR="00727D3C" w:rsidRPr="00A52C0B">
        <w:rPr>
          <w:lang w:val="fr-CA"/>
        </w:rPr>
        <w:t xml:space="preserve"> dans le projet de lignes directrices sur les coûts </w:t>
      </w:r>
      <w:r w:rsidR="00A73417" w:rsidRPr="00A52C0B">
        <w:rPr>
          <w:lang w:val="fr-CA"/>
        </w:rPr>
        <w:t xml:space="preserve">de la </w:t>
      </w:r>
      <w:r w:rsidR="00727D3C" w:rsidRPr="00A52C0B">
        <w:rPr>
          <w:lang w:val="fr-CA"/>
        </w:rPr>
        <w:t xml:space="preserve">réduction progressive des HFC et </w:t>
      </w:r>
      <w:r>
        <w:rPr>
          <w:lang w:val="fr-CA"/>
        </w:rPr>
        <w:t xml:space="preserve">de </w:t>
      </w:r>
      <w:r w:rsidR="00727D3C" w:rsidRPr="00A52C0B">
        <w:rPr>
          <w:lang w:val="fr-CA"/>
        </w:rPr>
        <w:t>révis</w:t>
      </w:r>
      <w:r w:rsidR="00A73417" w:rsidRPr="00A52C0B">
        <w:rPr>
          <w:lang w:val="fr-CA"/>
        </w:rPr>
        <w:t>er c</w:t>
      </w:r>
      <w:r w:rsidR="00727D3C" w:rsidRPr="00A52C0B">
        <w:rPr>
          <w:lang w:val="fr-CA"/>
        </w:rPr>
        <w:t>es principes</w:t>
      </w:r>
      <w:r w:rsidR="004E3CCB" w:rsidRPr="00A52C0B">
        <w:rPr>
          <w:lang w:val="fr-CA"/>
        </w:rPr>
        <w:t> </w:t>
      </w:r>
      <w:r w:rsidR="00A73417" w:rsidRPr="00A52C0B">
        <w:rPr>
          <w:lang w:val="fr-CA"/>
        </w:rPr>
        <w:t>en </w:t>
      </w:r>
      <w:r w:rsidR="00727D3C" w:rsidRPr="00A52C0B">
        <w:rPr>
          <w:lang w:val="fr-CA"/>
        </w:rPr>
        <w:t xml:space="preserve">2028 en vue du financement des futures phases des plans de réduction progressive des HFC; </w:t>
      </w:r>
    </w:p>
    <w:p w14:paraId="57F35A6A" w14:textId="35E0CBA2" w:rsidR="005A5A1E" w:rsidRPr="00A52C0B" w:rsidRDefault="009152D9" w:rsidP="004044D7">
      <w:pPr>
        <w:pStyle w:val="Heading2"/>
        <w:rPr>
          <w:lang w:val="fr-CA"/>
        </w:rPr>
      </w:pPr>
      <w:r>
        <w:rPr>
          <w:lang w:val="fr-CA"/>
        </w:rPr>
        <w:t>D’a</w:t>
      </w:r>
      <w:r w:rsidR="00727D3C" w:rsidRPr="00A52C0B">
        <w:rPr>
          <w:lang w:val="fr-CA"/>
        </w:rPr>
        <w:t xml:space="preserve">jouter l’accroissement des fonds convenus lors de l’analyse du </w:t>
      </w:r>
      <w:r w:rsidR="005A5A1E" w:rsidRPr="00A52C0B">
        <w:rPr>
          <w:lang w:val="fr-CA"/>
        </w:rPr>
        <w:t>document</w:t>
      </w:r>
      <w:r w:rsidR="00923BE2" w:rsidRPr="00A52C0B">
        <w:rPr>
          <w:lang w:val="fr-CA"/>
        </w:rPr>
        <w:t> </w:t>
      </w:r>
      <w:r w:rsidR="005A5A1E" w:rsidRPr="00A52C0B">
        <w:rPr>
          <w:lang w:val="fr-CA"/>
        </w:rPr>
        <w:t>UNEP/OzL.Pro/ExCom/</w:t>
      </w:r>
      <w:r w:rsidR="004044D7">
        <w:rPr>
          <w:lang w:val="fr-CA"/>
        </w:rPr>
        <w:t>87/50</w:t>
      </w:r>
      <w:r w:rsidR="005A5A1E" w:rsidRPr="00A52C0B">
        <w:rPr>
          <w:lang w:val="fr-CA"/>
        </w:rPr>
        <w:t xml:space="preserve"> </w:t>
      </w:r>
      <w:r w:rsidR="00727D3C" w:rsidRPr="00A52C0B">
        <w:rPr>
          <w:lang w:val="fr-CA"/>
        </w:rPr>
        <w:t>sur l</w:t>
      </w:r>
      <w:r w:rsidR="00923BE2" w:rsidRPr="00A52C0B">
        <w:rPr>
          <w:lang w:val="fr-CA"/>
        </w:rPr>
        <w:t>es</w:t>
      </w:r>
      <w:r w:rsidR="00727D3C" w:rsidRPr="00A52C0B">
        <w:rPr>
          <w:lang w:val="fr-CA"/>
        </w:rPr>
        <w:t xml:space="preserve"> façon</w:t>
      </w:r>
      <w:r w:rsidR="00923BE2" w:rsidRPr="00A52C0B">
        <w:rPr>
          <w:lang w:val="fr-CA"/>
        </w:rPr>
        <w:t>s</w:t>
      </w:r>
      <w:r w:rsidR="00727D3C" w:rsidRPr="00A52C0B">
        <w:rPr>
          <w:lang w:val="fr-CA"/>
        </w:rPr>
        <w:t xml:space="preserve"> d’opérationnaliser le paragraphe</w:t>
      </w:r>
      <w:r w:rsidR="004E3CCB" w:rsidRPr="00A52C0B">
        <w:rPr>
          <w:lang w:val="fr-CA"/>
        </w:rPr>
        <w:t> </w:t>
      </w:r>
      <w:r w:rsidR="00727D3C" w:rsidRPr="00A52C0B">
        <w:rPr>
          <w:lang w:val="fr-CA"/>
        </w:rPr>
        <w:t>16 de la décision</w:t>
      </w:r>
      <w:r w:rsidR="004E3CCB" w:rsidRPr="00A52C0B">
        <w:rPr>
          <w:lang w:val="fr-CA"/>
        </w:rPr>
        <w:t> </w:t>
      </w:r>
      <w:r w:rsidR="00727D3C" w:rsidRPr="00A52C0B">
        <w:rPr>
          <w:lang w:val="fr-CA"/>
        </w:rPr>
        <w:t xml:space="preserve">XXVIII/2 et le </w:t>
      </w:r>
      <w:r w:rsidR="00923BE2" w:rsidRPr="00A52C0B">
        <w:rPr>
          <w:lang w:val="fr-CA"/>
        </w:rPr>
        <w:t xml:space="preserve">paragraphe 2 de la </w:t>
      </w:r>
      <w:r w:rsidR="00727D3C" w:rsidRPr="00A52C0B">
        <w:rPr>
          <w:lang w:val="fr-CA"/>
        </w:rPr>
        <w:t>décision</w:t>
      </w:r>
      <w:r w:rsidR="004E3CCB" w:rsidRPr="00A52C0B">
        <w:rPr>
          <w:lang w:val="fr-CA"/>
        </w:rPr>
        <w:t> </w:t>
      </w:r>
      <w:r w:rsidR="00727D3C" w:rsidRPr="00A52C0B">
        <w:rPr>
          <w:lang w:val="fr-CA"/>
        </w:rPr>
        <w:t>XXX</w:t>
      </w:r>
      <w:r w:rsidR="00923BE2" w:rsidRPr="00A52C0B">
        <w:rPr>
          <w:lang w:val="fr-CA"/>
        </w:rPr>
        <w:t>/</w:t>
      </w:r>
      <w:r w:rsidR="00727D3C" w:rsidRPr="00A52C0B">
        <w:rPr>
          <w:lang w:val="fr-CA"/>
        </w:rPr>
        <w:t>5 à l’approbation de la phase</w:t>
      </w:r>
      <w:r w:rsidR="00923BE2" w:rsidRPr="00A52C0B">
        <w:rPr>
          <w:lang w:val="fr-CA"/>
        </w:rPr>
        <w:t> </w:t>
      </w:r>
      <w:r w:rsidR="00727D3C" w:rsidRPr="00A52C0B">
        <w:rPr>
          <w:lang w:val="fr-CA"/>
        </w:rPr>
        <w:t xml:space="preserve">I de la réduction progressive des HFC, au lieu du PGEH, en tenant compte du fait que les activités proposées pour cette augmentation </w:t>
      </w:r>
      <w:r w:rsidR="002C1955" w:rsidRPr="00A52C0B">
        <w:rPr>
          <w:lang w:val="fr-CA"/>
        </w:rPr>
        <w:t xml:space="preserve">profiteront à la fois à l’élimination des HCFC et </w:t>
      </w:r>
      <w:r w:rsidR="00923BE2" w:rsidRPr="00A52C0B">
        <w:rPr>
          <w:lang w:val="fr-CA"/>
        </w:rPr>
        <w:t xml:space="preserve">à la </w:t>
      </w:r>
      <w:r w:rsidR="002C1955" w:rsidRPr="00A52C0B">
        <w:rPr>
          <w:lang w:val="fr-CA"/>
        </w:rPr>
        <w:t xml:space="preserve">réduction progressive des HFC par l’introduction de solutions de remplacement </w:t>
      </w:r>
      <w:r w:rsidR="00923BE2" w:rsidRPr="00A52C0B">
        <w:rPr>
          <w:lang w:val="fr-CA"/>
        </w:rPr>
        <w:t xml:space="preserve">des HFC </w:t>
      </w:r>
      <w:r w:rsidR="002C1955" w:rsidRPr="00A52C0B">
        <w:rPr>
          <w:lang w:val="fr-CA"/>
        </w:rPr>
        <w:t>à faible</w:t>
      </w:r>
      <w:r w:rsidR="00923BE2" w:rsidRPr="00A52C0B">
        <w:rPr>
          <w:lang w:val="fr-CA"/>
        </w:rPr>
        <w:t> </w:t>
      </w:r>
      <w:r w:rsidR="002C1955" w:rsidRPr="00A52C0B">
        <w:rPr>
          <w:lang w:val="fr-CA"/>
        </w:rPr>
        <w:t>PRG et</w:t>
      </w:r>
      <w:r w:rsidR="00923BE2" w:rsidRPr="00A52C0B">
        <w:rPr>
          <w:lang w:val="fr-CA"/>
        </w:rPr>
        <w:t xml:space="preserve"> à</w:t>
      </w:r>
      <w:r w:rsidR="002C1955" w:rsidRPr="00A52C0B">
        <w:rPr>
          <w:lang w:val="fr-CA"/>
        </w:rPr>
        <w:t xml:space="preserve"> PRG</w:t>
      </w:r>
      <w:r w:rsidR="00923BE2" w:rsidRPr="00A52C0B">
        <w:rPr>
          <w:lang w:val="fr-CA"/>
        </w:rPr>
        <w:t> </w:t>
      </w:r>
      <w:r w:rsidR="002C1955" w:rsidRPr="00A52C0B">
        <w:rPr>
          <w:lang w:val="fr-CA"/>
        </w:rPr>
        <w:t>nul et le maintien de l’efficacité énergétique dans le secteur de l’entretien/service des utilisateurs des pays</w:t>
      </w:r>
      <w:r w:rsidR="000D69F2" w:rsidRPr="00A52C0B">
        <w:rPr>
          <w:lang w:val="fr-CA"/>
        </w:rPr>
        <w:t> FVC</w:t>
      </w:r>
      <w:r w:rsidR="002C1955" w:rsidRPr="00A52C0B">
        <w:rPr>
          <w:lang w:val="fr-CA"/>
        </w:rPr>
        <w:t>.</w:t>
      </w:r>
    </w:p>
    <w:p w14:paraId="2DE0680E" w14:textId="77777777" w:rsidR="005A5A1E" w:rsidRPr="00A52C0B" w:rsidRDefault="005A5A1E" w:rsidP="005A5A1E">
      <w:pPr>
        <w:rPr>
          <w:lang w:val="fr-CA"/>
        </w:rPr>
      </w:pPr>
    </w:p>
    <w:p w14:paraId="685F3AB4" w14:textId="2A0F0DFA" w:rsidR="006B169A" w:rsidRPr="00A52C0B" w:rsidRDefault="006B169A" w:rsidP="006B169A">
      <w:pPr>
        <w:widowControl w:val="0"/>
        <w:tabs>
          <w:tab w:val="left" w:pos="6270"/>
        </w:tabs>
        <w:rPr>
          <w:lang w:val="fr-CA"/>
        </w:rPr>
      </w:pPr>
    </w:p>
    <w:p w14:paraId="285C02E7" w14:textId="77777777" w:rsidR="006B169A" w:rsidRPr="00A52C0B" w:rsidRDefault="006B169A" w:rsidP="006B169A">
      <w:pPr>
        <w:pStyle w:val="Title1"/>
        <w:rPr>
          <w:lang w:val="fr-CA"/>
        </w:rPr>
      </w:pPr>
    </w:p>
    <w:p w14:paraId="6CE826E4" w14:textId="77777777" w:rsidR="006B169A" w:rsidRPr="00A52C0B" w:rsidRDefault="006B169A" w:rsidP="006B169A">
      <w:pPr>
        <w:pStyle w:val="Title1"/>
        <w:rPr>
          <w:lang w:val="fr-CA"/>
        </w:rPr>
      </w:pPr>
    </w:p>
    <w:p w14:paraId="2128E3E7" w14:textId="77777777" w:rsidR="006B169A" w:rsidRPr="00A52C0B" w:rsidRDefault="006B169A" w:rsidP="006B169A">
      <w:pPr>
        <w:pStyle w:val="Heading1"/>
        <w:numPr>
          <w:ilvl w:val="0"/>
          <w:numId w:val="0"/>
        </w:numPr>
        <w:rPr>
          <w:lang w:val="fr-CA"/>
        </w:rPr>
      </w:pPr>
    </w:p>
    <w:p w14:paraId="5766A93B" w14:textId="1A4536DD" w:rsidR="006B169A" w:rsidRPr="00A52C0B" w:rsidRDefault="006B169A" w:rsidP="006B169A">
      <w:pPr>
        <w:pStyle w:val="Heading2"/>
        <w:numPr>
          <w:ilvl w:val="1"/>
          <w:numId w:val="1"/>
        </w:numPr>
        <w:rPr>
          <w:lang w:val="fr-CA"/>
        </w:rPr>
        <w:sectPr w:rsidR="006B169A" w:rsidRPr="00A52C0B" w:rsidSect="00B87C45">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14:paraId="7FE97177" w14:textId="0A9BF304" w:rsidR="005A5A1E" w:rsidRPr="00A52C0B" w:rsidRDefault="005A5A1E" w:rsidP="005A5A1E">
      <w:pPr>
        <w:jc w:val="center"/>
        <w:rPr>
          <w:b/>
          <w:lang w:val="fr-CA"/>
        </w:rPr>
      </w:pPr>
      <w:r w:rsidRPr="00A52C0B">
        <w:rPr>
          <w:b/>
          <w:lang w:val="fr-CA"/>
        </w:rPr>
        <w:lastRenderedPageBreak/>
        <w:t>Annex</w:t>
      </w:r>
      <w:r w:rsidR="00C26781" w:rsidRPr="00A52C0B">
        <w:rPr>
          <w:b/>
          <w:lang w:val="fr-CA"/>
        </w:rPr>
        <w:t>e </w:t>
      </w:r>
      <w:r w:rsidRPr="00A52C0B">
        <w:rPr>
          <w:b/>
          <w:lang w:val="fr-CA"/>
        </w:rPr>
        <w:t xml:space="preserve">I </w:t>
      </w:r>
    </w:p>
    <w:p w14:paraId="39B2DFF6" w14:textId="77777777" w:rsidR="005A5A1E" w:rsidRPr="00A52C0B" w:rsidRDefault="005A5A1E" w:rsidP="005A5A1E">
      <w:pPr>
        <w:jc w:val="center"/>
        <w:rPr>
          <w:b/>
          <w:lang w:val="fr-CA"/>
        </w:rPr>
      </w:pPr>
    </w:p>
    <w:p w14:paraId="1E46B26B" w14:textId="1373425B" w:rsidR="007253CC" w:rsidRPr="00A52C0B" w:rsidRDefault="002C1955" w:rsidP="007253CC">
      <w:pPr>
        <w:jc w:val="center"/>
        <w:rPr>
          <w:b/>
          <w:lang w:val="fr-CA"/>
        </w:rPr>
      </w:pPr>
      <w:r w:rsidRPr="00A52C0B">
        <w:rPr>
          <w:b/>
          <w:lang w:val="fr-CA"/>
        </w:rPr>
        <w:t xml:space="preserve">APERÇU DES MODALITÉS POTENTIELLES D’INTÉGRATION DES ACTIVITÉS D’ÉLIMINATION DES HCFC </w:t>
      </w:r>
      <w:r w:rsidR="007253CC" w:rsidRPr="00A52C0B">
        <w:rPr>
          <w:b/>
          <w:lang w:val="fr-CA"/>
        </w:rPr>
        <w:br/>
      </w:r>
      <w:r w:rsidRPr="00A52C0B">
        <w:rPr>
          <w:b/>
          <w:lang w:val="fr-CA"/>
        </w:rPr>
        <w:t xml:space="preserve">ET DE RÉDUCTION PROGRESSIVE DES HFC DANS LE SECTEUR DE L’ENTRETIEN DE L’ÉQUIPEMENT DE RÉFRIGÉRATION </w:t>
      </w:r>
    </w:p>
    <w:p w14:paraId="19376261" w14:textId="07E03003" w:rsidR="005A5A1E" w:rsidRPr="00A52C0B" w:rsidRDefault="005A5A1E" w:rsidP="005A5A1E">
      <w:pPr>
        <w:jc w:val="center"/>
        <w:rPr>
          <w:b/>
          <w:lang w:val="fr-CA"/>
        </w:rPr>
      </w:pPr>
    </w:p>
    <w:p w14:paraId="7CC5DCDB" w14:textId="77777777" w:rsidR="005A5A1E" w:rsidRPr="00A52C0B" w:rsidRDefault="005A5A1E" w:rsidP="005A5A1E">
      <w:pPr>
        <w:rPr>
          <w:lang w:val="fr-CA"/>
        </w:rPr>
      </w:pPr>
    </w:p>
    <w:tbl>
      <w:tblPr>
        <w:tblW w:w="14310" w:type="dxa"/>
        <w:tblInd w:w="-5" w:type="dxa"/>
        <w:tblLayout w:type="fixed"/>
        <w:tblCellMar>
          <w:left w:w="70" w:type="dxa"/>
          <w:right w:w="70" w:type="dxa"/>
        </w:tblCellMar>
        <w:tblLook w:val="06A0" w:firstRow="1" w:lastRow="0" w:firstColumn="1" w:lastColumn="0" w:noHBand="1" w:noVBand="1"/>
      </w:tblPr>
      <w:tblGrid>
        <w:gridCol w:w="1980"/>
        <w:gridCol w:w="1800"/>
        <w:gridCol w:w="5265"/>
        <w:gridCol w:w="5265"/>
      </w:tblGrid>
      <w:tr w:rsidR="005A5A1E" w:rsidRPr="00A52C0B" w14:paraId="425B4E91" w14:textId="77777777" w:rsidTr="005A5A1E">
        <w:trPr>
          <w:tblHeader/>
        </w:trPr>
        <w:tc>
          <w:tcPr>
            <w:tcW w:w="1980" w:type="dxa"/>
            <w:tcBorders>
              <w:top w:val="single" w:sz="4" w:space="0" w:color="auto"/>
              <w:left w:val="single" w:sz="4" w:space="0" w:color="auto"/>
              <w:bottom w:val="single" w:sz="4" w:space="0" w:color="auto"/>
              <w:right w:val="single" w:sz="4" w:space="0" w:color="auto"/>
            </w:tcBorders>
            <w:shd w:val="clear" w:color="auto" w:fill="auto"/>
            <w:tcMar>
              <w:top w:w="29" w:type="dxa"/>
              <w:bottom w:w="29" w:type="dxa"/>
            </w:tcMar>
            <w:vAlign w:val="center"/>
            <w:hideMark/>
          </w:tcPr>
          <w:p w14:paraId="4DB6B18C" w14:textId="545146E7" w:rsidR="005A5A1E" w:rsidRPr="00A52C0B" w:rsidRDefault="002C1955" w:rsidP="005A5A1E">
            <w:pPr>
              <w:jc w:val="center"/>
              <w:rPr>
                <w:b/>
                <w:bCs/>
                <w:color w:val="000000"/>
                <w:sz w:val="18"/>
                <w:szCs w:val="18"/>
                <w:lang w:val="fr-CA" w:eastAsia="es-419"/>
              </w:rPr>
            </w:pPr>
            <w:r w:rsidRPr="00A52C0B">
              <w:rPr>
                <w:b/>
                <w:bCs/>
                <w:color w:val="000000"/>
                <w:sz w:val="18"/>
                <w:szCs w:val="18"/>
                <w:lang w:val="fr-CA" w:eastAsia="es-419"/>
              </w:rPr>
              <w:t>Catégories</w:t>
            </w:r>
            <w:r w:rsidR="005A5A1E" w:rsidRPr="00A52C0B">
              <w:rPr>
                <w:b/>
                <w:bCs/>
                <w:color w:val="000000"/>
                <w:sz w:val="18"/>
                <w:szCs w:val="18"/>
                <w:lang w:val="fr-CA" w:eastAsia="es-419"/>
              </w:rPr>
              <w:t>*</w:t>
            </w:r>
          </w:p>
        </w:tc>
        <w:tc>
          <w:tcPr>
            <w:tcW w:w="1800" w:type="dxa"/>
            <w:tcBorders>
              <w:top w:val="single" w:sz="4" w:space="0" w:color="auto"/>
              <w:left w:val="nil"/>
              <w:bottom w:val="single" w:sz="4" w:space="0" w:color="auto"/>
              <w:right w:val="single" w:sz="4" w:space="0" w:color="auto"/>
            </w:tcBorders>
            <w:shd w:val="clear" w:color="auto" w:fill="auto"/>
            <w:noWrap/>
            <w:tcMar>
              <w:top w:w="29" w:type="dxa"/>
              <w:bottom w:w="29" w:type="dxa"/>
            </w:tcMar>
            <w:vAlign w:val="center"/>
            <w:hideMark/>
          </w:tcPr>
          <w:p w14:paraId="74C62897" w14:textId="78C3504A" w:rsidR="005A5A1E" w:rsidRPr="00A52C0B" w:rsidRDefault="002C1955" w:rsidP="005A5A1E">
            <w:pPr>
              <w:jc w:val="center"/>
              <w:rPr>
                <w:b/>
                <w:bCs/>
                <w:color w:val="000000"/>
                <w:sz w:val="18"/>
                <w:szCs w:val="18"/>
                <w:lang w:val="fr-CA" w:eastAsia="es-419"/>
              </w:rPr>
            </w:pPr>
            <w:r w:rsidRPr="00A52C0B">
              <w:rPr>
                <w:b/>
                <w:bCs/>
                <w:color w:val="000000"/>
                <w:sz w:val="18"/>
                <w:szCs w:val="18"/>
                <w:lang w:val="fr-CA" w:eastAsia="es-419"/>
              </w:rPr>
              <w:t>Objectif</w:t>
            </w:r>
          </w:p>
        </w:tc>
        <w:tc>
          <w:tcPr>
            <w:tcW w:w="5265" w:type="dxa"/>
            <w:tcBorders>
              <w:top w:val="single" w:sz="4" w:space="0" w:color="auto"/>
              <w:left w:val="nil"/>
              <w:bottom w:val="single" w:sz="4" w:space="0" w:color="auto"/>
              <w:right w:val="single" w:sz="4" w:space="0" w:color="auto"/>
            </w:tcBorders>
            <w:shd w:val="clear" w:color="auto" w:fill="auto"/>
            <w:tcMar>
              <w:top w:w="29" w:type="dxa"/>
              <w:bottom w:w="29" w:type="dxa"/>
            </w:tcMar>
            <w:vAlign w:val="center"/>
            <w:hideMark/>
          </w:tcPr>
          <w:p w14:paraId="711015CC" w14:textId="5D5B18A3" w:rsidR="005A5A1E" w:rsidRPr="00A52C0B" w:rsidRDefault="002C1955" w:rsidP="005A5A1E">
            <w:pPr>
              <w:jc w:val="center"/>
              <w:rPr>
                <w:b/>
                <w:bCs/>
                <w:color w:val="000000"/>
                <w:sz w:val="18"/>
                <w:szCs w:val="18"/>
                <w:lang w:val="fr-CA" w:eastAsia="es-419"/>
              </w:rPr>
            </w:pPr>
            <w:r w:rsidRPr="00A52C0B">
              <w:rPr>
                <w:b/>
                <w:bCs/>
                <w:color w:val="000000"/>
                <w:sz w:val="18"/>
                <w:szCs w:val="18"/>
                <w:lang w:val="fr-CA" w:eastAsia="es-419"/>
              </w:rPr>
              <w:t>Couverte dans le PGEH</w:t>
            </w:r>
          </w:p>
        </w:tc>
        <w:tc>
          <w:tcPr>
            <w:tcW w:w="5265" w:type="dxa"/>
            <w:tcBorders>
              <w:top w:val="single" w:sz="4" w:space="0" w:color="auto"/>
              <w:left w:val="nil"/>
              <w:bottom w:val="single" w:sz="4" w:space="0" w:color="auto"/>
              <w:right w:val="single" w:sz="4" w:space="0" w:color="auto"/>
            </w:tcBorders>
            <w:shd w:val="clear" w:color="auto" w:fill="auto"/>
            <w:tcMar>
              <w:top w:w="29" w:type="dxa"/>
              <w:bottom w:w="29" w:type="dxa"/>
            </w:tcMar>
            <w:vAlign w:val="center"/>
            <w:hideMark/>
          </w:tcPr>
          <w:p w14:paraId="11213783" w14:textId="41471B1C" w:rsidR="005A5A1E" w:rsidRPr="00A52C0B" w:rsidRDefault="002C1955" w:rsidP="005A5A1E">
            <w:pPr>
              <w:jc w:val="center"/>
              <w:rPr>
                <w:b/>
                <w:bCs/>
                <w:color w:val="000000"/>
                <w:sz w:val="18"/>
                <w:szCs w:val="18"/>
                <w:lang w:val="fr-CA" w:eastAsia="es-419"/>
              </w:rPr>
            </w:pPr>
            <w:r w:rsidRPr="00A52C0B">
              <w:rPr>
                <w:b/>
                <w:bCs/>
                <w:color w:val="000000"/>
                <w:sz w:val="18"/>
                <w:szCs w:val="18"/>
                <w:lang w:val="fr-CA" w:eastAsia="es-419"/>
              </w:rPr>
              <w:t>Possibilité d’intégration</w:t>
            </w:r>
          </w:p>
        </w:tc>
      </w:tr>
      <w:tr w:rsidR="005A5A1E" w:rsidRPr="00AA6F65" w14:paraId="6F42569D" w14:textId="77777777" w:rsidTr="005A5A1E">
        <w:tc>
          <w:tcPr>
            <w:tcW w:w="1980" w:type="dxa"/>
            <w:tcBorders>
              <w:top w:val="nil"/>
              <w:left w:val="single" w:sz="4" w:space="0" w:color="auto"/>
              <w:bottom w:val="single" w:sz="4" w:space="0" w:color="auto"/>
              <w:right w:val="single" w:sz="4" w:space="0" w:color="auto"/>
            </w:tcBorders>
            <w:shd w:val="clear" w:color="auto" w:fill="auto"/>
            <w:noWrap/>
            <w:tcMar>
              <w:top w:w="29" w:type="dxa"/>
              <w:bottom w:w="29" w:type="dxa"/>
            </w:tcMar>
            <w:hideMark/>
          </w:tcPr>
          <w:p w14:paraId="43E1F06F" w14:textId="32934556" w:rsidR="005A5A1E" w:rsidRPr="00A52C0B" w:rsidRDefault="002C1955" w:rsidP="005A5A1E">
            <w:pPr>
              <w:jc w:val="left"/>
              <w:rPr>
                <w:color w:val="000000"/>
                <w:sz w:val="18"/>
                <w:szCs w:val="18"/>
                <w:lang w:val="fr-CA" w:eastAsia="es-419"/>
              </w:rPr>
            </w:pPr>
            <w:r w:rsidRPr="00A52C0B">
              <w:rPr>
                <w:color w:val="000000"/>
                <w:sz w:val="18"/>
                <w:szCs w:val="18"/>
                <w:lang w:val="fr-CA" w:eastAsia="es-419"/>
              </w:rPr>
              <w:t>Élaboration et mise en œuvre de</w:t>
            </w:r>
            <w:r w:rsidR="007253CC" w:rsidRPr="00A52C0B">
              <w:rPr>
                <w:color w:val="000000"/>
                <w:sz w:val="18"/>
                <w:szCs w:val="18"/>
                <w:lang w:val="fr-CA" w:eastAsia="es-419"/>
              </w:rPr>
              <w:t xml:space="preserve"> </w:t>
            </w:r>
            <w:r w:rsidRPr="00A52C0B">
              <w:rPr>
                <w:color w:val="000000"/>
                <w:sz w:val="18"/>
                <w:szCs w:val="18"/>
                <w:lang w:val="fr-CA" w:eastAsia="es-419"/>
              </w:rPr>
              <w:t xml:space="preserve">politiques </w:t>
            </w:r>
          </w:p>
        </w:tc>
        <w:tc>
          <w:tcPr>
            <w:tcW w:w="1800" w:type="dxa"/>
            <w:tcBorders>
              <w:top w:val="nil"/>
              <w:left w:val="nil"/>
              <w:bottom w:val="single" w:sz="4" w:space="0" w:color="auto"/>
              <w:right w:val="single" w:sz="4" w:space="0" w:color="auto"/>
            </w:tcBorders>
            <w:shd w:val="clear" w:color="auto" w:fill="auto"/>
            <w:tcMar>
              <w:top w:w="29" w:type="dxa"/>
              <w:bottom w:w="29" w:type="dxa"/>
            </w:tcMar>
            <w:hideMark/>
          </w:tcPr>
          <w:p w14:paraId="4DD1B168" w14:textId="56D7D14D" w:rsidR="005A5A1E" w:rsidRPr="00A52C0B" w:rsidRDefault="002C1955" w:rsidP="005A5A1E">
            <w:pPr>
              <w:jc w:val="left"/>
              <w:rPr>
                <w:color w:val="000000"/>
                <w:sz w:val="18"/>
                <w:szCs w:val="18"/>
                <w:lang w:val="fr-CA" w:eastAsia="es-419"/>
              </w:rPr>
            </w:pPr>
            <w:r w:rsidRPr="00A52C0B">
              <w:rPr>
                <w:color w:val="000000"/>
                <w:sz w:val="18"/>
                <w:szCs w:val="18"/>
                <w:lang w:val="fr-CA" w:eastAsia="es-419"/>
              </w:rPr>
              <w:t xml:space="preserve">Institutions gouvernementales </w:t>
            </w:r>
          </w:p>
        </w:tc>
        <w:tc>
          <w:tcPr>
            <w:tcW w:w="5265" w:type="dxa"/>
            <w:tcBorders>
              <w:top w:val="nil"/>
              <w:left w:val="nil"/>
              <w:bottom w:val="single" w:sz="4" w:space="0" w:color="auto"/>
              <w:right w:val="single" w:sz="4" w:space="0" w:color="auto"/>
            </w:tcBorders>
            <w:shd w:val="clear" w:color="auto" w:fill="auto"/>
            <w:tcMar>
              <w:top w:w="29" w:type="dxa"/>
              <w:bottom w:w="29" w:type="dxa"/>
            </w:tcMar>
            <w:hideMark/>
          </w:tcPr>
          <w:p w14:paraId="008FCFE2" w14:textId="3C922DB6" w:rsidR="005A5A1E" w:rsidRPr="00A52C0B" w:rsidRDefault="0085762A" w:rsidP="005A5A1E">
            <w:pPr>
              <w:jc w:val="left"/>
              <w:rPr>
                <w:color w:val="000000"/>
                <w:sz w:val="18"/>
                <w:szCs w:val="18"/>
                <w:lang w:val="fr-CA" w:eastAsia="es-419"/>
              </w:rPr>
            </w:pPr>
            <w:r w:rsidRPr="00A52C0B">
              <w:rPr>
                <w:color w:val="000000"/>
                <w:sz w:val="18"/>
                <w:szCs w:val="18"/>
                <w:lang w:val="fr-CA" w:eastAsia="es-419"/>
              </w:rPr>
              <w:t>Systèmes opérationnels d’octroi de permis et de quotas d’importation/exportation de HCFC établi</w:t>
            </w:r>
            <w:r w:rsidR="007253CC" w:rsidRPr="00A52C0B">
              <w:rPr>
                <w:color w:val="000000"/>
                <w:sz w:val="18"/>
                <w:szCs w:val="18"/>
                <w:lang w:val="fr-CA" w:eastAsia="es-419"/>
              </w:rPr>
              <w:t>s</w:t>
            </w:r>
            <w:r w:rsidRPr="00A52C0B">
              <w:rPr>
                <w:color w:val="000000"/>
                <w:sz w:val="18"/>
                <w:szCs w:val="18"/>
                <w:lang w:val="fr-CA" w:eastAsia="es-419"/>
              </w:rPr>
              <w:t>. Promulgation de mesures réglementaires supplémentaires dans le secteur de l’entretien de l’équipement de réfrigération selon le pays.</w:t>
            </w:r>
          </w:p>
        </w:tc>
        <w:tc>
          <w:tcPr>
            <w:tcW w:w="5265" w:type="dxa"/>
            <w:tcBorders>
              <w:top w:val="nil"/>
              <w:left w:val="nil"/>
              <w:bottom w:val="single" w:sz="4" w:space="0" w:color="auto"/>
              <w:right w:val="single" w:sz="4" w:space="0" w:color="auto"/>
            </w:tcBorders>
            <w:shd w:val="clear" w:color="auto" w:fill="auto"/>
            <w:tcMar>
              <w:top w:w="29" w:type="dxa"/>
              <w:bottom w:w="29" w:type="dxa"/>
            </w:tcMar>
            <w:hideMark/>
          </w:tcPr>
          <w:p w14:paraId="2826B033" w14:textId="6DF22106" w:rsidR="005A5A1E" w:rsidRPr="00A52C0B" w:rsidRDefault="0085762A" w:rsidP="005A5A1E">
            <w:pPr>
              <w:jc w:val="left"/>
              <w:rPr>
                <w:color w:val="000000"/>
                <w:sz w:val="18"/>
                <w:szCs w:val="18"/>
                <w:lang w:val="fr-CA" w:eastAsia="es-419"/>
              </w:rPr>
            </w:pPr>
            <w:r w:rsidRPr="00A52C0B">
              <w:rPr>
                <w:color w:val="000000"/>
                <w:sz w:val="18"/>
                <w:szCs w:val="18"/>
                <w:lang w:val="fr-CA" w:eastAsia="es-419"/>
              </w:rPr>
              <w:t xml:space="preserve">Dans la plupart des pays, les règlements </w:t>
            </w:r>
            <w:r w:rsidR="007253CC" w:rsidRPr="00A52C0B">
              <w:rPr>
                <w:color w:val="000000"/>
                <w:sz w:val="18"/>
                <w:szCs w:val="18"/>
                <w:lang w:val="fr-CA" w:eastAsia="es-419"/>
              </w:rPr>
              <w:t xml:space="preserve">de </w:t>
            </w:r>
            <w:r w:rsidRPr="00A52C0B">
              <w:rPr>
                <w:color w:val="000000"/>
                <w:sz w:val="18"/>
                <w:szCs w:val="18"/>
                <w:lang w:val="fr-CA" w:eastAsia="es-419"/>
              </w:rPr>
              <w:t>base en vigueur ne couvrent que les HCFC (comme le système d’octroi de permis et de quotas et les interdictions frappant l’équipement contenant des HCFC</w:t>
            </w:r>
            <w:r w:rsidR="007253CC" w:rsidRPr="00A52C0B">
              <w:rPr>
                <w:color w:val="000000"/>
                <w:sz w:val="18"/>
                <w:szCs w:val="18"/>
                <w:lang w:val="fr-CA" w:eastAsia="es-419"/>
              </w:rPr>
              <w:t>)</w:t>
            </w:r>
            <w:r w:rsidRPr="00A52C0B">
              <w:rPr>
                <w:color w:val="000000"/>
                <w:sz w:val="18"/>
                <w:szCs w:val="18"/>
                <w:lang w:val="fr-CA" w:eastAsia="es-419"/>
              </w:rPr>
              <w:t>. Il faudra poursuivre les efforts en vue de recenser l</w:t>
            </w:r>
            <w:r w:rsidR="007253CC" w:rsidRPr="00A52C0B">
              <w:rPr>
                <w:color w:val="000000"/>
                <w:sz w:val="18"/>
                <w:szCs w:val="18"/>
                <w:lang w:val="fr-CA" w:eastAsia="es-419"/>
              </w:rPr>
              <w:t xml:space="preserve">es </w:t>
            </w:r>
            <w:r w:rsidRPr="00A52C0B">
              <w:rPr>
                <w:color w:val="000000"/>
                <w:sz w:val="18"/>
                <w:szCs w:val="18"/>
                <w:lang w:val="fr-CA" w:eastAsia="es-419"/>
              </w:rPr>
              <w:t>importateur</w:t>
            </w:r>
            <w:r w:rsidR="007253CC" w:rsidRPr="00A52C0B">
              <w:rPr>
                <w:color w:val="000000"/>
                <w:sz w:val="18"/>
                <w:szCs w:val="18"/>
                <w:lang w:val="fr-CA" w:eastAsia="es-419"/>
              </w:rPr>
              <w:t>s</w:t>
            </w:r>
            <w:r w:rsidRPr="00A52C0B">
              <w:rPr>
                <w:color w:val="000000"/>
                <w:sz w:val="18"/>
                <w:szCs w:val="18"/>
                <w:lang w:val="fr-CA" w:eastAsia="es-419"/>
              </w:rPr>
              <w:t>/distributeur</w:t>
            </w:r>
            <w:r w:rsidR="007253CC" w:rsidRPr="00A52C0B">
              <w:rPr>
                <w:color w:val="000000"/>
                <w:sz w:val="18"/>
                <w:szCs w:val="18"/>
                <w:lang w:val="fr-CA" w:eastAsia="es-419"/>
              </w:rPr>
              <w:t>s/</w:t>
            </w:r>
            <w:r w:rsidRPr="00A52C0B">
              <w:rPr>
                <w:color w:val="000000"/>
                <w:sz w:val="18"/>
                <w:szCs w:val="18"/>
                <w:lang w:val="fr-CA" w:eastAsia="es-419"/>
              </w:rPr>
              <w:t xml:space="preserve">utilisateurs de HCFC supplémentaires, de commencer </w:t>
            </w:r>
            <w:r w:rsidR="007253CC" w:rsidRPr="00A52C0B">
              <w:rPr>
                <w:color w:val="000000"/>
                <w:sz w:val="18"/>
                <w:szCs w:val="18"/>
                <w:lang w:val="fr-CA" w:eastAsia="es-419"/>
              </w:rPr>
              <w:t xml:space="preserve">à </w:t>
            </w:r>
            <w:r w:rsidRPr="00A52C0B">
              <w:rPr>
                <w:color w:val="000000"/>
                <w:sz w:val="18"/>
                <w:szCs w:val="18"/>
                <w:lang w:val="fr-CA" w:eastAsia="es-419"/>
              </w:rPr>
              <w:t>consigner de manière systématique les données et d’assurer la mise en place d’un cadre réglementaire couvrant également les HFC.</w:t>
            </w:r>
          </w:p>
        </w:tc>
      </w:tr>
      <w:tr w:rsidR="005A5A1E" w:rsidRPr="00AA6F65" w14:paraId="208FEC22" w14:textId="77777777" w:rsidTr="005A5A1E">
        <w:tc>
          <w:tcPr>
            <w:tcW w:w="1980" w:type="dxa"/>
            <w:tcBorders>
              <w:top w:val="nil"/>
              <w:left w:val="single" w:sz="4" w:space="0" w:color="auto"/>
              <w:bottom w:val="single" w:sz="4" w:space="0" w:color="auto"/>
              <w:right w:val="single" w:sz="4" w:space="0" w:color="auto"/>
            </w:tcBorders>
            <w:shd w:val="clear" w:color="auto" w:fill="auto"/>
            <w:noWrap/>
            <w:tcMar>
              <w:top w:w="29" w:type="dxa"/>
              <w:bottom w:w="29" w:type="dxa"/>
            </w:tcMar>
            <w:hideMark/>
          </w:tcPr>
          <w:p w14:paraId="5F01B251" w14:textId="7CE9CDA6" w:rsidR="005A5A1E" w:rsidRPr="00A52C0B" w:rsidRDefault="0085762A" w:rsidP="005A5A1E">
            <w:pPr>
              <w:jc w:val="left"/>
              <w:rPr>
                <w:color w:val="000000"/>
                <w:sz w:val="18"/>
                <w:szCs w:val="18"/>
                <w:lang w:val="fr-CA" w:eastAsia="es-419"/>
              </w:rPr>
            </w:pPr>
            <w:r w:rsidRPr="00A52C0B">
              <w:rPr>
                <w:color w:val="000000"/>
                <w:sz w:val="18"/>
                <w:szCs w:val="18"/>
                <w:lang w:val="fr-CA" w:eastAsia="es-419"/>
              </w:rPr>
              <w:t xml:space="preserve">Formation des agents des douanes et prévention du commerce illicite des HFC </w:t>
            </w:r>
          </w:p>
        </w:tc>
        <w:tc>
          <w:tcPr>
            <w:tcW w:w="1800" w:type="dxa"/>
            <w:tcBorders>
              <w:top w:val="nil"/>
              <w:left w:val="nil"/>
              <w:bottom w:val="single" w:sz="4" w:space="0" w:color="auto"/>
              <w:right w:val="single" w:sz="4" w:space="0" w:color="auto"/>
            </w:tcBorders>
            <w:shd w:val="clear" w:color="auto" w:fill="auto"/>
            <w:tcMar>
              <w:top w:w="29" w:type="dxa"/>
              <w:bottom w:w="29" w:type="dxa"/>
            </w:tcMar>
            <w:hideMark/>
          </w:tcPr>
          <w:p w14:paraId="5F22B799" w14:textId="33FFAB79" w:rsidR="005A5A1E" w:rsidRPr="00A52C0B" w:rsidRDefault="0085762A" w:rsidP="005A5A1E">
            <w:pPr>
              <w:jc w:val="left"/>
              <w:rPr>
                <w:color w:val="000000"/>
                <w:sz w:val="18"/>
                <w:szCs w:val="18"/>
                <w:lang w:val="fr-CA" w:eastAsia="es-419"/>
              </w:rPr>
            </w:pPr>
            <w:r w:rsidRPr="00A52C0B">
              <w:rPr>
                <w:color w:val="000000"/>
                <w:sz w:val="18"/>
                <w:szCs w:val="18"/>
                <w:lang w:val="fr-CA" w:eastAsia="es-419"/>
              </w:rPr>
              <w:t>Service</w:t>
            </w:r>
            <w:r w:rsidR="001F2B05" w:rsidRPr="00A52C0B">
              <w:rPr>
                <w:color w:val="000000"/>
                <w:sz w:val="18"/>
                <w:szCs w:val="18"/>
                <w:lang w:val="fr-CA" w:eastAsia="es-419"/>
              </w:rPr>
              <w:t>s</w:t>
            </w:r>
            <w:r w:rsidRPr="00A52C0B">
              <w:rPr>
                <w:color w:val="000000"/>
                <w:sz w:val="18"/>
                <w:szCs w:val="18"/>
                <w:lang w:val="fr-CA" w:eastAsia="es-419"/>
              </w:rPr>
              <w:t xml:space="preserve"> des douanes, agents des douanes, agents d’exécution de la loi d’autres services gouvernementaux</w:t>
            </w:r>
            <w:r w:rsidR="001F2B05" w:rsidRPr="00A52C0B">
              <w:rPr>
                <w:color w:val="000000"/>
                <w:sz w:val="18"/>
                <w:szCs w:val="18"/>
                <w:lang w:val="fr-CA" w:eastAsia="es-419"/>
              </w:rPr>
              <w:t>,</w:t>
            </w:r>
            <w:r w:rsidRPr="00A52C0B">
              <w:rPr>
                <w:color w:val="000000"/>
                <w:sz w:val="18"/>
                <w:szCs w:val="18"/>
                <w:lang w:val="fr-CA" w:eastAsia="es-419"/>
              </w:rPr>
              <w:t xml:space="preserve"> importateurs </w:t>
            </w:r>
          </w:p>
        </w:tc>
        <w:tc>
          <w:tcPr>
            <w:tcW w:w="5265" w:type="dxa"/>
            <w:tcBorders>
              <w:top w:val="nil"/>
              <w:left w:val="nil"/>
              <w:bottom w:val="single" w:sz="4" w:space="0" w:color="auto"/>
              <w:right w:val="single" w:sz="4" w:space="0" w:color="auto"/>
            </w:tcBorders>
            <w:shd w:val="clear" w:color="auto" w:fill="auto"/>
            <w:tcMar>
              <w:top w:w="29" w:type="dxa"/>
              <w:bottom w:w="29" w:type="dxa"/>
            </w:tcMar>
            <w:hideMark/>
          </w:tcPr>
          <w:p w14:paraId="51EA512E" w14:textId="33AA0BBE" w:rsidR="005A5A1E" w:rsidRPr="00A52C0B" w:rsidRDefault="0085762A" w:rsidP="009152D9">
            <w:pPr>
              <w:jc w:val="left"/>
              <w:rPr>
                <w:color w:val="000000"/>
                <w:sz w:val="18"/>
                <w:szCs w:val="18"/>
                <w:lang w:val="fr-CA" w:eastAsia="es-419"/>
              </w:rPr>
            </w:pPr>
            <w:r w:rsidRPr="00A52C0B">
              <w:rPr>
                <w:color w:val="000000"/>
                <w:sz w:val="18"/>
                <w:szCs w:val="18"/>
                <w:lang w:val="fr-CA" w:eastAsia="es-419"/>
              </w:rPr>
              <w:t xml:space="preserve">Formation régulière à l’intention des douanes sur le contrôle des HCFC. Renforcement des services des douanes par de l’équipement (identificateurs), ces identificateurs pouvant </w:t>
            </w:r>
            <w:r w:rsidR="00880166" w:rsidRPr="00A52C0B">
              <w:rPr>
                <w:color w:val="000000"/>
                <w:sz w:val="18"/>
                <w:szCs w:val="18"/>
                <w:lang w:val="fr-CA" w:eastAsia="es-419"/>
              </w:rPr>
              <w:t>également être utilisé</w:t>
            </w:r>
            <w:r w:rsidR="004E3CCB" w:rsidRPr="00A52C0B">
              <w:rPr>
                <w:color w:val="000000"/>
                <w:sz w:val="18"/>
                <w:szCs w:val="18"/>
                <w:lang w:val="fr-CA" w:eastAsia="es-419"/>
              </w:rPr>
              <w:t>s</w:t>
            </w:r>
            <w:r w:rsidR="00880166" w:rsidRPr="00A52C0B">
              <w:rPr>
                <w:color w:val="000000"/>
                <w:sz w:val="18"/>
                <w:szCs w:val="18"/>
                <w:lang w:val="fr-CA" w:eastAsia="es-419"/>
              </w:rPr>
              <w:t xml:space="preserve"> avec la plupart des HFC courant</w:t>
            </w:r>
            <w:r w:rsidR="004E3CCB" w:rsidRPr="00A52C0B">
              <w:rPr>
                <w:color w:val="000000"/>
                <w:sz w:val="18"/>
                <w:szCs w:val="18"/>
                <w:lang w:val="fr-CA" w:eastAsia="es-419"/>
              </w:rPr>
              <w:t>s</w:t>
            </w:r>
            <w:r w:rsidR="00880166" w:rsidRPr="00A52C0B">
              <w:rPr>
                <w:color w:val="000000"/>
                <w:sz w:val="18"/>
                <w:szCs w:val="18"/>
                <w:lang w:val="fr-CA" w:eastAsia="es-419"/>
              </w:rPr>
              <w:t>. Intégration du contenu de la formation sur le contrôle des HCFC dans le programme de formation des services des douanes. Création d’une capacité au sein des services des douanes en vue de continuer à dispenser une formation sur les HCFC dans le cadre de leur programme de formation régulier offert</w:t>
            </w:r>
            <w:r w:rsidR="001F2B05" w:rsidRPr="00A52C0B">
              <w:rPr>
                <w:color w:val="000000"/>
                <w:sz w:val="18"/>
                <w:szCs w:val="18"/>
                <w:lang w:val="fr-CA" w:eastAsia="es-419"/>
              </w:rPr>
              <w:t xml:space="preserve"> </w:t>
            </w:r>
            <w:r w:rsidR="00880166" w:rsidRPr="00A52C0B">
              <w:rPr>
                <w:color w:val="000000"/>
                <w:sz w:val="18"/>
                <w:szCs w:val="18"/>
                <w:lang w:val="fr-CA" w:eastAsia="es-419"/>
              </w:rPr>
              <w:t xml:space="preserve">aux agents. Cette formation </w:t>
            </w:r>
            <w:r w:rsidR="001F2B05" w:rsidRPr="00A52C0B">
              <w:rPr>
                <w:color w:val="000000"/>
                <w:sz w:val="18"/>
                <w:szCs w:val="18"/>
                <w:lang w:val="fr-CA" w:eastAsia="es-419"/>
              </w:rPr>
              <w:t>n’</w:t>
            </w:r>
            <w:r w:rsidR="00880166" w:rsidRPr="00A52C0B">
              <w:rPr>
                <w:color w:val="000000"/>
                <w:sz w:val="18"/>
                <w:szCs w:val="18"/>
                <w:lang w:val="fr-CA" w:eastAsia="es-419"/>
              </w:rPr>
              <w:t xml:space="preserve">englobe pas encore le contrôle des HFC, car </w:t>
            </w:r>
            <w:r w:rsidR="009152D9">
              <w:rPr>
                <w:color w:val="000000"/>
                <w:sz w:val="18"/>
                <w:szCs w:val="18"/>
                <w:lang w:val="fr-CA" w:eastAsia="es-419"/>
              </w:rPr>
              <w:t>cette activité</w:t>
            </w:r>
            <w:r w:rsidR="00880166" w:rsidRPr="00A52C0B">
              <w:rPr>
                <w:color w:val="000000"/>
                <w:sz w:val="18"/>
                <w:szCs w:val="18"/>
                <w:lang w:val="fr-CA" w:eastAsia="es-419"/>
              </w:rPr>
              <w:t xml:space="preserve"> n’était pas prévu</w:t>
            </w:r>
            <w:r w:rsidR="009152D9">
              <w:rPr>
                <w:color w:val="000000"/>
                <w:sz w:val="18"/>
                <w:szCs w:val="18"/>
                <w:lang w:val="fr-CA" w:eastAsia="es-419"/>
              </w:rPr>
              <w:t>e</w:t>
            </w:r>
            <w:r w:rsidR="00880166" w:rsidRPr="00A52C0B">
              <w:rPr>
                <w:color w:val="000000"/>
                <w:sz w:val="18"/>
                <w:szCs w:val="18"/>
                <w:lang w:val="fr-CA" w:eastAsia="es-419"/>
              </w:rPr>
              <w:t xml:space="preserve"> en vertu du Protocole de Montréal. </w:t>
            </w:r>
          </w:p>
        </w:tc>
        <w:tc>
          <w:tcPr>
            <w:tcW w:w="5265" w:type="dxa"/>
            <w:tcBorders>
              <w:top w:val="nil"/>
              <w:left w:val="nil"/>
              <w:bottom w:val="single" w:sz="4" w:space="0" w:color="auto"/>
              <w:right w:val="single" w:sz="4" w:space="0" w:color="auto"/>
            </w:tcBorders>
            <w:shd w:val="clear" w:color="auto" w:fill="auto"/>
            <w:tcMar>
              <w:top w:w="29" w:type="dxa"/>
              <w:bottom w:w="29" w:type="dxa"/>
            </w:tcMar>
            <w:hideMark/>
          </w:tcPr>
          <w:p w14:paraId="2539416E" w14:textId="5B3DE0A8" w:rsidR="005A5A1E" w:rsidRPr="00A52C0B" w:rsidRDefault="00CD608D" w:rsidP="005A5A1E">
            <w:pPr>
              <w:jc w:val="left"/>
              <w:rPr>
                <w:color w:val="000000"/>
                <w:sz w:val="18"/>
                <w:szCs w:val="18"/>
                <w:lang w:val="fr-CA" w:eastAsia="es-419"/>
              </w:rPr>
            </w:pPr>
            <w:r w:rsidRPr="00A52C0B">
              <w:rPr>
                <w:color w:val="000000"/>
                <w:sz w:val="18"/>
                <w:szCs w:val="18"/>
                <w:lang w:val="fr-CA" w:eastAsia="es-419"/>
              </w:rPr>
              <w:t>Il convie</w:t>
            </w:r>
            <w:r w:rsidR="001F2B05" w:rsidRPr="00A52C0B">
              <w:rPr>
                <w:color w:val="000000"/>
                <w:sz w:val="18"/>
                <w:szCs w:val="18"/>
                <w:lang w:val="fr-CA" w:eastAsia="es-419"/>
              </w:rPr>
              <w:t>nt</w:t>
            </w:r>
            <w:r w:rsidRPr="00A52C0B">
              <w:rPr>
                <w:color w:val="000000"/>
                <w:sz w:val="18"/>
                <w:szCs w:val="18"/>
                <w:lang w:val="fr-CA" w:eastAsia="es-419"/>
              </w:rPr>
              <w:t xml:space="preserve"> d’intégrer la question de </w:t>
            </w:r>
            <w:r w:rsidR="001F2B05" w:rsidRPr="00A52C0B">
              <w:rPr>
                <w:color w:val="000000"/>
                <w:sz w:val="18"/>
                <w:szCs w:val="18"/>
                <w:lang w:val="fr-CA" w:eastAsia="es-419"/>
              </w:rPr>
              <w:t xml:space="preserve">la </w:t>
            </w:r>
            <w:r w:rsidRPr="00A52C0B">
              <w:rPr>
                <w:color w:val="000000"/>
                <w:sz w:val="18"/>
                <w:szCs w:val="18"/>
                <w:lang w:val="fr-CA" w:eastAsia="es-419"/>
              </w:rPr>
              <w:t>réduction progressive des HFC dans la formation actuellement offerte au</w:t>
            </w:r>
            <w:r w:rsidR="001F2B05" w:rsidRPr="00A52C0B">
              <w:rPr>
                <w:color w:val="000000"/>
                <w:sz w:val="18"/>
                <w:szCs w:val="18"/>
                <w:lang w:val="fr-CA" w:eastAsia="es-419"/>
              </w:rPr>
              <w:t>x</w:t>
            </w:r>
            <w:r w:rsidRPr="00A52C0B">
              <w:rPr>
                <w:color w:val="000000"/>
                <w:sz w:val="18"/>
                <w:szCs w:val="18"/>
                <w:lang w:val="fr-CA" w:eastAsia="es-419"/>
              </w:rPr>
              <w:t xml:space="preserve"> service</w:t>
            </w:r>
            <w:r w:rsidR="001F2B05" w:rsidRPr="00A52C0B">
              <w:rPr>
                <w:color w:val="000000"/>
                <w:sz w:val="18"/>
                <w:szCs w:val="18"/>
                <w:lang w:val="fr-CA" w:eastAsia="es-419"/>
              </w:rPr>
              <w:t>s</w:t>
            </w:r>
            <w:r w:rsidRPr="00A52C0B">
              <w:rPr>
                <w:color w:val="000000"/>
                <w:sz w:val="18"/>
                <w:szCs w:val="18"/>
                <w:lang w:val="fr-CA" w:eastAsia="es-419"/>
              </w:rPr>
              <w:t xml:space="preserve"> des douanes et aux agents d’exécution de la loi. Il faudra ajouter une formation sur les substances renfermant des HFC (purs et mélanges), les moyens de contrôler les importations/exportations (y</w:t>
            </w:r>
            <w:r w:rsidR="001F2B05" w:rsidRPr="00A52C0B">
              <w:rPr>
                <w:color w:val="000000"/>
                <w:sz w:val="18"/>
                <w:szCs w:val="18"/>
                <w:lang w:val="fr-CA" w:eastAsia="es-419"/>
              </w:rPr>
              <w:t> </w:t>
            </w:r>
            <w:r w:rsidRPr="00A52C0B">
              <w:rPr>
                <w:color w:val="000000"/>
                <w:sz w:val="18"/>
                <w:szCs w:val="18"/>
                <w:lang w:val="fr-CA" w:eastAsia="es-419"/>
              </w:rPr>
              <w:t>compris les</w:t>
            </w:r>
            <w:r w:rsidR="004E3CCB" w:rsidRPr="00A52C0B">
              <w:rPr>
                <w:color w:val="000000"/>
                <w:sz w:val="18"/>
                <w:szCs w:val="18"/>
                <w:lang w:val="fr-CA" w:eastAsia="es-419"/>
              </w:rPr>
              <w:t xml:space="preserve"> codes </w:t>
            </w:r>
            <w:r w:rsidRPr="00A52C0B">
              <w:rPr>
                <w:color w:val="000000"/>
                <w:sz w:val="18"/>
                <w:szCs w:val="18"/>
                <w:lang w:val="fr-CA" w:eastAsia="es-419"/>
              </w:rPr>
              <w:t>du système harmonisé) et les moyens de mesurer la consommation/conformité en équivalent</w:t>
            </w:r>
            <w:r w:rsidR="001F2B05" w:rsidRPr="00A52C0B">
              <w:rPr>
                <w:color w:val="000000"/>
                <w:sz w:val="18"/>
                <w:szCs w:val="18"/>
                <w:lang w:val="fr-CA" w:eastAsia="es-419"/>
              </w:rPr>
              <w:t> </w:t>
            </w:r>
            <w:r w:rsidRPr="00A52C0B">
              <w:rPr>
                <w:color w:val="000000"/>
                <w:sz w:val="18"/>
                <w:szCs w:val="18"/>
                <w:lang w:val="fr-CA" w:eastAsia="es-419"/>
              </w:rPr>
              <w:t>CO</w:t>
            </w:r>
            <w:r w:rsidRPr="00A52C0B">
              <w:rPr>
                <w:color w:val="000000"/>
                <w:sz w:val="18"/>
                <w:szCs w:val="18"/>
                <w:vertAlign w:val="subscript"/>
                <w:lang w:val="fr-CA" w:eastAsia="es-419"/>
              </w:rPr>
              <w:t>2</w:t>
            </w:r>
            <w:r w:rsidRPr="00A52C0B">
              <w:rPr>
                <w:color w:val="000000"/>
                <w:sz w:val="18"/>
                <w:szCs w:val="18"/>
                <w:lang w:val="fr-CA" w:eastAsia="es-419"/>
              </w:rPr>
              <w:t>. De</w:t>
            </w:r>
            <w:r w:rsidR="00C413E4" w:rsidRPr="00A52C0B">
              <w:rPr>
                <w:color w:val="000000"/>
                <w:sz w:val="18"/>
                <w:szCs w:val="18"/>
                <w:lang w:val="fr-CA" w:eastAsia="es-419"/>
              </w:rPr>
              <w:t>s</w:t>
            </w:r>
            <w:r w:rsidRPr="00A52C0B">
              <w:rPr>
                <w:color w:val="000000"/>
                <w:sz w:val="18"/>
                <w:szCs w:val="18"/>
                <w:lang w:val="fr-CA" w:eastAsia="es-419"/>
              </w:rPr>
              <w:t xml:space="preserve"> mise</w:t>
            </w:r>
            <w:r w:rsidR="004E3CCB" w:rsidRPr="00A52C0B">
              <w:rPr>
                <w:color w:val="000000"/>
                <w:sz w:val="18"/>
                <w:szCs w:val="18"/>
                <w:lang w:val="fr-CA" w:eastAsia="es-419"/>
              </w:rPr>
              <w:t>s</w:t>
            </w:r>
            <w:r w:rsidRPr="00A52C0B">
              <w:rPr>
                <w:color w:val="000000"/>
                <w:sz w:val="18"/>
                <w:szCs w:val="18"/>
                <w:lang w:val="fr-CA" w:eastAsia="es-419"/>
              </w:rPr>
              <w:t xml:space="preserve"> à jour périodique</w:t>
            </w:r>
            <w:r w:rsidR="004E3CCB" w:rsidRPr="00A52C0B">
              <w:rPr>
                <w:color w:val="000000"/>
                <w:sz w:val="18"/>
                <w:szCs w:val="18"/>
                <w:lang w:val="fr-CA" w:eastAsia="es-419"/>
              </w:rPr>
              <w:t>s</w:t>
            </w:r>
            <w:r w:rsidRPr="00A52C0B">
              <w:rPr>
                <w:color w:val="000000"/>
                <w:sz w:val="18"/>
                <w:szCs w:val="18"/>
                <w:lang w:val="fr-CA" w:eastAsia="es-419"/>
              </w:rPr>
              <w:t xml:space="preserve"> des formations sont également nécessaires </w:t>
            </w:r>
            <w:r w:rsidR="00723464" w:rsidRPr="00A52C0B">
              <w:rPr>
                <w:color w:val="000000"/>
                <w:sz w:val="18"/>
                <w:szCs w:val="18"/>
                <w:lang w:val="fr-CA" w:eastAsia="es-419"/>
              </w:rPr>
              <w:t xml:space="preserve">en raison de la forte rotation du personnel des services des douanes. Cette formation supplémentaire peut profiter des partenariats déjà instaurés avec les institutions concernées, et des connaissances </w:t>
            </w:r>
            <w:r w:rsidR="00C413E4" w:rsidRPr="00A52C0B">
              <w:rPr>
                <w:color w:val="000000"/>
                <w:sz w:val="18"/>
                <w:szCs w:val="18"/>
                <w:lang w:val="fr-CA" w:eastAsia="es-419"/>
              </w:rPr>
              <w:t xml:space="preserve">acquises </w:t>
            </w:r>
            <w:r w:rsidR="00723464" w:rsidRPr="00A52C0B">
              <w:rPr>
                <w:color w:val="000000"/>
                <w:sz w:val="18"/>
                <w:szCs w:val="18"/>
                <w:lang w:val="fr-CA" w:eastAsia="es-419"/>
              </w:rPr>
              <w:t xml:space="preserve">et de l’infrastructure </w:t>
            </w:r>
            <w:r w:rsidR="00C413E4" w:rsidRPr="00A52C0B">
              <w:rPr>
                <w:color w:val="000000"/>
                <w:sz w:val="18"/>
                <w:szCs w:val="18"/>
                <w:lang w:val="fr-CA" w:eastAsia="es-419"/>
              </w:rPr>
              <w:t>établie par le</w:t>
            </w:r>
            <w:r w:rsidR="00723464" w:rsidRPr="00A52C0B">
              <w:rPr>
                <w:color w:val="000000"/>
                <w:sz w:val="18"/>
                <w:szCs w:val="18"/>
                <w:lang w:val="fr-CA" w:eastAsia="es-419"/>
              </w:rPr>
              <w:t xml:space="preserve"> Protocole de Montréal dans le cadre de l’élimination des CFC et des HCFC.</w:t>
            </w:r>
          </w:p>
        </w:tc>
      </w:tr>
      <w:tr w:rsidR="005A5A1E" w:rsidRPr="00AA6F65" w14:paraId="21B9E5FD" w14:textId="77777777" w:rsidTr="005A5A1E">
        <w:tc>
          <w:tcPr>
            <w:tcW w:w="1980" w:type="dxa"/>
            <w:tcBorders>
              <w:top w:val="nil"/>
              <w:left w:val="single" w:sz="4" w:space="0" w:color="auto"/>
              <w:bottom w:val="single" w:sz="4" w:space="0" w:color="auto"/>
              <w:right w:val="single" w:sz="4" w:space="0" w:color="auto"/>
            </w:tcBorders>
            <w:shd w:val="clear" w:color="auto" w:fill="auto"/>
            <w:noWrap/>
            <w:tcMar>
              <w:top w:w="29" w:type="dxa"/>
              <w:bottom w:w="29" w:type="dxa"/>
            </w:tcMar>
            <w:hideMark/>
          </w:tcPr>
          <w:p w14:paraId="4C629FA7" w14:textId="0D90EE75" w:rsidR="005A5A1E" w:rsidRPr="00A52C0B" w:rsidRDefault="00723464" w:rsidP="001C547F">
            <w:pPr>
              <w:widowControl w:val="0"/>
              <w:jc w:val="left"/>
              <w:rPr>
                <w:color w:val="000000"/>
                <w:sz w:val="18"/>
                <w:szCs w:val="18"/>
                <w:lang w:val="fr-CA" w:eastAsia="es-419"/>
              </w:rPr>
            </w:pPr>
            <w:r w:rsidRPr="00A52C0B">
              <w:rPr>
                <w:color w:val="000000"/>
                <w:sz w:val="18"/>
                <w:szCs w:val="18"/>
                <w:lang w:val="fr-CA" w:eastAsia="es-419"/>
              </w:rPr>
              <w:t xml:space="preserve">Formation des techniciens sur la manipulation </w:t>
            </w:r>
            <w:r w:rsidR="001C547F">
              <w:rPr>
                <w:color w:val="000000"/>
                <w:sz w:val="18"/>
                <w:szCs w:val="18"/>
                <w:lang w:val="fr-CA" w:eastAsia="es-419"/>
              </w:rPr>
              <w:t>sécuritaire</w:t>
            </w:r>
            <w:r w:rsidRPr="00A52C0B">
              <w:rPr>
                <w:color w:val="000000"/>
                <w:sz w:val="18"/>
                <w:szCs w:val="18"/>
                <w:lang w:val="fr-CA" w:eastAsia="es-419"/>
              </w:rPr>
              <w:t xml:space="preserve">, les pratiques exemplaires et la sécurité </w:t>
            </w:r>
            <w:r w:rsidR="001C547F">
              <w:rPr>
                <w:color w:val="000000"/>
                <w:sz w:val="18"/>
                <w:szCs w:val="18"/>
                <w:lang w:val="fr-CA" w:eastAsia="es-419"/>
              </w:rPr>
              <w:t>en rapport avec les</w:t>
            </w:r>
            <w:r w:rsidRPr="00A52C0B">
              <w:rPr>
                <w:color w:val="000000"/>
                <w:sz w:val="18"/>
                <w:szCs w:val="18"/>
                <w:lang w:val="fr-CA" w:eastAsia="es-419"/>
              </w:rPr>
              <w:t xml:space="preserve"> solutions de remplacement, y</w:t>
            </w:r>
            <w:r w:rsidR="00C413E4" w:rsidRPr="00A52C0B">
              <w:rPr>
                <w:color w:val="000000"/>
                <w:sz w:val="18"/>
                <w:szCs w:val="18"/>
                <w:lang w:val="fr-CA" w:eastAsia="es-419"/>
              </w:rPr>
              <w:t> </w:t>
            </w:r>
            <w:r w:rsidRPr="00A52C0B">
              <w:rPr>
                <w:color w:val="000000"/>
                <w:sz w:val="18"/>
                <w:szCs w:val="18"/>
                <w:lang w:val="fr-CA" w:eastAsia="es-419"/>
              </w:rPr>
              <w:t xml:space="preserve">compris l’équipement de formation </w:t>
            </w:r>
          </w:p>
        </w:tc>
        <w:tc>
          <w:tcPr>
            <w:tcW w:w="1800" w:type="dxa"/>
            <w:tcBorders>
              <w:top w:val="nil"/>
              <w:left w:val="nil"/>
              <w:bottom w:val="single" w:sz="4" w:space="0" w:color="auto"/>
              <w:right w:val="single" w:sz="4" w:space="0" w:color="auto"/>
            </w:tcBorders>
            <w:shd w:val="clear" w:color="auto" w:fill="auto"/>
            <w:tcMar>
              <w:top w:w="29" w:type="dxa"/>
              <w:bottom w:w="29" w:type="dxa"/>
            </w:tcMar>
            <w:hideMark/>
          </w:tcPr>
          <w:p w14:paraId="7E93B88F" w14:textId="1BB3B38B" w:rsidR="005A5A1E" w:rsidRPr="00A52C0B" w:rsidRDefault="00723464" w:rsidP="005A5A1E">
            <w:pPr>
              <w:widowControl w:val="0"/>
              <w:jc w:val="left"/>
              <w:rPr>
                <w:color w:val="000000"/>
                <w:sz w:val="18"/>
                <w:szCs w:val="18"/>
                <w:lang w:val="fr-CA" w:eastAsia="es-419"/>
              </w:rPr>
            </w:pPr>
            <w:r w:rsidRPr="00A52C0B">
              <w:rPr>
                <w:color w:val="000000"/>
                <w:sz w:val="18"/>
                <w:szCs w:val="18"/>
                <w:lang w:val="fr-CA" w:eastAsia="es-419"/>
              </w:rPr>
              <w:t>Techniciens, instituts techniques, associations de réfrigération</w:t>
            </w:r>
          </w:p>
        </w:tc>
        <w:tc>
          <w:tcPr>
            <w:tcW w:w="5265" w:type="dxa"/>
            <w:tcBorders>
              <w:top w:val="nil"/>
              <w:left w:val="nil"/>
              <w:bottom w:val="single" w:sz="4" w:space="0" w:color="auto"/>
              <w:right w:val="single" w:sz="4" w:space="0" w:color="auto"/>
            </w:tcBorders>
            <w:shd w:val="clear" w:color="auto" w:fill="auto"/>
            <w:tcMar>
              <w:top w:w="29" w:type="dxa"/>
              <w:bottom w:w="29" w:type="dxa"/>
            </w:tcMar>
            <w:hideMark/>
          </w:tcPr>
          <w:p w14:paraId="041C3F90" w14:textId="13E58453" w:rsidR="005A5A1E" w:rsidRPr="00A52C0B" w:rsidRDefault="00723464" w:rsidP="005A5A1E">
            <w:pPr>
              <w:widowControl w:val="0"/>
              <w:jc w:val="left"/>
              <w:rPr>
                <w:color w:val="000000"/>
                <w:sz w:val="18"/>
                <w:szCs w:val="18"/>
                <w:lang w:val="fr-CA" w:eastAsia="es-419"/>
              </w:rPr>
            </w:pPr>
            <w:r w:rsidRPr="00A52C0B">
              <w:rPr>
                <w:color w:val="000000"/>
                <w:sz w:val="18"/>
                <w:szCs w:val="18"/>
                <w:lang w:val="fr-CA" w:eastAsia="es-419"/>
              </w:rPr>
              <w:t xml:space="preserve">Formation multiple sur les bonnes pratiques d’entretien. </w:t>
            </w:r>
            <w:r w:rsidR="00C413E4" w:rsidRPr="00A52C0B">
              <w:rPr>
                <w:color w:val="000000"/>
                <w:sz w:val="18"/>
                <w:szCs w:val="18"/>
                <w:lang w:val="fr-CA" w:eastAsia="es-419"/>
              </w:rPr>
              <w:t xml:space="preserve">Par les </w:t>
            </w:r>
            <w:r w:rsidRPr="00A52C0B">
              <w:rPr>
                <w:color w:val="000000"/>
                <w:sz w:val="18"/>
                <w:szCs w:val="18"/>
                <w:lang w:val="fr-CA" w:eastAsia="es-419"/>
              </w:rPr>
              <w:t>PGEH, les pratiques exemplaires d’entretien ont été incluse</w:t>
            </w:r>
            <w:r w:rsidR="004E3CCB" w:rsidRPr="00A52C0B">
              <w:rPr>
                <w:color w:val="000000"/>
                <w:sz w:val="18"/>
                <w:szCs w:val="18"/>
                <w:lang w:val="fr-CA" w:eastAsia="es-419"/>
              </w:rPr>
              <w:t>s</w:t>
            </w:r>
            <w:r w:rsidRPr="00A52C0B">
              <w:rPr>
                <w:color w:val="000000"/>
                <w:sz w:val="18"/>
                <w:szCs w:val="18"/>
                <w:lang w:val="fr-CA" w:eastAsia="es-419"/>
              </w:rPr>
              <w:t xml:space="preserve"> dans le programme de formation des établissements de formation, </w:t>
            </w:r>
            <w:r w:rsidR="00C413E4" w:rsidRPr="00A52C0B">
              <w:rPr>
                <w:color w:val="000000"/>
                <w:sz w:val="18"/>
                <w:szCs w:val="18"/>
                <w:lang w:val="fr-CA" w:eastAsia="es-419"/>
              </w:rPr>
              <w:t>et ces</w:t>
            </w:r>
            <w:r w:rsidRPr="00A52C0B">
              <w:rPr>
                <w:color w:val="000000"/>
                <w:sz w:val="18"/>
                <w:szCs w:val="18"/>
                <w:lang w:val="fr-CA" w:eastAsia="es-419"/>
              </w:rPr>
              <w:t xml:space="preserve"> instituts ont été renforcés grâce à une assistance technique et à la fourniture d’équipement. De nombreux pays visés à l’article</w:t>
            </w:r>
            <w:r w:rsidR="004E3CCB" w:rsidRPr="00A52C0B">
              <w:rPr>
                <w:color w:val="000000"/>
                <w:sz w:val="18"/>
                <w:szCs w:val="18"/>
                <w:lang w:val="fr-CA" w:eastAsia="es-419"/>
              </w:rPr>
              <w:t> </w:t>
            </w:r>
            <w:r w:rsidRPr="00A52C0B">
              <w:rPr>
                <w:color w:val="000000"/>
                <w:sz w:val="18"/>
                <w:szCs w:val="18"/>
                <w:lang w:val="fr-CA" w:eastAsia="es-419"/>
              </w:rPr>
              <w:t xml:space="preserve">5 ont déjà intégré la formation sur les solutions de remplacement à faible potentiel de réchauffement global (PRG) </w:t>
            </w:r>
            <w:r w:rsidR="00F52B0E" w:rsidRPr="00A52C0B">
              <w:rPr>
                <w:color w:val="000000"/>
                <w:sz w:val="18"/>
                <w:szCs w:val="18"/>
                <w:lang w:val="fr-CA" w:eastAsia="es-419"/>
              </w:rPr>
              <w:t>dans leur</w:t>
            </w:r>
            <w:r w:rsidR="00C413E4" w:rsidRPr="00A52C0B">
              <w:rPr>
                <w:color w:val="000000"/>
                <w:sz w:val="18"/>
                <w:szCs w:val="18"/>
                <w:lang w:val="fr-CA" w:eastAsia="es-419"/>
              </w:rPr>
              <w:t>s</w:t>
            </w:r>
            <w:r w:rsidR="00F52B0E" w:rsidRPr="00A52C0B">
              <w:rPr>
                <w:color w:val="000000"/>
                <w:sz w:val="18"/>
                <w:szCs w:val="18"/>
                <w:lang w:val="fr-CA" w:eastAsia="es-419"/>
              </w:rPr>
              <w:t xml:space="preserve"> programme</w:t>
            </w:r>
            <w:r w:rsidR="00C413E4" w:rsidRPr="00A52C0B">
              <w:rPr>
                <w:color w:val="000000"/>
                <w:sz w:val="18"/>
                <w:szCs w:val="18"/>
                <w:lang w:val="fr-CA" w:eastAsia="es-419"/>
              </w:rPr>
              <w:t>s</w:t>
            </w:r>
            <w:r w:rsidR="00F52B0E" w:rsidRPr="00A52C0B">
              <w:rPr>
                <w:color w:val="000000"/>
                <w:sz w:val="18"/>
                <w:szCs w:val="18"/>
                <w:lang w:val="fr-CA" w:eastAsia="es-419"/>
              </w:rPr>
              <w:t xml:space="preserve"> de formation, y compris les pratiques sécuritaires concernant les frigorigènes inflammables et toxiques. Mais l’équipement utilisant ce</w:t>
            </w:r>
            <w:r w:rsidR="003B44BB" w:rsidRPr="00A52C0B">
              <w:rPr>
                <w:color w:val="000000"/>
                <w:sz w:val="18"/>
                <w:szCs w:val="18"/>
                <w:lang w:val="fr-CA" w:eastAsia="es-419"/>
              </w:rPr>
              <w:t>s</w:t>
            </w:r>
            <w:r w:rsidR="00F52B0E" w:rsidRPr="00A52C0B">
              <w:rPr>
                <w:color w:val="000000"/>
                <w:sz w:val="18"/>
                <w:szCs w:val="18"/>
                <w:lang w:val="fr-CA" w:eastAsia="es-419"/>
              </w:rPr>
              <w:t xml:space="preserve"> technologie</w:t>
            </w:r>
            <w:r w:rsidR="003B44BB" w:rsidRPr="00A52C0B">
              <w:rPr>
                <w:color w:val="000000"/>
                <w:sz w:val="18"/>
                <w:szCs w:val="18"/>
                <w:lang w:val="fr-CA" w:eastAsia="es-419"/>
              </w:rPr>
              <w:t>s</w:t>
            </w:r>
            <w:r w:rsidR="00F52B0E" w:rsidRPr="00A52C0B">
              <w:rPr>
                <w:color w:val="000000"/>
                <w:sz w:val="18"/>
                <w:szCs w:val="18"/>
                <w:lang w:val="fr-CA" w:eastAsia="es-419"/>
              </w:rPr>
              <w:t xml:space="preserve"> n’est pas encore largement disponible</w:t>
            </w:r>
            <w:r w:rsidR="005A5A1E" w:rsidRPr="00A52C0B">
              <w:rPr>
                <w:color w:val="000000"/>
                <w:sz w:val="18"/>
                <w:szCs w:val="18"/>
                <w:lang w:val="fr-CA" w:eastAsia="es-419"/>
              </w:rPr>
              <w:t>.</w:t>
            </w:r>
          </w:p>
        </w:tc>
        <w:tc>
          <w:tcPr>
            <w:tcW w:w="5265" w:type="dxa"/>
            <w:tcBorders>
              <w:top w:val="nil"/>
              <w:left w:val="nil"/>
              <w:bottom w:val="single" w:sz="4" w:space="0" w:color="auto"/>
              <w:right w:val="single" w:sz="4" w:space="0" w:color="auto"/>
            </w:tcBorders>
            <w:shd w:val="clear" w:color="auto" w:fill="auto"/>
            <w:tcMar>
              <w:top w:w="29" w:type="dxa"/>
              <w:bottom w:w="29" w:type="dxa"/>
            </w:tcMar>
            <w:hideMark/>
          </w:tcPr>
          <w:p w14:paraId="4ABF234C" w14:textId="32782779" w:rsidR="005A5A1E" w:rsidRPr="00A52C0B" w:rsidRDefault="00F52B0E" w:rsidP="001C547F">
            <w:pPr>
              <w:widowControl w:val="0"/>
              <w:jc w:val="left"/>
              <w:rPr>
                <w:color w:val="000000"/>
                <w:sz w:val="18"/>
                <w:szCs w:val="18"/>
                <w:lang w:val="fr-CA" w:eastAsia="es-419"/>
              </w:rPr>
            </w:pPr>
            <w:r w:rsidRPr="00A52C0B">
              <w:rPr>
                <w:color w:val="000000"/>
                <w:sz w:val="18"/>
                <w:szCs w:val="18"/>
                <w:lang w:val="fr-CA" w:eastAsia="es-419"/>
              </w:rPr>
              <w:t>Renforcement de l’infrastructure de formation par les PGEH. Une formation continue sur la manipulation des frigorigènes à faible</w:t>
            </w:r>
            <w:r w:rsidR="006F1B87" w:rsidRPr="00A52C0B">
              <w:rPr>
                <w:color w:val="000000"/>
                <w:sz w:val="18"/>
                <w:szCs w:val="18"/>
                <w:lang w:val="fr-CA" w:eastAsia="es-419"/>
              </w:rPr>
              <w:t> </w:t>
            </w:r>
            <w:r w:rsidRPr="00A52C0B">
              <w:rPr>
                <w:color w:val="000000"/>
                <w:sz w:val="18"/>
                <w:szCs w:val="18"/>
                <w:lang w:val="fr-CA" w:eastAsia="es-419"/>
              </w:rPr>
              <w:t>PRG est nécessaire, avec l’augmentation de l’équipement utilisant ces solutions de remplacement. Cette activité pourrait être complétée par un système de certification (décrit ci</w:t>
            </w:r>
            <w:r w:rsidR="00471A2B" w:rsidRPr="00A52C0B">
              <w:rPr>
                <w:color w:val="000000"/>
                <w:sz w:val="18"/>
                <w:szCs w:val="18"/>
                <w:lang w:val="fr-CA" w:eastAsia="es-419"/>
              </w:rPr>
              <w:noBreakHyphen/>
            </w:r>
            <w:r w:rsidRPr="00A52C0B">
              <w:rPr>
                <w:color w:val="000000"/>
                <w:sz w:val="18"/>
                <w:szCs w:val="18"/>
                <w:lang w:val="fr-CA" w:eastAsia="es-419"/>
              </w:rPr>
              <w:t>dessous), afin de s’assurer que les techniciens satisf</w:t>
            </w:r>
            <w:r w:rsidR="006F1B87" w:rsidRPr="00A52C0B">
              <w:rPr>
                <w:color w:val="000000"/>
                <w:sz w:val="18"/>
                <w:szCs w:val="18"/>
                <w:lang w:val="fr-CA" w:eastAsia="es-419"/>
              </w:rPr>
              <w:t xml:space="preserve">ont </w:t>
            </w:r>
            <w:r w:rsidRPr="00A52C0B">
              <w:rPr>
                <w:color w:val="000000"/>
                <w:sz w:val="18"/>
                <w:szCs w:val="18"/>
                <w:lang w:val="fr-CA" w:eastAsia="es-419"/>
              </w:rPr>
              <w:t>les exigences minimum</w:t>
            </w:r>
            <w:r w:rsidR="001C547F">
              <w:rPr>
                <w:color w:val="000000"/>
                <w:sz w:val="18"/>
                <w:szCs w:val="18"/>
                <w:lang w:val="fr-CA" w:eastAsia="es-419"/>
              </w:rPr>
              <w:t>s</w:t>
            </w:r>
            <w:r w:rsidRPr="00A52C0B">
              <w:rPr>
                <w:color w:val="000000"/>
                <w:sz w:val="18"/>
                <w:szCs w:val="18"/>
                <w:lang w:val="fr-CA" w:eastAsia="es-419"/>
              </w:rPr>
              <w:t xml:space="preserve"> en matière d’entretien de l’équipement utilisant des frigorigènes à faible</w:t>
            </w:r>
            <w:r w:rsidR="006F1B87" w:rsidRPr="00A52C0B">
              <w:rPr>
                <w:color w:val="000000"/>
                <w:sz w:val="18"/>
                <w:szCs w:val="18"/>
                <w:lang w:val="fr-CA" w:eastAsia="es-419"/>
              </w:rPr>
              <w:t> </w:t>
            </w:r>
            <w:r w:rsidRPr="00A52C0B">
              <w:rPr>
                <w:color w:val="000000"/>
                <w:sz w:val="18"/>
                <w:szCs w:val="18"/>
                <w:lang w:val="fr-CA" w:eastAsia="es-419"/>
              </w:rPr>
              <w:t>PRG. En outre, il faudrait évaluer les besoins en formation associé</w:t>
            </w:r>
            <w:r w:rsidR="006F1B87" w:rsidRPr="00A52C0B">
              <w:rPr>
                <w:color w:val="000000"/>
                <w:sz w:val="18"/>
                <w:szCs w:val="18"/>
                <w:lang w:val="fr-CA" w:eastAsia="es-419"/>
              </w:rPr>
              <w:t>s</w:t>
            </w:r>
            <w:r w:rsidRPr="00A52C0B">
              <w:rPr>
                <w:color w:val="000000"/>
                <w:sz w:val="18"/>
                <w:szCs w:val="18"/>
                <w:lang w:val="fr-CA" w:eastAsia="es-419"/>
              </w:rPr>
              <w:t xml:space="preserve"> à la climatisation mobile, si cette application n’</w:t>
            </w:r>
            <w:r w:rsidR="001C547F">
              <w:rPr>
                <w:color w:val="000000"/>
                <w:sz w:val="18"/>
                <w:szCs w:val="18"/>
                <w:lang w:val="fr-CA" w:eastAsia="es-419"/>
              </w:rPr>
              <w:t>est pas</w:t>
            </w:r>
            <w:r w:rsidRPr="00A52C0B">
              <w:rPr>
                <w:color w:val="000000"/>
                <w:sz w:val="18"/>
                <w:szCs w:val="18"/>
                <w:lang w:val="fr-CA" w:eastAsia="es-419"/>
              </w:rPr>
              <w:t xml:space="preserve"> déjà couverte par les </w:t>
            </w:r>
            <w:r w:rsidR="006F1B87" w:rsidRPr="00A52C0B">
              <w:rPr>
                <w:color w:val="000000"/>
                <w:sz w:val="18"/>
                <w:szCs w:val="18"/>
                <w:lang w:val="fr-CA" w:eastAsia="es-419"/>
              </w:rPr>
              <w:t xml:space="preserve">bonnes </w:t>
            </w:r>
            <w:r w:rsidRPr="00A52C0B">
              <w:rPr>
                <w:color w:val="000000"/>
                <w:sz w:val="18"/>
                <w:szCs w:val="18"/>
                <w:lang w:val="fr-CA" w:eastAsia="es-419"/>
              </w:rPr>
              <w:t>pratiques générales en réfrigération.</w:t>
            </w:r>
          </w:p>
        </w:tc>
      </w:tr>
      <w:tr w:rsidR="005A5A1E" w:rsidRPr="00AA6F65" w14:paraId="6A194686" w14:textId="77777777" w:rsidTr="005A5A1E">
        <w:tc>
          <w:tcPr>
            <w:tcW w:w="1980" w:type="dxa"/>
            <w:tcBorders>
              <w:top w:val="nil"/>
              <w:left w:val="single" w:sz="4" w:space="0" w:color="auto"/>
              <w:bottom w:val="single" w:sz="4" w:space="0" w:color="auto"/>
              <w:right w:val="single" w:sz="4" w:space="0" w:color="auto"/>
            </w:tcBorders>
            <w:shd w:val="clear" w:color="auto" w:fill="auto"/>
            <w:noWrap/>
            <w:tcMar>
              <w:top w:w="29" w:type="dxa"/>
              <w:bottom w:w="29" w:type="dxa"/>
            </w:tcMar>
            <w:hideMark/>
          </w:tcPr>
          <w:p w14:paraId="73B8EA68" w14:textId="77C3F8CA" w:rsidR="005A5A1E" w:rsidRPr="00A52C0B" w:rsidRDefault="00625381" w:rsidP="00CE5948">
            <w:pPr>
              <w:widowControl w:val="0"/>
              <w:jc w:val="left"/>
              <w:rPr>
                <w:color w:val="000000"/>
                <w:sz w:val="18"/>
                <w:szCs w:val="18"/>
                <w:lang w:val="fr-CA" w:eastAsia="es-419"/>
              </w:rPr>
            </w:pPr>
            <w:r w:rsidRPr="00A52C0B">
              <w:rPr>
                <w:color w:val="000000"/>
                <w:sz w:val="18"/>
                <w:szCs w:val="18"/>
                <w:lang w:val="fr-CA" w:eastAsia="es-419"/>
              </w:rPr>
              <w:t>Programme</w:t>
            </w:r>
            <w:r w:rsidR="00854B40" w:rsidRPr="00A52C0B">
              <w:rPr>
                <w:color w:val="000000"/>
                <w:sz w:val="18"/>
                <w:szCs w:val="18"/>
                <w:lang w:val="fr-CA" w:eastAsia="es-419"/>
              </w:rPr>
              <w:t xml:space="preserve">s </w:t>
            </w:r>
            <w:r w:rsidRPr="00A52C0B">
              <w:rPr>
                <w:color w:val="000000"/>
                <w:sz w:val="18"/>
                <w:szCs w:val="18"/>
                <w:lang w:val="fr-CA" w:eastAsia="es-419"/>
              </w:rPr>
              <w:t xml:space="preserve">de certification </w:t>
            </w:r>
          </w:p>
        </w:tc>
        <w:tc>
          <w:tcPr>
            <w:tcW w:w="1800" w:type="dxa"/>
            <w:tcBorders>
              <w:top w:val="nil"/>
              <w:left w:val="nil"/>
              <w:bottom w:val="single" w:sz="4" w:space="0" w:color="auto"/>
              <w:right w:val="single" w:sz="4" w:space="0" w:color="auto"/>
            </w:tcBorders>
            <w:shd w:val="clear" w:color="auto" w:fill="auto"/>
            <w:tcMar>
              <w:top w:w="29" w:type="dxa"/>
              <w:bottom w:w="29" w:type="dxa"/>
            </w:tcMar>
            <w:hideMark/>
          </w:tcPr>
          <w:p w14:paraId="18058D46" w14:textId="27D94186" w:rsidR="005A5A1E" w:rsidRPr="00A52C0B" w:rsidRDefault="00625381" w:rsidP="005A5A1E">
            <w:pPr>
              <w:widowControl w:val="0"/>
              <w:jc w:val="left"/>
              <w:rPr>
                <w:color w:val="000000"/>
                <w:sz w:val="18"/>
                <w:szCs w:val="18"/>
                <w:lang w:val="fr-CA" w:eastAsia="es-419"/>
              </w:rPr>
            </w:pPr>
            <w:r w:rsidRPr="00A52C0B">
              <w:rPr>
                <w:color w:val="000000"/>
                <w:sz w:val="18"/>
                <w:szCs w:val="18"/>
                <w:lang w:val="fr-CA" w:eastAsia="es-419"/>
              </w:rPr>
              <w:t xml:space="preserve">Techniciens, associations de réfrigération, institutions </w:t>
            </w:r>
            <w:r w:rsidRPr="00A52C0B">
              <w:rPr>
                <w:color w:val="000000"/>
                <w:sz w:val="18"/>
                <w:szCs w:val="18"/>
                <w:lang w:val="fr-CA" w:eastAsia="es-419"/>
              </w:rPr>
              <w:lastRenderedPageBreak/>
              <w:t xml:space="preserve">gouvernementales </w:t>
            </w:r>
          </w:p>
        </w:tc>
        <w:tc>
          <w:tcPr>
            <w:tcW w:w="5265" w:type="dxa"/>
            <w:tcBorders>
              <w:top w:val="nil"/>
              <w:left w:val="nil"/>
              <w:bottom w:val="single" w:sz="4" w:space="0" w:color="auto"/>
              <w:right w:val="single" w:sz="4" w:space="0" w:color="auto"/>
            </w:tcBorders>
            <w:shd w:val="clear" w:color="auto" w:fill="auto"/>
            <w:tcMar>
              <w:top w:w="29" w:type="dxa"/>
              <w:bottom w:w="29" w:type="dxa"/>
            </w:tcMar>
            <w:hideMark/>
          </w:tcPr>
          <w:p w14:paraId="280962B7" w14:textId="610AB3DA" w:rsidR="005A5A1E" w:rsidRPr="00A52C0B" w:rsidRDefault="00625381" w:rsidP="005A5A1E">
            <w:pPr>
              <w:widowControl w:val="0"/>
              <w:jc w:val="left"/>
              <w:rPr>
                <w:color w:val="000000"/>
                <w:sz w:val="18"/>
                <w:szCs w:val="18"/>
                <w:lang w:val="fr-CA" w:eastAsia="es-419"/>
              </w:rPr>
            </w:pPr>
            <w:r w:rsidRPr="00A52C0B">
              <w:rPr>
                <w:color w:val="000000"/>
                <w:sz w:val="18"/>
                <w:szCs w:val="18"/>
                <w:lang w:val="fr-CA" w:eastAsia="es-419"/>
              </w:rPr>
              <w:lastRenderedPageBreak/>
              <w:t>La plupart des pays élaborent des programmes de certification en vertu de leur PGEH. La certification des techniciens est axée jusqu’ici sur les pratiques exemplaires, qui touche</w:t>
            </w:r>
            <w:r w:rsidR="00854B40" w:rsidRPr="00A52C0B">
              <w:rPr>
                <w:color w:val="000000"/>
                <w:sz w:val="18"/>
                <w:szCs w:val="18"/>
                <w:lang w:val="fr-CA" w:eastAsia="es-419"/>
              </w:rPr>
              <w:t>nt</w:t>
            </w:r>
            <w:r w:rsidRPr="00A52C0B">
              <w:rPr>
                <w:color w:val="000000"/>
                <w:sz w:val="18"/>
                <w:szCs w:val="18"/>
                <w:lang w:val="fr-CA" w:eastAsia="es-419"/>
              </w:rPr>
              <w:t xml:space="preserve"> les frigorigènes à base de HCFC et de HFC. Il reste à élaborer des modules spécialisés sur la </w:t>
            </w:r>
            <w:r w:rsidRPr="00A52C0B">
              <w:rPr>
                <w:color w:val="000000"/>
                <w:sz w:val="18"/>
                <w:szCs w:val="18"/>
                <w:lang w:val="fr-CA" w:eastAsia="es-419"/>
              </w:rPr>
              <w:lastRenderedPageBreak/>
              <w:t>manipulation de frigorigènes à faible</w:t>
            </w:r>
            <w:r w:rsidR="00CE5948" w:rsidRPr="00A52C0B">
              <w:rPr>
                <w:color w:val="000000"/>
                <w:sz w:val="18"/>
                <w:szCs w:val="18"/>
                <w:lang w:val="fr-CA" w:eastAsia="es-419"/>
              </w:rPr>
              <w:t> </w:t>
            </w:r>
            <w:r w:rsidRPr="00A52C0B">
              <w:rPr>
                <w:color w:val="000000"/>
                <w:sz w:val="18"/>
                <w:szCs w:val="18"/>
                <w:lang w:val="fr-CA" w:eastAsia="es-419"/>
              </w:rPr>
              <w:t xml:space="preserve">PRG ou la prestation de services à des applications complexes spécifiques. </w:t>
            </w:r>
          </w:p>
        </w:tc>
        <w:tc>
          <w:tcPr>
            <w:tcW w:w="5265" w:type="dxa"/>
            <w:tcBorders>
              <w:top w:val="nil"/>
              <w:left w:val="nil"/>
              <w:bottom w:val="single" w:sz="4" w:space="0" w:color="auto"/>
              <w:right w:val="single" w:sz="4" w:space="0" w:color="auto"/>
            </w:tcBorders>
            <w:shd w:val="clear" w:color="auto" w:fill="auto"/>
            <w:tcMar>
              <w:top w:w="29" w:type="dxa"/>
              <w:bottom w:w="29" w:type="dxa"/>
            </w:tcMar>
            <w:hideMark/>
          </w:tcPr>
          <w:p w14:paraId="0B1CC75F" w14:textId="51E4E6AE" w:rsidR="005A5A1E" w:rsidRPr="00A52C0B" w:rsidRDefault="00625381" w:rsidP="005A5A1E">
            <w:pPr>
              <w:widowControl w:val="0"/>
              <w:jc w:val="left"/>
              <w:rPr>
                <w:color w:val="000000"/>
                <w:sz w:val="18"/>
                <w:szCs w:val="18"/>
                <w:lang w:val="fr-CA" w:eastAsia="es-419"/>
              </w:rPr>
            </w:pPr>
            <w:r w:rsidRPr="00A52C0B">
              <w:rPr>
                <w:color w:val="000000"/>
                <w:sz w:val="18"/>
                <w:szCs w:val="18"/>
                <w:lang w:val="fr-CA" w:eastAsia="es-419"/>
              </w:rPr>
              <w:lastRenderedPageBreak/>
              <w:t>Infrastructure de certification déjà créée ou en train d’être créé</w:t>
            </w:r>
            <w:r w:rsidR="00CE5948" w:rsidRPr="00A52C0B">
              <w:rPr>
                <w:color w:val="000000"/>
                <w:sz w:val="18"/>
                <w:szCs w:val="18"/>
                <w:lang w:val="fr-CA" w:eastAsia="es-419"/>
              </w:rPr>
              <w:t>e</w:t>
            </w:r>
            <w:r w:rsidRPr="00A52C0B">
              <w:rPr>
                <w:color w:val="000000"/>
                <w:sz w:val="18"/>
                <w:szCs w:val="18"/>
                <w:lang w:val="fr-CA" w:eastAsia="es-419"/>
              </w:rPr>
              <w:t xml:space="preserve"> par l’entremise des PGEH. La certification des techniciens est axée jusqu’ici sur les pratiques exemplaires d’entretien couvrant à la fois les HCFC et les HFC. Le processus de réduction progressive des HFC </w:t>
            </w:r>
            <w:r w:rsidRPr="00A52C0B">
              <w:rPr>
                <w:color w:val="000000"/>
                <w:sz w:val="18"/>
                <w:szCs w:val="18"/>
                <w:lang w:val="fr-CA" w:eastAsia="es-419"/>
              </w:rPr>
              <w:lastRenderedPageBreak/>
              <w:t>permettra d’accroître les importations et la fabrication d’équipement à base de frigorigènes à faible</w:t>
            </w:r>
            <w:r w:rsidR="00CE5948" w:rsidRPr="00A52C0B">
              <w:rPr>
                <w:color w:val="000000"/>
                <w:sz w:val="18"/>
                <w:szCs w:val="18"/>
                <w:lang w:val="fr-CA" w:eastAsia="es-419"/>
              </w:rPr>
              <w:t> </w:t>
            </w:r>
            <w:r w:rsidRPr="00A52C0B">
              <w:rPr>
                <w:color w:val="000000"/>
                <w:sz w:val="18"/>
                <w:szCs w:val="18"/>
                <w:lang w:val="fr-CA" w:eastAsia="es-419"/>
              </w:rPr>
              <w:t>PRG qui pourrai</w:t>
            </w:r>
            <w:r w:rsidR="00CE5948" w:rsidRPr="00A52C0B">
              <w:rPr>
                <w:color w:val="000000"/>
                <w:sz w:val="18"/>
                <w:szCs w:val="18"/>
                <w:lang w:val="fr-CA" w:eastAsia="es-419"/>
              </w:rPr>
              <w:t>en</w:t>
            </w:r>
            <w:r w:rsidRPr="00A52C0B">
              <w:rPr>
                <w:color w:val="000000"/>
                <w:sz w:val="18"/>
                <w:szCs w:val="18"/>
                <w:lang w:val="fr-CA" w:eastAsia="es-419"/>
              </w:rPr>
              <w:t>t être inflammable</w:t>
            </w:r>
            <w:r w:rsidR="00CE5948" w:rsidRPr="00A52C0B">
              <w:rPr>
                <w:color w:val="000000"/>
                <w:sz w:val="18"/>
                <w:szCs w:val="18"/>
                <w:lang w:val="fr-CA" w:eastAsia="es-419"/>
              </w:rPr>
              <w:t>s</w:t>
            </w:r>
            <w:r w:rsidRPr="00A52C0B">
              <w:rPr>
                <w:color w:val="000000"/>
                <w:sz w:val="18"/>
                <w:szCs w:val="18"/>
                <w:lang w:val="fr-CA" w:eastAsia="es-419"/>
              </w:rPr>
              <w:t xml:space="preserve"> ou toxique</w:t>
            </w:r>
            <w:r w:rsidR="00CE5948" w:rsidRPr="00A52C0B">
              <w:rPr>
                <w:color w:val="000000"/>
                <w:sz w:val="18"/>
                <w:szCs w:val="18"/>
                <w:lang w:val="fr-CA" w:eastAsia="es-419"/>
              </w:rPr>
              <w:t>s</w:t>
            </w:r>
            <w:r w:rsidRPr="00A52C0B">
              <w:rPr>
                <w:color w:val="000000"/>
                <w:sz w:val="18"/>
                <w:szCs w:val="18"/>
                <w:lang w:val="fr-CA" w:eastAsia="es-419"/>
              </w:rPr>
              <w:t xml:space="preserve">, et fonctionner à des pressions plus élevées. Il faudra donc que les techniciens qui devraient travailler avec ces technologies améliorent leur certification afin d’acquérir des compétences supplémentaires de manière à </w:t>
            </w:r>
            <w:r w:rsidR="00D178BD" w:rsidRPr="00A52C0B">
              <w:rPr>
                <w:color w:val="000000"/>
                <w:sz w:val="18"/>
                <w:szCs w:val="18"/>
                <w:lang w:val="fr-CA" w:eastAsia="es-419"/>
              </w:rPr>
              <w:t xml:space="preserve">pouvoir </w:t>
            </w:r>
            <w:r w:rsidRPr="00A52C0B">
              <w:rPr>
                <w:color w:val="000000"/>
                <w:sz w:val="18"/>
                <w:szCs w:val="18"/>
                <w:lang w:val="fr-CA" w:eastAsia="es-419"/>
              </w:rPr>
              <w:t xml:space="preserve">exécuter leurs tâches </w:t>
            </w:r>
            <w:r w:rsidR="00F1348C" w:rsidRPr="00A52C0B">
              <w:rPr>
                <w:color w:val="000000"/>
                <w:sz w:val="18"/>
                <w:szCs w:val="18"/>
                <w:lang w:val="fr-CA" w:eastAsia="es-419"/>
              </w:rPr>
              <w:t>en toute sécurité. Les programmes de certification devront donc ajouter de nouvelles compétences, dont la manipulation de frigorigènes à faible</w:t>
            </w:r>
            <w:r w:rsidR="00D178BD" w:rsidRPr="00A52C0B">
              <w:rPr>
                <w:color w:val="000000"/>
                <w:sz w:val="18"/>
                <w:szCs w:val="18"/>
                <w:lang w:val="fr-CA" w:eastAsia="es-419"/>
              </w:rPr>
              <w:t> </w:t>
            </w:r>
            <w:r w:rsidR="00F1348C" w:rsidRPr="00A52C0B">
              <w:rPr>
                <w:color w:val="000000"/>
                <w:sz w:val="18"/>
                <w:szCs w:val="18"/>
                <w:lang w:val="fr-CA" w:eastAsia="es-419"/>
              </w:rPr>
              <w:t xml:space="preserve">PRG. </w:t>
            </w:r>
            <w:r w:rsidR="00D178BD" w:rsidRPr="00A52C0B">
              <w:rPr>
                <w:color w:val="000000"/>
                <w:sz w:val="18"/>
                <w:szCs w:val="18"/>
                <w:lang w:val="fr-CA" w:eastAsia="es-419"/>
              </w:rPr>
              <w:t>On d</w:t>
            </w:r>
            <w:r w:rsidR="00F1348C" w:rsidRPr="00A52C0B">
              <w:rPr>
                <w:color w:val="000000"/>
                <w:sz w:val="18"/>
                <w:szCs w:val="18"/>
                <w:lang w:val="fr-CA" w:eastAsia="es-419"/>
              </w:rPr>
              <w:t>evra assurer à long terme la certification d’une majorité de techniciens qui manipulent des substances de remplacement à faible</w:t>
            </w:r>
            <w:r w:rsidR="00D178BD" w:rsidRPr="00A52C0B">
              <w:rPr>
                <w:color w:val="000000"/>
                <w:sz w:val="18"/>
                <w:szCs w:val="18"/>
                <w:lang w:val="fr-CA" w:eastAsia="es-419"/>
              </w:rPr>
              <w:t> </w:t>
            </w:r>
            <w:r w:rsidR="00F1348C" w:rsidRPr="00A52C0B">
              <w:rPr>
                <w:color w:val="000000"/>
                <w:sz w:val="18"/>
                <w:szCs w:val="18"/>
                <w:lang w:val="fr-CA" w:eastAsia="es-419"/>
              </w:rPr>
              <w:t xml:space="preserve">PRG. </w:t>
            </w:r>
          </w:p>
        </w:tc>
      </w:tr>
      <w:tr w:rsidR="005A5A1E" w:rsidRPr="00AA6F65" w14:paraId="00839CD3" w14:textId="77777777" w:rsidTr="005A5A1E">
        <w:tc>
          <w:tcPr>
            <w:tcW w:w="1980" w:type="dxa"/>
            <w:tcBorders>
              <w:top w:val="nil"/>
              <w:left w:val="single" w:sz="4" w:space="0" w:color="auto"/>
              <w:bottom w:val="single" w:sz="4" w:space="0" w:color="auto"/>
              <w:right w:val="single" w:sz="4" w:space="0" w:color="auto"/>
            </w:tcBorders>
            <w:shd w:val="clear" w:color="auto" w:fill="auto"/>
            <w:noWrap/>
            <w:tcMar>
              <w:top w:w="29" w:type="dxa"/>
              <w:bottom w:w="29" w:type="dxa"/>
            </w:tcMar>
            <w:hideMark/>
          </w:tcPr>
          <w:p w14:paraId="66B379AA" w14:textId="523AB419" w:rsidR="005A5A1E" w:rsidRPr="00A52C0B" w:rsidRDefault="00F1348C" w:rsidP="005A5A1E">
            <w:pPr>
              <w:jc w:val="left"/>
              <w:rPr>
                <w:color w:val="000000"/>
                <w:sz w:val="18"/>
                <w:szCs w:val="18"/>
                <w:lang w:val="fr-CA" w:eastAsia="es-419"/>
              </w:rPr>
            </w:pPr>
            <w:r w:rsidRPr="00A52C0B">
              <w:rPr>
                <w:color w:val="000000"/>
                <w:sz w:val="18"/>
                <w:szCs w:val="18"/>
                <w:lang w:val="fr-CA" w:eastAsia="es-419"/>
              </w:rPr>
              <w:lastRenderedPageBreak/>
              <w:t xml:space="preserve">Équipement d’essai des frigorigènes pour le secteur de la réfrigération et de la climatisation </w:t>
            </w:r>
          </w:p>
        </w:tc>
        <w:tc>
          <w:tcPr>
            <w:tcW w:w="1800" w:type="dxa"/>
            <w:tcBorders>
              <w:top w:val="nil"/>
              <w:left w:val="nil"/>
              <w:bottom w:val="single" w:sz="4" w:space="0" w:color="auto"/>
              <w:right w:val="single" w:sz="4" w:space="0" w:color="auto"/>
            </w:tcBorders>
            <w:shd w:val="clear" w:color="auto" w:fill="auto"/>
            <w:tcMar>
              <w:top w:w="29" w:type="dxa"/>
              <w:bottom w:w="29" w:type="dxa"/>
            </w:tcMar>
            <w:hideMark/>
          </w:tcPr>
          <w:p w14:paraId="0E4F59AF" w14:textId="311C089C" w:rsidR="005A5A1E" w:rsidRPr="00A52C0B" w:rsidRDefault="00F1348C" w:rsidP="005A5A1E">
            <w:pPr>
              <w:jc w:val="left"/>
              <w:rPr>
                <w:color w:val="000000"/>
                <w:sz w:val="18"/>
                <w:szCs w:val="18"/>
                <w:lang w:val="fr-CA" w:eastAsia="es-419"/>
              </w:rPr>
            </w:pPr>
            <w:r w:rsidRPr="00A52C0B">
              <w:rPr>
                <w:color w:val="000000"/>
                <w:sz w:val="18"/>
                <w:szCs w:val="18"/>
                <w:lang w:val="fr-CA" w:eastAsia="es-419"/>
              </w:rPr>
              <w:t xml:space="preserve">Établissements de formation </w:t>
            </w:r>
          </w:p>
        </w:tc>
        <w:tc>
          <w:tcPr>
            <w:tcW w:w="5265" w:type="dxa"/>
            <w:tcBorders>
              <w:top w:val="nil"/>
              <w:left w:val="nil"/>
              <w:bottom w:val="single" w:sz="4" w:space="0" w:color="auto"/>
              <w:right w:val="single" w:sz="4" w:space="0" w:color="auto"/>
            </w:tcBorders>
            <w:shd w:val="clear" w:color="auto" w:fill="auto"/>
            <w:tcMar>
              <w:top w:w="29" w:type="dxa"/>
              <w:bottom w:w="29" w:type="dxa"/>
            </w:tcMar>
            <w:hideMark/>
          </w:tcPr>
          <w:p w14:paraId="153049C5" w14:textId="1184E51E" w:rsidR="005A5A1E" w:rsidRPr="00A52C0B" w:rsidRDefault="00F1348C" w:rsidP="005A5A1E">
            <w:pPr>
              <w:jc w:val="left"/>
              <w:rPr>
                <w:color w:val="000000"/>
                <w:sz w:val="18"/>
                <w:szCs w:val="18"/>
                <w:lang w:val="fr-CA" w:eastAsia="es-419"/>
              </w:rPr>
            </w:pPr>
            <w:r w:rsidRPr="00A52C0B">
              <w:rPr>
                <w:color w:val="000000"/>
                <w:sz w:val="18"/>
                <w:szCs w:val="18"/>
                <w:lang w:val="fr-CA" w:eastAsia="es-419"/>
              </w:rPr>
              <w:t>Renforcement des établissements de formation par la fourniture d’équipement dans le cadre des PGEH.</w:t>
            </w:r>
            <w:r w:rsidR="005A5A1E" w:rsidRPr="00A52C0B">
              <w:rPr>
                <w:color w:val="000000"/>
                <w:sz w:val="18"/>
                <w:szCs w:val="18"/>
                <w:lang w:val="fr-CA" w:eastAsia="es-419"/>
              </w:rPr>
              <w:t xml:space="preserve"> </w:t>
            </w:r>
          </w:p>
        </w:tc>
        <w:tc>
          <w:tcPr>
            <w:tcW w:w="5265" w:type="dxa"/>
            <w:tcBorders>
              <w:top w:val="nil"/>
              <w:left w:val="nil"/>
              <w:bottom w:val="single" w:sz="4" w:space="0" w:color="auto"/>
              <w:right w:val="single" w:sz="4" w:space="0" w:color="auto"/>
            </w:tcBorders>
            <w:shd w:val="clear" w:color="auto" w:fill="auto"/>
            <w:tcMar>
              <w:top w:w="29" w:type="dxa"/>
              <w:bottom w:w="29" w:type="dxa"/>
            </w:tcMar>
            <w:hideMark/>
          </w:tcPr>
          <w:p w14:paraId="788AD112" w14:textId="6799B2F4" w:rsidR="005A5A1E" w:rsidRPr="00A52C0B" w:rsidRDefault="00F1348C" w:rsidP="005A5A1E">
            <w:pPr>
              <w:jc w:val="left"/>
              <w:rPr>
                <w:color w:val="000000"/>
                <w:sz w:val="18"/>
                <w:szCs w:val="18"/>
                <w:lang w:val="fr-CA" w:eastAsia="es-419"/>
              </w:rPr>
            </w:pPr>
            <w:r w:rsidRPr="00A52C0B">
              <w:rPr>
                <w:color w:val="000000"/>
                <w:sz w:val="18"/>
                <w:szCs w:val="18"/>
                <w:lang w:val="fr-CA" w:eastAsia="es-419"/>
              </w:rPr>
              <w:t>On dispose déjà d’équipement d’essai des frigorigènes dans le cadre des PGEH pour les frigorigènes à faible</w:t>
            </w:r>
            <w:r w:rsidR="002B04B9" w:rsidRPr="00A52C0B">
              <w:rPr>
                <w:color w:val="000000"/>
                <w:sz w:val="18"/>
                <w:szCs w:val="18"/>
                <w:lang w:val="fr-CA" w:eastAsia="es-419"/>
              </w:rPr>
              <w:t> </w:t>
            </w:r>
            <w:r w:rsidRPr="00A52C0B">
              <w:rPr>
                <w:color w:val="000000"/>
                <w:sz w:val="18"/>
                <w:szCs w:val="18"/>
                <w:lang w:val="fr-CA" w:eastAsia="es-419"/>
              </w:rPr>
              <w:t>PRG. D’autre</w:t>
            </w:r>
            <w:r w:rsidR="002B04B9" w:rsidRPr="00A52C0B">
              <w:rPr>
                <w:color w:val="000000"/>
                <w:sz w:val="18"/>
                <w:szCs w:val="18"/>
                <w:lang w:val="fr-CA" w:eastAsia="es-419"/>
              </w:rPr>
              <w:t>s</w:t>
            </w:r>
            <w:r w:rsidRPr="00A52C0B">
              <w:rPr>
                <w:color w:val="000000"/>
                <w:sz w:val="18"/>
                <w:szCs w:val="18"/>
                <w:lang w:val="fr-CA" w:eastAsia="es-419"/>
              </w:rPr>
              <w:t xml:space="preserve"> équipement</w:t>
            </w:r>
            <w:r w:rsidR="002B04B9" w:rsidRPr="00A52C0B">
              <w:rPr>
                <w:color w:val="000000"/>
                <w:sz w:val="18"/>
                <w:szCs w:val="18"/>
                <w:lang w:val="fr-CA" w:eastAsia="es-419"/>
              </w:rPr>
              <w:t>s</w:t>
            </w:r>
            <w:r w:rsidRPr="00A52C0B">
              <w:rPr>
                <w:color w:val="000000"/>
                <w:sz w:val="18"/>
                <w:szCs w:val="18"/>
                <w:lang w:val="fr-CA" w:eastAsia="es-419"/>
              </w:rPr>
              <w:t xml:space="preserve"> pourrai</w:t>
            </w:r>
            <w:r w:rsidR="002B04B9" w:rsidRPr="00A52C0B">
              <w:rPr>
                <w:color w:val="000000"/>
                <w:sz w:val="18"/>
                <w:szCs w:val="18"/>
                <w:lang w:val="fr-CA" w:eastAsia="es-419"/>
              </w:rPr>
              <w:t>en</w:t>
            </w:r>
            <w:r w:rsidRPr="00A52C0B">
              <w:rPr>
                <w:color w:val="000000"/>
                <w:sz w:val="18"/>
                <w:szCs w:val="18"/>
                <w:lang w:val="fr-CA" w:eastAsia="es-419"/>
              </w:rPr>
              <w:t>t être nécessaire</w:t>
            </w:r>
            <w:r w:rsidR="002B04B9" w:rsidRPr="00A52C0B">
              <w:rPr>
                <w:color w:val="000000"/>
                <w:sz w:val="18"/>
                <w:szCs w:val="18"/>
                <w:lang w:val="fr-CA" w:eastAsia="es-419"/>
              </w:rPr>
              <w:t>s</w:t>
            </w:r>
            <w:r w:rsidRPr="00A52C0B">
              <w:rPr>
                <w:color w:val="000000"/>
                <w:sz w:val="18"/>
                <w:szCs w:val="18"/>
                <w:lang w:val="fr-CA" w:eastAsia="es-419"/>
              </w:rPr>
              <w:t xml:space="preserve"> dans certains pays afin de mieux couvrir les établissements de formation.</w:t>
            </w:r>
            <w:r w:rsidR="005A5A1E" w:rsidRPr="00A52C0B">
              <w:rPr>
                <w:color w:val="000000"/>
                <w:sz w:val="18"/>
                <w:szCs w:val="18"/>
                <w:lang w:val="fr-CA" w:eastAsia="es-419"/>
              </w:rPr>
              <w:t xml:space="preserve"> </w:t>
            </w:r>
          </w:p>
        </w:tc>
      </w:tr>
      <w:tr w:rsidR="005A5A1E" w:rsidRPr="00AA6F65" w14:paraId="322B8ED4" w14:textId="77777777" w:rsidTr="005A5A1E">
        <w:tc>
          <w:tcPr>
            <w:tcW w:w="1980" w:type="dxa"/>
            <w:tcBorders>
              <w:top w:val="nil"/>
              <w:left w:val="single" w:sz="4" w:space="0" w:color="auto"/>
              <w:bottom w:val="single" w:sz="4" w:space="0" w:color="auto"/>
              <w:right w:val="single" w:sz="4" w:space="0" w:color="auto"/>
            </w:tcBorders>
            <w:shd w:val="clear" w:color="auto" w:fill="auto"/>
            <w:noWrap/>
            <w:tcMar>
              <w:top w:w="29" w:type="dxa"/>
              <w:bottom w:w="29" w:type="dxa"/>
            </w:tcMar>
            <w:hideMark/>
          </w:tcPr>
          <w:p w14:paraId="5423F2BD" w14:textId="0E731C47" w:rsidR="005A5A1E" w:rsidRPr="00A52C0B" w:rsidRDefault="00F1348C" w:rsidP="005A5A1E">
            <w:pPr>
              <w:jc w:val="left"/>
              <w:rPr>
                <w:color w:val="000000"/>
                <w:sz w:val="18"/>
                <w:szCs w:val="18"/>
                <w:lang w:val="fr-CA" w:eastAsia="es-419"/>
              </w:rPr>
            </w:pPr>
            <w:r w:rsidRPr="00A52C0B">
              <w:rPr>
                <w:color w:val="000000"/>
                <w:sz w:val="18"/>
                <w:szCs w:val="18"/>
                <w:lang w:val="fr-CA" w:eastAsia="es-419"/>
              </w:rPr>
              <w:t xml:space="preserve">Outils d’entretien </w:t>
            </w:r>
          </w:p>
        </w:tc>
        <w:tc>
          <w:tcPr>
            <w:tcW w:w="1800" w:type="dxa"/>
            <w:tcBorders>
              <w:top w:val="nil"/>
              <w:left w:val="nil"/>
              <w:bottom w:val="single" w:sz="4" w:space="0" w:color="auto"/>
              <w:right w:val="single" w:sz="4" w:space="0" w:color="auto"/>
            </w:tcBorders>
            <w:shd w:val="clear" w:color="auto" w:fill="auto"/>
            <w:tcMar>
              <w:top w:w="29" w:type="dxa"/>
              <w:bottom w:w="29" w:type="dxa"/>
            </w:tcMar>
            <w:hideMark/>
          </w:tcPr>
          <w:p w14:paraId="02241D53" w14:textId="711076E7" w:rsidR="005A5A1E" w:rsidRPr="00A52C0B" w:rsidRDefault="00F1348C" w:rsidP="005A5A1E">
            <w:pPr>
              <w:jc w:val="left"/>
              <w:rPr>
                <w:color w:val="000000"/>
                <w:sz w:val="18"/>
                <w:szCs w:val="18"/>
                <w:lang w:val="fr-CA" w:eastAsia="es-419"/>
              </w:rPr>
            </w:pPr>
            <w:r w:rsidRPr="00A52C0B">
              <w:rPr>
                <w:color w:val="000000"/>
                <w:sz w:val="18"/>
                <w:szCs w:val="18"/>
                <w:lang w:val="fr-CA" w:eastAsia="es-419"/>
              </w:rPr>
              <w:t xml:space="preserve">Techniciens en réfrigération </w:t>
            </w:r>
          </w:p>
        </w:tc>
        <w:tc>
          <w:tcPr>
            <w:tcW w:w="5265" w:type="dxa"/>
            <w:tcBorders>
              <w:top w:val="nil"/>
              <w:left w:val="nil"/>
              <w:bottom w:val="single" w:sz="4" w:space="0" w:color="auto"/>
              <w:right w:val="single" w:sz="4" w:space="0" w:color="auto"/>
            </w:tcBorders>
            <w:shd w:val="clear" w:color="auto" w:fill="auto"/>
            <w:tcMar>
              <w:top w:w="29" w:type="dxa"/>
              <w:bottom w:w="29" w:type="dxa"/>
            </w:tcMar>
            <w:hideMark/>
          </w:tcPr>
          <w:p w14:paraId="3E859DDE" w14:textId="2D404C11" w:rsidR="005A5A1E" w:rsidRPr="00A52C0B" w:rsidRDefault="00F1348C" w:rsidP="005A5A1E">
            <w:pPr>
              <w:jc w:val="left"/>
              <w:rPr>
                <w:color w:val="000000"/>
                <w:sz w:val="18"/>
                <w:szCs w:val="18"/>
                <w:lang w:val="fr-CA" w:eastAsia="es-419"/>
              </w:rPr>
            </w:pPr>
            <w:r w:rsidRPr="00A52C0B">
              <w:rPr>
                <w:color w:val="000000"/>
                <w:sz w:val="18"/>
                <w:szCs w:val="18"/>
                <w:lang w:val="fr-CA" w:eastAsia="es-419"/>
              </w:rPr>
              <w:t xml:space="preserve">Seule une partie des techniciens est couverte par les PGEH. Pour la majorité des pays, il n’est pas possible de couvrir tous les techniciens. Les trousses d’outils d’entretien dans certains pays comprennent déjà des outils pour la manipulation </w:t>
            </w:r>
            <w:r w:rsidR="00640D5C" w:rsidRPr="00A52C0B">
              <w:rPr>
                <w:color w:val="000000"/>
                <w:sz w:val="18"/>
                <w:szCs w:val="18"/>
                <w:lang w:val="fr-CA" w:eastAsia="es-419"/>
              </w:rPr>
              <w:t>des frigorigènes à faible</w:t>
            </w:r>
            <w:r w:rsidR="00D93234" w:rsidRPr="00A52C0B">
              <w:rPr>
                <w:color w:val="000000"/>
                <w:sz w:val="18"/>
                <w:szCs w:val="18"/>
                <w:lang w:val="fr-CA" w:eastAsia="es-419"/>
              </w:rPr>
              <w:t> </w:t>
            </w:r>
            <w:r w:rsidR="00640D5C" w:rsidRPr="00A52C0B">
              <w:rPr>
                <w:color w:val="000000"/>
                <w:sz w:val="18"/>
                <w:szCs w:val="18"/>
                <w:lang w:val="fr-CA" w:eastAsia="es-419"/>
              </w:rPr>
              <w:t>PRG, mais dans d’autres pays, il n’y en a pas.</w:t>
            </w:r>
          </w:p>
        </w:tc>
        <w:tc>
          <w:tcPr>
            <w:tcW w:w="5265" w:type="dxa"/>
            <w:tcBorders>
              <w:top w:val="nil"/>
              <w:left w:val="nil"/>
              <w:bottom w:val="single" w:sz="4" w:space="0" w:color="auto"/>
              <w:right w:val="single" w:sz="4" w:space="0" w:color="auto"/>
            </w:tcBorders>
            <w:shd w:val="clear" w:color="auto" w:fill="auto"/>
            <w:tcMar>
              <w:top w:w="29" w:type="dxa"/>
              <w:bottom w:w="29" w:type="dxa"/>
            </w:tcMar>
            <w:hideMark/>
          </w:tcPr>
          <w:p w14:paraId="270627A4" w14:textId="787FDABE" w:rsidR="005A5A1E" w:rsidRPr="00A52C0B" w:rsidRDefault="00640D5C" w:rsidP="005A5A1E">
            <w:pPr>
              <w:jc w:val="left"/>
              <w:rPr>
                <w:color w:val="000000"/>
                <w:sz w:val="18"/>
                <w:szCs w:val="18"/>
                <w:lang w:val="fr-CA" w:eastAsia="es-419"/>
              </w:rPr>
            </w:pPr>
            <w:r w:rsidRPr="00A52C0B">
              <w:rPr>
                <w:color w:val="000000"/>
                <w:sz w:val="18"/>
                <w:szCs w:val="18"/>
                <w:lang w:val="fr-CA" w:eastAsia="es-419"/>
              </w:rPr>
              <w:t>On peut continuer de fournir des outils d’entretien en vue de couvrir une grande part des techniciens. Dans certains pays, les trousses d’outils d’entretien devraient comporter de nouveaux outils pour l’entretien de l’équipement utilisant des solutions de remplacement à faible</w:t>
            </w:r>
            <w:r w:rsidR="00D93234" w:rsidRPr="00A52C0B">
              <w:rPr>
                <w:color w:val="000000"/>
                <w:sz w:val="18"/>
                <w:szCs w:val="18"/>
                <w:lang w:val="fr-CA" w:eastAsia="es-419"/>
              </w:rPr>
              <w:t> </w:t>
            </w:r>
            <w:r w:rsidRPr="00A52C0B">
              <w:rPr>
                <w:color w:val="000000"/>
                <w:sz w:val="18"/>
                <w:szCs w:val="18"/>
                <w:lang w:val="fr-CA" w:eastAsia="es-419"/>
              </w:rPr>
              <w:t>PRG (inflammabilité, pression élevée); il faudrait également fournir des trousses aux techniciens de nouveaux secteurs (p.</w:t>
            </w:r>
            <w:r w:rsidR="00D93234" w:rsidRPr="00A52C0B">
              <w:rPr>
                <w:color w:val="000000"/>
                <w:sz w:val="18"/>
                <w:szCs w:val="18"/>
                <w:lang w:val="fr-CA" w:eastAsia="es-419"/>
              </w:rPr>
              <w:t> </w:t>
            </w:r>
            <w:r w:rsidRPr="00A52C0B">
              <w:rPr>
                <w:color w:val="000000"/>
                <w:sz w:val="18"/>
                <w:szCs w:val="18"/>
                <w:lang w:val="fr-CA" w:eastAsia="es-419"/>
              </w:rPr>
              <w:t>ex.,</w:t>
            </w:r>
            <w:r w:rsidR="00D93234" w:rsidRPr="00A52C0B">
              <w:rPr>
                <w:color w:val="000000"/>
                <w:sz w:val="18"/>
                <w:szCs w:val="18"/>
                <w:lang w:val="fr-CA" w:eastAsia="es-419"/>
              </w:rPr>
              <w:t> </w:t>
            </w:r>
            <w:r w:rsidRPr="00A52C0B">
              <w:rPr>
                <w:color w:val="000000"/>
                <w:sz w:val="18"/>
                <w:szCs w:val="18"/>
                <w:lang w:val="fr-CA" w:eastAsia="es-419"/>
              </w:rPr>
              <w:t xml:space="preserve">climatisation mobile). </w:t>
            </w:r>
          </w:p>
        </w:tc>
      </w:tr>
      <w:tr w:rsidR="005A5A1E" w:rsidRPr="00AA6F65" w14:paraId="643F3009" w14:textId="77777777" w:rsidTr="005A5A1E">
        <w:tc>
          <w:tcPr>
            <w:tcW w:w="1980" w:type="dxa"/>
            <w:tcBorders>
              <w:top w:val="nil"/>
              <w:left w:val="single" w:sz="4" w:space="0" w:color="auto"/>
              <w:bottom w:val="single" w:sz="4" w:space="0" w:color="auto"/>
              <w:right w:val="single" w:sz="4" w:space="0" w:color="auto"/>
            </w:tcBorders>
            <w:shd w:val="clear" w:color="auto" w:fill="auto"/>
            <w:noWrap/>
            <w:tcMar>
              <w:top w:w="29" w:type="dxa"/>
              <w:bottom w:w="29" w:type="dxa"/>
            </w:tcMar>
            <w:hideMark/>
          </w:tcPr>
          <w:p w14:paraId="4C132319" w14:textId="5BF7AA66" w:rsidR="005A5A1E" w:rsidRPr="00A52C0B" w:rsidRDefault="00640D5C" w:rsidP="005A5A1E">
            <w:pPr>
              <w:jc w:val="left"/>
              <w:rPr>
                <w:color w:val="000000"/>
                <w:sz w:val="18"/>
                <w:szCs w:val="18"/>
                <w:lang w:val="fr-CA" w:eastAsia="es-419"/>
              </w:rPr>
            </w:pPr>
            <w:r w:rsidRPr="00A52C0B">
              <w:rPr>
                <w:color w:val="000000"/>
                <w:sz w:val="18"/>
                <w:szCs w:val="18"/>
                <w:lang w:val="fr-CA" w:eastAsia="es-419"/>
              </w:rPr>
              <w:t xml:space="preserve">Recyclage et récupération des HFC </w:t>
            </w:r>
          </w:p>
        </w:tc>
        <w:tc>
          <w:tcPr>
            <w:tcW w:w="1800" w:type="dxa"/>
            <w:tcBorders>
              <w:top w:val="nil"/>
              <w:left w:val="nil"/>
              <w:bottom w:val="single" w:sz="4" w:space="0" w:color="auto"/>
              <w:right w:val="single" w:sz="4" w:space="0" w:color="auto"/>
            </w:tcBorders>
            <w:shd w:val="clear" w:color="auto" w:fill="auto"/>
            <w:tcMar>
              <w:top w:w="29" w:type="dxa"/>
              <w:bottom w:w="29" w:type="dxa"/>
            </w:tcMar>
            <w:hideMark/>
          </w:tcPr>
          <w:p w14:paraId="153645E2" w14:textId="03522912" w:rsidR="005A5A1E" w:rsidRPr="00A52C0B" w:rsidRDefault="00640D5C" w:rsidP="005A5A1E">
            <w:pPr>
              <w:jc w:val="left"/>
              <w:rPr>
                <w:color w:val="000000"/>
                <w:sz w:val="18"/>
                <w:szCs w:val="18"/>
                <w:lang w:val="fr-CA" w:eastAsia="es-419"/>
              </w:rPr>
            </w:pPr>
            <w:r w:rsidRPr="00A52C0B">
              <w:rPr>
                <w:color w:val="000000"/>
                <w:sz w:val="18"/>
                <w:szCs w:val="18"/>
                <w:lang w:val="fr-CA" w:eastAsia="es-419"/>
              </w:rPr>
              <w:t xml:space="preserve">Techniciens en réfrigération, importateurs </w:t>
            </w:r>
            <w:r w:rsidR="00D93234" w:rsidRPr="00A52C0B">
              <w:rPr>
                <w:color w:val="000000"/>
                <w:sz w:val="18"/>
                <w:szCs w:val="18"/>
                <w:lang w:val="fr-CA" w:eastAsia="es-419"/>
              </w:rPr>
              <w:t xml:space="preserve">et distributeurs </w:t>
            </w:r>
            <w:r w:rsidRPr="00A52C0B">
              <w:rPr>
                <w:color w:val="000000"/>
                <w:sz w:val="18"/>
                <w:szCs w:val="18"/>
                <w:lang w:val="fr-CA" w:eastAsia="es-419"/>
              </w:rPr>
              <w:t>de frigorigènes, utilisateur</w:t>
            </w:r>
            <w:r w:rsidR="00D93234" w:rsidRPr="00A52C0B">
              <w:rPr>
                <w:color w:val="000000"/>
                <w:sz w:val="18"/>
                <w:szCs w:val="18"/>
                <w:lang w:val="fr-CA" w:eastAsia="es-419"/>
              </w:rPr>
              <w:t>s</w:t>
            </w:r>
            <w:r w:rsidRPr="00A52C0B">
              <w:rPr>
                <w:color w:val="000000"/>
                <w:sz w:val="18"/>
                <w:szCs w:val="18"/>
                <w:lang w:val="fr-CA" w:eastAsia="es-419"/>
              </w:rPr>
              <w:t xml:space="preserve"> final</w:t>
            </w:r>
            <w:r w:rsidR="00D93234" w:rsidRPr="00A52C0B">
              <w:rPr>
                <w:color w:val="000000"/>
                <w:sz w:val="18"/>
                <w:szCs w:val="18"/>
                <w:lang w:val="fr-CA" w:eastAsia="es-419"/>
              </w:rPr>
              <w:t>s</w:t>
            </w:r>
            <w:r w:rsidRPr="00A52C0B">
              <w:rPr>
                <w:color w:val="000000"/>
                <w:sz w:val="18"/>
                <w:szCs w:val="18"/>
                <w:lang w:val="fr-CA" w:eastAsia="es-419"/>
              </w:rPr>
              <w:t xml:space="preserve"> </w:t>
            </w:r>
          </w:p>
        </w:tc>
        <w:tc>
          <w:tcPr>
            <w:tcW w:w="5265" w:type="dxa"/>
            <w:tcBorders>
              <w:top w:val="nil"/>
              <w:left w:val="nil"/>
              <w:bottom w:val="single" w:sz="4" w:space="0" w:color="auto"/>
              <w:right w:val="single" w:sz="4" w:space="0" w:color="auto"/>
            </w:tcBorders>
            <w:shd w:val="clear" w:color="auto" w:fill="auto"/>
            <w:tcMar>
              <w:top w:w="29" w:type="dxa"/>
              <w:bottom w:w="29" w:type="dxa"/>
            </w:tcMar>
            <w:hideMark/>
          </w:tcPr>
          <w:p w14:paraId="5E23B3BC" w14:textId="010E3AD0" w:rsidR="005A5A1E" w:rsidRPr="00A52C0B" w:rsidRDefault="00640D5C" w:rsidP="001C547F">
            <w:pPr>
              <w:jc w:val="left"/>
              <w:rPr>
                <w:color w:val="000000"/>
                <w:sz w:val="18"/>
                <w:szCs w:val="18"/>
                <w:lang w:val="fr-CA" w:eastAsia="es-419"/>
              </w:rPr>
            </w:pPr>
            <w:r w:rsidRPr="00A52C0B">
              <w:rPr>
                <w:color w:val="000000"/>
                <w:sz w:val="18"/>
                <w:szCs w:val="18"/>
                <w:lang w:val="fr-CA" w:eastAsia="es-419"/>
              </w:rPr>
              <w:t>Des programmes de récupération et de recyclage ont été mis en place dans pratiquement tous les pays visés à l’article</w:t>
            </w:r>
            <w:r w:rsidR="00854B40" w:rsidRPr="00A52C0B">
              <w:rPr>
                <w:color w:val="000000"/>
                <w:sz w:val="18"/>
                <w:szCs w:val="18"/>
                <w:lang w:val="fr-CA" w:eastAsia="es-419"/>
              </w:rPr>
              <w:t> </w:t>
            </w:r>
            <w:r w:rsidRPr="00A52C0B">
              <w:rPr>
                <w:color w:val="000000"/>
                <w:sz w:val="18"/>
                <w:szCs w:val="18"/>
                <w:lang w:val="fr-CA" w:eastAsia="es-419"/>
              </w:rPr>
              <w:t xml:space="preserve">5, avec différents </w:t>
            </w:r>
            <w:r w:rsidR="001C547F">
              <w:rPr>
                <w:color w:val="000000"/>
                <w:sz w:val="18"/>
                <w:szCs w:val="18"/>
                <w:lang w:val="fr-CA" w:eastAsia="es-419"/>
              </w:rPr>
              <w:t>degrés</w:t>
            </w:r>
            <w:r w:rsidRPr="00A52C0B">
              <w:rPr>
                <w:color w:val="000000"/>
                <w:sz w:val="18"/>
                <w:szCs w:val="18"/>
                <w:lang w:val="fr-CA" w:eastAsia="es-419"/>
              </w:rPr>
              <w:t xml:space="preserve"> de réussite. Au cours des dernières phases des PGEH, les pays ont amélioré leur</w:t>
            </w:r>
            <w:r w:rsidR="00F22679" w:rsidRPr="00A52C0B">
              <w:rPr>
                <w:color w:val="000000"/>
                <w:sz w:val="18"/>
                <w:szCs w:val="18"/>
                <w:lang w:val="fr-CA" w:eastAsia="es-419"/>
              </w:rPr>
              <w:t>s</w:t>
            </w:r>
            <w:r w:rsidRPr="00A52C0B">
              <w:rPr>
                <w:color w:val="000000"/>
                <w:sz w:val="18"/>
                <w:szCs w:val="18"/>
                <w:lang w:val="fr-CA" w:eastAsia="es-419"/>
              </w:rPr>
              <w:t xml:space="preserve"> réseau</w:t>
            </w:r>
            <w:r w:rsidR="00F22679" w:rsidRPr="00A52C0B">
              <w:rPr>
                <w:color w:val="000000"/>
                <w:sz w:val="18"/>
                <w:szCs w:val="18"/>
                <w:lang w:val="fr-CA" w:eastAsia="es-419"/>
              </w:rPr>
              <w:t>x</w:t>
            </w:r>
            <w:r w:rsidRPr="00A52C0B">
              <w:rPr>
                <w:color w:val="000000"/>
                <w:sz w:val="18"/>
                <w:szCs w:val="18"/>
                <w:lang w:val="fr-CA" w:eastAsia="es-419"/>
              </w:rPr>
              <w:t xml:space="preserve"> par la promulgation de règlement</w:t>
            </w:r>
            <w:r w:rsidR="00F22679" w:rsidRPr="00A52C0B">
              <w:rPr>
                <w:color w:val="000000"/>
                <w:sz w:val="18"/>
                <w:szCs w:val="18"/>
                <w:lang w:val="fr-CA" w:eastAsia="es-419"/>
              </w:rPr>
              <w:t>s</w:t>
            </w:r>
            <w:r w:rsidRPr="00A52C0B">
              <w:rPr>
                <w:color w:val="000000"/>
                <w:sz w:val="18"/>
                <w:szCs w:val="18"/>
                <w:lang w:val="fr-CA" w:eastAsia="es-419"/>
              </w:rPr>
              <w:t xml:space="preserve"> requis à l’appui de la récupération et d</w:t>
            </w:r>
            <w:r w:rsidR="00F22679" w:rsidRPr="00A52C0B">
              <w:rPr>
                <w:color w:val="000000"/>
                <w:sz w:val="18"/>
                <w:szCs w:val="18"/>
                <w:lang w:val="fr-CA" w:eastAsia="es-419"/>
              </w:rPr>
              <w:t xml:space="preserve">u </w:t>
            </w:r>
            <w:r w:rsidRPr="00A52C0B">
              <w:rPr>
                <w:color w:val="000000"/>
                <w:sz w:val="18"/>
                <w:szCs w:val="18"/>
                <w:lang w:val="fr-CA" w:eastAsia="es-419"/>
              </w:rPr>
              <w:t xml:space="preserve">recyclage (et de la régénération, le cas échéant), </w:t>
            </w:r>
            <w:r w:rsidR="00F22679" w:rsidRPr="00A52C0B">
              <w:rPr>
                <w:color w:val="000000"/>
                <w:sz w:val="18"/>
                <w:szCs w:val="18"/>
                <w:lang w:val="fr-CA" w:eastAsia="es-419"/>
              </w:rPr>
              <w:t xml:space="preserve">et </w:t>
            </w:r>
            <w:r w:rsidRPr="00A52C0B">
              <w:rPr>
                <w:color w:val="000000"/>
                <w:sz w:val="18"/>
                <w:szCs w:val="18"/>
                <w:lang w:val="fr-CA" w:eastAsia="es-419"/>
              </w:rPr>
              <w:t xml:space="preserve">établissent des modèles d’activités avec les exploitants, en vue de rendre le processus viable sur le plan économique. Dans certains pays, l’équipement fourni </w:t>
            </w:r>
            <w:r w:rsidR="00D940A1" w:rsidRPr="00A52C0B">
              <w:rPr>
                <w:color w:val="000000"/>
                <w:sz w:val="18"/>
                <w:szCs w:val="18"/>
                <w:lang w:val="fr-CA" w:eastAsia="es-419"/>
              </w:rPr>
              <w:t>peut traiter la plupart des HFC courant</w:t>
            </w:r>
            <w:r w:rsidR="00854B40" w:rsidRPr="00A52C0B">
              <w:rPr>
                <w:color w:val="000000"/>
                <w:sz w:val="18"/>
                <w:szCs w:val="18"/>
                <w:lang w:val="fr-CA" w:eastAsia="es-419"/>
              </w:rPr>
              <w:t>s</w:t>
            </w:r>
            <w:r w:rsidR="00D940A1" w:rsidRPr="00A52C0B">
              <w:rPr>
                <w:color w:val="000000"/>
                <w:sz w:val="18"/>
                <w:szCs w:val="18"/>
                <w:lang w:val="fr-CA" w:eastAsia="es-419"/>
              </w:rPr>
              <w:t>. Au cours des phases actuelles des PGEH, les pays visés à l’article</w:t>
            </w:r>
            <w:r w:rsidR="00854B40" w:rsidRPr="00A52C0B">
              <w:rPr>
                <w:color w:val="000000"/>
                <w:sz w:val="18"/>
                <w:szCs w:val="18"/>
                <w:lang w:val="fr-CA" w:eastAsia="es-419"/>
              </w:rPr>
              <w:t> </w:t>
            </w:r>
            <w:r w:rsidR="00D940A1" w:rsidRPr="00A52C0B">
              <w:rPr>
                <w:color w:val="000000"/>
                <w:sz w:val="18"/>
                <w:szCs w:val="18"/>
                <w:lang w:val="fr-CA" w:eastAsia="es-419"/>
              </w:rPr>
              <w:t>5 mettront l’accent sur les résultats maximum</w:t>
            </w:r>
            <w:r w:rsidR="001C547F">
              <w:rPr>
                <w:color w:val="000000"/>
                <w:sz w:val="18"/>
                <w:szCs w:val="18"/>
                <w:lang w:val="fr-CA" w:eastAsia="es-419"/>
              </w:rPr>
              <w:t>s</w:t>
            </w:r>
            <w:r w:rsidR="00D940A1" w:rsidRPr="00A52C0B">
              <w:rPr>
                <w:color w:val="000000"/>
                <w:sz w:val="18"/>
                <w:szCs w:val="18"/>
                <w:lang w:val="fr-CA" w:eastAsia="es-419"/>
              </w:rPr>
              <w:t xml:space="preserve"> possibles avec la récupération, le recyclage et la régénération du HCFC</w:t>
            </w:r>
            <w:r w:rsidR="00471A2B" w:rsidRPr="00A52C0B">
              <w:rPr>
                <w:color w:val="000000"/>
                <w:sz w:val="18"/>
                <w:szCs w:val="18"/>
                <w:lang w:val="fr-CA" w:eastAsia="es-419"/>
              </w:rPr>
              <w:noBreakHyphen/>
            </w:r>
            <w:r w:rsidR="00D940A1" w:rsidRPr="00A52C0B">
              <w:rPr>
                <w:color w:val="000000"/>
                <w:sz w:val="18"/>
                <w:szCs w:val="18"/>
                <w:lang w:val="fr-CA" w:eastAsia="es-419"/>
              </w:rPr>
              <w:t>22.</w:t>
            </w:r>
            <w:r w:rsidR="005A5A1E" w:rsidRPr="00A52C0B">
              <w:rPr>
                <w:color w:val="000000"/>
                <w:sz w:val="18"/>
                <w:szCs w:val="18"/>
                <w:lang w:val="fr-CA" w:eastAsia="es-419"/>
              </w:rPr>
              <w:t xml:space="preserve"> </w:t>
            </w:r>
          </w:p>
        </w:tc>
        <w:tc>
          <w:tcPr>
            <w:tcW w:w="5265" w:type="dxa"/>
            <w:tcBorders>
              <w:top w:val="nil"/>
              <w:left w:val="nil"/>
              <w:bottom w:val="single" w:sz="4" w:space="0" w:color="auto"/>
              <w:right w:val="single" w:sz="4" w:space="0" w:color="auto"/>
            </w:tcBorders>
            <w:shd w:val="clear" w:color="auto" w:fill="auto"/>
            <w:tcMar>
              <w:top w:w="29" w:type="dxa"/>
              <w:bottom w:w="29" w:type="dxa"/>
            </w:tcMar>
            <w:hideMark/>
          </w:tcPr>
          <w:p w14:paraId="1AB31BD3" w14:textId="530D061E" w:rsidR="005A5A1E" w:rsidRPr="00A52C0B" w:rsidRDefault="00D940A1" w:rsidP="005A5A1E">
            <w:pPr>
              <w:jc w:val="left"/>
              <w:rPr>
                <w:color w:val="000000"/>
                <w:sz w:val="18"/>
                <w:szCs w:val="18"/>
                <w:lang w:val="fr-CA" w:eastAsia="es-419"/>
              </w:rPr>
            </w:pPr>
            <w:r w:rsidRPr="00A52C0B">
              <w:rPr>
                <w:color w:val="000000"/>
                <w:sz w:val="18"/>
                <w:szCs w:val="18"/>
                <w:lang w:val="fr-CA" w:eastAsia="es-419"/>
              </w:rPr>
              <w:t>Possibilité</w:t>
            </w:r>
            <w:r w:rsidR="00F22679" w:rsidRPr="00A52C0B">
              <w:rPr>
                <w:color w:val="000000"/>
                <w:sz w:val="18"/>
                <w:szCs w:val="18"/>
                <w:lang w:val="fr-CA" w:eastAsia="es-419"/>
              </w:rPr>
              <w:t>s</w:t>
            </w:r>
            <w:r w:rsidRPr="00A52C0B">
              <w:rPr>
                <w:color w:val="000000"/>
                <w:sz w:val="18"/>
                <w:szCs w:val="18"/>
                <w:lang w:val="fr-CA" w:eastAsia="es-419"/>
              </w:rPr>
              <w:t xml:space="preserve"> d’élargir les programmes de récupération, de recyclage et de régénération des frigorigènes aux HFC, vu les utilisations supplémentaires des HFC dans les applications de réfrigération et de climatisation, dont le gros équipement à usage commercial et</w:t>
            </w:r>
            <w:r w:rsidR="00F22679" w:rsidRPr="00A52C0B">
              <w:rPr>
                <w:color w:val="000000"/>
                <w:sz w:val="18"/>
                <w:szCs w:val="18"/>
                <w:lang w:val="fr-CA" w:eastAsia="es-419"/>
              </w:rPr>
              <w:t xml:space="preserve"> les</w:t>
            </w:r>
            <w:r w:rsidRPr="00A52C0B">
              <w:rPr>
                <w:color w:val="000000"/>
                <w:sz w:val="18"/>
                <w:szCs w:val="18"/>
                <w:lang w:val="fr-CA" w:eastAsia="es-419"/>
              </w:rPr>
              <w:t xml:space="preserve"> climatiseur</w:t>
            </w:r>
            <w:r w:rsidR="00F22679" w:rsidRPr="00A52C0B">
              <w:rPr>
                <w:color w:val="000000"/>
                <w:sz w:val="18"/>
                <w:szCs w:val="18"/>
                <w:lang w:val="fr-CA" w:eastAsia="es-419"/>
              </w:rPr>
              <w:t>s</w:t>
            </w:r>
            <w:r w:rsidRPr="00A52C0B">
              <w:rPr>
                <w:color w:val="000000"/>
                <w:sz w:val="18"/>
                <w:szCs w:val="18"/>
                <w:lang w:val="fr-CA" w:eastAsia="es-419"/>
              </w:rPr>
              <w:t xml:space="preserve"> mobile</w:t>
            </w:r>
            <w:r w:rsidR="00F22679" w:rsidRPr="00A52C0B">
              <w:rPr>
                <w:color w:val="000000"/>
                <w:sz w:val="18"/>
                <w:szCs w:val="18"/>
                <w:lang w:val="fr-CA" w:eastAsia="es-419"/>
              </w:rPr>
              <w:t>s</w:t>
            </w:r>
            <w:r w:rsidRPr="00A52C0B">
              <w:rPr>
                <w:color w:val="000000"/>
                <w:sz w:val="18"/>
                <w:szCs w:val="18"/>
                <w:lang w:val="fr-CA" w:eastAsia="es-419"/>
              </w:rPr>
              <w:t>, et une plus grande diversité de frigorigènes purs et mélangés qui nécessiteront d’autres équipements et composantes logistiques, y</w:t>
            </w:r>
            <w:r w:rsidR="00F22679" w:rsidRPr="00A52C0B">
              <w:rPr>
                <w:color w:val="000000"/>
                <w:sz w:val="18"/>
                <w:szCs w:val="18"/>
                <w:lang w:val="fr-CA" w:eastAsia="es-419"/>
              </w:rPr>
              <w:t> </w:t>
            </w:r>
            <w:r w:rsidRPr="00A52C0B">
              <w:rPr>
                <w:color w:val="000000"/>
                <w:sz w:val="18"/>
                <w:szCs w:val="18"/>
                <w:lang w:val="fr-CA" w:eastAsia="es-419"/>
              </w:rPr>
              <w:t>compris les plus grandes quantités potentielles de frigorigènes indésirables. Toutes les activités concernant les climatiseurs mobiles s’ajouteront, car il n’y a aucune utilisation de HCFC dans ce secteur. L’utilisation des HFC dans les applications de réfrigération à usage commercial pourrait également dépasser celle du HCFC</w:t>
            </w:r>
            <w:r w:rsidR="00471A2B" w:rsidRPr="00A52C0B">
              <w:rPr>
                <w:color w:val="000000"/>
                <w:sz w:val="18"/>
                <w:szCs w:val="18"/>
                <w:lang w:val="fr-CA" w:eastAsia="es-419"/>
              </w:rPr>
              <w:noBreakHyphen/>
            </w:r>
            <w:r w:rsidRPr="00A52C0B">
              <w:rPr>
                <w:color w:val="000000"/>
                <w:sz w:val="18"/>
                <w:szCs w:val="18"/>
                <w:lang w:val="fr-CA" w:eastAsia="es-419"/>
              </w:rPr>
              <w:t xml:space="preserve">22. </w:t>
            </w:r>
          </w:p>
        </w:tc>
      </w:tr>
      <w:tr w:rsidR="005A5A1E" w:rsidRPr="00AA6F65" w14:paraId="350DDEF0" w14:textId="77777777" w:rsidTr="005A5A1E">
        <w:tc>
          <w:tcPr>
            <w:tcW w:w="1980" w:type="dxa"/>
            <w:tcBorders>
              <w:top w:val="nil"/>
              <w:left w:val="single" w:sz="4" w:space="0" w:color="auto"/>
              <w:bottom w:val="single" w:sz="4" w:space="0" w:color="auto"/>
              <w:right w:val="single" w:sz="4" w:space="0" w:color="auto"/>
            </w:tcBorders>
            <w:shd w:val="clear" w:color="auto" w:fill="auto"/>
            <w:noWrap/>
            <w:tcMar>
              <w:top w:w="29" w:type="dxa"/>
              <w:bottom w:w="29" w:type="dxa"/>
            </w:tcMar>
            <w:hideMark/>
          </w:tcPr>
          <w:p w14:paraId="6722C6EC" w14:textId="7A3B82AF" w:rsidR="005A5A1E" w:rsidRPr="00A52C0B" w:rsidRDefault="00C10C65" w:rsidP="005A5A1E">
            <w:pPr>
              <w:jc w:val="left"/>
              <w:rPr>
                <w:color w:val="000000"/>
                <w:sz w:val="18"/>
                <w:szCs w:val="18"/>
                <w:lang w:val="fr-CA" w:eastAsia="es-419"/>
              </w:rPr>
            </w:pPr>
            <w:r w:rsidRPr="00A52C0B">
              <w:rPr>
                <w:color w:val="000000"/>
                <w:sz w:val="18"/>
                <w:szCs w:val="18"/>
                <w:lang w:val="fr-CA" w:eastAsia="es-419"/>
              </w:rPr>
              <w:t xml:space="preserve">Activités de sensibilisation du public </w:t>
            </w:r>
          </w:p>
        </w:tc>
        <w:tc>
          <w:tcPr>
            <w:tcW w:w="1800" w:type="dxa"/>
            <w:tcBorders>
              <w:top w:val="nil"/>
              <w:left w:val="nil"/>
              <w:bottom w:val="single" w:sz="4" w:space="0" w:color="auto"/>
              <w:right w:val="single" w:sz="4" w:space="0" w:color="auto"/>
            </w:tcBorders>
            <w:shd w:val="clear" w:color="auto" w:fill="auto"/>
            <w:tcMar>
              <w:top w:w="29" w:type="dxa"/>
              <w:bottom w:w="29" w:type="dxa"/>
            </w:tcMar>
            <w:hideMark/>
          </w:tcPr>
          <w:p w14:paraId="3C363D07" w14:textId="630404D8" w:rsidR="005A5A1E" w:rsidRPr="00A52C0B" w:rsidRDefault="00C10C65" w:rsidP="005A5A1E">
            <w:pPr>
              <w:jc w:val="left"/>
              <w:rPr>
                <w:color w:val="000000"/>
                <w:sz w:val="18"/>
                <w:szCs w:val="18"/>
                <w:lang w:val="fr-CA" w:eastAsia="es-419"/>
              </w:rPr>
            </w:pPr>
            <w:r w:rsidRPr="00A52C0B">
              <w:rPr>
                <w:color w:val="000000"/>
                <w:sz w:val="18"/>
                <w:szCs w:val="18"/>
                <w:lang w:val="fr-CA" w:eastAsia="es-419"/>
              </w:rPr>
              <w:t>Techniciens en réfrigération, importateurs et distributeurs, utilisateur</w:t>
            </w:r>
            <w:r w:rsidR="00336105" w:rsidRPr="00A52C0B">
              <w:rPr>
                <w:color w:val="000000"/>
                <w:sz w:val="18"/>
                <w:szCs w:val="18"/>
                <w:lang w:val="fr-CA" w:eastAsia="es-419"/>
              </w:rPr>
              <w:t>s</w:t>
            </w:r>
            <w:r w:rsidRPr="00A52C0B">
              <w:rPr>
                <w:color w:val="000000"/>
                <w:sz w:val="18"/>
                <w:szCs w:val="18"/>
                <w:lang w:val="fr-CA" w:eastAsia="es-419"/>
              </w:rPr>
              <w:t xml:space="preserve"> final</w:t>
            </w:r>
            <w:r w:rsidR="00336105" w:rsidRPr="00A52C0B">
              <w:rPr>
                <w:color w:val="000000"/>
                <w:sz w:val="18"/>
                <w:szCs w:val="18"/>
                <w:lang w:val="fr-CA" w:eastAsia="es-419"/>
              </w:rPr>
              <w:t>s</w:t>
            </w:r>
            <w:r w:rsidRPr="00A52C0B">
              <w:rPr>
                <w:color w:val="000000"/>
                <w:sz w:val="18"/>
                <w:szCs w:val="18"/>
                <w:lang w:val="fr-CA" w:eastAsia="es-419"/>
              </w:rPr>
              <w:t xml:space="preserve"> </w:t>
            </w:r>
          </w:p>
        </w:tc>
        <w:tc>
          <w:tcPr>
            <w:tcW w:w="5265" w:type="dxa"/>
            <w:tcBorders>
              <w:top w:val="nil"/>
              <w:left w:val="nil"/>
              <w:bottom w:val="single" w:sz="4" w:space="0" w:color="auto"/>
              <w:right w:val="single" w:sz="4" w:space="0" w:color="auto"/>
            </w:tcBorders>
            <w:shd w:val="clear" w:color="auto" w:fill="auto"/>
            <w:tcMar>
              <w:top w:w="29" w:type="dxa"/>
              <w:bottom w:w="29" w:type="dxa"/>
            </w:tcMar>
            <w:hideMark/>
          </w:tcPr>
          <w:p w14:paraId="07D00199" w14:textId="0DF54C68" w:rsidR="005A5A1E" w:rsidRPr="00A52C0B" w:rsidRDefault="00C10C65" w:rsidP="005A5A1E">
            <w:pPr>
              <w:jc w:val="left"/>
              <w:rPr>
                <w:color w:val="000000"/>
                <w:sz w:val="18"/>
                <w:szCs w:val="18"/>
                <w:lang w:val="fr-CA" w:eastAsia="es-419"/>
              </w:rPr>
            </w:pPr>
            <w:r w:rsidRPr="00A52C0B">
              <w:rPr>
                <w:color w:val="000000"/>
                <w:sz w:val="18"/>
                <w:szCs w:val="18"/>
                <w:lang w:val="fr-CA" w:eastAsia="es-419"/>
              </w:rPr>
              <w:t>Campagne</w:t>
            </w:r>
            <w:r w:rsidR="00336105" w:rsidRPr="00A52C0B">
              <w:rPr>
                <w:color w:val="000000"/>
                <w:sz w:val="18"/>
                <w:szCs w:val="18"/>
                <w:lang w:val="fr-CA" w:eastAsia="es-419"/>
              </w:rPr>
              <w:t>s</w:t>
            </w:r>
            <w:r w:rsidRPr="00A52C0B">
              <w:rPr>
                <w:color w:val="000000"/>
                <w:sz w:val="18"/>
                <w:szCs w:val="18"/>
                <w:lang w:val="fr-CA" w:eastAsia="es-419"/>
              </w:rPr>
              <w:t xml:space="preserve"> annuelle</w:t>
            </w:r>
            <w:r w:rsidR="00336105" w:rsidRPr="00A52C0B">
              <w:rPr>
                <w:color w:val="000000"/>
                <w:sz w:val="18"/>
                <w:szCs w:val="18"/>
                <w:lang w:val="fr-CA" w:eastAsia="es-419"/>
              </w:rPr>
              <w:t>s</w:t>
            </w:r>
            <w:r w:rsidRPr="00A52C0B">
              <w:rPr>
                <w:color w:val="000000"/>
                <w:sz w:val="18"/>
                <w:szCs w:val="18"/>
                <w:lang w:val="fr-CA" w:eastAsia="es-419"/>
              </w:rPr>
              <w:t xml:space="preserve"> de sensibilisation du public et d’autres groupes cible</w:t>
            </w:r>
            <w:r w:rsidR="00336105" w:rsidRPr="00A52C0B">
              <w:rPr>
                <w:color w:val="000000"/>
                <w:sz w:val="18"/>
                <w:szCs w:val="18"/>
                <w:lang w:val="fr-CA" w:eastAsia="es-419"/>
              </w:rPr>
              <w:t xml:space="preserve">s </w:t>
            </w:r>
            <w:r w:rsidRPr="00A52C0B">
              <w:rPr>
                <w:color w:val="000000"/>
                <w:sz w:val="18"/>
                <w:szCs w:val="18"/>
                <w:lang w:val="fr-CA" w:eastAsia="es-419"/>
              </w:rPr>
              <w:t>dans le cadre des PGEH, à l’appui des efforts d’élimination des HCFC dans le secteur de l’entretien.</w:t>
            </w:r>
            <w:r w:rsidR="005A5A1E" w:rsidRPr="00A52C0B">
              <w:rPr>
                <w:color w:val="000000"/>
                <w:sz w:val="18"/>
                <w:szCs w:val="18"/>
                <w:lang w:val="fr-CA" w:eastAsia="es-419"/>
              </w:rPr>
              <w:t xml:space="preserve"> </w:t>
            </w:r>
          </w:p>
        </w:tc>
        <w:tc>
          <w:tcPr>
            <w:tcW w:w="5265" w:type="dxa"/>
            <w:tcBorders>
              <w:top w:val="nil"/>
              <w:left w:val="nil"/>
              <w:bottom w:val="single" w:sz="4" w:space="0" w:color="auto"/>
              <w:right w:val="single" w:sz="4" w:space="0" w:color="auto"/>
            </w:tcBorders>
            <w:shd w:val="clear" w:color="auto" w:fill="auto"/>
            <w:tcMar>
              <w:top w:w="29" w:type="dxa"/>
              <w:bottom w:w="29" w:type="dxa"/>
            </w:tcMar>
            <w:hideMark/>
          </w:tcPr>
          <w:p w14:paraId="51DA0C12" w14:textId="6CD25751" w:rsidR="005A5A1E" w:rsidRPr="00A52C0B" w:rsidRDefault="00C10C65" w:rsidP="005A5A1E">
            <w:pPr>
              <w:jc w:val="left"/>
              <w:rPr>
                <w:color w:val="000000"/>
                <w:sz w:val="18"/>
                <w:szCs w:val="18"/>
                <w:lang w:val="fr-CA" w:eastAsia="es-419"/>
              </w:rPr>
            </w:pPr>
            <w:r w:rsidRPr="00A52C0B">
              <w:rPr>
                <w:color w:val="000000"/>
                <w:sz w:val="18"/>
                <w:szCs w:val="18"/>
                <w:lang w:val="fr-CA" w:eastAsia="es-419"/>
              </w:rPr>
              <w:t>Les plates</w:t>
            </w:r>
            <w:r w:rsidR="00471A2B" w:rsidRPr="00A52C0B">
              <w:rPr>
                <w:color w:val="000000"/>
                <w:sz w:val="18"/>
                <w:szCs w:val="18"/>
                <w:lang w:val="fr-CA" w:eastAsia="es-419"/>
              </w:rPr>
              <w:noBreakHyphen/>
            </w:r>
            <w:r w:rsidRPr="00A52C0B">
              <w:rPr>
                <w:color w:val="000000"/>
                <w:sz w:val="18"/>
                <w:szCs w:val="18"/>
                <w:lang w:val="fr-CA" w:eastAsia="es-419"/>
              </w:rPr>
              <w:t>formes utilisées pour la sensibilisation du public vis</w:t>
            </w:r>
            <w:r w:rsidR="00471A2B" w:rsidRPr="00A52C0B">
              <w:rPr>
                <w:color w:val="000000"/>
                <w:sz w:val="18"/>
                <w:szCs w:val="18"/>
                <w:lang w:val="fr-CA" w:eastAsia="es-419"/>
              </w:rPr>
              <w:noBreakHyphen/>
            </w:r>
            <w:r w:rsidRPr="00A52C0B">
              <w:rPr>
                <w:color w:val="000000"/>
                <w:sz w:val="18"/>
                <w:szCs w:val="18"/>
                <w:lang w:val="fr-CA" w:eastAsia="es-419"/>
              </w:rPr>
              <w:t>à</w:t>
            </w:r>
            <w:r w:rsidR="00471A2B" w:rsidRPr="00A52C0B">
              <w:rPr>
                <w:color w:val="000000"/>
                <w:sz w:val="18"/>
                <w:szCs w:val="18"/>
                <w:lang w:val="fr-CA" w:eastAsia="es-419"/>
              </w:rPr>
              <w:noBreakHyphen/>
            </w:r>
            <w:r w:rsidRPr="00A52C0B">
              <w:rPr>
                <w:color w:val="000000"/>
                <w:sz w:val="18"/>
                <w:szCs w:val="18"/>
                <w:lang w:val="fr-CA" w:eastAsia="es-419"/>
              </w:rPr>
              <w:t>vis des HCFC sont les mêmes que pour les HFC. Il conviendrait de redoubler d’efforts pour les applications o</w:t>
            </w:r>
            <w:r w:rsidR="00336105" w:rsidRPr="00A52C0B">
              <w:rPr>
                <w:color w:val="000000"/>
                <w:sz w:val="18"/>
                <w:szCs w:val="18"/>
                <w:lang w:val="fr-CA" w:eastAsia="es-419"/>
              </w:rPr>
              <w:t>ù</w:t>
            </w:r>
            <w:r w:rsidRPr="00A52C0B">
              <w:rPr>
                <w:color w:val="000000"/>
                <w:sz w:val="18"/>
                <w:szCs w:val="18"/>
                <w:lang w:val="fr-CA" w:eastAsia="es-419"/>
              </w:rPr>
              <w:t xml:space="preserve"> les HCFC ne sont pas utilisés, comme la réfrigération à usage domestique, la climatisation mobile et une grande partie des applications de la réfrigération à usage commercial. </w:t>
            </w:r>
          </w:p>
        </w:tc>
      </w:tr>
      <w:tr w:rsidR="005A5A1E" w:rsidRPr="00AA6F65" w14:paraId="10C2CE7D" w14:textId="77777777" w:rsidTr="005A5A1E">
        <w:tc>
          <w:tcPr>
            <w:tcW w:w="1980" w:type="dxa"/>
            <w:tcBorders>
              <w:top w:val="nil"/>
              <w:left w:val="single" w:sz="4" w:space="0" w:color="auto"/>
              <w:bottom w:val="single" w:sz="4" w:space="0" w:color="auto"/>
              <w:right w:val="single" w:sz="4" w:space="0" w:color="auto"/>
            </w:tcBorders>
            <w:shd w:val="clear" w:color="auto" w:fill="auto"/>
            <w:tcMar>
              <w:top w:w="29" w:type="dxa"/>
              <w:bottom w:w="29" w:type="dxa"/>
            </w:tcMar>
            <w:hideMark/>
          </w:tcPr>
          <w:p w14:paraId="702E7334" w14:textId="7B7781D4" w:rsidR="005A5A1E" w:rsidRPr="00A52C0B" w:rsidRDefault="00C10C65" w:rsidP="005A5A1E">
            <w:pPr>
              <w:jc w:val="left"/>
              <w:rPr>
                <w:color w:val="000000"/>
                <w:sz w:val="18"/>
                <w:szCs w:val="18"/>
                <w:lang w:val="fr-CA" w:eastAsia="es-419"/>
              </w:rPr>
            </w:pPr>
            <w:r w:rsidRPr="00A52C0B">
              <w:rPr>
                <w:color w:val="000000"/>
                <w:sz w:val="18"/>
                <w:szCs w:val="18"/>
                <w:lang w:val="fr-CA" w:eastAsia="es-419"/>
              </w:rPr>
              <w:lastRenderedPageBreak/>
              <w:t>Assistance technique et renforcement des capacités pour traiter les questions de sécurité associée</w:t>
            </w:r>
            <w:r w:rsidR="00336105" w:rsidRPr="00A52C0B">
              <w:rPr>
                <w:color w:val="000000"/>
                <w:sz w:val="18"/>
                <w:szCs w:val="18"/>
                <w:lang w:val="fr-CA" w:eastAsia="es-419"/>
              </w:rPr>
              <w:t>s</w:t>
            </w:r>
            <w:r w:rsidRPr="00A52C0B">
              <w:rPr>
                <w:color w:val="000000"/>
                <w:sz w:val="18"/>
                <w:szCs w:val="18"/>
                <w:lang w:val="fr-CA" w:eastAsia="es-419"/>
              </w:rPr>
              <w:t xml:space="preserve"> aux solutions de remplacement à faible</w:t>
            </w:r>
            <w:r w:rsidR="00336105" w:rsidRPr="00A52C0B">
              <w:rPr>
                <w:color w:val="000000"/>
                <w:sz w:val="18"/>
                <w:szCs w:val="18"/>
                <w:lang w:val="fr-CA" w:eastAsia="es-419"/>
              </w:rPr>
              <w:t> </w:t>
            </w:r>
            <w:r w:rsidRPr="00A52C0B">
              <w:rPr>
                <w:color w:val="000000"/>
                <w:sz w:val="18"/>
                <w:szCs w:val="18"/>
                <w:lang w:val="fr-CA" w:eastAsia="es-419"/>
              </w:rPr>
              <w:t xml:space="preserve">PRG et </w:t>
            </w:r>
            <w:r w:rsidR="00336105" w:rsidRPr="00A52C0B">
              <w:rPr>
                <w:color w:val="000000"/>
                <w:sz w:val="18"/>
                <w:szCs w:val="18"/>
                <w:lang w:val="fr-CA" w:eastAsia="es-419"/>
              </w:rPr>
              <w:t xml:space="preserve">à </w:t>
            </w:r>
            <w:r w:rsidRPr="00A52C0B">
              <w:rPr>
                <w:color w:val="000000"/>
                <w:sz w:val="18"/>
                <w:szCs w:val="18"/>
                <w:lang w:val="fr-CA" w:eastAsia="es-419"/>
              </w:rPr>
              <w:t>PRG</w:t>
            </w:r>
            <w:r w:rsidR="00336105" w:rsidRPr="00A52C0B">
              <w:rPr>
                <w:color w:val="000000"/>
                <w:sz w:val="18"/>
                <w:szCs w:val="18"/>
                <w:lang w:val="fr-CA" w:eastAsia="es-419"/>
              </w:rPr>
              <w:t> </w:t>
            </w:r>
            <w:r w:rsidRPr="00A52C0B">
              <w:rPr>
                <w:color w:val="000000"/>
                <w:sz w:val="18"/>
                <w:szCs w:val="18"/>
                <w:lang w:val="fr-CA" w:eastAsia="es-419"/>
              </w:rPr>
              <w:t>nul dans tous les secteurs (paragraphe</w:t>
            </w:r>
            <w:r w:rsidR="00854B40" w:rsidRPr="00A52C0B">
              <w:rPr>
                <w:color w:val="000000"/>
                <w:sz w:val="18"/>
                <w:szCs w:val="18"/>
                <w:lang w:val="fr-CA" w:eastAsia="es-419"/>
              </w:rPr>
              <w:t> </w:t>
            </w:r>
            <w:r w:rsidRPr="00A52C0B">
              <w:rPr>
                <w:color w:val="000000"/>
                <w:sz w:val="18"/>
                <w:szCs w:val="18"/>
                <w:lang w:val="fr-CA" w:eastAsia="es-419"/>
              </w:rPr>
              <w:t>23 de la décision</w:t>
            </w:r>
            <w:r w:rsidR="00854B40" w:rsidRPr="00A52C0B">
              <w:rPr>
                <w:color w:val="000000"/>
                <w:sz w:val="18"/>
                <w:szCs w:val="18"/>
                <w:lang w:val="fr-CA" w:eastAsia="es-419"/>
              </w:rPr>
              <w:t> </w:t>
            </w:r>
            <w:r w:rsidRPr="00A52C0B">
              <w:rPr>
                <w:color w:val="000000"/>
                <w:sz w:val="18"/>
                <w:szCs w:val="18"/>
                <w:lang w:val="fr-CA" w:eastAsia="es-419"/>
              </w:rPr>
              <w:t xml:space="preserve">XXVIII/2) </w:t>
            </w:r>
          </w:p>
        </w:tc>
        <w:tc>
          <w:tcPr>
            <w:tcW w:w="1800" w:type="dxa"/>
            <w:tcBorders>
              <w:top w:val="nil"/>
              <w:left w:val="nil"/>
              <w:bottom w:val="single" w:sz="4" w:space="0" w:color="auto"/>
              <w:right w:val="single" w:sz="4" w:space="0" w:color="auto"/>
            </w:tcBorders>
            <w:shd w:val="clear" w:color="auto" w:fill="auto"/>
            <w:tcMar>
              <w:top w:w="29" w:type="dxa"/>
              <w:bottom w:w="29" w:type="dxa"/>
            </w:tcMar>
            <w:hideMark/>
          </w:tcPr>
          <w:p w14:paraId="41067FD0" w14:textId="62C6BC63" w:rsidR="005A5A1E" w:rsidRPr="00A52C0B" w:rsidRDefault="00C10C65" w:rsidP="005A5A1E">
            <w:pPr>
              <w:jc w:val="left"/>
              <w:rPr>
                <w:color w:val="000000"/>
                <w:sz w:val="18"/>
                <w:szCs w:val="18"/>
                <w:lang w:val="fr-CA" w:eastAsia="es-419"/>
              </w:rPr>
            </w:pPr>
            <w:r w:rsidRPr="00A52C0B">
              <w:rPr>
                <w:color w:val="000000"/>
                <w:sz w:val="18"/>
                <w:szCs w:val="18"/>
                <w:lang w:val="fr-CA" w:eastAsia="es-419"/>
              </w:rPr>
              <w:t>Techniciens en réfrigération, utilisateur</w:t>
            </w:r>
            <w:r w:rsidR="00336105" w:rsidRPr="00A52C0B">
              <w:rPr>
                <w:color w:val="000000"/>
                <w:sz w:val="18"/>
                <w:szCs w:val="18"/>
                <w:lang w:val="fr-CA" w:eastAsia="es-419"/>
              </w:rPr>
              <w:t>s</w:t>
            </w:r>
            <w:r w:rsidRPr="00A52C0B">
              <w:rPr>
                <w:color w:val="000000"/>
                <w:sz w:val="18"/>
                <w:szCs w:val="18"/>
                <w:lang w:val="fr-CA" w:eastAsia="es-419"/>
              </w:rPr>
              <w:t xml:space="preserve"> final</w:t>
            </w:r>
            <w:r w:rsidR="00336105" w:rsidRPr="00A52C0B">
              <w:rPr>
                <w:color w:val="000000"/>
                <w:sz w:val="18"/>
                <w:szCs w:val="18"/>
                <w:lang w:val="fr-CA" w:eastAsia="es-419"/>
              </w:rPr>
              <w:t>s</w:t>
            </w:r>
            <w:r w:rsidRPr="00A52C0B">
              <w:rPr>
                <w:color w:val="000000"/>
                <w:sz w:val="18"/>
                <w:szCs w:val="18"/>
                <w:lang w:val="fr-CA" w:eastAsia="es-419"/>
              </w:rPr>
              <w:t xml:space="preserve">, importateurs et distributeurs, institutions gouvernementales </w:t>
            </w:r>
          </w:p>
        </w:tc>
        <w:tc>
          <w:tcPr>
            <w:tcW w:w="5265" w:type="dxa"/>
            <w:tcBorders>
              <w:top w:val="nil"/>
              <w:left w:val="nil"/>
              <w:bottom w:val="single" w:sz="4" w:space="0" w:color="auto"/>
              <w:right w:val="single" w:sz="4" w:space="0" w:color="auto"/>
            </w:tcBorders>
            <w:shd w:val="clear" w:color="auto" w:fill="auto"/>
            <w:tcMar>
              <w:top w:w="29" w:type="dxa"/>
              <w:bottom w:w="29" w:type="dxa"/>
            </w:tcMar>
            <w:hideMark/>
          </w:tcPr>
          <w:p w14:paraId="31621406" w14:textId="50E8AEAF" w:rsidR="005A5A1E" w:rsidRPr="00A52C0B" w:rsidRDefault="00C10C65" w:rsidP="005A5A1E">
            <w:pPr>
              <w:jc w:val="left"/>
              <w:rPr>
                <w:color w:val="000000"/>
                <w:sz w:val="18"/>
                <w:szCs w:val="18"/>
                <w:lang w:val="fr-CA" w:eastAsia="es-419"/>
              </w:rPr>
            </w:pPr>
            <w:r w:rsidRPr="00A52C0B">
              <w:rPr>
                <w:color w:val="000000"/>
                <w:sz w:val="18"/>
                <w:szCs w:val="18"/>
                <w:lang w:val="fr-CA" w:eastAsia="es-419"/>
              </w:rPr>
              <w:t>Mise à jour des codes de pratiques dans le cadre des PGEH. Les unités nationales d’ozone collaborent au</w:t>
            </w:r>
            <w:r w:rsidR="00336105" w:rsidRPr="00A52C0B">
              <w:rPr>
                <w:color w:val="000000"/>
                <w:sz w:val="18"/>
                <w:szCs w:val="18"/>
                <w:lang w:val="fr-CA" w:eastAsia="es-419"/>
              </w:rPr>
              <w:t>x</w:t>
            </w:r>
            <w:r w:rsidRPr="00A52C0B">
              <w:rPr>
                <w:color w:val="000000"/>
                <w:sz w:val="18"/>
                <w:szCs w:val="18"/>
                <w:lang w:val="fr-CA" w:eastAsia="es-419"/>
              </w:rPr>
              <w:t xml:space="preserve"> processus visant à adopter des normes industrielles permettant </w:t>
            </w:r>
            <w:r w:rsidR="00854B40" w:rsidRPr="00A52C0B">
              <w:rPr>
                <w:color w:val="000000"/>
                <w:sz w:val="18"/>
                <w:szCs w:val="18"/>
                <w:lang w:val="fr-CA" w:eastAsia="es-419"/>
              </w:rPr>
              <w:t>une plus large utilisation de l’équipement à base de frigorigènes inflammables à faible</w:t>
            </w:r>
            <w:r w:rsidR="00336105" w:rsidRPr="00A52C0B">
              <w:rPr>
                <w:color w:val="000000"/>
                <w:sz w:val="18"/>
                <w:szCs w:val="18"/>
                <w:lang w:val="fr-CA" w:eastAsia="es-419"/>
              </w:rPr>
              <w:t> </w:t>
            </w:r>
            <w:r w:rsidR="00854B40" w:rsidRPr="00A52C0B">
              <w:rPr>
                <w:color w:val="000000"/>
                <w:sz w:val="18"/>
                <w:szCs w:val="18"/>
                <w:lang w:val="fr-CA" w:eastAsia="es-419"/>
              </w:rPr>
              <w:t>PRG. D’autres aspects de la formation sont traités dans la section Formation ci</w:t>
            </w:r>
            <w:r w:rsidR="00471A2B" w:rsidRPr="00A52C0B">
              <w:rPr>
                <w:color w:val="000000"/>
                <w:sz w:val="18"/>
                <w:szCs w:val="18"/>
                <w:lang w:val="fr-CA" w:eastAsia="es-419"/>
              </w:rPr>
              <w:noBreakHyphen/>
            </w:r>
            <w:r w:rsidR="00854B40" w:rsidRPr="00A52C0B">
              <w:rPr>
                <w:color w:val="000000"/>
                <w:sz w:val="18"/>
                <w:szCs w:val="18"/>
                <w:lang w:val="fr-CA" w:eastAsia="es-419"/>
              </w:rPr>
              <w:t>dessus.</w:t>
            </w:r>
          </w:p>
        </w:tc>
        <w:tc>
          <w:tcPr>
            <w:tcW w:w="5265" w:type="dxa"/>
            <w:tcBorders>
              <w:top w:val="nil"/>
              <w:left w:val="nil"/>
              <w:bottom w:val="single" w:sz="4" w:space="0" w:color="auto"/>
              <w:right w:val="single" w:sz="4" w:space="0" w:color="auto"/>
            </w:tcBorders>
            <w:shd w:val="clear" w:color="auto" w:fill="auto"/>
            <w:tcMar>
              <w:top w:w="29" w:type="dxa"/>
              <w:bottom w:w="29" w:type="dxa"/>
            </w:tcMar>
            <w:hideMark/>
          </w:tcPr>
          <w:p w14:paraId="1AA6EC45" w14:textId="28204381" w:rsidR="005A5A1E" w:rsidRPr="00A52C0B" w:rsidRDefault="00854B40" w:rsidP="005A5A1E">
            <w:pPr>
              <w:jc w:val="left"/>
              <w:rPr>
                <w:color w:val="000000"/>
                <w:sz w:val="18"/>
                <w:szCs w:val="18"/>
                <w:lang w:val="fr-CA" w:eastAsia="es-419"/>
              </w:rPr>
            </w:pPr>
            <w:r w:rsidRPr="00A52C0B">
              <w:rPr>
                <w:color w:val="000000"/>
                <w:sz w:val="18"/>
                <w:szCs w:val="18"/>
                <w:lang w:val="fr-CA" w:eastAsia="es-419"/>
              </w:rPr>
              <w:t>La nécessité de disposer d’un plus grand nombre d’appareils à base de frigorigènes à faible</w:t>
            </w:r>
            <w:r w:rsidR="00B41EF0" w:rsidRPr="00A52C0B">
              <w:rPr>
                <w:color w:val="000000"/>
                <w:sz w:val="18"/>
                <w:szCs w:val="18"/>
                <w:lang w:val="fr-CA" w:eastAsia="es-419"/>
              </w:rPr>
              <w:t> PR</w:t>
            </w:r>
            <w:r w:rsidRPr="00A52C0B">
              <w:rPr>
                <w:color w:val="000000"/>
                <w:sz w:val="18"/>
                <w:szCs w:val="18"/>
                <w:lang w:val="fr-CA" w:eastAsia="es-419"/>
              </w:rPr>
              <w:t>G</w:t>
            </w:r>
            <w:r w:rsidR="00A33582" w:rsidRPr="00A52C0B">
              <w:rPr>
                <w:color w:val="000000"/>
                <w:sz w:val="18"/>
                <w:szCs w:val="18"/>
                <w:lang w:val="fr-CA" w:eastAsia="es-419"/>
              </w:rPr>
              <w:t>,</w:t>
            </w:r>
            <w:r w:rsidRPr="00A52C0B">
              <w:rPr>
                <w:color w:val="000000"/>
                <w:sz w:val="18"/>
                <w:szCs w:val="18"/>
                <w:lang w:val="fr-CA" w:eastAsia="es-419"/>
              </w:rPr>
              <w:t xml:space="preserve"> certains ét</w:t>
            </w:r>
            <w:r w:rsidR="00A33582" w:rsidRPr="00A52C0B">
              <w:rPr>
                <w:color w:val="000000"/>
                <w:sz w:val="18"/>
                <w:szCs w:val="18"/>
                <w:lang w:val="fr-CA" w:eastAsia="es-419"/>
              </w:rPr>
              <w:t>ant</w:t>
            </w:r>
            <w:r w:rsidRPr="00A52C0B">
              <w:rPr>
                <w:color w:val="000000"/>
                <w:sz w:val="18"/>
                <w:szCs w:val="18"/>
                <w:lang w:val="fr-CA" w:eastAsia="es-419"/>
              </w:rPr>
              <w:t xml:space="preserve"> inflammable</w:t>
            </w:r>
            <w:r w:rsidR="00A33582" w:rsidRPr="00A52C0B">
              <w:rPr>
                <w:color w:val="000000"/>
                <w:sz w:val="18"/>
                <w:szCs w:val="18"/>
                <w:lang w:val="fr-CA" w:eastAsia="es-419"/>
              </w:rPr>
              <w:t>s</w:t>
            </w:r>
            <w:r w:rsidRPr="00A52C0B">
              <w:rPr>
                <w:color w:val="000000"/>
                <w:sz w:val="18"/>
                <w:szCs w:val="18"/>
                <w:lang w:val="fr-CA" w:eastAsia="es-419"/>
              </w:rPr>
              <w:t>, re</w:t>
            </w:r>
            <w:r w:rsidR="00A33582" w:rsidRPr="00A52C0B">
              <w:rPr>
                <w:color w:val="000000"/>
                <w:sz w:val="18"/>
                <w:szCs w:val="18"/>
                <w:lang w:val="fr-CA" w:eastAsia="es-419"/>
              </w:rPr>
              <w:t>qu</w:t>
            </w:r>
            <w:r w:rsidR="00471A2B" w:rsidRPr="00A52C0B">
              <w:rPr>
                <w:color w:val="000000"/>
                <w:sz w:val="18"/>
                <w:szCs w:val="18"/>
                <w:lang w:val="fr-CA" w:eastAsia="es-419"/>
              </w:rPr>
              <w:t>er</w:t>
            </w:r>
            <w:r w:rsidR="00A33582" w:rsidRPr="00A52C0B">
              <w:rPr>
                <w:color w:val="000000"/>
                <w:sz w:val="18"/>
                <w:szCs w:val="18"/>
                <w:lang w:val="fr-CA" w:eastAsia="es-419"/>
              </w:rPr>
              <w:t>ra</w:t>
            </w:r>
            <w:r w:rsidRPr="00A52C0B">
              <w:rPr>
                <w:color w:val="000000"/>
                <w:sz w:val="18"/>
                <w:szCs w:val="18"/>
                <w:lang w:val="fr-CA" w:eastAsia="es-419"/>
              </w:rPr>
              <w:t xml:space="preserve"> une collaboration plus systématique avec les autorités nationales de sécurité. Il faudra redoubler d’efforts. Étant donné le besoin de donner la priorité à cette activité, conformément à la décision XXVIII/2, ces efforts devront commencer lors des premières phases du processus de réduction progressive des HFC, afin d’assurer une bonne transition vers les solutions de remplacement à faible</w:t>
            </w:r>
            <w:r w:rsidR="00A33582" w:rsidRPr="00A52C0B">
              <w:rPr>
                <w:color w:val="000000"/>
                <w:sz w:val="18"/>
                <w:szCs w:val="18"/>
                <w:lang w:val="fr-CA" w:eastAsia="es-419"/>
              </w:rPr>
              <w:t> </w:t>
            </w:r>
            <w:r w:rsidRPr="00A52C0B">
              <w:rPr>
                <w:color w:val="000000"/>
                <w:sz w:val="18"/>
                <w:szCs w:val="18"/>
                <w:lang w:val="fr-CA" w:eastAsia="es-419"/>
              </w:rPr>
              <w:t xml:space="preserve">PRG. </w:t>
            </w:r>
          </w:p>
        </w:tc>
      </w:tr>
    </w:tbl>
    <w:p w14:paraId="1C784676" w14:textId="14836DC0" w:rsidR="005A5A1E" w:rsidRPr="00A52C0B" w:rsidRDefault="005A5A1E" w:rsidP="005A5A1E">
      <w:pPr>
        <w:rPr>
          <w:sz w:val="18"/>
          <w:szCs w:val="18"/>
          <w:lang w:val="fr-CA"/>
        </w:rPr>
      </w:pPr>
      <w:r w:rsidRPr="00A52C0B">
        <w:rPr>
          <w:sz w:val="18"/>
          <w:szCs w:val="18"/>
          <w:lang w:val="fr-CA"/>
        </w:rPr>
        <w:t xml:space="preserve">* </w:t>
      </w:r>
      <w:r w:rsidR="00854B40" w:rsidRPr="00A52C0B">
        <w:rPr>
          <w:sz w:val="18"/>
          <w:szCs w:val="18"/>
          <w:lang w:val="fr-CA"/>
        </w:rPr>
        <w:t xml:space="preserve">Selon </w:t>
      </w:r>
      <w:r w:rsidR="00A33582" w:rsidRPr="00A52C0B">
        <w:rPr>
          <w:sz w:val="18"/>
          <w:szCs w:val="18"/>
          <w:lang w:val="fr-CA"/>
        </w:rPr>
        <w:t>l’</w:t>
      </w:r>
      <w:r w:rsidR="00854B40" w:rsidRPr="00A52C0B">
        <w:rPr>
          <w:sz w:val="18"/>
          <w:szCs w:val="18"/>
          <w:lang w:val="fr-CA"/>
        </w:rPr>
        <w:t>alinéa 15</w:t>
      </w:r>
      <w:r w:rsidR="00A33582" w:rsidRPr="00A52C0B">
        <w:rPr>
          <w:sz w:val="18"/>
          <w:szCs w:val="18"/>
          <w:lang w:val="fr-CA"/>
        </w:rPr>
        <w:t xml:space="preserve"> c) </w:t>
      </w:r>
      <w:r w:rsidR="00854B40" w:rsidRPr="00A52C0B">
        <w:rPr>
          <w:sz w:val="18"/>
          <w:szCs w:val="18"/>
          <w:lang w:val="fr-CA"/>
        </w:rPr>
        <w:t>de la décision X</w:t>
      </w:r>
      <w:r w:rsidR="00A33582" w:rsidRPr="00A52C0B">
        <w:rPr>
          <w:sz w:val="18"/>
          <w:szCs w:val="18"/>
          <w:lang w:val="fr-CA"/>
        </w:rPr>
        <w:t>X</w:t>
      </w:r>
      <w:r w:rsidR="00854B40" w:rsidRPr="00A52C0B">
        <w:rPr>
          <w:sz w:val="18"/>
          <w:szCs w:val="18"/>
          <w:lang w:val="fr-CA"/>
        </w:rPr>
        <w:t>VIII/2 des Parties.</w:t>
      </w:r>
    </w:p>
    <w:p w14:paraId="4D33E76C" w14:textId="77777777" w:rsidR="005A5A1E" w:rsidRPr="00A52C0B" w:rsidRDefault="005A5A1E" w:rsidP="005A5A1E">
      <w:pPr>
        <w:rPr>
          <w:sz w:val="18"/>
          <w:szCs w:val="18"/>
          <w:lang w:val="fr-CA"/>
        </w:rPr>
      </w:pPr>
    </w:p>
    <w:p w14:paraId="70F7EC31" w14:textId="77777777" w:rsidR="005A5A1E" w:rsidRPr="00A52C0B" w:rsidRDefault="005A5A1E" w:rsidP="005A5A1E">
      <w:pPr>
        <w:rPr>
          <w:sz w:val="18"/>
          <w:szCs w:val="18"/>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9"/>
        <w:gridCol w:w="2849"/>
        <w:gridCol w:w="2849"/>
        <w:gridCol w:w="2849"/>
        <w:gridCol w:w="2850"/>
      </w:tblGrid>
      <w:tr w:rsidR="005A5A1E" w:rsidRPr="00AA6F65" w14:paraId="0C3C5BD7" w14:textId="77777777" w:rsidTr="005A5A1E">
        <w:tc>
          <w:tcPr>
            <w:tcW w:w="2849" w:type="dxa"/>
          </w:tcPr>
          <w:p w14:paraId="722CF5A8" w14:textId="77777777" w:rsidR="005A5A1E" w:rsidRPr="00A52C0B" w:rsidRDefault="005A5A1E" w:rsidP="005A5A1E">
            <w:pPr>
              <w:rPr>
                <w:sz w:val="18"/>
                <w:szCs w:val="18"/>
                <w:lang w:val="fr-CA"/>
              </w:rPr>
            </w:pPr>
          </w:p>
        </w:tc>
        <w:tc>
          <w:tcPr>
            <w:tcW w:w="2849" w:type="dxa"/>
          </w:tcPr>
          <w:p w14:paraId="41D91090" w14:textId="77777777" w:rsidR="005A5A1E" w:rsidRPr="00A52C0B" w:rsidRDefault="005A5A1E" w:rsidP="005A5A1E">
            <w:pPr>
              <w:rPr>
                <w:sz w:val="18"/>
                <w:szCs w:val="18"/>
                <w:lang w:val="fr-CA"/>
              </w:rPr>
            </w:pPr>
          </w:p>
        </w:tc>
        <w:tc>
          <w:tcPr>
            <w:tcW w:w="2849" w:type="dxa"/>
            <w:tcBorders>
              <w:bottom w:val="single" w:sz="4" w:space="0" w:color="auto"/>
            </w:tcBorders>
          </w:tcPr>
          <w:p w14:paraId="3F5D38C2" w14:textId="77777777" w:rsidR="005A5A1E" w:rsidRPr="00A52C0B" w:rsidRDefault="005A5A1E" w:rsidP="005A5A1E">
            <w:pPr>
              <w:rPr>
                <w:sz w:val="18"/>
                <w:szCs w:val="18"/>
                <w:lang w:val="fr-CA"/>
              </w:rPr>
            </w:pPr>
          </w:p>
        </w:tc>
        <w:tc>
          <w:tcPr>
            <w:tcW w:w="2849" w:type="dxa"/>
          </w:tcPr>
          <w:p w14:paraId="76573926" w14:textId="77777777" w:rsidR="005A5A1E" w:rsidRPr="00A52C0B" w:rsidRDefault="005A5A1E" w:rsidP="005A5A1E">
            <w:pPr>
              <w:rPr>
                <w:sz w:val="18"/>
                <w:szCs w:val="18"/>
                <w:lang w:val="fr-CA"/>
              </w:rPr>
            </w:pPr>
          </w:p>
        </w:tc>
        <w:tc>
          <w:tcPr>
            <w:tcW w:w="2850" w:type="dxa"/>
          </w:tcPr>
          <w:p w14:paraId="0B385C5F" w14:textId="77777777" w:rsidR="005A5A1E" w:rsidRPr="00A52C0B" w:rsidRDefault="005A5A1E" w:rsidP="005A5A1E">
            <w:pPr>
              <w:rPr>
                <w:sz w:val="18"/>
                <w:szCs w:val="18"/>
                <w:lang w:val="fr-CA"/>
              </w:rPr>
            </w:pPr>
          </w:p>
        </w:tc>
      </w:tr>
    </w:tbl>
    <w:p w14:paraId="029C0AD8" w14:textId="77777777" w:rsidR="005A5A1E" w:rsidRPr="00A52C0B" w:rsidRDefault="005A5A1E" w:rsidP="005A5A1E">
      <w:pPr>
        <w:rPr>
          <w:sz w:val="18"/>
          <w:szCs w:val="18"/>
          <w:lang w:val="fr-CA"/>
        </w:rPr>
      </w:pPr>
    </w:p>
    <w:p w14:paraId="608A692A" w14:textId="6060AF81" w:rsidR="006B169A" w:rsidRPr="00A52C0B" w:rsidRDefault="006B169A" w:rsidP="006B169A">
      <w:pPr>
        <w:widowControl w:val="0"/>
        <w:tabs>
          <w:tab w:val="left" w:pos="8280"/>
        </w:tabs>
        <w:jc w:val="center"/>
        <w:rPr>
          <w:b/>
          <w:lang w:val="fr-CA"/>
        </w:rPr>
      </w:pPr>
    </w:p>
    <w:p w14:paraId="38F1478D" w14:textId="77777777" w:rsidR="006B169A" w:rsidRPr="00A52C0B" w:rsidRDefault="006B169A" w:rsidP="006B169A">
      <w:pPr>
        <w:widowControl w:val="0"/>
        <w:tabs>
          <w:tab w:val="left" w:pos="8280"/>
        </w:tabs>
        <w:jc w:val="center"/>
        <w:rPr>
          <w:b/>
          <w:lang w:val="fr-CA"/>
        </w:rPr>
      </w:pPr>
    </w:p>
    <w:p w14:paraId="04DD2507" w14:textId="77777777" w:rsidR="00441083" w:rsidRPr="00A52C0B" w:rsidRDefault="00441083">
      <w:pPr>
        <w:rPr>
          <w:lang w:val="fr-CA"/>
        </w:rPr>
      </w:pPr>
    </w:p>
    <w:sectPr w:rsidR="00441083" w:rsidRPr="00A52C0B" w:rsidSect="005A5A1E">
      <w:headerReference w:type="even" r:id="rId15"/>
      <w:headerReference w:type="default" r:id="rId16"/>
      <w:headerReference w:type="first" r:id="rId17"/>
      <w:footerReference w:type="first" r:id="rId18"/>
      <w:pgSz w:w="15840" w:h="12240" w:orient="landscape" w:code="1"/>
      <w:pgMar w:top="1440" w:right="720" w:bottom="1440" w:left="864" w:header="720" w:footer="47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549C1" w14:textId="77777777" w:rsidR="0055036A" w:rsidRDefault="0055036A">
      <w:r>
        <w:separator/>
      </w:r>
    </w:p>
  </w:endnote>
  <w:endnote w:type="continuationSeparator" w:id="0">
    <w:p w14:paraId="2DB14EA9" w14:textId="77777777" w:rsidR="0055036A" w:rsidRDefault="0055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3E979" w14:textId="082D9678" w:rsidR="0055036A" w:rsidRPr="0033525D" w:rsidRDefault="0055036A">
    <w:pPr>
      <w:jc w:val="center"/>
    </w:pPr>
    <w:r>
      <w:fldChar w:fldCharType="begin"/>
    </w:r>
    <w:r>
      <w:instrText xml:space="preserve"> PAGE </w:instrText>
    </w:r>
    <w:r>
      <w:fldChar w:fldCharType="separate"/>
    </w:r>
    <w:r w:rsidR="00AA6F65">
      <w:rPr>
        <w:noProof/>
      </w:rPr>
      <w:t>16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8A5DE" w14:textId="6F3492E4" w:rsidR="0055036A" w:rsidRPr="0033525D" w:rsidRDefault="0055036A">
    <w:pPr>
      <w:jc w:val="center"/>
    </w:pPr>
    <w:r>
      <w:fldChar w:fldCharType="begin"/>
    </w:r>
    <w:r>
      <w:instrText xml:space="preserve"> PAGE </w:instrText>
    </w:r>
    <w:r>
      <w:fldChar w:fldCharType="separate"/>
    </w:r>
    <w:r w:rsidR="00AA6F65">
      <w:rPr>
        <w:noProof/>
      </w:rPr>
      <w:t>17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B98B8" w14:textId="77777777" w:rsidR="0055036A" w:rsidRDefault="0055036A" w:rsidP="0061621A">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 xml:space="preserve">Les documents de présession du Comité exécutif du Fonds multilatéral aux fins d’application du Protocole de </w:t>
    </w:r>
  </w:p>
  <w:p w14:paraId="1E4CC020" w14:textId="2AF12D36" w:rsidR="0055036A" w:rsidRPr="00CC1480" w:rsidRDefault="0055036A" w:rsidP="0061621A">
    <w:pPr>
      <w:pBdr>
        <w:top w:val="single" w:sz="4" w:space="1" w:color="auto"/>
        <w:left w:val="single" w:sz="4" w:space="4" w:color="auto"/>
        <w:bottom w:val="single" w:sz="4" w:space="1" w:color="auto"/>
        <w:right w:val="single" w:sz="4" w:space="4" w:color="auto"/>
      </w:pBdr>
      <w:jc w:val="center"/>
      <w:rPr>
        <w:sz w:val="18"/>
        <w:szCs w:val="18"/>
        <w:lang w:val="fr-CA"/>
      </w:rPr>
    </w:pPr>
    <w:r>
      <w:rPr>
        <w:rFonts w:cs="MS Serif"/>
        <w:sz w:val="20"/>
        <w:lang w:val="fr-FR"/>
      </w:rPr>
      <w:t>Montréal sont présentés sous réserve des décisions pouvant être prises par le Comité exécutif après leur publication.</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08631"/>
      <w:docPartObj>
        <w:docPartGallery w:val="Page Numbers (Bottom of Page)"/>
        <w:docPartUnique/>
      </w:docPartObj>
    </w:sdtPr>
    <w:sdtEndPr>
      <w:rPr>
        <w:noProof/>
      </w:rPr>
    </w:sdtEndPr>
    <w:sdtContent>
      <w:p w14:paraId="0884E720" w14:textId="00BBEB5B" w:rsidR="0055036A" w:rsidRDefault="0055036A">
        <w:pPr>
          <w:pStyle w:val="Footer"/>
          <w:jc w:val="center"/>
        </w:pPr>
        <w:r>
          <w:fldChar w:fldCharType="begin"/>
        </w:r>
        <w:r>
          <w:instrText xml:space="preserve"> PAGE   \* MERGEFORMAT </w:instrText>
        </w:r>
        <w:r>
          <w:fldChar w:fldCharType="separate"/>
        </w:r>
        <w:r w:rsidR="00AA6F65">
          <w:rPr>
            <w:noProof/>
          </w:rPr>
          <w:t>1</w:t>
        </w:r>
        <w:r>
          <w:rPr>
            <w:noProof/>
          </w:rPr>
          <w:fldChar w:fldCharType="end"/>
        </w:r>
      </w:p>
    </w:sdtContent>
  </w:sdt>
  <w:p w14:paraId="6DA36202" w14:textId="77777777" w:rsidR="0055036A" w:rsidRDefault="0055036A">
    <w:pP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EA9D5" w14:textId="77777777" w:rsidR="0055036A" w:rsidRDefault="0055036A">
      <w:r>
        <w:separator/>
      </w:r>
    </w:p>
  </w:footnote>
  <w:footnote w:type="continuationSeparator" w:id="0">
    <w:p w14:paraId="271D23FD" w14:textId="77777777" w:rsidR="0055036A" w:rsidRDefault="0055036A">
      <w:r>
        <w:continuationSeparator/>
      </w:r>
    </w:p>
  </w:footnote>
  <w:footnote w:id="1">
    <w:p w14:paraId="1E1FB3CA" w14:textId="61E4C4A1" w:rsidR="0055036A" w:rsidRPr="003029F8" w:rsidRDefault="0055036A" w:rsidP="00E211D8">
      <w:pPr>
        <w:pStyle w:val="FootnoteText"/>
        <w:rPr>
          <w:lang w:val="fr-CA"/>
        </w:rPr>
      </w:pPr>
      <w:r>
        <w:rPr>
          <w:rStyle w:val="FootnoteReference"/>
        </w:rPr>
        <w:footnoteRef/>
      </w:r>
      <w:r w:rsidRPr="003029F8">
        <w:rPr>
          <w:lang w:val="fr-CA"/>
        </w:rPr>
        <w:t xml:space="preserve"> </w:t>
      </w:r>
      <w:r w:rsidRPr="0004647F">
        <w:rPr>
          <w:lang w:val="fr-CA"/>
        </w:rPr>
        <w:t>Des réunions en ligne et un processus d’approbation intersessio</w:t>
      </w:r>
      <w:r>
        <w:rPr>
          <w:lang w:val="fr-CA"/>
        </w:rPr>
        <w:t xml:space="preserve">ns se tiendront </w:t>
      </w:r>
      <w:r w:rsidRPr="0004647F">
        <w:rPr>
          <w:lang w:val="fr-CA"/>
        </w:rPr>
        <w:t>e</w:t>
      </w:r>
      <w:r>
        <w:rPr>
          <w:lang w:val="fr-CA"/>
        </w:rPr>
        <w:t>n juin et juillet 2021 à cause du coronaviru</w:t>
      </w:r>
      <w:r w:rsidRPr="0004647F">
        <w:rPr>
          <w:lang w:val="fr-CA"/>
        </w:rPr>
        <w:t>s</w:t>
      </w:r>
      <w:r>
        <w:rPr>
          <w:lang w:val="fr-CA"/>
        </w:rPr>
        <w:t xml:space="preserve"> (COVID-19)</w:t>
      </w:r>
    </w:p>
  </w:footnote>
  <w:footnote w:id="2">
    <w:p w14:paraId="4C3AE3EF" w14:textId="1A0E4129" w:rsidR="0055036A" w:rsidRDefault="0055036A" w:rsidP="00C42D62">
      <w:pPr>
        <w:pStyle w:val="FootnoteText"/>
        <w:rPr>
          <w:lang w:val="fr-CA"/>
        </w:rPr>
      </w:pPr>
      <w:r>
        <w:rPr>
          <w:rStyle w:val="FootnoteReference"/>
        </w:rPr>
        <w:footnoteRef/>
      </w:r>
      <w:r w:rsidRPr="00CC1480">
        <w:rPr>
          <w:lang w:val="fr-CA"/>
        </w:rPr>
        <w:t xml:space="preserve"> Décision 80/76 a) iv), conformément au mandat donné en vertu du paragraphe 15 c) de la décision XXVIII/2.</w:t>
      </w:r>
    </w:p>
    <w:p w14:paraId="2FE69118" w14:textId="1F59B068" w:rsidR="0055036A" w:rsidRDefault="0055036A" w:rsidP="00C42D62">
      <w:pPr>
        <w:pStyle w:val="FootnoteText"/>
        <w:rPr>
          <w:lang w:val="fr-CA"/>
        </w:rPr>
      </w:pPr>
    </w:p>
    <w:p w14:paraId="4ED14A0A" w14:textId="77777777" w:rsidR="0055036A" w:rsidRPr="00CC1480" w:rsidRDefault="0055036A" w:rsidP="00C42D62">
      <w:pPr>
        <w:pStyle w:val="FootnoteText"/>
        <w:rPr>
          <w:lang w:val="fr-CA"/>
        </w:rPr>
      </w:pPr>
    </w:p>
  </w:footnote>
  <w:footnote w:id="3">
    <w:p w14:paraId="0A4714EE" w14:textId="2530E7E3" w:rsidR="0055036A" w:rsidRPr="00CC1480" w:rsidRDefault="0055036A" w:rsidP="00C42D62">
      <w:pPr>
        <w:pStyle w:val="FootnoteText"/>
        <w:rPr>
          <w:lang w:val="fr-CA"/>
        </w:rPr>
      </w:pPr>
      <w:r>
        <w:rPr>
          <w:rStyle w:val="FootnoteReference"/>
        </w:rPr>
        <w:footnoteRef/>
      </w:r>
      <w:r w:rsidRPr="00CC1480">
        <w:rPr>
          <w:lang w:val="fr-CA"/>
        </w:rPr>
        <w:t xml:space="preserve"> Le document doit tenir compte des documents de politique antérieurs, des études de cas, des analyses de suivi et évaluation et des travaux entrepris par les agences bilatérales et d'exécution pour le développement et la mise en œuvre de programmes de formation et d'assistance technique, plus particulièrement le partenariat que le Programme d'aide à la conformité a formé avec les instituts de formation et de certification reconnus mondialement; et doit fournir l'analyse des capacités existantes des pays visés à l'article 5 grâce à l'assistance financière approuvée à ce jour pour le secteur de l'entretien de l'équipement de réfrigération et la façon dont cette capacité pourrait être utilisée pour la réduction progressive des HFC, et l'information minimale nécessaire pour l'élaboration de programmes de formation et de certification à l'intention des techniciens en entretien et des agents des douanes.</w:t>
      </w:r>
    </w:p>
  </w:footnote>
  <w:footnote w:id="4">
    <w:p w14:paraId="4CFE2324" w14:textId="58429EA3" w:rsidR="0055036A" w:rsidRPr="00CC1480" w:rsidRDefault="0055036A" w:rsidP="00C42D62">
      <w:pPr>
        <w:pStyle w:val="FootnoteText"/>
        <w:rPr>
          <w:lang w:val="fr-CA"/>
        </w:rPr>
      </w:pPr>
      <w:r>
        <w:rPr>
          <w:rStyle w:val="FootnoteReference"/>
        </w:rPr>
        <w:footnoteRef/>
      </w:r>
      <w:r w:rsidRPr="00CC1480">
        <w:rPr>
          <w:lang w:val="fr-CA"/>
        </w:rPr>
        <w:t xml:space="preserve"> Montréal, 25</w:t>
      </w:r>
      <w:r w:rsidRPr="00CC1480">
        <w:rPr>
          <w:lang w:val="fr-CA"/>
        </w:rPr>
        <w:noBreakHyphen/>
        <w:t>27 février 2020.</w:t>
      </w:r>
    </w:p>
  </w:footnote>
  <w:footnote w:id="5">
    <w:p w14:paraId="5A721263" w14:textId="4C523C3E" w:rsidR="0055036A" w:rsidRPr="004B554F" w:rsidRDefault="0055036A" w:rsidP="004B554F">
      <w:pPr>
        <w:pStyle w:val="FootnoteText"/>
        <w:rPr>
          <w:lang w:val="fr-CA"/>
        </w:rPr>
      </w:pPr>
      <w:r>
        <w:rPr>
          <w:rStyle w:val="FootnoteReference"/>
        </w:rPr>
        <w:footnoteRef/>
      </w:r>
      <w:r w:rsidRPr="004B554F">
        <w:rPr>
          <w:lang w:val="fr-CA"/>
        </w:rPr>
        <w:t xml:space="preserve"> </w:t>
      </w:r>
      <w:r w:rsidR="00D26F08" w:rsidRPr="004B554F">
        <w:rPr>
          <w:lang w:val="fr-CA"/>
        </w:rPr>
        <w:t xml:space="preserve">Le </w:t>
      </w:r>
      <w:r w:rsidR="004B554F" w:rsidRPr="004B554F">
        <w:rPr>
          <w:lang w:val="fr-CA"/>
        </w:rPr>
        <w:t>présent</w:t>
      </w:r>
      <w:r w:rsidR="00D26F08" w:rsidRPr="004B554F">
        <w:rPr>
          <w:lang w:val="fr-CA"/>
        </w:rPr>
        <w:t xml:space="preserve"> document aurait </w:t>
      </w:r>
      <w:r w:rsidR="004B554F" w:rsidRPr="004B554F">
        <w:rPr>
          <w:lang w:val="fr-CA"/>
        </w:rPr>
        <w:t>dû</w:t>
      </w:r>
      <w:r w:rsidR="00D26F08" w:rsidRPr="004B554F">
        <w:rPr>
          <w:lang w:val="fr-CA"/>
        </w:rPr>
        <w:t xml:space="preserve"> </w:t>
      </w:r>
      <w:r w:rsidR="004B554F" w:rsidRPr="004B554F">
        <w:rPr>
          <w:lang w:val="fr-CA"/>
        </w:rPr>
        <w:t>être</w:t>
      </w:r>
      <w:r w:rsidR="00D26F08" w:rsidRPr="004B554F">
        <w:rPr>
          <w:lang w:val="fr-CA"/>
        </w:rPr>
        <w:t xml:space="preserve"> présenté </w:t>
      </w:r>
      <w:r w:rsidR="004B554F" w:rsidRPr="004B554F">
        <w:rPr>
          <w:lang w:val="fr-CA"/>
        </w:rPr>
        <w:t>à</w:t>
      </w:r>
      <w:r w:rsidR="00D26F08" w:rsidRPr="004B554F">
        <w:rPr>
          <w:lang w:val="fr-CA"/>
        </w:rPr>
        <w:t xml:space="preserve"> la 85e </w:t>
      </w:r>
      <w:r w:rsidR="004B554F" w:rsidRPr="004B554F">
        <w:rPr>
          <w:lang w:val="fr-CA"/>
        </w:rPr>
        <w:t>réunion</w:t>
      </w:r>
      <w:r w:rsidR="00D26F08" w:rsidRPr="004B554F">
        <w:rPr>
          <w:lang w:val="fr-CA"/>
        </w:rPr>
        <w:t xml:space="preserve">; </w:t>
      </w:r>
      <w:r w:rsidR="004B554F" w:rsidRPr="004B554F">
        <w:rPr>
          <w:lang w:val="fr-CA"/>
        </w:rPr>
        <w:t xml:space="preserve">son </w:t>
      </w:r>
      <w:r w:rsidR="00D26F08" w:rsidRPr="004B554F">
        <w:rPr>
          <w:lang w:val="fr-CA"/>
        </w:rPr>
        <w:t xml:space="preserve">examen a été reporté </w:t>
      </w:r>
      <w:r w:rsidR="004B554F" w:rsidRPr="004B554F">
        <w:rPr>
          <w:lang w:val="fr-CA"/>
        </w:rPr>
        <w:t>à</w:t>
      </w:r>
      <w:r w:rsidR="00D26F08" w:rsidRPr="004B554F">
        <w:rPr>
          <w:lang w:val="fr-CA"/>
        </w:rPr>
        <w:t xml:space="preserve"> la 87e, selon les </w:t>
      </w:r>
      <w:r w:rsidR="004B554F" w:rsidRPr="004B554F">
        <w:rPr>
          <w:lang w:val="fr-CA"/>
        </w:rPr>
        <w:t>procédures</w:t>
      </w:r>
      <w:r w:rsidR="00D26F08" w:rsidRPr="004B554F">
        <w:rPr>
          <w:lang w:val="fr-CA"/>
        </w:rPr>
        <w:t xml:space="preserve"> convenues </w:t>
      </w:r>
      <w:r w:rsidR="004B554F" w:rsidRPr="004B554F">
        <w:rPr>
          <w:lang w:val="fr-CA"/>
        </w:rPr>
        <w:t>de</w:t>
      </w:r>
      <w:r w:rsidR="00D26F08" w:rsidRPr="004B554F">
        <w:rPr>
          <w:lang w:val="fr-CA"/>
        </w:rPr>
        <w:t xml:space="preserve"> tenir les 85</w:t>
      </w:r>
      <w:r w:rsidR="00D26F08" w:rsidRPr="004B554F">
        <w:rPr>
          <w:vertAlign w:val="superscript"/>
          <w:lang w:val="fr-CA"/>
        </w:rPr>
        <w:t>e</w:t>
      </w:r>
      <w:r w:rsidR="004B554F">
        <w:rPr>
          <w:lang w:val="fr-CA"/>
        </w:rPr>
        <w:t xml:space="preserve"> </w:t>
      </w:r>
      <w:r w:rsidR="00D26F08" w:rsidRPr="004B554F">
        <w:rPr>
          <w:lang w:val="fr-CA"/>
        </w:rPr>
        <w:t>et 86</w:t>
      </w:r>
      <w:r w:rsidR="00D26F08" w:rsidRPr="004B554F">
        <w:rPr>
          <w:vertAlign w:val="superscript"/>
          <w:lang w:val="fr-CA"/>
        </w:rPr>
        <w:t>e</w:t>
      </w:r>
      <w:r w:rsidR="004B554F">
        <w:rPr>
          <w:lang w:val="fr-CA"/>
        </w:rPr>
        <w:t xml:space="preserve"> </w:t>
      </w:r>
      <w:r w:rsidR="00D26F08" w:rsidRPr="004B554F">
        <w:rPr>
          <w:lang w:val="fr-CA"/>
        </w:rPr>
        <w:t>r</w:t>
      </w:r>
      <w:r w:rsidR="004B554F" w:rsidRPr="004B554F">
        <w:rPr>
          <w:lang w:val="fr-CA"/>
        </w:rPr>
        <w:t>é</w:t>
      </w:r>
      <w:r w:rsidR="00D26F08" w:rsidRPr="004B554F">
        <w:rPr>
          <w:lang w:val="fr-CA"/>
        </w:rPr>
        <w:t xml:space="preserve">unions </w:t>
      </w:r>
      <w:r w:rsidR="004B554F" w:rsidRPr="004B554F">
        <w:rPr>
          <w:lang w:val="fr-CA"/>
        </w:rPr>
        <w:t>compte tenu de la pandémie du Covid</w:t>
      </w:r>
      <w:r w:rsidR="004B554F" w:rsidRPr="004B554F">
        <w:rPr>
          <w:lang w:val="fr-CA"/>
        </w:rPr>
        <w:noBreakHyphen/>
        <w:t>19.</w:t>
      </w:r>
    </w:p>
  </w:footnote>
  <w:footnote w:id="6">
    <w:p w14:paraId="5622ED04" w14:textId="77777777" w:rsidR="0055036A" w:rsidRPr="00AA6F65" w:rsidRDefault="0055036A" w:rsidP="00C42D62">
      <w:pPr>
        <w:pStyle w:val="FootnoteText"/>
        <w:rPr>
          <w:lang w:val="fr-CA"/>
        </w:rPr>
      </w:pPr>
      <w:r>
        <w:rPr>
          <w:rStyle w:val="FootnoteReference"/>
        </w:rPr>
        <w:footnoteRef/>
      </w:r>
      <w:r w:rsidRPr="00AA6F65">
        <w:rPr>
          <w:lang w:val="fr-CA"/>
        </w:rPr>
        <w:t xml:space="preserve"> UNEP/OzL.Pro/ExCom/82/66</w:t>
      </w:r>
    </w:p>
  </w:footnote>
  <w:footnote w:id="7">
    <w:p w14:paraId="14EB9DE7" w14:textId="77777777" w:rsidR="0055036A" w:rsidRPr="00CC1480" w:rsidRDefault="0055036A" w:rsidP="00C42D62">
      <w:pPr>
        <w:pStyle w:val="FootnoteText"/>
        <w:rPr>
          <w:lang w:val="fr-CA"/>
        </w:rPr>
      </w:pPr>
      <w:r>
        <w:rPr>
          <w:rStyle w:val="FootnoteReference"/>
        </w:rPr>
        <w:footnoteRef/>
      </w:r>
      <w:r w:rsidRPr="00CC1480">
        <w:rPr>
          <w:lang w:val="fr-CA"/>
        </w:rPr>
        <w:t xml:space="preserve"> UNEP/OzL.Pro/ExCom/84/65</w:t>
      </w:r>
    </w:p>
  </w:footnote>
  <w:footnote w:id="8">
    <w:p w14:paraId="2E156C87" w14:textId="773FBF10" w:rsidR="0055036A" w:rsidRPr="00CC1480" w:rsidRDefault="0055036A" w:rsidP="00C42D62">
      <w:pPr>
        <w:pStyle w:val="FootnoteText"/>
        <w:rPr>
          <w:lang w:val="fr-CA"/>
        </w:rPr>
      </w:pPr>
      <w:r>
        <w:rPr>
          <w:rStyle w:val="FootnoteReference"/>
        </w:rPr>
        <w:footnoteRef/>
      </w:r>
      <w:r w:rsidRPr="00CC1480">
        <w:rPr>
          <w:lang w:val="fr-CA"/>
        </w:rPr>
        <w:t xml:space="preserve"> Au cours des discussions concernant le document UNEP/OzL.Pro/ExCom/84/65, des membres du Comité ont souligné le potentiel de synergies des activités d’élimination des HCFC et de réduction progressive des HFC dans le secteur de l’entretien de l’équipement de réfrigération, tout en notant les possibilités offertes dans les secteurs </w:t>
      </w:r>
      <w:r>
        <w:rPr>
          <w:lang w:val="fr-CA"/>
        </w:rPr>
        <w:t xml:space="preserve">manufacturiers </w:t>
      </w:r>
      <w:r w:rsidRPr="00CC1480">
        <w:rPr>
          <w:lang w:val="fr-CA"/>
        </w:rPr>
        <w:t xml:space="preserve">de la mousse, des climatiseurs de salle et </w:t>
      </w:r>
      <w:r>
        <w:rPr>
          <w:lang w:val="fr-CA"/>
        </w:rPr>
        <w:t>de</w:t>
      </w:r>
      <w:r w:rsidRPr="00CC1480">
        <w:rPr>
          <w:lang w:val="fr-CA"/>
        </w:rPr>
        <w:t xml:space="preserve">s refroidisseurs et appareils de réfrigération à usage commercial; et se sont également montrés intéressés à poursuivre les discussions sur les façons d’appuyer une approche </w:t>
      </w:r>
      <w:r>
        <w:rPr>
          <w:lang w:val="fr-CA"/>
        </w:rPr>
        <w:t xml:space="preserve">d’un bon rapport coût-efficacité </w:t>
      </w:r>
      <w:r w:rsidRPr="00CC1480">
        <w:rPr>
          <w:lang w:val="fr-CA"/>
        </w:rPr>
        <w:t>pour les activités d’élimination des HCFC et de réduction progressive des HFC.</w:t>
      </w:r>
    </w:p>
  </w:footnote>
  <w:footnote w:id="9">
    <w:p w14:paraId="06F14712" w14:textId="59BA5722" w:rsidR="0055036A" w:rsidRPr="0055036A" w:rsidRDefault="0055036A" w:rsidP="0055036A">
      <w:pPr>
        <w:pStyle w:val="FootnoteText"/>
        <w:rPr>
          <w:lang w:val="fr-CA"/>
        </w:rPr>
      </w:pPr>
      <w:r>
        <w:rPr>
          <w:rStyle w:val="FootnoteReference"/>
        </w:rPr>
        <w:footnoteRef/>
      </w:r>
      <w:r w:rsidRPr="00CC1480">
        <w:rPr>
          <w:lang w:val="fr-CA"/>
        </w:rPr>
        <w:t xml:space="preserve"> UNEP/OzL.Pro/ExCom/86/87</w:t>
      </w:r>
      <w:r>
        <w:rPr>
          <w:lang w:val="fr-CA"/>
        </w:rPr>
        <w:t>. Le document a été de nouveau présenté à la 87</w:t>
      </w:r>
      <w:r w:rsidRPr="0055036A">
        <w:rPr>
          <w:vertAlign w:val="superscript"/>
          <w:lang w:val="fr-CA"/>
        </w:rPr>
        <w:t>e</w:t>
      </w:r>
      <w:r>
        <w:rPr>
          <w:lang w:val="fr-CA"/>
        </w:rPr>
        <w:t xml:space="preserve"> réunion portant le numéro </w:t>
      </w:r>
      <w:r w:rsidRPr="00CC1480">
        <w:rPr>
          <w:lang w:val="fr-CA"/>
        </w:rPr>
        <w:t>UNEP/OzL.Pro/ExCom/</w:t>
      </w:r>
      <w:r>
        <w:rPr>
          <w:lang w:val="fr-CA"/>
        </w:rPr>
        <w:t>87</w:t>
      </w:r>
      <w:r w:rsidRPr="0055036A">
        <w:rPr>
          <w:lang w:val="fr-CA"/>
        </w:rPr>
        <w:t>/45.</w:t>
      </w:r>
    </w:p>
  </w:footnote>
  <w:footnote w:id="10">
    <w:p w14:paraId="714030B6" w14:textId="777EE30A" w:rsidR="0055036A" w:rsidRPr="00CC1480" w:rsidRDefault="0055036A" w:rsidP="00093025">
      <w:pPr>
        <w:pStyle w:val="FootnoteText"/>
        <w:rPr>
          <w:lang w:val="fr-CA"/>
        </w:rPr>
      </w:pPr>
      <w:r>
        <w:rPr>
          <w:rStyle w:val="FootnoteReference"/>
        </w:rPr>
        <w:footnoteRef/>
      </w:r>
      <w:r w:rsidRPr="00CC1480">
        <w:rPr>
          <w:lang w:val="fr-CA"/>
        </w:rPr>
        <w:t xml:space="preserve"> UNEP/OzL.Pro/ExCom/86/88</w:t>
      </w:r>
      <w:r w:rsidR="00093025">
        <w:rPr>
          <w:lang w:val="fr-CA"/>
        </w:rPr>
        <w:t>. Le document a été de nouveau présenté à la 87</w:t>
      </w:r>
      <w:r w:rsidR="00093025" w:rsidRPr="0055036A">
        <w:rPr>
          <w:vertAlign w:val="superscript"/>
          <w:lang w:val="fr-CA"/>
        </w:rPr>
        <w:t>e</w:t>
      </w:r>
      <w:r w:rsidR="00093025">
        <w:rPr>
          <w:lang w:val="fr-CA"/>
        </w:rPr>
        <w:t xml:space="preserve"> réunion portant le numéro </w:t>
      </w:r>
      <w:r w:rsidR="00093025" w:rsidRPr="00CC1480">
        <w:rPr>
          <w:lang w:val="fr-CA"/>
        </w:rPr>
        <w:t>UNEP/OzL.Pro/ExCom/</w:t>
      </w:r>
      <w:r w:rsidR="00093025">
        <w:rPr>
          <w:lang w:val="fr-CA"/>
        </w:rPr>
        <w:t>87/46</w:t>
      </w:r>
      <w:r w:rsidR="00093025" w:rsidRPr="0055036A">
        <w:rPr>
          <w:lang w:val="fr-CA"/>
        </w:rPr>
        <w:t>.</w:t>
      </w:r>
    </w:p>
  </w:footnote>
  <w:footnote w:id="11">
    <w:p w14:paraId="76EB87C1" w14:textId="6666EAC4" w:rsidR="000C08EA" w:rsidRPr="000C08EA" w:rsidRDefault="000C08EA" w:rsidP="00AA6F65">
      <w:pPr>
        <w:pStyle w:val="FootnoteText"/>
        <w:rPr>
          <w:lang w:val="en-US"/>
        </w:rPr>
      </w:pPr>
      <w:r>
        <w:rPr>
          <w:rStyle w:val="FootnoteReference"/>
        </w:rPr>
        <w:footnoteRef/>
      </w:r>
      <w:r w:rsidR="00AA6F65">
        <w:rPr>
          <w:lang w:val="fr-CA"/>
        </w:rPr>
        <w:t xml:space="preserve"> </w:t>
      </w:r>
      <w:r w:rsidR="00AA6F65" w:rsidRPr="00F53107">
        <w:rPr>
          <w:lang w:val="fr-CA"/>
        </w:rPr>
        <w:t>À sa 86</w:t>
      </w:r>
      <w:r w:rsidR="00AA6F65" w:rsidRPr="00F53107">
        <w:rPr>
          <w:vertAlign w:val="superscript"/>
          <w:lang w:val="fr-CA"/>
        </w:rPr>
        <w:t>e</w:t>
      </w:r>
      <w:r w:rsidR="00AA6F65" w:rsidRPr="00F53107">
        <w:rPr>
          <w:lang w:val="fr-CA"/>
        </w:rPr>
        <w:t xml:space="preserve"> réunion, le Comité exécutif a discuté du document contenant le projet de lignes dir</w:t>
      </w:r>
      <w:r w:rsidR="00AA6F65">
        <w:rPr>
          <w:lang w:val="fr-CA"/>
        </w:rPr>
        <w:t xml:space="preserve">ectrices en séance plénière, et ensuite dans des réunions du groupe de contact. </w:t>
      </w:r>
      <w:r w:rsidR="00AA6F65" w:rsidRPr="00F53107">
        <w:rPr>
          <w:lang w:val="fr-CA"/>
        </w:rPr>
        <w:t>Le groupe de contact n’ayant pas été en mesure de parvenir à une conclusion, le Comité exécutif a décidé de poursuivre l’examen du projet de lignes dir</w:t>
      </w:r>
      <w:r w:rsidR="00AA6F65">
        <w:rPr>
          <w:lang w:val="fr-CA"/>
        </w:rPr>
        <w:t>e</w:t>
      </w:r>
      <w:r w:rsidR="00AA6F65" w:rsidRPr="00F53107">
        <w:rPr>
          <w:lang w:val="fr-CA"/>
        </w:rPr>
        <w:t xml:space="preserve">ctrices sur la préparation des plans de réduction progressive des HFC pour les pays visés </w:t>
      </w:r>
      <w:r w:rsidR="00AA6F65">
        <w:rPr>
          <w:lang w:val="fr-CA"/>
        </w:rPr>
        <w:t>à l’article 5 à sa 87</w:t>
      </w:r>
      <w:r w:rsidR="00AA6F65" w:rsidRPr="00F53107">
        <w:rPr>
          <w:vertAlign w:val="superscript"/>
          <w:lang w:val="fr-CA"/>
        </w:rPr>
        <w:t>e</w:t>
      </w:r>
      <w:r w:rsidR="00AA6F65">
        <w:rPr>
          <w:lang w:val="fr-CA"/>
        </w:rPr>
        <w:t xml:space="preserve"> réunion, à partir du document de travail produit par le groupe de contact constitué à la 86</w:t>
      </w:r>
      <w:r w:rsidR="00AA6F65" w:rsidRPr="00F53107">
        <w:rPr>
          <w:vertAlign w:val="superscript"/>
          <w:lang w:val="fr-CA"/>
        </w:rPr>
        <w:t>e</w:t>
      </w:r>
      <w:r w:rsidR="00AA6F65">
        <w:rPr>
          <w:lang w:val="fr-CA"/>
        </w:rPr>
        <w:t xml:space="preserve"> réunion, tel que contenu dans </w:t>
      </w:r>
      <w:r w:rsidR="00AA6F65" w:rsidRPr="00F53107">
        <w:rPr>
          <w:lang w:val="fr-CA"/>
        </w:rPr>
        <w:t>l’Annexe</w:t>
      </w:r>
      <w:r w:rsidR="00AA6F65">
        <w:rPr>
          <w:lang w:val="fr-CA"/>
        </w:rPr>
        <w:t xml:space="preserve"> XLVII </w:t>
      </w:r>
      <w:r w:rsidR="00AA6F65" w:rsidRPr="00F53107">
        <w:rPr>
          <w:lang w:val="fr-CA"/>
        </w:rPr>
        <w:t>au rapport de la 86</w:t>
      </w:r>
      <w:r w:rsidR="00AA6F65" w:rsidRPr="00F53107">
        <w:rPr>
          <w:vertAlign w:val="superscript"/>
          <w:lang w:val="fr-CA"/>
        </w:rPr>
        <w:t>e</w:t>
      </w:r>
      <w:r w:rsidR="00AA6F65" w:rsidRPr="00F53107">
        <w:rPr>
          <w:lang w:val="fr-CA"/>
        </w:rPr>
        <w:t xml:space="preserve"> réunion (décision 86/93). Le document sur le projet de lignes directrices, présenté à la 87</w:t>
      </w:r>
      <w:r w:rsidR="00AA6F65" w:rsidRPr="00F53107">
        <w:rPr>
          <w:vertAlign w:val="superscript"/>
          <w:lang w:val="fr-CA"/>
        </w:rPr>
        <w:t>e</w:t>
      </w:r>
      <w:r w:rsidR="00AA6F65" w:rsidRPr="00F53107">
        <w:rPr>
          <w:lang w:val="fr-CA"/>
        </w:rPr>
        <w:t xml:space="preserve"> réunion</w:t>
      </w:r>
      <w:r w:rsidR="00AA6F65">
        <w:rPr>
          <w:lang w:val="fr-CA"/>
        </w:rPr>
        <w:t xml:space="preserve"> (UNEP/OzL.Pro/ExCom/87/46),</w:t>
      </w:r>
      <w:r w:rsidR="00AA6F65" w:rsidRPr="00F53107">
        <w:rPr>
          <w:lang w:val="fr-CA"/>
        </w:rPr>
        <w:t xml:space="preserve"> </w:t>
      </w:r>
      <w:r w:rsidR="00AA6F65">
        <w:rPr>
          <w:lang w:val="fr-CA"/>
        </w:rPr>
        <w:t xml:space="preserve">inclut </w:t>
      </w:r>
      <w:r w:rsidR="00AA6F65" w:rsidRPr="00F53107">
        <w:rPr>
          <w:i/>
          <w:iCs/>
          <w:lang w:val="fr-CA"/>
        </w:rPr>
        <w:t>e</w:t>
      </w:r>
      <w:r w:rsidR="00AA6F65">
        <w:rPr>
          <w:i/>
          <w:iCs/>
          <w:lang w:val="fr-CA"/>
        </w:rPr>
        <w:t>ntre</w:t>
      </w:r>
      <w:r w:rsidR="00AA6F65" w:rsidRPr="00F53107">
        <w:rPr>
          <w:i/>
          <w:iCs/>
          <w:lang w:val="fr-CA"/>
        </w:rPr>
        <w:t xml:space="preserve"> autres, </w:t>
      </w:r>
      <w:r w:rsidR="00AA6F65" w:rsidRPr="00F53107">
        <w:rPr>
          <w:lang w:val="fr-CA"/>
        </w:rPr>
        <w:t xml:space="preserve">les délibérations du Comité exécutif </w:t>
      </w:r>
      <w:r w:rsidR="00AA6F65">
        <w:rPr>
          <w:lang w:val="fr-CA"/>
        </w:rPr>
        <w:t xml:space="preserve">sur cette question lors de </w:t>
      </w:r>
      <w:r w:rsidR="00AA6F65" w:rsidRPr="00F53107">
        <w:rPr>
          <w:lang w:val="fr-CA"/>
        </w:rPr>
        <w:t>sa 86</w:t>
      </w:r>
      <w:r w:rsidR="00AA6F65" w:rsidRPr="00F53107">
        <w:rPr>
          <w:vertAlign w:val="superscript"/>
          <w:lang w:val="fr-CA"/>
        </w:rPr>
        <w:t>e</w:t>
      </w:r>
      <w:r w:rsidR="00AA6F65" w:rsidRPr="00F53107">
        <w:rPr>
          <w:lang w:val="fr-CA"/>
        </w:rPr>
        <w:t xml:space="preserve"> réunion.</w:t>
      </w:r>
    </w:p>
  </w:footnote>
  <w:footnote w:id="12">
    <w:p w14:paraId="4699B8A4" w14:textId="60474F31" w:rsidR="0055036A" w:rsidRPr="000C08EA" w:rsidRDefault="0055036A" w:rsidP="00CB19F3">
      <w:pPr>
        <w:pStyle w:val="FootnoteText"/>
        <w:rPr>
          <w:lang w:val="en-US"/>
        </w:rPr>
      </w:pPr>
      <w:r>
        <w:rPr>
          <w:rStyle w:val="FootnoteReference"/>
        </w:rPr>
        <w:footnoteRef/>
      </w:r>
      <w:r w:rsidR="00CB19F3">
        <w:rPr>
          <w:lang w:val="en-US"/>
        </w:rPr>
        <w:t xml:space="preserve"> UNEP/OzL.Pro/ExCom/87</w:t>
      </w:r>
      <w:r w:rsidRPr="000C08EA">
        <w:rPr>
          <w:lang w:val="en-US"/>
        </w:rPr>
        <w:t>/</w:t>
      </w:r>
      <w:r w:rsidR="00CB19F3">
        <w:rPr>
          <w:lang w:val="en-US"/>
        </w:rPr>
        <w:t>50</w:t>
      </w:r>
    </w:p>
  </w:footnote>
  <w:footnote w:id="13">
    <w:p w14:paraId="124D559B" w14:textId="54B3C8AD" w:rsidR="0055036A" w:rsidRPr="00CB19F3" w:rsidRDefault="0055036A" w:rsidP="00CB19F3">
      <w:pPr>
        <w:pStyle w:val="FootnoteText"/>
        <w:rPr>
          <w:lang w:val="en-US"/>
        </w:rPr>
      </w:pPr>
      <w:r>
        <w:rPr>
          <w:rStyle w:val="FootnoteReference"/>
        </w:rPr>
        <w:footnoteRef/>
      </w:r>
      <w:r w:rsidRPr="00CB19F3">
        <w:rPr>
          <w:lang w:val="en-US"/>
        </w:rPr>
        <w:t xml:space="preserve"> UNEP/OzL.Pro/ExCom/</w:t>
      </w:r>
      <w:r w:rsidR="00CB19F3" w:rsidRPr="00CB19F3">
        <w:rPr>
          <w:lang w:val="en-US"/>
        </w:rPr>
        <w:t>87</w:t>
      </w:r>
      <w:r w:rsidR="00CB19F3">
        <w:rPr>
          <w:lang w:val="en-US"/>
        </w:rPr>
        <w:t>/48</w:t>
      </w:r>
    </w:p>
  </w:footnote>
  <w:footnote w:id="14">
    <w:p w14:paraId="3BD9CF9C" w14:textId="77777777" w:rsidR="0055036A" w:rsidRPr="00AA6F65" w:rsidRDefault="0055036A" w:rsidP="00C42D62">
      <w:pPr>
        <w:pStyle w:val="FootnoteText"/>
        <w:rPr>
          <w:lang w:val="en-US"/>
        </w:rPr>
      </w:pPr>
      <w:r>
        <w:rPr>
          <w:rStyle w:val="FootnoteReference"/>
        </w:rPr>
        <w:footnoteRef/>
      </w:r>
      <w:r w:rsidRPr="00AA6F65">
        <w:rPr>
          <w:lang w:val="en-US"/>
        </w:rPr>
        <w:t xml:space="preserve"> UNEP/OzL.Pro/ExCom/78/6</w:t>
      </w:r>
    </w:p>
  </w:footnote>
  <w:footnote w:id="15">
    <w:p w14:paraId="2FC3B51D" w14:textId="77777777" w:rsidR="0055036A" w:rsidRPr="00AA6F65" w:rsidRDefault="0055036A" w:rsidP="005A5A1E">
      <w:pPr>
        <w:pStyle w:val="FootnoteText"/>
        <w:rPr>
          <w:lang w:val="en-US"/>
        </w:rPr>
      </w:pPr>
      <w:r>
        <w:rPr>
          <w:rStyle w:val="FootnoteReference"/>
        </w:rPr>
        <w:footnoteRef/>
      </w:r>
      <w:r w:rsidRPr="00AA6F65">
        <w:rPr>
          <w:lang w:val="en-US"/>
        </w:rPr>
        <w:t xml:space="preserve"> UNEP/OzL.Pro/ExCom/86/8</w:t>
      </w:r>
    </w:p>
  </w:footnote>
  <w:footnote w:id="16">
    <w:p w14:paraId="0207E332" w14:textId="24802413" w:rsidR="0055036A" w:rsidRPr="00CC1480" w:rsidRDefault="0055036A" w:rsidP="005A5A1E">
      <w:pPr>
        <w:pStyle w:val="FootnoteText"/>
        <w:rPr>
          <w:lang w:val="fr-CA"/>
        </w:rPr>
      </w:pPr>
      <w:r>
        <w:rPr>
          <w:rStyle w:val="FootnoteReference"/>
        </w:rPr>
        <w:footnoteRef/>
      </w:r>
      <w:r w:rsidRPr="00CC1480">
        <w:rPr>
          <w:lang w:val="fr-CA"/>
        </w:rPr>
        <w:t xml:space="preserve"> Le document UNEP/OzL.Pro/ExCom/82/64 présente un sommaire détaillé des activités mises en œuvre dans le secteur de l’entretien de l’équipement de réfrigération. </w:t>
      </w:r>
    </w:p>
  </w:footnote>
  <w:footnote w:id="17">
    <w:p w14:paraId="03A3977C" w14:textId="4A550B37" w:rsidR="0055036A" w:rsidRPr="00CC1480" w:rsidRDefault="0055036A" w:rsidP="005A5A1E">
      <w:pPr>
        <w:pStyle w:val="FootnoteText"/>
        <w:rPr>
          <w:lang w:val="fr-CA"/>
        </w:rPr>
      </w:pPr>
      <w:r>
        <w:rPr>
          <w:rStyle w:val="FootnoteReference"/>
        </w:rPr>
        <w:footnoteRef/>
      </w:r>
      <w:r w:rsidRPr="00CC1480">
        <w:rPr>
          <w:lang w:val="fr-CA"/>
        </w:rPr>
        <w:t xml:space="preserve"> Cette section est extraite du document UNEP/OzL.Pro/ExCom/86/87</w:t>
      </w:r>
    </w:p>
  </w:footnote>
  <w:footnote w:id="18">
    <w:p w14:paraId="35F72ADE" w14:textId="47E796D3" w:rsidR="0055036A" w:rsidRPr="00CC1480" w:rsidRDefault="0055036A" w:rsidP="005A5A1E">
      <w:pPr>
        <w:pStyle w:val="FootnoteText"/>
        <w:rPr>
          <w:lang w:val="fr-CA"/>
        </w:rPr>
      </w:pPr>
      <w:r>
        <w:rPr>
          <w:rStyle w:val="FootnoteReference"/>
        </w:rPr>
        <w:footnoteRef/>
      </w:r>
      <w:r w:rsidRPr="00CC1480">
        <w:rPr>
          <w:lang w:val="fr-CA"/>
        </w:rPr>
        <w:t xml:space="preserve"> Ces activités sont décrites en détail dans le document UNEP/OzL.Pro/ExCom/82/64 : formation et certification des techniciens, renforcement des écoles techniques et professionnelles et des associations de réfrigération, stratégies de confinement des frigorigènes, distribution de l’équipement et des outils d’entretien de base, y compris les appareils de récupération et de recyclage, et adoption de normes et codes de pratiques visant à faciliter l’adoption en toute sécurité de frigorigènes inflammables et/ou toxiques à faible PRG.</w:t>
      </w:r>
    </w:p>
  </w:footnote>
  <w:footnote w:id="19">
    <w:p w14:paraId="09161D48" w14:textId="04029063" w:rsidR="00CB19F3" w:rsidRPr="00CA361E" w:rsidRDefault="00CB19F3" w:rsidP="00CA361E">
      <w:pPr>
        <w:pStyle w:val="FootnoteText"/>
        <w:rPr>
          <w:lang w:val="fr-CA"/>
        </w:rPr>
      </w:pPr>
      <w:r>
        <w:rPr>
          <w:rStyle w:val="FootnoteReference"/>
        </w:rPr>
        <w:footnoteRef/>
      </w:r>
      <w:r w:rsidRPr="00CA361E">
        <w:rPr>
          <w:lang w:val="fr-CA"/>
        </w:rPr>
        <w:t xml:space="preserve"> </w:t>
      </w:r>
      <w:r w:rsidR="00CA361E" w:rsidRPr="00CA361E">
        <w:rPr>
          <w:lang w:val="fr-CA"/>
        </w:rPr>
        <w:t>Le document a été de nouveau présenté à la 87</w:t>
      </w:r>
      <w:r w:rsidR="00CA361E" w:rsidRPr="00CA361E">
        <w:rPr>
          <w:vertAlign w:val="superscript"/>
          <w:lang w:val="fr-CA"/>
        </w:rPr>
        <w:t>e</w:t>
      </w:r>
      <w:r w:rsidR="00CA361E" w:rsidRPr="00CA361E">
        <w:rPr>
          <w:lang w:val="fr-CA"/>
        </w:rPr>
        <w:t xml:space="preserve"> réunion portant le numéro</w:t>
      </w:r>
      <w:r w:rsidRPr="00CA361E">
        <w:rPr>
          <w:lang w:val="fr-CA"/>
        </w:rPr>
        <w:t xml:space="preserve"> UNEP/OzL.Pro/ExCom/87/50</w:t>
      </w:r>
      <w:r w:rsidR="00CA361E" w:rsidRPr="00CA361E">
        <w:rPr>
          <w:lang w:val="fr-CA"/>
        </w:rPr>
        <w:t>.</w:t>
      </w:r>
    </w:p>
  </w:footnote>
  <w:footnote w:id="20">
    <w:p w14:paraId="49A5132F" w14:textId="5B412100" w:rsidR="0055036A" w:rsidRPr="00CC1480" w:rsidRDefault="0055036A" w:rsidP="005A5A1E">
      <w:pPr>
        <w:pStyle w:val="FootnoteText"/>
        <w:rPr>
          <w:lang w:val="fr-CA"/>
        </w:rPr>
      </w:pPr>
      <w:r>
        <w:rPr>
          <w:rStyle w:val="FootnoteReference"/>
        </w:rPr>
        <w:footnoteRef/>
      </w:r>
      <w:r w:rsidRPr="00CC1480">
        <w:rPr>
          <w:lang w:val="fr-CA"/>
        </w:rPr>
        <w:t xml:space="preserve"> Des discussions sur la question de l’élimination des substances réglementées indésirables ont été menées depuis la 78</w:t>
      </w:r>
      <w:r w:rsidRPr="00CC1480">
        <w:rPr>
          <w:vertAlign w:val="superscript"/>
          <w:lang w:val="fr-CA"/>
        </w:rPr>
        <w:t>e</w:t>
      </w:r>
      <w:r w:rsidRPr="00CC1480">
        <w:rPr>
          <w:lang w:val="fr-CA"/>
        </w:rPr>
        <w:t xml:space="preserve"> réunion, dans le contexte de l’élaboration des lignes directrices sur les coûts de la réduction progressive des HFC. </w:t>
      </w:r>
    </w:p>
  </w:footnote>
  <w:footnote w:id="21">
    <w:p w14:paraId="5CDDE038" w14:textId="77777777" w:rsidR="0055036A" w:rsidRPr="00CC1480" w:rsidRDefault="0055036A" w:rsidP="005A5A1E">
      <w:pPr>
        <w:pStyle w:val="FootnoteText"/>
        <w:rPr>
          <w:lang w:val="fr-CA"/>
        </w:rPr>
      </w:pPr>
      <w:r>
        <w:rPr>
          <w:rStyle w:val="FootnoteReference"/>
        </w:rPr>
        <w:footnoteRef/>
      </w:r>
      <w:r w:rsidRPr="00CC1480">
        <w:rPr>
          <w:lang w:val="fr-CA"/>
        </w:rPr>
        <w:t xml:space="preserve"> UNEP/OzL.Pro/ExCom/84/11</w:t>
      </w:r>
    </w:p>
  </w:footnote>
  <w:footnote w:id="22">
    <w:p w14:paraId="46EF9EA2" w14:textId="77777777" w:rsidR="0055036A" w:rsidRPr="00CC1480" w:rsidRDefault="0055036A" w:rsidP="005A5A1E">
      <w:pPr>
        <w:pStyle w:val="FootnoteText"/>
        <w:rPr>
          <w:lang w:val="fr-CA"/>
        </w:rPr>
      </w:pPr>
      <w:r>
        <w:rPr>
          <w:rStyle w:val="FootnoteReference"/>
        </w:rPr>
        <w:footnoteRef/>
      </w:r>
      <w:r w:rsidRPr="00CC1480">
        <w:rPr>
          <w:lang w:val="fr-CA"/>
        </w:rPr>
        <w:t xml:space="preserve"> UNEP/OzL.Pro/ExCom/82/21</w:t>
      </w:r>
    </w:p>
  </w:footnote>
  <w:footnote w:id="23">
    <w:p w14:paraId="4A34334E" w14:textId="5E28D67E" w:rsidR="00CB19F3" w:rsidRPr="007479B5" w:rsidRDefault="00CB19F3" w:rsidP="007479B5">
      <w:pPr>
        <w:pStyle w:val="FootnoteText"/>
        <w:rPr>
          <w:lang w:val="fr-CA"/>
        </w:rPr>
      </w:pPr>
      <w:r>
        <w:rPr>
          <w:rStyle w:val="FootnoteReference"/>
        </w:rPr>
        <w:footnoteRef/>
      </w:r>
      <w:r w:rsidRPr="007479B5">
        <w:rPr>
          <w:lang w:val="fr-CA"/>
        </w:rPr>
        <w:t xml:space="preserve"> </w:t>
      </w:r>
      <w:r w:rsidR="007479B5">
        <w:rPr>
          <w:lang w:val="fr-CA"/>
        </w:rPr>
        <w:t>Le document a été de nouveau présenté à la 87</w:t>
      </w:r>
      <w:r w:rsidR="007479B5" w:rsidRPr="0055036A">
        <w:rPr>
          <w:vertAlign w:val="superscript"/>
          <w:lang w:val="fr-CA"/>
        </w:rPr>
        <w:t>e</w:t>
      </w:r>
      <w:r w:rsidR="007479B5">
        <w:rPr>
          <w:lang w:val="fr-CA"/>
        </w:rPr>
        <w:t xml:space="preserve"> réunion portant le </w:t>
      </w:r>
      <w:r w:rsidR="007479B5" w:rsidRPr="007479B5">
        <w:rPr>
          <w:lang w:val="fr-CA"/>
        </w:rPr>
        <w:t>numéro</w:t>
      </w:r>
      <w:r w:rsidRPr="007479B5">
        <w:rPr>
          <w:lang w:val="fr-CA"/>
        </w:rPr>
        <w:t xml:space="preserve"> UNEP/OzL.Pro/ExCom/87/48</w:t>
      </w:r>
      <w:r w:rsidR="007479B5">
        <w:rPr>
          <w:lang w:val="fr-CA"/>
        </w:rPr>
        <w:t>.</w:t>
      </w:r>
    </w:p>
  </w:footnote>
  <w:footnote w:id="24">
    <w:p w14:paraId="71A581F8" w14:textId="7C52E0FD" w:rsidR="0055036A" w:rsidRPr="00CC1480" w:rsidRDefault="0055036A" w:rsidP="005A5A1E">
      <w:pPr>
        <w:pStyle w:val="FootnoteText"/>
        <w:rPr>
          <w:lang w:val="fr-CA"/>
        </w:rPr>
      </w:pPr>
      <w:r>
        <w:rPr>
          <w:rStyle w:val="FootnoteReference"/>
        </w:rPr>
        <w:footnoteRef/>
      </w:r>
      <w:r w:rsidRPr="00CC1480">
        <w:rPr>
          <w:lang w:val="fr-CA"/>
        </w:rPr>
        <w:t xml:space="preserve"> Le paragraphe 65 du document UNEP/OzL.Pro/ExCom/86/87 décrit en détail les avantages associés à une stratégie intégrée dans le secteur de l’entretien de l’équipement de réfrigération. </w:t>
      </w:r>
    </w:p>
  </w:footnote>
  <w:footnote w:id="25">
    <w:p w14:paraId="7577EE1E" w14:textId="6CCA549B" w:rsidR="0055036A" w:rsidRPr="00CC1480" w:rsidRDefault="0055036A" w:rsidP="005A5A1E">
      <w:pPr>
        <w:pStyle w:val="FootnoteText"/>
        <w:rPr>
          <w:lang w:val="fr-CA"/>
        </w:rPr>
      </w:pPr>
      <w:r>
        <w:rPr>
          <w:rStyle w:val="FootnoteReference"/>
        </w:rPr>
        <w:footnoteRef/>
      </w:r>
      <w:r w:rsidRPr="00CC1480">
        <w:rPr>
          <w:lang w:val="fr-CA"/>
        </w:rPr>
        <w:t xml:space="preserve"> Y compris 155,7 millions de dollars US pour un pays.</w:t>
      </w:r>
    </w:p>
  </w:footnote>
  <w:footnote w:id="26">
    <w:p w14:paraId="14F6EBD0" w14:textId="118B9649" w:rsidR="0055036A" w:rsidRPr="00CC1480" w:rsidRDefault="0055036A" w:rsidP="005A5A1E">
      <w:pPr>
        <w:rPr>
          <w:lang w:val="fr-CA"/>
        </w:rPr>
      </w:pPr>
      <w:r w:rsidRPr="007B739B">
        <w:rPr>
          <w:rStyle w:val="FootnoteReference"/>
        </w:rPr>
        <w:footnoteRef/>
      </w:r>
      <w:r w:rsidRPr="00CC1480">
        <w:rPr>
          <w:lang w:val="fr-CA"/>
        </w:rPr>
        <w:t xml:space="preserve"> </w:t>
      </w:r>
      <w:r w:rsidRPr="00CC1480">
        <w:rPr>
          <w:sz w:val="20"/>
          <w:szCs w:val="20"/>
          <w:lang w:val="fr-CA"/>
        </w:rPr>
        <w:t>Entre 2030 et 2040, certains pays visés à l'article 5 pourraient importer des HCFC pour le soutien final à l'entretien, conformément au paragraphe 8 (ter) e) de l'article 5 du Protocole de Montréal.</w:t>
      </w:r>
      <w:r w:rsidRPr="00CC1480">
        <w:rPr>
          <w:lang w:val="fr-CA"/>
        </w:rPr>
        <w:t xml:space="preserve"> </w:t>
      </w:r>
    </w:p>
  </w:footnote>
  <w:footnote w:id="27">
    <w:p w14:paraId="5FC1483A" w14:textId="111F68B1" w:rsidR="0055036A" w:rsidRPr="00CC1480" w:rsidRDefault="0055036A" w:rsidP="005A5A1E">
      <w:pPr>
        <w:pStyle w:val="FootnoteText"/>
        <w:rPr>
          <w:lang w:val="fr-CA"/>
        </w:rPr>
      </w:pPr>
      <w:r>
        <w:rPr>
          <w:rStyle w:val="FootnoteReference"/>
        </w:rPr>
        <w:footnoteRef/>
      </w:r>
      <w:r w:rsidRPr="00CC1480">
        <w:rPr>
          <w:lang w:val="fr-CA"/>
        </w:rPr>
        <w:t xml:space="preserve"> Les pays visés à l’article 5</w:t>
      </w:r>
      <w:r>
        <w:rPr>
          <w:lang w:val="fr-CA"/>
        </w:rPr>
        <w:t xml:space="preserve"> du groupe I</w:t>
      </w:r>
      <w:r w:rsidRPr="00CC1480">
        <w:rPr>
          <w:lang w:val="fr-CA"/>
        </w:rPr>
        <w:t xml:space="preserve">, qui comprennent tous les pays FVC, devront atteindre la réduction de 10 pour cent de leur valeur de référence de consommation de HFC d’ici 2029, et les pays </w:t>
      </w:r>
      <w:r>
        <w:rPr>
          <w:lang w:val="fr-CA"/>
        </w:rPr>
        <w:t>visés</w:t>
      </w:r>
      <w:r w:rsidRPr="00CC1480">
        <w:rPr>
          <w:lang w:val="fr-CA"/>
        </w:rPr>
        <w:t xml:space="preserve"> à l’article 5</w:t>
      </w:r>
      <w:r>
        <w:rPr>
          <w:lang w:val="fr-CA"/>
        </w:rPr>
        <w:t xml:space="preserve"> du groupe II</w:t>
      </w:r>
      <w:r w:rsidRPr="00CC1480">
        <w:rPr>
          <w:lang w:val="fr-CA"/>
        </w:rPr>
        <w:t xml:space="preserve"> d’ici 2032.</w:t>
      </w:r>
    </w:p>
  </w:footnote>
  <w:footnote w:id="28">
    <w:p w14:paraId="14FCC5B8" w14:textId="4975EE77" w:rsidR="0055036A" w:rsidRPr="00CC1480" w:rsidRDefault="0055036A" w:rsidP="005A5A1E">
      <w:pPr>
        <w:pStyle w:val="FootnoteText"/>
        <w:rPr>
          <w:lang w:val="fr-CA"/>
        </w:rPr>
      </w:pPr>
      <w:r>
        <w:rPr>
          <w:rStyle w:val="FootnoteReference"/>
        </w:rPr>
        <w:footnoteRef/>
      </w:r>
      <w:r w:rsidRPr="00CC1480">
        <w:rPr>
          <w:lang w:val="fr-CA"/>
        </w:rPr>
        <w:t xml:space="preserve"> Y compris 155,7 millions de dollars US pour un pays.</w:t>
      </w:r>
    </w:p>
  </w:footnote>
  <w:footnote w:id="29">
    <w:p w14:paraId="4039E5DB" w14:textId="727F7AF7" w:rsidR="0055036A" w:rsidRPr="00CC1480" w:rsidRDefault="0055036A" w:rsidP="005A5A1E">
      <w:pPr>
        <w:pStyle w:val="FootnoteText"/>
        <w:rPr>
          <w:lang w:val="fr-CA"/>
        </w:rPr>
      </w:pPr>
      <w:r>
        <w:rPr>
          <w:rStyle w:val="FootnoteReference"/>
        </w:rPr>
        <w:footnoteRef/>
      </w:r>
      <w:r w:rsidRPr="00CC1480">
        <w:rPr>
          <w:lang w:val="fr-CA"/>
        </w:rPr>
        <w:t xml:space="preserve"> Cette valeur, qui correspond aux deux tiers du rapport 4,80 $US/kg pour les HCFC tient compte des économies qui seront réalisées en intégrant une partie des activités initiales de réduction progressive des HFC dans les activités en cours dans le cadre des PGEH.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F0E96" w14:textId="43BEF32F" w:rsidR="0055036A" w:rsidRDefault="00AA6F65">
    <w:r>
      <w:fldChar w:fldCharType="begin"/>
    </w:r>
    <w:r>
      <w:instrText xml:space="preserve"> DOCPROPERTY "Document number"  \* MERGEFORMAT </w:instrText>
    </w:r>
    <w:r>
      <w:fldChar w:fldCharType="separate"/>
    </w:r>
    <w:r w:rsidR="0055036A">
      <w:t>UNEP/OzL.Pro/ExCom/87/47</w:t>
    </w:r>
    <w:r>
      <w:fldChar w:fldCharType="end"/>
    </w:r>
  </w:p>
  <w:p w14:paraId="0E2137FB" w14:textId="6798A9AD" w:rsidR="0055036A" w:rsidRDefault="0055036A"/>
  <w:p w14:paraId="66B24DED" w14:textId="77777777" w:rsidR="0055036A" w:rsidRPr="0033525D" w:rsidRDefault="0055036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F3DCA" w14:textId="44FD69B9" w:rsidR="0055036A" w:rsidRDefault="00AA6F65">
    <w:pPr>
      <w:jc w:val="right"/>
    </w:pPr>
    <w:r>
      <w:fldChar w:fldCharType="begin"/>
    </w:r>
    <w:r>
      <w:instrText xml:space="preserve"> DOCPROPERTY "Document number"  \* MERGEFORMAT </w:instrText>
    </w:r>
    <w:r>
      <w:fldChar w:fldCharType="separate"/>
    </w:r>
    <w:r w:rsidR="0055036A">
      <w:t>UNEP/OzL.Pro/ExCom/87/47</w:t>
    </w:r>
    <w:r>
      <w:fldChar w:fldCharType="end"/>
    </w:r>
  </w:p>
  <w:p w14:paraId="599917E4" w14:textId="2A9F2300" w:rsidR="0055036A" w:rsidRDefault="0055036A">
    <w:pPr>
      <w:pStyle w:val="Header"/>
    </w:pPr>
  </w:p>
  <w:p w14:paraId="360E787D" w14:textId="77777777" w:rsidR="0055036A" w:rsidRPr="0033525D" w:rsidRDefault="0055036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E2539" w14:textId="690C5FF8" w:rsidR="0055036A" w:rsidRDefault="00AA6F65">
    <w:r>
      <w:fldChar w:fldCharType="begin"/>
    </w:r>
    <w:r>
      <w:instrText xml:space="preserve"> DOCPROPERTY "Document number"  \* MERGEFORMAT </w:instrText>
    </w:r>
    <w:r>
      <w:fldChar w:fldCharType="separate"/>
    </w:r>
    <w:r w:rsidR="0055036A">
      <w:t>UNEP/OzL.Pro/ExCom/87/47</w:t>
    </w:r>
    <w:r>
      <w:fldChar w:fldCharType="end"/>
    </w:r>
  </w:p>
  <w:p w14:paraId="3F26D6BF" w14:textId="77777777" w:rsidR="0055036A" w:rsidRPr="0033525D" w:rsidRDefault="0055036A">
    <w:r>
      <w:t>Annexe I</w:t>
    </w:r>
  </w:p>
  <w:p w14:paraId="50092B76" w14:textId="77777777" w:rsidR="0055036A" w:rsidRPr="0033525D" w:rsidRDefault="0055036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E0F6E" w14:textId="1EC01A47" w:rsidR="0055036A" w:rsidRDefault="00AA6F65">
    <w:pPr>
      <w:jc w:val="right"/>
    </w:pPr>
    <w:r>
      <w:fldChar w:fldCharType="begin"/>
    </w:r>
    <w:r>
      <w:instrText xml:space="preserve"> DOCPROPERTY "Document number"  \* MERGEFORMAT </w:instrText>
    </w:r>
    <w:r>
      <w:fldChar w:fldCharType="separate"/>
    </w:r>
    <w:r w:rsidR="0055036A">
      <w:t>UNEP/OzL.Pro/ExCom/87/47</w:t>
    </w:r>
    <w:r>
      <w:fldChar w:fldCharType="end"/>
    </w:r>
  </w:p>
  <w:p w14:paraId="7022BC36" w14:textId="77777777" w:rsidR="0055036A" w:rsidRPr="0033525D" w:rsidRDefault="0055036A">
    <w:pPr>
      <w:jc w:val="right"/>
    </w:pPr>
    <w:r>
      <w:t>Annexe I</w:t>
    </w:r>
  </w:p>
  <w:p w14:paraId="7F9B47DE" w14:textId="77777777" w:rsidR="0055036A" w:rsidRPr="0033525D" w:rsidRDefault="0055036A"/>
  <w:p w14:paraId="0321115A" w14:textId="77777777" w:rsidR="0055036A" w:rsidRPr="0033525D" w:rsidRDefault="0055036A">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25862" w14:textId="55D2AB41" w:rsidR="0055036A" w:rsidRDefault="00AA6F65">
    <w:pPr>
      <w:jc w:val="right"/>
    </w:pPr>
    <w:r>
      <w:fldChar w:fldCharType="begin"/>
    </w:r>
    <w:r>
      <w:instrText xml:space="preserve"> DOCPROPERTY "Document number"  \* MERGEFORMAT </w:instrText>
    </w:r>
    <w:r>
      <w:fldChar w:fldCharType="separate"/>
    </w:r>
    <w:r w:rsidR="0055036A">
      <w:t>UNEP/OzL.Pro/ExCom/87/47</w:t>
    </w:r>
    <w:r>
      <w:fldChar w:fldCharType="end"/>
    </w:r>
  </w:p>
  <w:p w14:paraId="22B57441" w14:textId="0ECE6425" w:rsidR="0055036A" w:rsidRDefault="0055036A">
    <w:pPr>
      <w:jc w:val="right"/>
    </w:pPr>
    <w:r>
      <w:t>Annexe I</w:t>
    </w:r>
  </w:p>
  <w:p w14:paraId="2639B47C" w14:textId="77777777" w:rsidR="0055036A" w:rsidRDefault="0055036A">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09AC4DA8"/>
    <w:lvl w:ilvl="0">
      <w:start w:val="1"/>
      <w:numFmt w:val="decimal"/>
      <w:pStyle w:val="Heading1"/>
      <w:lvlText w:val="%1."/>
      <w:lvlJc w:val="left"/>
      <w:pPr>
        <w:tabs>
          <w:tab w:val="num" w:pos="0"/>
        </w:tabs>
        <w:ind w:left="0" w:firstLine="0"/>
      </w:pPr>
      <w:rPr>
        <w:strike w:val="0"/>
        <w:lang w:val="fr-CA"/>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5E00F85"/>
    <w:multiLevelType w:val="hybridMultilevel"/>
    <w:tmpl w:val="0262C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6552C9C"/>
    <w:multiLevelType w:val="hybridMultilevel"/>
    <w:tmpl w:val="9126DF5C"/>
    <w:lvl w:ilvl="0" w:tplc="72FCA236">
      <w:start w:val="2047"/>
      <w:numFmt w:val="decimal"/>
      <w:lvlText w:val="%1"/>
      <w:lvlJc w:val="left"/>
      <w:pPr>
        <w:ind w:left="744" w:hanging="384"/>
      </w:pPr>
      <w:rPr>
        <w:rFonts w:hint="default"/>
        <w:sz w:val="19"/>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EA0548A"/>
    <w:multiLevelType w:val="hybridMultilevel"/>
    <w:tmpl w:val="0CE884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5307462"/>
    <w:multiLevelType w:val="hybridMultilevel"/>
    <w:tmpl w:val="48766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7A837CD"/>
    <w:multiLevelType w:val="hybridMultilevel"/>
    <w:tmpl w:val="EA741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9EB0B9B"/>
    <w:multiLevelType w:val="hybridMultilevel"/>
    <w:tmpl w:val="B4665C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25091253"/>
    <w:multiLevelType w:val="hybridMultilevel"/>
    <w:tmpl w:val="3BBE33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20" w15:restartNumberingAfterBreak="0">
    <w:nsid w:val="418C5FF5"/>
    <w:multiLevelType w:val="hybridMultilevel"/>
    <w:tmpl w:val="076C30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8A36B9E"/>
    <w:multiLevelType w:val="hybridMultilevel"/>
    <w:tmpl w:val="4B9881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9145082"/>
    <w:multiLevelType w:val="hybridMultilevel"/>
    <w:tmpl w:val="3004646C"/>
    <w:lvl w:ilvl="0" w:tplc="5DFAA890">
      <w:start w:val="2047"/>
      <w:numFmt w:val="decimal"/>
      <w:lvlText w:val="%1"/>
      <w:lvlJc w:val="left"/>
      <w:pPr>
        <w:ind w:left="432" w:hanging="384"/>
      </w:pPr>
      <w:rPr>
        <w:rFonts w:hint="default"/>
        <w:sz w:val="19"/>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34F0B42"/>
    <w:multiLevelType w:val="hybridMultilevel"/>
    <w:tmpl w:val="035A03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9FE79AE"/>
    <w:multiLevelType w:val="hybridMultilevel"/>
    <w:tmpl w:val="6ADE4D38"/>
    <w:lvl w:ilvl="0" w:tplc="E4AC52E4">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AC71B3E"/>
    <w:multiLevelType w:val="hybridMultilevel"/>
    <w:tmpl w:val="9168B9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75261F9"/>
    <w:multiLevelType w:val="hybridMultilevel"/>
    <w:tmpl w:val="C1A098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3"/>
  </w:num>
  <w:num w:numId="18">
    <w:abstractNumId w:val="24"/>
  </w:num>
  <w:num w:numId="19">
    <w:abstractNumId w:val="30"/>
  </w:num>
  <w:num w:numId="20">
    <w:abstractNumId w:val="19"/>
  </w:num>
  <w:num w:numId="21">
    <w:abstractNumId w:val="11"/>
  </w:num>
  <w:num w:numId="22">
    <w:abstractNumId w:val="15"/>
  </w:num>
  <w:num w:numId="23">
    <w:abstractNumId w:val="27"/>
  </w:num>
  <w:num w:numId="24">
    <w:abstractNumId w:val="2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6"/>
  </w:num>
  <w:num w:numId="32">
    <w:abstractNumId w:val="13"/>
  </w:num>
  <w:num w:numId="33">
    <w:abstractNumId w:val="14"/>
  </w:num>
  <w:num w:numId="34">
    <w:abstractNumId w:val="17"/>
  </w:num>
  <w:num w:numId="35">
    <w:abstractNumId w:val="22"/>
  </w:num>
  <w:num w:numId="36">
    <w:abstractNumId w:val="29"/>
  </w:num>
  <w:num w:numId="37">
    <w:abstractNumId w:val="12"/>
  </w:num>
  <w:num w:numId="3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2"/>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A67"/>
    <w:rsid w:val="0000437E"/>
    <w:rsid w:val="0000738D"/>
    <w:rsid w:val="0001122C"/>
    <w:rsid w:val="000135FB"/>
    <w:rsid w:val="00013E03"/>
    <w:rsid w:val="00017203"/>
    <w:rsid w:val="000253D6"/>
    <w:rsid w:val="00031781"/>
    <w:rsid w:val="000334FD"/>
    <w:rsid w:val="000335ED"/>
    <w:rsid w:val="00060038"/>
    <w:rsid w:val="00063502"/>
    <w:rsid w:val="00067150"/>
    <w:rsid w:val="00074452"/>
    <w:rsid w:val="00082711"/>
    <w:rsid w:val="00093025"/>
    <w:rsid w:val="00093BF2"/>
    <w:rsid w:val="00097922"/>
    <w:rsid w:val="000A2B6D"/>
    <w:rsid w:val="000A6E80"/>
    <w:rsid w:val="000B5092"/>
    <w:rsid w:val="000C08EA"/>
    <w:rsid w:val="000C1249"/>
    <w:rsid w:val="000D69F2"/>
    <w:rsid w:val="000E2C84"/>
    <w:rsid w:val="000F32CC"/>
    <w:rsid w:val="000F4D4C"/>
    <w:rsid w:val="000F619C"/>
    <w:rsid w:val="000F6C8E"/>
    <w:rsid w:val="000F71A8"/>
    <w:rsid w:val="00110A6A"/>
    <w:rsid w:val="00115075"/>
    <w:rsid w:val="00125F83"/>
    <w:rsid w:val="00126B62"/>
    <w:rsid w:val="00132935"/>
    <w:rsid w:val="001352E7"/>
    <w:rsid w:val="001355C9"/>
    <w:rsid w:val="0014281C"/>
    <w:rsid w:val="001522DB"/>
    <w:rsid w:val="001527BF"/>
    <w:rsid w:val="00153A4E"/>
    <w:rsid w:val="00157995"/>
    <w:rsid w:val="00160FBD"/>
    <w:rsid w:val="00162C79"/>
    <w:rsid w:val="00164585"/>
    <w:rsid w:val="00172F25"/>
    <w:rsid w:val="00186051"/>
    <w:rsid w:val="00187F73"/>
    <w:rsid w:val="001950CE"/>
    <w:rsid w:val="001C1499"/>
    <w:rsid w:val="001C3D0C"/>
    <w:rsid w:val="001C547F"/>
    <w:rsid w:val="001C55B6"/>
    <w:rsid w:val="001C66A9"/>
    <w:rsid w:val="001C6DA0"/>
    <w:rsid w:val="001D4CE7"/>
    <w:rsid w:val="001E2691"/>
    <w:rsid w:val="001E3DE5"/>
    <w:rsid w:val="001E4C2A"/>
    <w:rsid w:val="001F1661"/>
    <w:rsid w:val="001F2B05"/>
    <w:rsid w:val="002038D4"/>
    <w:rsid w:val="00205A08"/>
    <w:rsid w:val="002152C0"/>
    <w:rsid w:val="00226635"/>
    <w:rsid w:val="00227690"/>
    <w:rsid w:val="002303DB"/>
    <w:rsid w:val="00232331"/>
    <w:rsid w:val="00237F77"/>
    <w:rsid w:val="00243396"/>
    <w:rsid w:val="002454E0"/>
    <w:rsid w:val="0025053E"/>
    <w:rsid w:val="00265AF0"/>
    <w:rsid w:val="002661D8"/>
    <w:rsid w:val="00276AEE"/>
    <w:rsid w:val="00280B5B"/>
    <w:rsid w:val="002828B3"/>
    <w:rsid w:val="002A07EA"/>
    <w:rsid w:val="002A438C"/>
    <w:rsid w:val="002A6DBA"/>
    <w:rsid w:val="002B04B9"/>
    <w:rsid w:val="002C1955"/>
    <w:rsid w:val="002C5DA8"/>
    <w:rsid w:val="002C5F53"/>
    <w:rsid w:val="002D1299"/>
    <w:rsid w:val="002D76E1"/>
    <w:rsid w:val="002F0B57"/>
    <w:rsid w:val="00303650"/>
    <w:rsid w:val="00315D02"/>
    <w:rsid w:val="00325E50"/>
    <w:rsid w:val="00336105"/>
    <w:rsid w:val="00371C64"/>
    <w:rsid w:val="00375BFE"/>
    <w:rsid w:val="00392161"/>
    <w:rsid w:val="00395652"/>
    <w:rsid w:val="003A0023"/>
    <w:rsid w:val="003A0CA4"/>
    <w:rsid w:val="003B0E67"/>
    <w:rsid w:val="003B44BB"/>
    <w:rsid w:val="003B7476"/>
    <w:rsid w:val="003C4DBC"/>
    <w:rsid w:val="003C686D"/>
    <w:rsid w:val="003D04C0"/>
    <w:rsid w:val="003D2D0C"/>
    <w:rsid w:val="003E0A0A"/>
    <w:rsid w:val="004044D7"/>
    <w:rsid w:val="00410408"/>
    <w:rsid w:val="004241CB"/>
    <w:rsid w:val="00441083"/>
    <w:rsid w:val="00441C71"/>
    <w:rsid w:val="00442EE1"/>
    <w:rsid w:val="004469B0"/>
    <w:rsid w:val="0045533D"/>
    <w:rsid w:val="00462D22"/>
    <w:rsid w:val="00471A2B"/>
    <w:rsid w:val="004758C2"/>
    <w:rsid w:val="004769E6"/>
    <w:rsid w:val="00491F53"/>
    <w:rsid w:val="0049456D"/>
    <w:rsid w:val="004B554F"/>
    <w:rsid w:val="004B5820"/>
    <w:rsid w:val="004C2C87"/>
    <w:rsid w:val="004D3BD2"/>
    <w:rsid w:val="004D4BB0"/>
    <w:rsid w:val="004D5AE0"/>
    <w:rsid w:val="004D5F01"/>
    <w:rsid w:val="004E3A36"/>
    <w:rsid w:val="004E3CCB"/>
    <w:rsid w:val="004E5044"/>
    <w:rsid w:val="004F44D2"/>
    <w:rsid w:val="00507E98"/>
    <w:rsid w:val="00524711"/>
    <w:rsid w:val="0053089B"/>
    <w:rsid w:val="00533825"/>
    <w:rsid w:val="00542832"/>
    <w:rsid w:val="005501A2"/>
    <w:rsid w:val="0055036A"/>
    <w:rsid w:val="00557DBF"/>
    <w:rsid w:val="005633A2"/>
    <w:rsid w:val="00573C54"/>
    <w:rsid w:val="00584BE1"/>
    <w:rsid w:val="005939DC"/>
    <w:rsid w:val="005A2E41"/>
    <w:rsid w:val="005A385D"/>
    <w:rsid w:val="005A5A1E"/>
    <w:rsid w:val="005A6F52"/>
    <w:rsid w:val="005B3CAB"/>
    <w:rsid w:val="005B3CAD"/>
    <w:rsid w:val="005C1CD7"/>
    <w:rsid w:val="005C278F"/>
    <w:rsid w:val="005C39EE"/>
    <w:rsid w:val="005C5AD9"/>
    <w:rsid w:val="005D544F"/>
    <w:rsid w:val="005D6B75"/>
    <w:rsid w:val="00605093"/>
    <w:rsid w:val="00606223"/>
    <w:rsid w:val="006125AF"/>
    <w:rsid w:val="00614A17"/>
    <w:rsid w:val="0061621A"/>
    <w:rsid w:val="00625381"/>
    <w:rsid w:val="00633DDB"/>
    <w:rsid w:val="006371FA"/>
    <w:rsid w:val="006400F5"/>
    <w:rsid w:val="00640D5C"/>
    <w:rsid w:val="00651548"/>
    <w:rsid w:val="00660A52"/>
    <w:rsid w:val="00666B59"/>
    <w:rsid w:val="00691BEF"/>
    <w:rsid w:val="00694F86"/>
    <w:rsid w:val="006B169A"/>
    <w:rsid w:val="006B58C9"/>
    <w:rsid w:val="006D30D3"/>
    <w:rsid w:val="006E0641"/>
    <w:rsid w:val="006F1B87"/>
    <w:rsid w:val="007033CF"/>
    <w:rsid w:val="007034FA"/>
    <w:rsid w:val="007138C2"/>
    <w:rsid w:val="00720708"/>
    <w:rsid w:val="00723464"/>
    <w:rsid w:val="007253CC"/>
    <w:rsid w:val="00727D3C"/>
    <w:rsid w:val="00741131"/>
    <w:rsid w:val="00743B21"/>
    <w:rsid w:val="007479B5"/>
    <w:rsid w:val="00752815"/>
    <w:rsid w:val="0075750B"/>
    <w:rsid w:val="00774013"/>
    <w:rsid w:val="00774BC6"/>
    <w:rsid w:val="00774D6F"/>
    <w:rsid w:val="00776142"/>
    <w:rsid w:val="007820CD"/>
    <w:rsid w:val="00783218"/>
    <w:rsid w:val="00785A44"/>
    <w:rsid w:val="00787876"/>
    <w:rsid w:val="00787B3E"/>
    <w:rsid w:val="007A0BD4"/>
    <w:rsid w:val="007C09C1"/>
    <w:rsid w:val="007C68FA"/>
    <w:rsid w:val="007E78CA"/>
    <w:rsid w:val="007F76E5"/>
    <w:rsid w:val="00800CEF"/>
    <w:rsid w:val="0080648A"/>
    <w:rsid w:val="00812387"/>
    <w:rsid w:val="008427E0"/>
    <w:rsid w:val="00854B40"/>
    <w:rsid w:val="0085762A"/>
    <w:rsid w:val="00862E75"/>
    <w:rsid w:val="00865290"/>
    <w:rsid w:val="008703C2"/>
    <w:rsid w:val="00880166"/>
    <w:rsid w:val="008A0C97"/>
    <w:rsid w:val="008A1FD9"/>
    <w:rsid w:val="008A31BD"/>
    <w:rsid w:val="008B682A"/>
    <w:rsid w:val="008C3DBB"/>
    <w:rsid w:val="008D16A1"/>
    <w:rsid w:val="008E0D40"/>
    <w:rsid w:val="008E3A0C"/>
    <w:rsid w:val="00900714"/>
    <w:rsid w:val="00901002"/>
    <w:rsid w:val="00903533"/>
    <w:rsid w:val="0091161A"/>
    <w:rsid w:val="009117FC"/>
    <w:rsid w:val="00912F3A"/>
    <w:rsid w:val="009152D9"/>
    <w:rsid w:val="00923BE2"/>
    <w:rsid w:val="00923DDF"/>
    <w:rsid w:val="009260EE"/>
    <w:rsid w:val="00947079"/>
    <w:rsid w:val="009558AE"/>
    <w:rsid w:val="009568BB"/>
    <w:rsid w:val="009666A1"/>
    <w:rsid w:val="00966905"/>
    <w:rsid w:val="00972E99"/>
    <w:rsid w:val="00993425"/>
    <w:rsid w:val="009A0433"/>
    <w:rsid w:val="009A05F6"/>
    <w:rsid w:val="009A32D6"/>
    <w:rsid w:val="009A5180"/>
    <w:rsid w:val="009A6DEA"/>
    <w:rsid w:val="009A6F3A"/>
    <w:rsid w:val="009B3D30"/>
    <w:rsid w:val="009B55F8"/>
    <w:rsid w:val="009D1B98"/>
    <w:rsid w:val="009D3AC6"/>
    <w:rsid w:val="009D5892"/>
    <w:rsid w:val="009E1BFF"/>
    <w:rsid w:val="009F2488"/>
    <w:rsid w:val="009F303E"/>
    <w:rsid w:val="009F6770"/>
    <w:rsid w:val="00A03446"/>
    <w:rsid w:val="00A04E6D"/>
    <w:rsid w:val="00A130FE"/>
    <w:rsid w:val="00A134C2"/>
    <w:rsid w:val="00A20522"/>
    <w:rsid w:val="00A226CE"/>
    <w:rsid w:val="00A24175"/>
    <w:rsid w:val="00A33582"/>
    <w:rsid w:val="00A37E3C"/>
    <w:rsid w:val="00A4065F"/>
    <w:rsid w:val="00A52C0B"/>
    <w:rsid w:val="00A54546"/>
    <w:rsid w:val="00A64CD8"/>
    <w:rsid w:val="00A66CFC"/>
    <w:rsid w:val="00A73417"/>
    <w:rsid w:val="00A84F93"/>
    <w:rsid w:val="00A87F9D"/>
    <w:rsid w:val="00A91C38"/>
    <w:rsid w:val="00A931C9"/>
    <w:rsid w:val="00AA0453"/>
    <w:rsid w:val="00AA2BA5"/>
    <w:rsid w:val="00AA5FE9"/>
    <w:rsid w:val="00AA6F65"/>
    <w:rsid w:val="00AC013C"/>
    <w:rsid w:val="00AC08FF"/>
    <w:rsid w:val="00AC1FB8"/>
    <w:rsid w:val="00AC7CC8"/>
    <w:rsid w:val="00AD3691"/>
    <w:rsid w:val="00AD7195"/>
    <w:rsid w:val="00AE438B"/>
    <w:rsid w:val="00AE589C"/>
    <w:rsid w:val="00AE63D8"/>
    <w:rsid w:val="00AF63DE"/>
    <w:rsid w:val="00AF7FE7"/>
    <w:rsid w:val="00B235ED"/>
    <w:rsid w:val="00B248CA"/>
    <w:rsid w:val="00B35137"/>
    <w:rsid w:val="00B4107C"/>
    <w:rsid w:val="00B41EF0"/>
    <w:rsid w:val="00B7097F"/>
    <w:rsid w:val="00B72D57"/>
    <w:rsid w:val="00B811F2"/>
    <w:rsid w:val="00B87C45"/>
    <w:rsid w:val="00B9272C"/>
    <w:rsid w:val="00B964DE"/>
    <w:rsid w:val="00B97AA3"/>
    <w:rsid w:val="00BA3AD2"/>
    <w:rsid w:val="00BB651C"/>
    <w:rsid w:val="00BC3C7D"/>
    <w:rsid w:val="00BD0323"/>
    <w:rsid w:val="00BE0050"/>
    <w:rsid w:val="00BE6CC0"/>
    <w:rsid w:val="00BF3A2A"/>
    <w:rsid w:val="00BF7F4C"/>
    <w:rsid w:val="00C00E2F"/>
    <w:rsid w:val="00C104D8"/>
    <w:rsid w:val="00C10C65"/>
    <w:rsid w:val="00C15A67"/>
    <w:rsid w:val="00C26781"/>
    <w:rsid w:val="00C27322"/>
    <w:rsid w:val="00C304CB"/>
    <w:rsid w:val="00C341DC"/>
    <w:rsid w:val="00C36A90"/>
    <w:rsid w:val="00C413E4"/>
    <w:rsid w:val="00C42B12"/>
    <w:rsid w:val="00C42D62"/>
    <w:rsid w:val="00C45760"/>
    <w:rsid w:val="00C45C22"/>
    <w:rsid w:val="00C51372"/>
    <w:rsid w:val="00C5679F"/>
    <w:rsid w:val="00C57055"/>
    <w:rsid w:val="00C579FC"/>
    <w:rsid w:val="00C6443E"/>
    <w:rsid w:val="00C7199A"/>
    <w:rsid w:val="00C82721"/>
    <w:rsid w:val="00C91462"/>
    <w:rsid w:val="00C95C33"/>
    <w:rsid w:val="00CA361E"/>
    <w:rsid w:val="00CB19F3"/>
    <w:rsid w:val="00CB6A00"/>
    <w:rsid w:val="00CC1480"/>
    <w:rsid w:val="00CD2804"/>
    <w:rsid w:val="00CD287D"/>
    <w:rsid w:val="00CD608D"/>
    <w:rsid w:val="00CE18C7"/>
    <w:rsid w:val="00CE5948"/>
    <w:rsid w:val="00CF0EA6"/>
    <w:rsid w:val="00D11827"/>
    <w:rsid w:val="00D178BD"/>
    <w:rsid w:val="00D2063C"/>
    <w:rsid w:val="00D21884"/>
    <w:rsid w:val="00D21E4C"/>
    <w:rsid w:val="00D23142"/>
    <w:rsid w:val="00D26A0F"/>
    <w:rsid w:val="00D26F08"/>
    <w:rsid w:val="00D4464A"/>
    <w:rsid w:val="00D463DC"/>
    <w:rsid w:val="00D46C01"/>
    <w:rsid w:val="00D50A20"/>
    <w:rsid w:val="00D578BB"/>
    <w:rsid w:val="00D6169A"/>
    <w:rsid w:val="00D6199C"/>
    <w:rsid w:val="00D7654A"/>
    <w:rsid w:val="00D815BE"/>
    <w:rsid w:val="00D81E63"/>
    <w:rsid w:val="00D93234"/>
    <w:rsid w:val="00D93A6C"/>
    <w:rsid w:val="00D940A1"/>
    <w:rsid w:val="00D9633A"/>
    <w:rsid w:val="00DB43A9"/>
    <w:rsid w:val="00DB4E64"/>
    <w:rsid w:val="00DC51FB"/>
    <w:rsid w:val="00DD3433"/>
    <w:rsid w:val="00DD3635"/>
    <w:rsid w:val="00DE0684"/>
    <w:rsid w:val="00DF53E0"/>
    <w:rsid w:val="00DF698B"/>
    <w:rsid w:val="00E04CFA"/>
    <w:rsid w:val="00E211D8"/>
    <w:rsid w:val="00E33912"/>
    <w:rsid w:val="00E3465D"/>
    <w:rsid w:val="00E348C6"/>
    <w:rsid w:val="00E42D66"/>
    <w:rsid w:val="00E54871"/>
    <w:rsid w:val="00E60D9C"/>
    <w:rsid w:val="00E879E5"/>
    <w:rsid w:val="00EA1C90"/>
    <w:rsid w:val="00EA568D"/>
    <w:rsid w:val="00EA73B7"/>
    <w:rsid w:val="00EB2067"/>
    <w:rsid w:val="00EB648A"/>
    <w:rsid w:val="00EB705E"/>
    <w:rsid w:val="00EC1C59"/>
    <w:rsid w:val="00EF62BF"/>
    <w:rsid w:val="00F057F2"/>
    <w:rsid w:val="00F1348C"/>
    <w:rsid w:val="00F1466E"/>
    <w:rsid w:val="00F21458"/>
    <w:rsid w:val="00F22679"/>
    <w:rsid w:val="00F319E8"/>
    <w:rsid w:val="00F353FE"/>
    <w:rsid w:val="00F36334"/>
    <w:rsid w:val="00F37A42"/>
    <w:rsid w:val="00F52B0E"/>
    <w:rsid w:val="00F54069"/>
    <w:rsid w:val="00F557F5"/>
    <w:rsid w:val="00F560D7"/>
    <w:rsid w:val="00F622C1"/>
    <w:rsid w:val="00F714A4"/>
    <w:rsid w:val="00F72EDF"/>
    <w:rsid w:val="00F741C6"/>
    <w:rsid w:val="00F748F7"/>
    <w:rsid w:val="00FA4DD3"/>
    <w:rsid w:val="00FA5117"/>
    <w:rsid w:val="00FB237A"/>
    <w:rsid w:val="00FC0D87"/>
    <w:rsid w:val="00FC3A80"/>
    <w:rsid w:val="00FC5578"/>
    <w:rsid w:val="00FD22FE"/>
    <w:rsid w:val="00FE0271"/>
    <w:rsid w:val="00FE431D"/>
    <w:rsid w:val="00FF1A80"/>
    <w:rsid w:val="00FF3CF1"/>
    <w:rsid w:val="00FF43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605BDB"/>
  <w15:docId w15:val="{5ABCA3AF-AD97-4058-8B2A-1F170D00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uiPriority w:val="9"/>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uiPriority w:val="9"/>
    <w:qFormat/>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Char"/>
    <w:basedOn w:val="Normal"/>
    <w:next w:val="Normal"/>
    <w:link w:val="Heading3Char3"/>
    <w:uiPriority w:val="9"/>
    <w:qFormat/>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link w:val="Heading4Char"/>
    <w:uiPriority w:val="9"/>
    <w:qFormat/>
    <w:pPr>
      <w:keepNext/>
      <w:numPr>
        <w:ilvl w:val="3"/>
        <w:numId w:val="4"/>
      </w:numPr>
      <w:spacing w:before="240" w:after="60"/>
      <w:outlineLvl w:val="3"/>
    </w:pPr>
  </w:style>
  <w:style w:type="paragraph" w:styleId="Heading5">
    <w:name w:val="heading 5"/>
    <w:basedOn w:val="Normal"/>
    <w:next w:val="Normal"/>
    <w:link w:val="Heading5Char"/>
    <w:qFormat/>
    <w:pPr>
      <w:keepNext/>
      <w:numPr>
        <w:numId w:val="20"/>
      </w:numPr>
      <w:spacing w:after="240"/>
      <w:ind w:left="3600" w:hanging="720"/>
      <w:outlineLvl w:val="4"/>
    </w:pPr>
  </w:style>
  <w:style w:type="paragraph" w:styleId="Heading6">
    <w:name w:val="heading 6"/>
    <w:basedOn w:val="Normal"/>
    <w:next w:val="Normal"/>
    <w:link w:val="Heading6Char"/>
    <w:uiPriority w:val="9"/>
    <w:qFormat/>
    <w:pPr>
      <w:numPr>
        <w:ilvl w:val="5"/>
        <w:numId w:val="1"/>
      </w:numPr>
      <w:spacing w:before="240" w:after="60"/>
      <w:outlineLvl w:val="5"/>
    </w:pPr>
    <w:rPr>
      <w:rFonts w:ascii="Arial" w:hAnsi="Arial"/>
      <w:i/>
    </w:rPr>
  </w:style>
  <w:style w:type="paragraph" w:styleId="Heading7">
    <w:name w:val="heading 7"/>
    <w:basedOn w:val="Normal"/>
    <w:next w:val="Normal"/>
    <w:link w:val="Heading7Char"/>
    <w:uiPriority w:val="9"/>
    <w:qFormat/>
    <w:pPr>
      <w:numPr>
        <w:ilvl w:val="6"/>
        <w:numId w:val="1"/>
      </w:numPr>
      <w:spacing w:before="240" w:after="60"/>
      <w:outlineLvl w:val="6"/>
    </w:pPr>
    <w:rPr>
      <w:rFonts w:ascii="Arial" w:hAnsi="Arial"/>
    </w:rPr>
  </w:style>
  <w:style w:type="paragraph" w:styleId="Heading8">
    <w:name w:val="heading 8"/>
    <w:basedOn w:val="Normal"/>
    <w:next w:val="Normal"/>
    <w:link w:val="Heading8Char"/>
    <w:qFormat/>
    <w:pPr>
      <w:outlineLvl w:val="7"/>
    </w:pPr>
    <w:rPr>
      <w:b/>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link w:val="HeaderChar"/>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link w:val="BodyText3Char"/>
    <w:semiHidden/>
    <w:pPr>
      <w:spacing w:after="120"/>
    </w:pPr>
    <w:rPr>
      <w:sz w:val="16"/>
      <w:szCs w:val="16"/>
    </w:rPr>
  </w:style>
  <w:style w:type="paragraph" w:styleId="BodyTextIndent3">
    <w:name w:val="Body Text Indent 3"/>
    <w:basedOn w:val="Normal"/>
    <w:link w:val="BodyTextIndent3Char"/>
    <w:semiHidden/>
    <w:pPr>
      <w:spacing w:after="120"/>
      <w:ind w:left="360"/>
    </w:pPr>
    <w:rPr>
      <w:sz w:val="16"/>
      <w:szCs w:val="16"/>
    </w:rPr>
  </w:style>
  <w:style w:type="paragraph" w:styleId="PlainText">
    <w:name w:val="Plain Text"/>
    <w:basedOn w:val="Normal"/>
    <w:link w:val="PlainTextChar"/>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qFormat/>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link w:val="SubtitleChar"/>
    <w:qFormat/>
    <w:pPr>
      <w:spacing w:after="60"/>
      <w:jc w:val="center"/>
      <w:outlineLvl w:val="1"/>
    </w:pPr>
    <w:rPr>
      <w:rFonts w:ascii="Arial" w:hAnsi="Arial" w:cs="Arial"/>
    </w:rPr>
  </w:style>
  <w:style w:type="paragraph" w:styleId="Title">
    <w:name w:val="Title"/>
    <w:basedOn w:val="Normal"/>
    <w:link w:val="TitleChar"/>
    <w:qFormat/>
    <w:pPr>
      <w:spacing w:before="240" w:after="60"/>
      <w:jc w:val="center"/>
      <w:outlineLvl w:val="0"/>
    </w:pPr>
    <w:rPr>
      <w:rFonts w:ascii="Arial" w:hAnsi="Arial" w:cs="Arial"/>
      <w:b/>
      <w:bCs/>
      <w:kern w:val="28"/>
    </w:rPr>
  </w:style>
  <w:style w:type="paragraph" w:styleId="Date">
    <w:name w:val="Date"/>
    <w:basedOn w:val="Normal"/>
    <w:next w:val="Normal"/>
    <w:link w:val="DateCha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customStyle="1" w:styleId="StyleHeading1Para1Heading1CharHeading1Char3CharHeadin">
    <w:name w:val="Style Heading 1Para (1)Heading 1 CharHeading 1 Char3 CharHeadin..."/>
    <w:basedOn w:val="Heading1"/>
    <w:pPr>
      <w:numPr>
        <w:numId w:val="0"/>
      </w:numPr>
      <w:tabs>
        <w:tab w:val="left" w:pos="720"/>
      </w:tabs>
    </w:pPr>
    <w:rPr>
      <w:szCs w:val="20"/>
    </w:rPr>
  </w:style>
  <w:style w:type="character" w:customStyle="1" w:styleId="FooterChar">
    <w:name w:val="Footer Char"/>
    <w:basedOn w:val="DefaultParagraphFont"/>
    <w:link w:val="Footer"/>
    <w:rPr>
      <w:sz w:val="22"/>
      <w:szCs w:val="22"/>
      <w:lang w:val="en-GB"/>
    </w:rPr>
  </w:style>
  <w:style w:type="paragraph" w:styleId="FootnoteText">
    <w:name w:val="footnote text"/>
    <w:aliases w:val="Char1,Char1 Char Char, Char1, Char1 Char Char,Fußnotentextf,FOOTNOTES,fn,single space,Footnote,Footnote Text Char1 Char,Footnote Text Char Char Char,Footnote Text Char1 Char Char Char,Footnote Text Char Char Char Char Char,Geneva 9,f"/>
    <w:basedOn w:val="Normal"/>
    <w:link w:val="FootnoteTextChar"/>
    <w:uiPriority w:val="99"/>
    <w:unhideWhenUsed/>
    <w:qFormat/>
    <w:rsid w:val="00C15A67"/>
    <w:rPr>
      <w:sz w:val="20"/>
      <w:szCs w:val="20"/>
    </w:rPr>
  </w:style>
  <w:style w:type="character" w:customStyle="1" w:styleId="FootnoteTextChar">
    <w:name w:val="Footnote Text Char"/>
    <w:aliases w:val="Char1 Char,Char1 Char Char Char, Char1 Char, Char1 Char Char Char,Fußnotentextf Char,FOOTNOTES Char,fn Char,single space Char,Footnote Char,Footnote Text Char1 Char Char,Footnote Text Char Char Char Char,Geneva 9 Char,f Char"/>
    <w:basedOn w:val="DefaultParagraphFont"/>
    <w:link w:val="FootnoteText"/>
    <w:uiPriority w:val="99"/>
    <w:rsid w:val="00C15A67"/>
    <w:rPr>
      <w:lang w:val="en-GB"/>
    </w:rPr>
  </w:style>
  <w:style w:type="character" w:styleId="FootnoteReference">
    <w:name w:val="footnote reference"/>
    <w:aliases w:val="ftref,Footnote Text1,Footnote Text2,Footnote text,16 Point,Superscript 6 Point,number,Footnote reference number,Footnote symbol,note TESI,-E Fußnotenzeichen,SUPERS,stylish,Footnote Reference Superscript,-E Fuﬂnotenzeichen,fr"/>
    <w:basedOn w:val="DefaultParagraphFont"/>
    <w:link w:val="CharCharCharCharCarChar"/>
    <w:uiPriority w:val="99"/>
    <w:unhideWhenUsed/>
    <w:qFormat/>
    <w:rsid w:val="00C15A67"/>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uiPriority w:val="9"/>
    <w:rsid w:val="009117FC"/>
    <w:rPr>
      <w:sz w:val="22"/>
      <w:szCs w:val="22"/>
      <w:lang w:val="en-GB"/>
    </w:rPr>
  </w:style>
  <w:style w:type="paragraph" w:styleId="ListParagraph">
    <w:name w:val="List Paragraph"/>
    <w:basedOn w:val="Normal"/>
    <w:uiPriority w:val="34"/>
    <w:qFormat/>
    <w:rsid w:val="009117FC"/>
    <w:pPr>
      <w:ind w:left="720"/>
      <w:contextualSpacing/>
    </w:pPr>
  </w:style>
  <w:style w:type="paragraph" w:styleId="Revision">
    <w:name w:val="Revision"/>
    <w:hidden/>
    <w:uiPriority w:val="99"/>
    <w:semiHidden/>
    <w:rsid w:val="009117FC"/>
    <w:rPr>
      <w:sz w:val="22"/>
      <w:szCs w:val="22"/>
      <w:lang w:val="en-GB"/>
    </w:rPr>
  </w:style>
  <w:style w:type="character" w:customStyle="1" w:styleId="HeaderChar">
    <w:name w:val="Header Char"/>
    <w:basedOn w:val="DefaultParagraphFont"/>
    <w:link w:val="Header"/>
    <w:rsid w:val="006B169A"/>
    <w:rPr>
      <w:sz w:val="22"/>
      <w:szCs w:val="22"/>
      <w:lang w:val="en-GB"/>
    </w:rPr>
  </w:style>
  <w:style w:type="character" w:customStyle="1" w:styleId="Heading3Char3">
    <w:name w:val="Heading 3 Char3"/>
    <w:aliases w:val="Char Char3,Heading 3 Char Char1,Char Char Char2,Heading 3 Char1 Char1,Heading 3 Char Char Char1,Char Char Char Char1,Char Char1 Char1,Heading 3 Char1 Char Char,Heading 3 Char Char Char Char,Char Char Char Char Char,Char Char1 Char Char"/>
    <w:basedOn w:val="DefaultParagraphFont"/>
    <w:link w:val="Heading3"/>
    <w:uiPriority w:val="9"/>
    <w:rsid w:val="00B87C45"/>
    <w:rPr>
      <w:sz w:val="22"/>
      <w:szCs w:val="22"/>
      <w:lang w:val="en-GB"/>
    </w:rPr>
  </w:style>
  <w:style w:type="character" w:customStyle="1" w:styleId="Heading4Char">
    <w:name w:val="Heading 4 Char"/>
    <w:aliases w:val="Heading 11 Char,para 4 Char,Título 41 Char,heading 4 Char,Heading 41 Char,标题 41 Char"/>
    <w:basedOn w:val="DefaultParagraphFont"/>
    <w:link w:val="Heading4"/>
    <w:uiPriority w:val="9"/>
    <w:rsid w:val="00B87C45"/>
    <w:rPr>
      <w:sz w:val="22"/>
      <w:szCs w:val="22"/>
      <w:lang w:val="en-GB"/>
    </w:rPr>
  </w:style>
  <w:style w:type="character" w:customStyle="1" w:styleId="Heading5Char">
    <w:name w:val="Heading 5 Char"/>
    <w:basedOn w:val="DefaultParagraphFont"/>
    <w:link w:val="Heading5"/>
    <w:rsid w:val="00B87C45"/>
    <w:rPr>
      <w:sz w:val="22"/>
      <w:szCs w:val="22"/>
      <w:lang w:val="en-GB"/>
    </w:rPr>
  </w:style>
  <w:style w:type="character" w:customStyle="1" w:styleId="Heading6Char">
    <w:name w:val="Heading 6 Char"/>
    <w:basedOn w:val="DefaultParagraphFont"/>
    <w:link w:val="Heading6"/>
    <w:uiPriority w:val="9"/>
    <w:rsid w:val="00B87C45"/>
    <w:rPr>
      <w:rFonts w:ascii="Arial" w:hAnsi="Arial"/>
      <w:i/>
      <w:sz w:val="22"/>
      <w:szCs w:val="22"/>
      <w:lang w:val="en-GB"/>
    </w:rPr>
  </w:style>
  <w:style w:type="character" w:customStyle="1" w:styleId="Heading7Char">
    <w:name w:val="Heading 7 Char"/>
    <w:basedOn w:val="DefaultParagraphFont"/>
    <w:link w:val="Heading7"/>
    <w:uiPriority w:val="9"/>
    <w:rsid w:val="00B87C45"/>
    <w:rPr>
      <w:rFonts w:ascii="Arial" w:hAnsi="Arial"/>
      <w:sz w:val="22"/>
      <w:szCs w:val="22"/>
      <w:lang w:val="en-GB"/>
    </w:rPr>
  </w:style>
  <w:style w:type="character" w:customStyle="1" w:styleId="Heading8Char">
    <w:name w:val="Heading 8 Char"/>
    <w:basedOn w:val="DefaultParagraphFont"/>
    <w:link w:val="Heading8"/>
    <w:rsid w:val="00B87C45"/>
    <w:rPr>
      <w:b/>
      <w:sz w:val="22"/>
      <w:szCs w:val="22"/>
      <w:lang w:val="en-GB"/>
    </w:rPr>
  </w:style>
  <w:style w:type="character" w:customStyle="1" w:styleId="Heading9Char">
    <w:name w:val="Heading 9 Char"/>
    <w:basedOn w:val="DefaultParagraphFont"/>
    <w:link w:val="Heading9"/>
    <w:uiPriority w:val="9"/>
    <w:rsid w:val="00B87C45"/>
    <w:rPr>
      <w:rFonts w:ascii="Arial" w:hAnsi="Arial"/>
      <w:i/>
      <w:sz w:val="18"/>
      <w:szCs w:val="22"/>
      <w:lang w:val="en-GB"/>
    </w:rPr>
  </w:style>
  <w:style w:type="character" w:customStyle="1" w:styleId="BodyText3Char">
    <w:name w:val="Body Text 3 Char"/>
    <w:basedOn w:val="DefaultParagraphFont"/>
    <w:link w:val="BodyText3"/>
    <w:semiHidden/>
    <w:rsid w:val="00B87C45"/>
    <w:rPr>
      <w:sz w:val="16"/>
      <w:szCs w:val="16"/>
      <w:lang w:val="en-GB"/>
    </w:rPr>
  </w:style>
  <w:style w:type="character" w:customStyle="1" w:styleId="BodyTextIndent3Char">
    <w:name w:val="Body Text Indent 3 Char"/>
    <w:basedOn w:val="DefaultParagraphFont"/>
    <w:link w:val="BodyTextIndent3"/>
    <w:semiHidden/>
    <w:rsid w:val="00B87C45"/>
    <w:rPr>
      <w:sz w:val="16"/>
      <w:szCs w:val="16"/>
      <w:lang w:val="en-GB"/>
    </w:rPr>
  </w:style>
  <w:style w:type="character" w:customStyle="1" w:styleId="PlainTextChar">
    <w:name w:val="Plain Text Char"/>
    <w:basedOn w:val="DefaultParagraphFont"/>
    <w:link w:val="PlainText"/>
    <w:semiHidden/>
    <w:rsid w:val="00B87C45"/>
    <w:rPr>
      <w:rFonts w:ascii="Courier New" w:hAnsi="Courier New" w:cs="Courier New"/>
      <w:szCs w:val="22"/>
      <w:lang w:val="en-GB"/>
    </w:rPr>
  </w:style>
  <w:style w:type="character" w:customStyle="1" w:styleId="SubtitleChar">
    <w:name w:val="Subtitle Char"/>
    <w:basedOn w:val="DefaultParagraphFont"/>
    <w:link w:val="Subtitle"/>
    <w:rsid w:val="00B87C45"/>
    <w:rPr>
      <w:rFonts w:ascii="Arial" w:hAnsi="Arial" w:cs="Arial"/>
      <w:sz w:val="22"/>
      <w:szCs w:val="22"/>
      <w:lang w:val="en-GB"/>
    </w:rPr>
  </w:style>
  <w:style w:type="character" w:customStyle="1" w:styleId="TitleChar">
    <w:name w:val="Title Char"/>
    <w:basedOn w:val="DefaultParagraphFont"/>
    <w:link w:val="Title"/>
    <w:rsid w:val="00B87C45"/>
    <w:rPr>
      <w:rFonts w:ascii="Arial" w:hAnsi="Arial" w:cs="Arial"/>
      <w:b/>
      <w:bCs/>
      <w:kern w:val="28"/>
      <w:sz w:val="22"/>
      <w:szCs w:val="22"/>
      <w:lang w:val="en-GB"/>
    </w:rPr>
  </w:style>
  <w:style w:type="character" w:customStyle="1" w:styleId="DateChar">
    <w:name w:val="Date Char"/>
    <w:basedOn w:val="DefaultParagraphFont"/>
    <w:link w:val="Date"/>
    <w:rsid w:val="00B87C45"/>
    <w:rPr>
      <w:sz w:val="22"/>
      <w:szCs w:val="22"/>
      <w:lang w:val="en-GB"/>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B87C45"/>
    <w:pPr>
      <w:spacing w:after="160" w:line="240" w:lineRule="exact"/>
    </w:pPr>
    <w:rPr>
      <w:sz w:val="20"/>
      <w:szCs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2020-12%20-%20MES%20DOCUMENTS%20DAN\Contrat%20TURQUOISE\MARC%20V\2020\F86-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54131ACC863C4CBCCC233143506327" ma:contentTypeVersion="2" ma:contentTypeDescription="Create a new document." ma:contentTypeScope="" ma:versionID="26ea6887eafcd2303a147d91da7b0ce2">
  <xsd:schema xmlns:xsd="http://www.w3.org/2001/XMLSchema" xmlns:p="http://schemas.microsoft.com/office/2006/metadata/properties" xmlns:ns2="8662b4aa-cf42-4f00-a3f0-9d3b4acad230" xmlns:ns3="310e179b-1379-4e79-9b74-d5a32b1812d3" targetNamespace="http://schemas.microsoft.com/office/2006/metadata/properties" ma:root="true" ma:fieldsID="1af4cf771546dc1ce13f690658318891"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UNEP/OzL.Pro/ExCom/87/47</Document_x0020_Number>
  </documentManagement>
</p:properties>
</file>

<file path=customXml/itemProps1.xml><?xml version="1.0" encoding="utf-8"?>
<ds:datastoreItem xmlns:ds="http://schemas.openxmlformats.org/officeDocument/2006/customXml" ds:itemID="{948E00D5-ACB5-457E-BAD7-72E59884CF5F}"/>
</file>

<file path=customXml/itemProps2.xml><?xml version="1.0" encoding="utf-8"?>
<ds:datastoreItem xmlns:ds="http://schemas.openxmlformats.org/officeDocument/2006/customXml" ds:itemID="{9C6CB524-D84C-443A-A696-09487AA9DA3A}"/>
</file>

<file path=customXml/itemProps3.xml><?xml version="1.0" encoding="utf-8"?>
<ds:datastoreItem xmlns:ds="http://schemas.openxmlformats.org/officeDocument/2006/customXml" ds:itemID="{D214C92D-6483-49FB-964D-F5714DD9E617}"/>
</file>

<file path=customXml/itemProps4.xml><?xml version="1.0" encoding="utf-8"?>
<ds:datastoreItem xmlns:ds="http://schemas.openxmlformats.org/officeDocument/2006/customXml" ds:itemID="{745A797E-2B9A-4C19-A9AD-CCF6DCA6939D}"/>
</file>

<file path=docProps/app.xml><?xml version="1.0" encoding="utf-8"?>
<Properties xmlns="http://schemas.openxmlformats.org/officeDocument/2006/extended-properties" xmlns:vt="http://schemas.openxmlformats.org/officeDocument/2006/docPropsVTypes">
  <Template>F86-Template</Template>
  <TotalTime>1255</TotalTime>
  <Pages>23</Pages>
  <Words>10487</Words>
  <Characters>59779</Characters>
  <Application>Microsoft Office Word</Application>
  <DocSecurity>0</DocSecurity>
  <Lines>498</Lines>
  <Paragraphs>140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Analyse du niveau et des modalités de financement de la réduction progressive des HFC dans le secteur de l'entretien de l'équipement de réfrigération</vt:lpstr>
      <vt:lpstr>Ordre du jour provisoire</vt:lpstr>
    </vt:vector>
  </TitlesOfParts>
  <Company>UNMFS</Company>
  <LinksUpToDate>false</LinksUpToDate>
  <CharactersWithSpaces>70126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du niveau et des modalités de financement de la réduction progressive des HFC dans le secteur de l'entretien de l'équipement de réfrigération</dc:title>
  <dc:creator>Utilisateur</dc:creator>
  <cp:lastModifiedBy>HB</cp:lastModifiedBy>
  <cp:revision>35</cp:revision>
  <cp:lastPrinted>2001-05-26T16:40:00Z</cp:lastPrinted>
  <dcterms:created xsi:type="dcterms:W3CDTF">2021-04-18T21:27:00Z</dcterms:created>
  <dcterms:modified xsi:type="dcterms:W3CDTF">2021-06-24T18:44:00Z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UNEP/OzL.Pro/ExCom/87/47</vt:lpwstr>
  </property>
  <property fmtid="{D5CDD505-2E9C-101B-9397-08002B2CF9AE}" pid="3" name="Revision date">
    <vt:lpwstr>6/11/2021</vt:lpwstr>
  </property>
  <property fmtid="{D5CDD505-2E9C-101B-9397-08002B2CF9AE}" pid="4" name="ContentTypeId">
    <vt:lpwstr>0x0101006D54131ACC863C4CBCCC233143506327</vt:lpwstr>
  </property>
</Properties>
</file>