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14:paraId="78BB70CE" w14:textId="77777777">
        <w:trPr>
          <w:trHeight w:val="720"/>
        </w:trPr>
        <w:tc>
          <w:tcPr>
            <w:tcW w:w="7061" w:type="dxa"/>
            <w:gridSpan w:val="2"/>
            <w:tcBorders>
              <w:bottom w:val="single" w:sz="18" w:space="0" w:color="auto"/>
            </w:tcBorders>
          </w:tcPr>
          <w:p w14:paraId="2D0AF525" w14:textId="77777777" w:rsidR="00441083" w:rsidRDefault="00E60D9C" w:rsidP="00654613">
            <w:pPr>
              <w:tabs>
                <w:tab w:val="left" w:pos="604"/>
                <w:tab w:val="left" w:pos="1029"/>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186B5FD7"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6A4874F3"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77029B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9E38991" w14:textId="77777777" w:rsidR="00441083" w:rsidRDefault="00C6443E">
            <w:pPr>
              <w:spacing w:before="120"/>
            </w:pPr>
            <w:r>
              <w:rPr>
                <w:noProof/>
                <w:lang w:val="en-US"/>
              </w:rPr>
              <w:drawing>
                <wp:anchor distT="0" distB="0" distL="114300" distR="114300" simplePos="0" relativeHeight="251660288" behindDoc="0" locked="0" layoutInCell="1" allowOverlap="1" wp14:anchorId="29492DD0" wp14:editId="776F467F">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US"/>
              </w:rPr>
              <w:drawing>
                <wp:anchor distT="0" distB="0" distL="114300" distR="114300" simplePos="0" relativeHeight="251661312" behindDoc="1" locked="0" layoutInCell="0" allowOverlap="1" wp14:anchorId="02F07059" wp14:editId="5D12C3B2">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39216DE5" w14:textId="77777777"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5281CB73"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5866CBC6" w14:textId="77777777" w:rsidR="00441083" w:rsidRDefault="00E60D9C">
            <w:pPr>
              <w:rPr>
                <w:rFonts w:ascii="Univers" w:hAnsi="Univers"/>
                <w:b/>
                <w:sz w:val="32"/>
                <w:lang w:val="fr-CA"/>
              </w:rPr>
            </w:pPr>
            <w:r>
              <w:rPr>
                <w:rFonts w:ascii="Univers" w:hAnsi="Univers"/>
                <w:b/>
                <w:sz w:val="32"/>
                <w:lang w:val="fr-CA"/>
              </w:rPr>
              <w:t>Nations Unies pour</w:t>
            </w:r>
          </w:p>
          <w:p w14:paraId="7AA45254" w14:textId="787875D9" w:rsidR="00441083" w:rsidRDefault="00E60D9C">
            <w:pPr>
              <w:rPr>
                <w:rFonts w:ascii="Univers" w:hAnsi="Univers"/>
                <w:b/>
                <w:sz w:val="32"/>
                <w:lang w:val="fr-CA"/>
              </w:rPr>
            </w:pPr>
            <w:proofErr w:type="gramStart"/>
            <w:r>
              <w:rPr>
                <w:rFonts w:ascii="Univers" w:hAnsi="Univers"/>
                <w:b/>
                <w:sz w:val="32"/>
                <w:lang w:val="fr-CA"/>
              </w:rPr>
              <w:t>l</w:t>
            </w:r>
            <w:r w:rsidR="00687D1A">
              <w:rPr>
                <w:rFonts w:ascii="Univers" w:hAnsi="Univers"/>
                <w:b/>
                <w:sz w:val="32"/>
                <w:lang w:val="fr-CA"/>
              </w:rPr>
              <w:t>’</w:t>
            </w:r>
            <w:r>
              <w:rPr>
                <w:rFonts w:ascii="Univers" w:hAnsi="Univers"/>
                <w:b/>
                <w:sz w:val="32"/>
                <w:lang w:val="fr-CA"/>
              </w:rPr>
              <w:t>environnement</w:t>
            </w:r>
            <w:proofErr w:type="gramEnd"/>
          </w:p>
          <w:p w14:paraId="0CF753D5" w14:textId="77777777" w:rsidR="00441083" w:rsidRDefault="00E60D9C">
            <w:pPr>
              <w:spacing w:before="720"/>
              <w:ind w:left="158"/>
            </w:pPr>
            <w:r>
              <w:t xml:space="preserve"> </w:t>
            </w:r>
          </w:p>
        </w:tc>
        <w:tc>
          <w:tcPr>
            <w:tcW w:w="3544" w:type="dxa"/>
            <w:tcBorders>
              <w:top w:val="nil"/>
              <w:left w:val="nil"/>
              <w:bottom w:val="single" w:sz="36" w:space="0" w:color="auto"/>
              <w:right w:val="nil"/>
            </w:tcBorders>
          </w:tcPr>
          <w:p w14:paraId="0757DAD7" w14:textId="77777777" w:rsidR="00441083" w:rsidRDefault="00441083"/>
          <w:p w14:paraId="50731005" w14:textId="77777777" w:rsidR="00441083" w:rsidRPr="00DD3433" w:rsidRDefault="00E60D9C">
            <w:proofErr w:type="spellStart"/>
            <w:r w:rsidRPr="00DD3433">
              <w:t>Distr</w:t>
            </w:r>
            <w:proofErr w:type="spellEnd"/>
            <w:r w:rsidRPr="00DD3433">
              <w:t>.</w:t>
            </w:r>
          </w:p>
          <w:p w14:paraId="693A6635" w14:textId="77777777" w:rsidR="00441083" w:rsidRPr="00DD3433" w:rsidRDefault="00E60D9C" w:rsidP="00DD3433">
            <w:r w:rsidRPr="00DD3433">
              <w:t>G</w:t>
            </w:r>
            <w:r w:rsidR="00DD3433" w:rsidRPr="00DD3433">
              <w:t>É</w:t>
            </w:r>
            <w:r w:rsidRPr="00DD3433">
              <w:t>N</w:t>
            </w:r>
            <w:r w:rsidR="00DD3433" w:rsidRPr="00DD3433">
              <w:t>É</w:t>
            </w:r>
            <w:r w:rsidRPr="00DD3433">
              <w:t>RAL</w:t>
            </w:r>
            <w:r w:rsidR="00FF3CF1" w:rsidRPr="00DD3433">
              <w:t>E</w:t>
            </w:r>
          </w:p>
          <w:p w14:paraId="006FE9A8" w14:textId="77777777" w:rsidR="00441083" w:rsidRPr="00DD3433" w:rsidRDefault="00441083"/>
          <w:p w14:paraId="606382CF" w14:textId="15B51FF4" w:rsidR="00441083" w:rsidRPr="00B434E2" w:rsidRDefault="00E60D9C">
            <w:pPr>
              <w:rPr>
                <w:lang w:val="fr-CA"/>
              </w:rPr>
            </w:pPr>
            <w:r>
              <w:fldChar w:fldCharType="begin"/>
            </w:r>
            <w:r w:rsidRPr="00B434E2">
              <w:rPr>
                <w:lang w:val="fr-CA"/>
              </w:rPr>
              <w:instrText xml:space="preserve"> DOCPROPERTY "Document number"  \* MERGEFORMAT </w:instrText>
            </w:r>
            <w:r>
              <w:fldChar w:fldCharType="separate"/>
            </w:r>
            <w:r w:rsidR="00B434E2">
              <w:rPr>
                <w:lang w:val="fr-CA"/>
              </w:rPr>
              <w:t>UNEP/</w:t>
            </w:r>
            <w:proofErr w:type="spellStart"/>
            <w:r w:rsidR="00B434E2">
              <w:rPr>
                <w:lang w:val="fr-CA"/>
              </w:rPr>
              <w:t>OzL.Pro</w:t>
            </w:r>
            <w:proofErr w:type="spellEnd"/>
            <w:r w:rsidR="00B434E2">
              <w:rPr>
                <w:lang w:val="fr-CA"/>
              </w:rPr>
              <w:t>/</w:t>
            </w:r>
            <w:proofErr w:type="spellStart"/>
            <w:r w:rsidR="00B434E2">
              <w:rPr>
                <w:lang w:val="fr-CA"/>
              </w:rPr>
              <w:t>ExCom</w:t>
            </w:r>
            <w:proofErr w:type="spellEnd"/>
            <w:r w:rsidR="00B434E2">
              <w:rPr>
                <w:lang w:val="fr-CA"/>
              </w:rPr>
              <w:t>/87/26</w:t>
            </w:r>
            <w:r>
              <w:fldChar w:fldCharType="end"/>
            </w:r>
          </w:p>
          <w:p w14:paraId="649E228E" w14:textId="3F3B637A" w:rsidR="002F0B57" w:rsidRPr="00B434E2" w:rsidRDefault="002F0B57" w:rsidP="00FF3DFD">
            <w:r>
              <w:fldChar w:fldCharType="begin"/>
            </w:r>
            <w:r w:rsidRPr="00B434E2">
              <w:instrText xml:space="preserve"> DOCPROPERTY "Revision date" \@ "d MMMM YYYY"  \* MERGEFORMAT </w:instrText>
            </w:r>
            <w:r>
              <w:fldChar w:fldCharType="separate"/>
            </w:r>
            <w:r w:rsidR="0066454E" w:rsidRPr="00B434E2">
              <w:t>7</w:t>
            </w:r>
            <w:r w:rsidR="00FF3DFD" w:rsidRPr="00B434E2">
              <w:t xml:space="preserve"> </w:t>
            </w:r>
            <w:r w:rsidR="0066454E" w:rsidRPr="00B434E2">
              <w:t>juin</w:t>
            </w:r>
            <w:r w:rsidR="00FF3DFD" w:rsidRPr="00B434E2">
              <w:t xml:space="preserve"> 2021</w:t>
            </w:r>
            <w:r>
              <w:fldChar w:fldCharType="end"/>
            </w:r>
          </w:p>
          <w:p w14:paraId="21A08159" w14:textId="77777777" w:rsidR="00441083" w:rsidRDefault="00FC5578">
            <w:pPr>
              <w:rPr>
                <w:caps/>
              </w:rPr>
            </w:pPr>
            <w:r w:rsidRPr="00B434E2">
              <w:rPr>
                <w:caps/>
              </w:rPr>
              <w:br/>
            </w:r>
            <w:r w:rsidR="00E60D9C">
              <w:rPr>
                <w:caps/>
              </w:rPr>
              <w:t>FRANÇAIS</w:t>
            </w:r>
          </w:p>
          <w:p w14:paraId="258EEC0E" w14:textId="77777777" w:rsidR="00441083" w:rsidRDefault="00E60D9C">
            <w:r>
              <w:t xml:space="preserve">ORIGINAL: </w:t>
            </w:r>
            <w:r w:rsidR="0091161A">
              <w:t>ANGLAIS</w:t>
            </w:r>
          </w:p>
        </w:tc>
      </w:tr>
    </w:tbl>
    <w:p w14:paraId="0DC463EA" w14:textId="0CE2B217" w:rsidR="00441083" w:rsidRDefault="00E60D9C" w:rsidP="002C06D4">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w:t>
      </w:r>
      <w:r w:rsidR="00687D1A">
        <w:rPr>
          <w:lang w:val="fr-CA"/>
        </w:rPr>
        <w:t>’</w:t>
      </w:r>
      <w:r>
        <w:rPr>
          <w:lang w:val="fr-CA"/>
        </w:rPr>
        <w:t>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2C06D4">
        <w:rPr>
          <w:lang w:val="fr-CA"/>
        </w:rPr>
        <w:t>sept</w:t>
      </w:r>
      <w:r w:rsidR="004C2C87">
        <w:rPr>
          <w:lang w:val="fr-CA"/>
        </w:rPr>
        <w:t>i</w:t>
      </w:r>
      <w:r w:rsidR="00E54871">
        <w:rPr>
          <w:lang w:val="fr-CA"/>
        </w:rPr>
        <w:t>ème</w:t>
      </w:r>
      <w:r w:rsidR="00FC5578" w:rsidRPr="00FC5578">
        <w:rPr>
          <w:lang w:val="fr-CA"/>
        </w:rPr>
        <w:t xml:space="preserve"> </w:t>
      </w:r>
      <w:r>
        <w:rPr>
          <w:lang w:val="fr-CA"/>
        </w:rPr>
        <w:t>réunion</w:t>
      </w:r>
    </w:p>
    <w:p w14:paraId="4239CA65" w14:textId="77777777" w:rsidR="00441083" w:rsidRDefault="00E54871" w:rsidP="00C16E3F">
      <w:pPr>
        <w:jc w:val="left"/>
        <w:rPr>
          <w:lang w:val="fr-CA"/>
        </w:rPr>
      </w:pPr>
      <w:r>
        <w:rPr>
          <w:lang w:val="fr-CA"/>
        </w:rPr>
        <w:t>Montr</w:t>
      </w:r>
      <w:r w:rsidRPr="00A70EC7">
        <w:rPr>
          <w:lang w:val="fr-CA"/>
        </w:rPr>
        <w:t>é</w:t>
      </w:r>
      <w:r>
        <w:rPr>
          <w:lang w:val="fr-CA"/>
        </w:rPr>
        <w:t>al,</w:t>
      </w:r>
      <w:r w:rsidR="00FC5578">
        <w:rPr>
          <w:lang w:val="fr-CA"/>
        </w:rPr>
        <w:t xml:space="preserve"> </w:t>
      </w:r>
      <w:r w:rsidR="002C06D4">
        <w:rPr>
          <w:lang w:val="fr-CA"/>
        </w:rPr>
        <w:t>2</w:t>
      </w:r>
      <w:r w:rsidR="00C16E3F">
        <w:rPr>
          <w:lang w:val="fr-CA"/>
        </w:rPr>
        <w:t>8</w:t>
      </w:r>
      <w:r w:rsidR="002C06D4">
        <w:rPr>
          <w:lang w:val="fr-CA"/>
        </w:rPr>
        <w:t xml:space="preserve"> juin</w:t>
      </w:r>
      <w:r w:rsidR="00AC013C">
        <w:rPr>
          <w:lang w:val="fr-CA"/>
        </w:rPr>
        <w:t xml:space="preserve"> </w:t>
      </w:r>
      <w:r w:rsidR="00E60D9C">
        <w:rPr>
          <w:lang w:val="fr-CA"/>
        </w:rPr>
        <w:t xml:space="preserve">– </w:t>
      </w:r>
      <w:r w:rsidR="002C06D4">
        <w:rPr>
          <w:lang w:val="fr-CA"/>
        </w:rPr>
        <w:t>2 juillet</w:t>
      </w:r>
      <w:r w:rsidR="004C2C87">
        <w:rPr>
          <w:lang w:val="fr-CA"/>
        </w:rPr>
        <w:t xml:space="preserve"> 20</w:t>
      </w:r>
      <w:r w:rsidR="002C06D4">
        <w:rPr>
          <w:lang w:val="fr-CA"/>
        </w:rPr>
        <w:t>2</w:t>
      </w:r>
      <w:r w:rsidR="004C2C87">
        <w:rPr>
          <w:lang w:val="fr-CA"/>
        </w:rPr>
        <w:t>1</w:t>
      </w:r>
      <w:r w:rsidR="002C06D4">
        <w:rPr>
          <w:rStyle w:val="FootnoteReference"/>
          <w:lang w:val="fr-CA"/>
        </w:rPr>
        <w:footnoteReference w:id="1"/>
      </w:r>
    </w:p>
    <w:p w14:paraId="3E165BFC" w14:textId="77777777" w:rsidR="00441083" w:rsidRDefault="00441083">
      <w:pPr>
        <w:jc w:val="left"/>
        <w:rPr>
          <w:lang w:val="fr-CA"/>
        </w:rPr>
      </w:pPr>
    </w:p>
    <w:p w14:paraId="234D1D60" w14:textId="3805D017" w:rsidR="00441083" w:rsidRDefault="00441083" w:rsidP="0004647F">
      <w:pPr>
        <w:pStyle w:val="Title1"/>
        <w:jc w:val="both"/>
        <w:rPr>
          <w:noProof/>
          <w:lang w:val="fr-FR"/>
        </w:rPr>
      </w:pPr>
    </w:p>
    <w:p w14:paraId="520CD227" w14:textId="77777777" w:rsidR="006456AC" w:rsidRDefault="006456AC" w:rsidP="0004647F">
      <w:pPr>
        <w:pStyle w:val="Title1"/>
        <w:jc w:val="both"/>
        <w:rPr>
          <w:noProof/>
          <w:lang w:val="fr-FR"/>
        </w:rPr>
      </w:pPr>
    </w:p>
    <w:p w14:paraId="606CAD70" w14:textId="77777777" w:rsidR="00441083" w:rsidRDefault="00441083">
      <w:pPr>
        <w:pStyle w:val="Title1"/>
        <w:rPr>
          <w:lang w:val="fr-FR"/>
        </w:rPr>
      </w:pPr>
    </w:p>
    <w:p w14:paraId="7E59AD0F" w14:textId="401A4848" w:rsidR="0066454E" w:rsidRDefault="00B434E2" w:rsidP="0066454E">
      <w:pPr>
        <w:jc w:val="center"/>
        <w:rPr>
          <w:b/>
        </w:rPr>
      </w:pPr>
      <w:r>
        <w:rPr>
          <w:b/>
        </w:rPr>
        <w:t>PROPOSITIONS DE PROJET : EL SALVADOR</w:t>
      </w:r>
    </w:p>
    <w:p w14:paraId="4B53C76D" w14:textId="4FB270B0" w:rsidR="006456AC" w:rsidRDefault="006456AC" w:rsidP="0066454E">
      <w:pPr>
        <w:jc w:val="center"/>
        <w:rPr>
          <w:b/>
        </w:rPr>
      </w:pPr>
    </w:p>
    <w:p w14:paraId="0B99F851" w14:textId="77777777" w:rsidR="006456AC" w:rsidRPr="008A29DA" w:rsidRDefault="006456AC" w:rsidP="0066454E">
      <w:pPr>
        <w:jc w:val="center"/>
        <w:rPr>
          <w:b/>
        </w:rPr>
      </w:pPr>
    </w:p>
    <w:p w14:paraId="51511175" w14:textId="77777777" w:rsidR="0066454E" w:rsidRPr="00B434E2" w:rsidRDefault="0066454E" w:rsidP="0066454E">
      <w:pPr>
        <w:rPr>
          <w:lang w:val="fr-CA"/>
        </w:rPr>
      </w:pPr>
    </w:p>
    <w:p w14:paraId="2E179CD5" w14:textId="172FC556" w:rsidR="0066454E" w:rsidRPr="00EE5B08" w:rsidRDefault="0066454E" w:rsidP="0066454E">
      <w:pPr>
        <w:ind w:firstLine="720"/>
      </w:pPr>
      <w:r>
        <w:t xml:space="preserve">Le présent document </w:t>
      </w:r>
      <w:r w:rsidRPr="006F32E5">
        <w:t>comprend</w:t>
      </w:r>
      <w:r>
        <w:t xml:space="preserve"> les observations et la recommandation du Secrétariat sur la proposition de projet suivante :</w:t>
      </w:r>
    </w:p>
    <w:p w14:paraId="5AE85D5C" w14:textId="73560A10" w:rsidR="0066454E" w:rsidRPr="00B434E2" w:rsidRDefault="0066454E" w:rsidP="0066454E">
      <w:pPr>
        <w:rPr>
          <w:lang w:val="fr-CA"/>
        </w:rPr>
      </w:pPr>
    </w:p>
    <w:p w14:paraId="46CD04DE" w14:textId="77777777" w:rsidR="008811A1" w:rsidRPr="00B434E2" w:rsidRDefault="008811A1" w:rsidP="0066454E">
      <w:pPr>
        <w:rPr>
          <w:lang w:val="fr-CA"/>
        </w:rPr>
      </w:pPr>
    </w:p>
    <w:p w14:paraId="1F52854A" w14:textId="77777777" w:rsidR="0066454E" w:rsidRPr="00EE5B08" w:rsidRDefault="0066454E" w:rsidP="0066454E">
      <w:pPr>
        <w:rPr>
          <w:u w:val="single"/>
        </w:rPr>
      </w:pPr>
      <w:r>
        <w:rPr>
          <w:u w:val="single"/>
        </w:rPr>
        <w:t>Élimination</w:t>
      </w:r>
    </w:p>
    <w:p w14:paraId="4C0EF7EE" w14:textId="77777777" w:rsidR="0066454E" w:rsidRDefault="0066454E" w:rsidP="0066454E">
      <w:pPr>
        <w:rPr>
          <w:lang w:val="en-CA"/>
        </w:rPr>
      </w:pPr>
    </w:p>
    <w:p w14:paraId="754A401F" w14:textId="77777777" w:rsidR="0066454E" w:rsidRDefault="0066454E" w:rsidP="0066454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6454E" w:rsidRPr="004C14A1" w14:paraId="0ED5F235" w14:textId="77777777" w:rsidTr="00B006A9">
        <w:tc>
          <w:tcPr>
            <w:tcW w:w="6941" w:type="dxa"/>
          </w:tcPr>
          <w:p w14:paraId="031D93AD" w14:textId="20A1FC86" w:rsidR="006D7333" w:rsidRDefault="0066454E" w:rsidP="0066454E">
            <w:pPr>
              <w:pStyle w:val="ListParagraph"/>
              <w:numPr>
                <w:ilvl w:val="0"/>
                <w:numId w:val="23"/>
              </w:numPr>
              <w:ind w:hanging="830"/>
            </w:pPr>
            <w:r>
              <w:t>Plan de gestion de l</w:t>
            </w:r>
            <w:r w:rsidR="00687D1A">
              <w:t>’</w:t>
            </w:r>
            <w:r>
              <w:t>élimination des HCFC</w:t>
            </w:r>
          </w:p>
          <w:p w14:paraId="344E31C7" w14:textId="309C9C1B" w:rsidR="0066454E" w:rsidRDefault="0066454E" w:rsidP="006D7333">
            <w:pPr>
              <w:pStyle w:val="ListParagraph"/>
            </w:pPr>
            <w:r>
              <w:t>(</w:t>
            </w:r>
            <w:proofErr w:type="gramStart"/>
            <w:r>
              <w:t>phase</w:t>
            </w:r>
            <w:proofErr w:type="gramEnd"/>
            <w:r>
              <w:t> II, première tranche)</w:t>
            </w:r>
          </w:p>
          <w:p w14:paraId="3C8ADD39" w14:textId="0B7F78E9" w:rsidR="0066454E" w:rsidRPr="00EE5B08" w:rsidRDefault="0066454E" w:rsidP="0066454E">
            <w:pPr>
              <w:pStyle w:val="ListParagraph"/>
            </w:pPr>
          </w:p>
        </w:tc>
        <w:tc>
          <w:tcPr>
            <w:tcW w:w="2409" w:type="dxa"/>
          </w:tcPr>
          <w:p w14:paraId="3655A634" w14:textId="77777777" w:rsidR="0066454E" w:rsidRPr="004C14A1" w:rsidRDefault="0066454E" w:rsidP="00B006A9">
            <w:pPr>
              <w:jc w:val="right"/>
            </w:pPr>
            <w:r>
              <w:t>PNUD et PNUE</w:t>
            </w:r>
          </w:p>
        </w:tc>
      </w:tr>
    </w:tbl>
    <w:p w14:paraId="40B9A283" w14:textId="77777777" w:rsidR="0066454E" w:rsidRDefault="0066454E" w:rsidP="0066454E">
      <w:pPr>
        <w:rPr>
          <w:lang w:val="en-CA"/>
        </w:rPr>
      </w:pPr>
    </w:p>
    <w:p w14:paraId="2C9C4B77" w14:textId="77777777" w:rsidR="0066454E" w:rsidRPr="00EE5B08" w:rsidRDefault="0066454E" w:rsidP="0066454E">
      <w:pPr>
        <w:rPr>
          <w:lang w:val="en-CA"/>
        </w:rPr>
      </w:pPr>
    </w:p>
    <w:p w14:paraId="73F923A2" w14:textId="77777777" w:rsidR="0066454E" w:rsidRDefault="0066454E">
      <w:r>
        <w:br w:type="page"/>
      </w:r>
    </w:p>
    <w:p w14:paraId="1529405D" w14:textId="1252E140" w:rsidR="006D7333" w:rsidRPr="008A29DA" w:rsidRDefault="006D7333" w:rsidP="006D7333">
      <w:pPr>
        <w:jc w:val="center"/>
        <w:rPr>
          <w:b/>
        </w:rPr>
      </w:pPr>
      <w:r>
        <w:rPr>
          <w:b/>
        </w:rPr>
        <w:lastRenderedPageBreak/>
        <w:t>FICHE D</w:t>
      </w:r>
      <w:r w:rsidR="00687D1A">
        <w:rPr>
          <w:b/>
        </w:rPr>
        <w:t>’</w:t>
      </w:r>
      <w:r>
        <w:rPr>
          <w:b/>
        </w:rPr>
        <w:t>ÉVALUATION DU PROJET – PROJETS PLURIANNUELS</w:t>
      </w:r>
    </w:p>
    <w:p w14:paraId="6A96EC8D" w14:textId="77777777" w:rsidR="006D7333" w:rsidRPr="00B434E2" w:rsidRDefault="006D7333" w:rsidP="006D7333">
      <w:pPr>
        <w:jc w:val="center"/>
        <w:rPr>
          <w:sz w:val="18"/>
          <w:lang w:val="fr-CA"/>
        </w:rPr>
      </w:pPr>
    </w:p>
    <w:p w14:paraId="3AFDC2FA" w14:textId="77777777" w:rsidR="006D7333" w:rsidRPr="008A29DA" w:rsidRDefault="006D7333" w:rsidP="006D7333">
      <w:pPr>
        <w:jc w:val="center"/>
        <w:rPr>
          <w:b/>
        </w:rPr>
      </w:pPr>
      <w:r>
        <w:rPr>
          <w:b/>
        </w:rPr>
        <w:t>El Salvador</w:t>
      </w:r>
    </w:p>
    <w:p w14:paraId="342DBDEC" w14:textId="77777777" w:rsidR="006D7333" w:rsidRPr="008A29DA" w:rsidRDefault="006D7333" w:rsidP="006D7333">
      <w:pPr>
        <w:jc w:val="center"/>
        <w:rPr>
          <w:sz w:val="18"/>
          <w:lang w:val="en-CA"/>
        </w:rPr>
      </w:pPr>
    </w:p>
    <w:tbl>
      <w:tblPr>
        <w:tblStyle w:val="TableGrid"/>
        <w:tblW w:w="5309" w:type="pct"/>
        <w:tblInd w:w="-113" w:type="dxa"/>
        <w:tblLook w:val="04A0" w:firstRow="1" w:lastRow="0" w:firstColumn="1" w:lastColumn="0" w:noHBand="0" w:noVBand="1"/>
      </w:tblPr>
      <w:tblGrid>
        <w:gridCol w:w="4678"/>
        <w:gridCol w:w="5250"/>
      </w:tblGrid>
      <w:tr w:rsidR="006D7333" w:rsidRPr="00B434E2" w14:paraId="6603F66E" w14:textId="77777777" w:rsidTr="00B006A9">
        <w:trPr>
          <w:trHeight w:val="240"/>
        </w:trPr>
        <w:tc>
          <w:tcPr>
            <w:tcW w:w="2356" w:type="pct"/>
            <w:shd w:val="clear" w:color="auto" w:fill="auto"/>
          </w:tcPr>
          <w:p w14:paraId="59DBDD0D" w14:textId="77777777" w:rsidR="006D7333" w:rsidRPr="00B434E2" w:rsidRDefault="006D7333" w:rsidP="00B006A9">
            <w:pPr>
              <w:rPr>
                <w:b/>
                <w:bCs/>
                <w:sz w:val="18"/>
                <w:szCs w:val="18"/>
              </w:rPr>
            </w:pPr>
            <w:r w:rsidRPr="00B434E2">
              <w:rPr>
                <w:b/>
                <w:sz w:val="18"/>
                <w:szCs w:val="18"/>
              </w:rPr>
              <w:t>(I) TITRE DU PROJET</w:t>
            </w:r>
          </w:p>
        </w:tc>
        <w:tc>
          <w:tcPr>
            <w:tcW w:w="2644" w:type="pct"/>
            <w:shd w:val="clear" w:color="auto" w:fill="auto"/>
          </w:tcPr>
          <w:p w14:paraId="62BC1F27" w14:textId="77777777" w:rsidR="006D7333" w:rsidRPr="00B434E2" w:rsidRDefault="006D7333" w:rsidP="00B006A9">
            <w:pPr>
              <w:jc w:val="center"/>
              <w:rPr>
                <w:b/>
                <w:bCs/>
                <w:sz w:val="18"/>
                <w:szCs w:val="18"/>
              </w:rPr>
            </w:pPr>
            <w:r w:rsidRPr="00B434E2">
              <w:rPr>
                <w:b/>
                <w:sz w:val="18"/>
                <w:szCs w:val="18"/>
              </w:rPr>
              <w:t>AGENCE</w:t>
            </w:r>
          </w:p>
        </w:tc>
      </w:tr>
      <w:tr w:rsidR="006D7333" w:rsidRPr="00B434E2" w14:paraId="32FA887E" w14:textId="77777777" w:rsidTr="00B006A9">
        <w:trPr>
          <w:trHeight w:val="103"/>
        </w:trPr>
        <w:tc>
          <w:tcPr>
            <w:tcW w:w="2356" w:type="pct"/>
            <w:shd w:val="clear" w:color="auto" w:fill="auto"/>
          </w:tcPr>
          <w:p w14:paraId="4111BCF1" w14:textId="373E9BC6" w:rsidR="006D7333" w:rsidRPr="00B434E2" w:rsidRDefault="006D7333" w:rsidP="00B006A9">
            <w:pPr>
              <w:spacing w:after="80"/>
              <w:jc w:val="center"/>
              <w:rPr>
                <w:color w:val="000000" w:themeColor="text1"/>
                <w:sz w:val="18"/>
                <w:szCs w:val="18"/>
              </w:rPr>
            </w:pPr>
            <w:r w:rsidRPr="00B434E2">
              <w:rPr>
                <w:color w:val="000000" w:themeColor="text1"/>
                <w:sz w:val="18"/>
                <w:szCs w:val="18"/>
              </w:rPr>
              <w:t>Plan d</w:t>
            </w:r>
            <w:r w:rsidR="00687D1A" w:rsidRPr="00B434E2">
              <w:rPr>
                <w:color w:val="000000" w:themeColor="text1"/>
                <w:sz w:val="18"/>
                <w:szCs w:val="18"/>
              </w:rPr>
              <w:t>’</w:t>
            </w:r>
            <w:r w:rsidRPr="00B434E2">
              <w:rPr>
                <w:color w:val="000000" w:themeColor="text1"/>
                <w:sz w:val="18"/>
                <w:szCs w:val="18"/>
              </w:rPr>
              <w:t>élimination des HCFC (phase II)</w:t>
            </w:r>
          </w:p>
        </w:tc>
        <w:tc>
          <w:tcPr>
            <w:tcW w:w="2644" w:type="pct"/>
            <w:shd w:val="clear" w:color="auto" w:fill="auto"/>
          </w:tcPr>
          <w:p w14:paraId="608A415D" w14:textId="77777777" w:rsidR="006D7333" w:rsidRPr="00B434E2" w:rsidRDefault="006D7333" w:rsidP="00B006A9">
            <w:pPr>
              <w:spacing w:after="80"/>
              <w:jc w:val="center"/>
              <w:rPr>
                <w:color w:val="000000" w:themeColor="text1"/>
                <w:sz w:val="18"/>
                <w:szCs w:val="18"/>
              </w:rPr>
            </w:pPr>
            <w:r w:rsidRPr="00B434E2">
              <w:rPr>
                <w:color w:val="000000" w:themeColor="text1"/>
                <w:sz w:val="18"/>
                <w:szCs w:val="18"/>
              </w:rPr>
              <w:t>PNUD (principale), PNUE</w:t>
            </w:r>
          </w:p>
        </w:tc>
      </w:tr>
    </w:tbl>
    <w:p w14:paraId="50531F57" w14:textId="77777777" w:rsidR="006D7333" w:rsidRPr="00B434E2" w:rsidRDefault="006D7333" w:rsidP="006D7333">
      <w:pPr>
        <w:jc w:val="center"/>
        <w:rPr>
          <w:sz w:val="18"/>
          <w:szCs w:val="18"/>
          <w:lang w:val="en-CA"/>
        </w:rPr>
      </w:pPr>
    </w:p>
    <w:tbl>
      <w:tblPr>
        <w:tblStyle w:val="TableGrid"/>
        <w:tblW w:w="5400" w:type="pct"/>
        <w:tblInd w:w="-113" w:type="dxa"/>
        <w:tblLook w:val="04A0" w:firstRow="1" w:lastRow="0" w:firstColumn="1" w:lastColumn="0" w:noHBand="0" w:noVBand="1"/>
      </w:tblPr>
      <w:tblGrid>
        <w:gridCol w:w="6317"/>
        <w:gridCol w:w="2161"/>
        <w:gridCol w:w="1620"/>
      </w:tblGrid>
      <w:tr w:rsidR="006D7333" w:rsidRPr="00B434E2" w14:paraId="27D898D8" w14:textId="77777777" w:rsidTr="00B434E2">
        <w:trPr>
          <w:trHeight w:val="195"/>
        </w:trPr>
        <w:tc>
          <w:tcPr>
            <w:tcW w:w="3128" w:type="pct"/>
            <w:shd w:val="clear" w:color="auto" w:fill="auto"/>
          </w:tcPr>
          <w:p w14:paraId="1FE63715" w14:textId="060FB56F" w:rsidR="006D7333" w:rsidRPr="00B434E2" w:rsidRDefault="006D7333" w:rsidP="00B006A9">
            <w:pPr>
              <w:spacing w:after="60"/>
              <w:jc w:val="left"/>
              <w:rPr>
                <w:b/>
                <w:sz w:val="18"/>
                <w:szCs w:val="18"/>
              </w:rPr>
            </w:pPr>
            <w:r w:rsidRPr="00B434E2">
              <w:rPr>
                <w:b/>
                <w:sz w:val="18"/>
                <w:szCs w:val="18"/>
              </w:rPr>
              <w:t>(II) DERNIÈRES DONNÉES DE L</w:t>
            </w:r>
            <w:r w:rsidR="00687D1A" w:rsidRPr="00B434E2">
              <w:rPr>
                <w:b/>
                <w:sz w:val="18"/>
                <w:szCs w:val="18"/>
              </w:rPr>
              <w:t>’</w:t>
            </w:r>
            <w:r w:rsidRPr="00B434E2">
              <w:rPr>
                <w:b/>
                <w:sz w:val="18"/>
                <w:szCs w:val="18"/>
              </w:rPr>
              <w:t>ARTICLE 7 (Annexe C Groupe l)</w:t>
            </w:r>
          </w:p>
        </w:tc>
        <w:tc>
          <w:tcPr>
            <w:tcW w:w="1070" w:type="pct"/>
            <w:shd w:val="clear" w:color="auto" w:fill="auto"/>
          </w:tcPr>
          <w:p w14:paraId="5DDBD860" w14:textId="77777777" w:rsidR="006D7333" w:rsidRPr="00B434E2" w:rsidRDefault="006D7333" w:rsidP="00B006A9">
            <w:pPr>
              <w:spacing w:after="60"/>
              <w:jc w:val="center"/>
              <w:rPr>
                <w:sz w:val="18"/>
                <w:szCs w:val="18"/>
              </w:rPr>
            </w:pPr>
            <w:r w:rsidRPr="00B434E2">
              <w:rPr>
                <w:sz w:val="18"/>
                <w:szCs w:val="18"/>
              </w:rPr>
              <w:t xml:space="preserve">Année : </w:t>
            </w:r>
            <w:r w:rsidRPr="00B434E2">
              <w:rPr>
                <w:color w:val="000000" w:themeColor="text1"/>
                <w:sz w:val="18"/>
                <w:szCs w:val="18"/>
              </w:rPr>
              <w:t>2020</w:t>
            </w:r>
          </w:p>
        </w:tc>
        <w:tc>
          <w:tcPr>
            <w:tcW w:w="802" w:type="pct"/>
            <w:shd w:val="clear" w:color="auto" w:fill="auto"/>
          </w:tcPr>
          <w:p w14:paraId="5608BA1C" w14:textId="77777777" w:rsidR="006D7333" w:rsidRPr="00B434E2" w:rsidRDefault="006D7333" w:rsidP="00B006A9">
            <w:pPr>
              <w:spacing w:after="60"/>
              <w:jc w:val="right"/>
              <w:rPr>
                <w:sz w:val="18"/>
                <w:szCs w:val="18"/>
              </w:rPr>
            </w:pPr>
            <w:r w:rsidRPr="00B434E2">
              <w:rPr>
                <w:color w:val="000000" w:themeColor="text1"/>
                <w:sz w:val="18"/>
                <w:szCs w:val="18"/>
              </w:rPr>
              <w:t>2,74</w:t>
            </w:r>
            <w:r w:rsidRPr="00B434E2">
              <w:rPr>
                <w:sz w:val="18"/>
                <w:szCs w:val="18"/>
              </w:rPr>
              <w:t xml:space="preserve"> (tonnes PAO)</w:t>
            </w:r>
          </w:p>
        </w:tc>
      </w:tr>
    </w:tbl>
    <w:p w14:paraId="3B6C53B0" w14:textId="77777777" w:rsidR="006D7333" w:rsidRPr="00B434E2" w:rsidRDefault="006D7333" w:rsidP="006D7333">
      <w:pPr>
        <w:jc w:val="center"/>
        <w:rPr>
          <w:sz w:val="18"/>
          <w:szCs w:val="18"/>
          <w:lang w:val="en-CA"/>
        </w:rPr>
      </w:pPr>
    </w:p>
    <w:tbl>
      <w:tblPr>
        <w:tblStyle w:val="TableGrid"/>
        <w:tblW w:w="5364" w:type="pct"/>
        <w:tblInd w:w="-113" w:type="dxa"/>
        <w:tblLook w:val="04A0" w:firstRow="1" w:lastRow="0" w:firstColumn="1" w:lastColumn="0" w:noHBand="0" w:noVBand="1"/>
      </w:tblPr>
      <w:tblGrid>
        <w:gridCol w:w="961"/>
        <w:gridCol w:w="851"/>
        <w:gridCol w:w="839"/>
        <w:gridCol w:w="1015"/>
        <w:gridCol w:w="1127"/>
        <w:gridCol w:w="951"/>
        <w:gridCol w:w="829"/>
        <w:gridCol w:w="1005"/>
        <w:gridCol w:w="1083"/>
        <w:gridCol w:w="1370"/>
      </w:tblGrid>
      <w:tr w:rsidR="006D7333" w:rsidRPr="00B434E2" w14:paraId="104677B1" w14:textId="77777777" w:rsidTr="00A5438C">
        <w:trPr>
          <w:trHeight w:val="250"/>
        </w:trPr>
        <w:tc>
          <w:tcPr>
            <w:tcW w:w="3776" w:type="pct"/>
            <w:gridSpan w:val="8"/>
            <w:shd w:val="clear" w:color="auto" w:fill="auto"/>
          </w:tcPr>
          <w:p w14:paraId="45D349C6" w14:textId="77777777" w:rsidR="006D7333" w:rsidRPr="00B434E2" w:rsidRDefault="006D7333" w:rsidP="00B006A9">
            <w:pPr>
              <w:jc w:val="left"/>
              <w:rPr>
                <w:b/>
                <w:bCs/>
                <w:sz w:val="18"/>
                <w:szCs w:val="18"/>
              </w:rPr>
            </w:pPr>
            <w:r w:rsidRPr="00B434E2">
              <w:rPr>
                <w:b/>
                <w:sz w:val="18"/>
                <w:szCs w:val="18"/>
              </w:rPr>
              <w:t>(III) DERNIÈRES DONNÉES SECTORIELLES DU PROGRAMME DE PAYS (tonnes PAO)</w:t>
            </w:r>
          </w:p>
        </w:tc>
        <w:tc>
          <w:tcPr>
            <w:tcW w:w="1224" w:type="pct"/>
            <w:gridSpan w:val="2"/>
            <w:shd w:val="clear" w:color="auto" w:fill="auto"/>
          </w:tcPr>
          <w:p w14:paraId="55C20BAB" w14:textId="77777777" w:rsidR="006D7333" w:rsidRPr="00B434E2" w:rsidRDefault="006D7333" w:rsidP="00B006A9">
            <w:pPr>
              <w:spacing w:after="60"/>
              <w:jc w:val="right"/>
              <w:rPr>
                <w:b/>
                <w:sz w:val="18"/>
                <w:szCs w:val="18"/>
              </w:rPr>
            </w:pPr>
            <w:r w:rsidRPr="00B434E2">
              <w:rPr>
                <w:b/>
                <w:sz w:val="18"/>
                <w:szCs w:val="18"/>
              </w:rPr>
              <w:t xml:space="preserve">Année : </w:t>
            </w:r>
            <w:r w:rsidRPr="00B434E2">
              <w:rPr>
                <w:color w:val="000000" w:themeColor="text1"/>
                <w:sz w:val="18"/>
                <w:szCs w:val="18"/>
              </w:rPr>
              <w:t>2020</w:t>
            </w:r>
          </w:p>
        </w:tc>
      </w:tr>
      <w:tr w:rsidR="00A5438C" w:rsidRPr="00B434E2" w14:paraId="06A45801" w14:textId="77777777" w:rsidTr="00A5438C">
        <w:trPr>
          <w:trHeight w:val="250"/>
        </w:trPr>
        <w:tc>
          <w:tcPr>
            <w:tcW w:w="479" w:type="pct"/>
            <w:shd w:val="clear" w:color="auto" w:fill="auto"/>
          </w:tcPr>
          <w:p w14:paraId="7A6A693C" w14:textId="77777777" w:rsidR="006D7333" w:rsidRPr="00B434E2" w:rsidRDefault="006D7333" w:rsidP="00B006A9">
            <w:pPr>
              <w:spacing w:after="60"/>
              <w:jc w:val="center"/>
              <w:rPr>
                <w:sz w:val="18"/>
                <w:szCs w:val="18"/>
              </w:rPr>
            </w:pPr>
            <w:r w:rsidRPr="00B434E2">
              <w:rPr>
                <w:sz w:val="18"/>
                <w:szCs w:val="18"/>
              </w:rPr>
              <w:t>Produit chimique</w:t>
            </w:r>
          </w:p>
        </w:tc>
        <w:tc>
          <w:tcPr>
            <w:tcW w:w="424" w:type="pct"/>
            <w:shd w:val="clear" w:color="auto" w:fill="auto"/>
          </w:tcPr>
          <w:p w14:paraId="5F541BE1" w14:textId="77777777" w:rsidR="006D7333" w:rsidRPr="00B434E2" w:rsidRDefault="006D7333" w:rsidP="00B006A9">
            <w:pPr>
              <w:spacing w:after="60"/>
              <w:jc w:val="center"/>
              <w:rPr>
                <w:sz w:val="18"/>
                <w:szCs w:val="18"/>
              </w:rPr>
            </w:pPr>
            <w:r w:rsidRPr="00B434E2">
              <w:rPr>
                <w:sz w:val="18"/>
                <w:szCs w:val="18"/>
              </w:rPr>
              <w:t>Aérosol</w:t>
            </w:r>
          </w:p>
        </w:tc>
        <w:tc>
          <w:tcPr>
            <w:tcW w:w="418" w:type="pct"/>
            <w:shd w:val="clear" w:color="auto" w:fill="auto"/>
          </w:tcPr>
          <w:p w14:paraId="38BE74F5" w14:textId="77777777" w:rsidR="006D7333" w:rsidRPr="00B434E2" w:rsidRDefault="006D7333" w:rsidP="00B006A9">
            <w:pPr>
              <w:spacing w:after="60"/>
              <w:jc w:val="center"/>
              <w:rPr>
                <w:sz w:val="18"/>
                <w:szCs w:val="18"/>
              </w:rPr>
            </w:pPr>
            <w:r w:rsidRPr="00B434E2">
              <w:rPr>
                <w:sz w:val="18"/>
                <w:szCs w:val="18"/>
              </w:rPr>
              <w:t>Mousse</w:t>
            </w:r>
          </w:p>
        </w:tc>
        <w:tc>
          <w:tcPr>
            <w:tcW w:w="506" w:type="pct"/>
            <w:shd w:val="clear" w:color="auto" w:fill="auto"/>
          </w:tcPr>
          <w:p w14:paraId="7D99BC42" w14:textId="329EA838" w:rsidR="006D7333" w:rsidRPr="00B434E2" w:rsidRDefault="006D7333" w:rsidP="00B006A9">
            <w:pPr>
              <w:spacing w:after="60"/>
              <w:jc w:val="center"/>
              <w:rPr>
                <w:sz w:val="18"/>
                <w:szCs w:val="18"/>
              </w:rPr>
            </w:pPr>
            <w:r w:rsidRPr="00B434E2">
              <w:rPr>
                <w:sz w:val="18"/>
                <w:szCs w:val="18"/>
              </w:rPr>
              <w:t>Lutte contre l</w:t>
            </w:r>
            <w:r w:rsidR="00687D1A" w:rsidRPr="00B434E2">
              <w:rPr>
                <w:sz w:val="18"/>
                <w:szCs w:val="18"/>
              </w:rPr>
              <w:t>’</w:t>
            </w:r>
            <w:r w:rsidRPr="00B434E2">
              <w:rPr>
                <w:sz w:val="18"/>
                <w:szCs w:val="18"/>
              </w:rPr>
              <w:t>incendie</w:t>
            </w:r>
          </w:p>
        </w:tc>
        <w:tc>
          <w:tcPr>
            <w:tcW w:w="1035" w:type="pct"/>
            <w:gridSpan w:val="2"/>
            <w:shd w:val="clear" w:color="auto" w:fill="auto"/>
          </w:tcPr>
          <w:p w14:paraId="0DD82757" w14:textId="77777777" w:rsidR="006D7333" w:rsidRPr="00B434E2" w:rsidRDefault="006D7333" w:rsidP="00B006A9">
            <w:pPr>
              <w:spacing w:after="60"/>
              <w:jc w:val="center"/>
              <w:rPr>
                <w:sz w:val="18"/>
                <w:szCs w:val="18"/>
              </w:rPr>
            </w:pPr>
            <w:r w:rsidRPr="00B434E2">
              <w:rPr>
                <w:sz w:val="18"/>
                <w:szCs w:val="18"/>
              </w:rPr>
              <w:t>Réfrigération</w:t>
            </w:r>
          </w:p>
        </w:tc>
        <w:tc>
          <w:tcPr>
            <w:tcW w:w="413" w:type="pct"/>
            <w:shd w:val="clear" w:color="auto" w:fill="auto"/>
          </w:tcPr>
          <w:p w14:paraId="3869F5B8" w14:textId="77777777" w:rsidR="006D7333" w:rsidRPr="00B434E2" w:rsidRDefault="006D7333" w:rsidP="00B006A9">
            <w:pPr>
              <w:spacing w:after="60"/>
              <w:jc w:val="center"/>
              <w:rPr>
                <w:sz w:val="18"/>
                <w:szCs w:val="18"/>
              </w:rPr>
            </w:pPr>
            <w:r w:rsidRPr="00B434E2">
              <w:rPr>
                <w:sz w:val="18"/>
                <w:szCs w:val="18"/>
              </w:rPr>
              <w:t>Solvant</w:t>
            </w:r>
          </w:p>
        </w:tc>
        <w:tc>
          <w:tcPr>
            <w:tcW w:w="501" w:type="pct"/>
            <w:shd w:val="clear" w:color="auto" w:fill="auto"/>
          </w:tcPr>
          <w:p w14:paraId="540467C3" w14:textId="1F8ACF7E" w:rsidR="006D7333" w:rsidRPr="00B434E2" w:rsidRDefault="006D7333" w:rsidP="00B006A9">
            <w:pPr>
              <w:spacing w:after="60"/>
              <w:jc w:val="center"/>
              <w:rPr>
                <w:sz w:val="18"/>
                <w:szCs w:val="18"/>
              </w:rPr>
            </w:pPr>
            <w:r w:rsidRPr="00B434E2">
              <w:rPr>
                <w:sz w:val="18"/>
                <w:szCs w:val="18"/>
              </w:rPr>
              <w:t xml:space="preserve">Agent de </w:t>
            </w:r>
            <w:proofErr w:type="spellStart"/>
            <w:r w:rsidRPr="00B434E2">
              <w:rPr>
                <w:sz w:val="18"/>
                <w:szCs w:val="18"/>
              </w:rPr>
              <w:t>trans</w:t>
            </w:r>
            <w:r w:rsidR="00687D1A" w:rsidRPr="00B434E2">
              <w:rPr>
                <w:sz w:val="18"/>
                <w:szCs w:val="18"/>
              </w:rPr>
              <w:t>-</w:t>
            </w:r>
            <w:r w:rsidRPr="00B434E2">
              <w:rPr>
                <w:sz w:val="18"/>
                <w:szCs w:val="18"/>
              </w:rPr>
              <w:t>formation</w:t>
            </w:r>
            <w:proofErr w:type="spellEnd"/>
          </w:p>
        </w:tc>
        <w:tc>
          <w:tcPr>
            <w:tcW w:w="540" w:type="pct"/>
            <w:shd w:val="clear" w:color="auto" w:fill="auto"/>
          </w:tcPr>
          <w:p w14:paraId="480D8E76" w14:textId="77777777" w:rsidR="006D7333" w:rsidRPr="00B434E2" w:rsidRDefault="006D7333" w:rsidP="00B006A9">
            <w:pPr>
              <w:spacing w:after="60"/>
              <w:jc w:val="center"/>
              <w:rPr>
                <w:sz w:val="18"/>
                <w:szCs w:val="18"/>
              </w:rPr>
            </w:pPr>
            <w:r w:rsidRPr="00B434E2">
              <w:rPr>
                <w:sz w:val="18"/>
                <w:szCs w:val="18"/>
              </w:rPr>
              <w:t>Utilisation en laboratoire</w:t>
            </w:r>
          </w:p>
        </w:tc>
        <w:tc>
          <w:tcPr>
            <w:tcW w:w="684" w:type="pct"/>
            <w:shd w:val="clear" w:color="auto" w:fill="auto"/>
          </w:tcPr>
          <w:p w14:paraId="4B1F30EA" w14:textId="77777777" w:rsidR="006D7333" w:rsidRPr="00B434E2" w:rsidRDefault="006D7333" w:rsidP="00B006A9">
            <w:pPr>
              <w:spacing w:after="60"/>
              <w:jc w:val="center"/>
              <w:rPr>
                <w:sz w:val="18"/>
                <w:szCs w:val="18"/>
              </w:rPr>
            </w:pPr>
            <w:r w:rsidRPr="00B434E2">
              <w:rPr>
                <w:sz w:val="18"/>
                <w:szCs w:val="18"/>
              </w:rPr>
              <w:t>Consommation totale du secteur</w:t>
            </w:r>
          </w:p>
        </w:tc>
      </w:tr>
      <w:tr w:rsidR="006D7333" w:rsidRPr="00B434E2" w14:paraId="4F8B7D87" w14:textId="77777777" w:rsidTr="00A5438C">
        <w:trPr>
          <w:trHeight w:val="70"/>
        </w:trPr>
        <w:tc>
          <w:tcPr>
            <w:tcW w:w="1827" w:type="pct"/>
            <w:gridSpan w:val="4"/>
            <w:shd w:val="clear" w:color="auto" w:fill="auto"/>
          </w:tcPr>
          <w:p w14:paraId="69D0CD6B" w14:textId="77777777" w:rsidR="006D7333" w:rsidRPr="00B434E2" w:rsidRDefault="006D7333" w:rsidP="00B006A9">
            <w:pPr>
              <w:spacing w:after="60"/>
              <w:jc w:val="center"/>
              <w:rPr>
                <w:sz w:val="18"/>
                <w:szCs w:val="18"/>
              </w:rPr>
            </w:pPr>
            <w:r w:rsidRPr="00B434E2">
              <w:rPr>
                <w:sz w:val="18"/>
                <w:szCs w:val="18"/>
              </w:rPr>
              <w:t xml:space="preserve"> </w:t>
            </w:r>
          </w:p>
        </w:tc>
        <w:tc>
          <w:tcPr>
            <w:tcW w:w="562" w:type="pct"/>
            <w:shd w:val="clear" w:color="auto" w:fill="auto"/>
          </w:tcPr>
          <w:p w14:paraId="0A655E69" w14:textId="77777777" w:rsidR="006D7333" w:rsidRPr="00B434E2" w:rsidRDefault="006D7333" w:rsidP="00B006A9">
            <w:pPr>
              <w:spacing w:after="60"/>
              <w:jc w:val="center"/>
              <w:rPr>
                <w:sz w:val="18"/>
                <w:szCs w:val="18"/>
              </w:rPr>
            </w:pPr>
            <w:r w:rsidRPr="00B434E2">
              <w:rPr>
                <w:sz w:val="18"/>
                <w:szCs w:val="18"/>
              </w:rPr>
              <w:t>Fabrication</w:t>
            </w:r>
          </w:p>
        </w:tc>
        <w:tc>
          <w:tcPr>
            <w:tcW w:w="474" w:type="pct"/>
            <w:shd w:val="clear" w:color="auto" w:fill="auto"/>
          </w:tcPr>
          <w:p w14:paraId="6DE3A221" w14:textId="77777777" w:rsidR="006D7333" w:rsidRPr="00B434E2" w:rsidRDefault="006D7333" w:rsidP="00B006A9">
            <w:pPr>
              <w:spacing w:after="60"/>
              <w:jc w:val="center"/>
              <w:rPr>
                <w:sz w:val="18"/>
                <w:szCs w:val="18"/>
              </w:rPr>
            </w:pPr>
            <w:r w:rsidRPr="00B434E2">
              <w:rPr>
                <w:sz w:val="18"/>
                <w:szCs w:val="18"/>
              </w:rPr>
              <w:t>Entretien</w:t>
            </w:r>
          </w:p>
        </w:tc>
        <w:tc>
          <w:tcPr>
            <w:tcW w:w="2137" w:type="pct"/>
            <w:gridSpan w:val="4"/>
            <w:shd w:val="clear" w:color="auto" w:fill="auto"/>
          </w:tcPr>
          <w:p w14:paraId="50CFD0D6" w14:textId="77777777" w:rsidR="006D7333" w:rsidRPr="00B434E2" w:rsidRDefault="006D7333" w:rsidP="00B006A9">
            <w:pPr>
              <w:spacing w:after="60"/>
              <w:jc w:val="center"/>
              <w:rPr>
                <w:sz w:val="18"/>
                <w:szCs w:val="18"/>
                <w:lang w:val="en-CA"/>
              </w:rPr>
            </w:pPr>
          </w:p>
        </w:tc>
      </w:tr>
      <w:tr w:rsidR="00A5438C" w:rsidRPr="00B434E2" w14:paraId="5B313122" w14:textId="77777777" w:rsidTr="00A5438C">
        <w:trPr>
          <w:trHeight w:val="250"/>
        </w:trPr>
        <w:tc>
          <w:tcPr>
            <w:tcW w:w="479" w:type="pct"/>
            <w:shd w:val="clear" w:color="auto" w:fill="auto"/>
          </w:tcPr>
          <w:p w14:paraId="355B9170" w14:textId="77777777" w:rsidR="006D7333" w:rsidRPr="00B434E2" w:rsidRDefault="006D7333" w:rsidP="00B006A9">
            <w:pPr>
              <w:spacing w:after="60"/>
              <w:jc w:val="left"/>
              <w:rPr>
                <w:sz w:val="18"/>
                <w:szCs w:val="18"/>
              </w:rPr>
            </w:pPr>
            <w:r w:rsidRPr="00B434E2">
              <w:rPr>
                <w:color w:val="000000" w:themeColor="text1"/>
                <w:sz w:val="18"/>
                <w:szCs w:val="18"/>
              </w:rPr>
              <w:t>HCFC-22</w:t>
            </w:r>
          </w:p>
        </w:tc>
        <w:tc>
          <w:tcPr>
            <w:tcW w:w="424" w:type="pct"/>
            <w:shd w:val="clear" w:color="auto" w:fill="auto"/>
          </w:tcPr>
          <w:p w14:paraId="14E75706" w14:textId="77777777" w:rsidR="006D7333" w:rsidRPr="00B434E2" w:rsidRDefault="006D7333" w:rsidP="00B006A9">
            <w:pPr>
              <w:spacing w:after="60"/>
              <w:jc w:val="right"/>
              <w:rPr>
                <w:sz w:val="18"/>
                <w:szCs w:val="18"/>
                <w:lang w:val="en-CA"/>
              </w:rPr>
            </w:pPr>
          </w:p>
        </w:tc>
        <w:tc>
          <w:tcPr>
            <w:tcW w:w="418" w:type="pct"/>
            <w:shd w:val="clear" w:color="auto" w:fill="auto"/>
          </w:tcPr>
          <w:p w14:paraId="0A0232C9" w14:textId="77777777" w:rsidR="006D7333" w:rsidRPr="00B434E2" w:rsidRDefault="006D7333" w:rsidP="00B006A9">
            <w:pPr>
              <w:spacing w:after="60"/>
              <w:jc w:val="right"/>
              <w:rPr>
                <w:sz w:val="18"/>
                <w:szCs w:val="18"/>
                <w:lang w:val="en-CA"/>
              </w:rPr>
            </w:pPr>
          </w:p>
        </w:tc>
        <w:tc>
          <w:tcPr>
            <w:tcW w:w="506" w:type="pct"/>
            <w:shd w:val="clear" w:color="auto" w:fill="auto"/>
          </w:tcPr>
          <w:p w14:paraId="116305F0" w14:textId="77777777" w:rsidR="006D7333" w:rsidRPr="00B434E2" w:rsidRDefault="006D7333" w:rsidP="00B006A9">
            <w:pPr>
              <w:spacing w:after="60"/>
              <w:jc w:val="right"/>
              <w:rPr>
                <w:sz w:val="18"/>
                <w:szCs w:val="18"/>
                <w:lang w:val="en-CA"/>
              </w:rPr>
            </w:pPr>
          </w:p>
        </w:tc>
        <w:tc>
          <w:tcPr>
            <w:tcW w:w="562" w:type="pct"/>
            <w:shd w:val="clear" w:color="auto" w:fill="auto"/>
          </w:tcPr>
          <w:p w14:paraId="1EE79584" w14:textId="77777777" w:rsidR="006D7333" w:rsidRPr="00B434E2" w:rsidRDefault="006D7333" w:rsidP="00B006A9">
            <w:pPr>
              <w:spacing w:after="60"/>
              <w:jc w:val="right"/>
              <w:rPr>
                <w:sz w:val="18"/>
                <w:szCs w:val="18"/>
              </w:rPr>
            </w:pPr>
            <w:r w:rsidRPr="00B434E2">
              <w:rPr>
                <w:sz w:val="18"/>
                <w:szCs w:val="18"/>
              </w:rPr>
              <w:t>0,00</w:t>
            </w:r>
          </w:p>
        </w:tc>
        <w:tc>
          <w:tcPr>
            <w:tcW w:w="474" w:type="pct"/>
            <w:shd w:val="clear" w:color="auto" w:fill="auto"/>
          </w:tcPr>
          <w:p w14:paraId="355FADD0" w14:textId="77777777" w:rsidR="006D7333" w:rsidRPr="00B434E2" w:rsidRDefault="006D7333" w:rsidP="00B006A9">
            <w:pPr>
              <w:spacing w:after="60"/>
              <w:jc w:val="right"/>
              <w:rPr>
                <w:sz w:val="18"/>
                <w:szCs w:val="18"/>
              </w:rPr>
            </w:pPr>
            <w:r w:rsidRPr="00B434E2">
              <w:rPr>
                <w:sz w:val="18"/>
                <w:szCs w:val="18"/>
              </w:rPr>
              <w:t>2,74</w:t>
            </w:r>
          </w:p>
        </w:tc>
        <w:tc>
          <w:tcPr>
            <w:tcW w:w="413" w:type="pct"/>
            <w:shd w:val="clear" w:color="auto" w:fill="auto"/>
          </w:tcPr>
          <w:p w14:paraId="329BDBA1" w14:textId="77777777" w:rsidR="006D7333" w:rsidRPr="00B434E2" w:rsidRDefault="006D7333" w:rsidP="00B006A9">
            <w:pPr>
              <w:spacing w:after="60"/>
              <w:jc w:val="right"/>
              <w:rPr>
                <w:sz w:val="18"/>
                <w:szCs w:val="18"/>
                <w:lang w:val="en-CA"/>
              </w:rPr>
            </w:pPr>
          </w:p>
        </w:tc>
        <w:tc>
          <w:tcPr>
            <w:tcW w:w="501" w:type="pct"/>
            <w:shd w:val="clear" w:color="auto" w:fill="auto"/>
          </w:tcPr>
          <w:p w14:paraId="20458BE1" w14:textId="77777777" w:rsidR="006D7333" w:rsidRPr="00B434E2" w:rsidRDefault="006D7333" w:rsidP="00B006A9">
            <w:pPr>
              <w:spacing w:after="60"/>
              <w:jc w:val="right"/>
              <w:rPr>
                <w:sz w:val="18"/>
                <w:szCs w:val="18"/>
                <w:lang w:val="en-CA"/>
              </w:rPr>
            </w:pPr>
          </w:p>
        </w:tc>
        <w:tc>
          <w:tcPr>
            <w:tcW w:w="540" w:type="pct"/>
            <w:shd w:val="clear" w:color="auto" w:fill="auto"/>
          </w:tcPr>
          <w:p w14:paraId="2713E8CB" w14:textId="77777777" w:rsidR="006D7333" w:rsidRPr="00B434E2" w:rsidRDefault="006D7333" w:rsidP="00B006A9">
            <w:pPr>
              <w:spacing w:after="60"/>
              <w:jc w:val="right"/>
              <w:rPr>
                <w:sz w:val="18"/>
                <w:szCs w:val="18"/>
                <w:lang w:val="en-CA"/>
              </w:rPr>
            </w:pPr>
          </w:p>
        </w:tc>
        <w:tc>
          <w:tcPr>
            <w:tcW w:w="684" w:type="pct"/>
            <w:shd w:val="clear" w:color="auto" w:fill="auto"/>
          </w:tcPr>
          <w:p w14:paraId="41D6741C" w14:textId="77777777" w:rsidR="006D7333" w:rsidRPr="00B434E2" w:rsidRDefault="006D7333" w:rsidP="00B006A9">
            <w:pPr>
              <w:spacing w:after="60"/>
              <w:jc w:val="center"/>
              <w:rPr>
                <w:sz w:val="18"/>
                <w:szCs w:val="18"/>
              </w:rPr>
            </w:pPr>
            <w:r w:rsidRPr="00B434E2">
              <w:rPr>
                <w:color w:val="000000" w:themeColor="text1"/>
                <w:sz w:val="18"/>
                <w:szCs w:val="18"/>
              </w:rPr>
              <w:t>2,74</w:t>
            </w:r>
          </w:p>
        </w:tc>
      </w:tr>
    </w:tbl>
    <w:p w14:paraId="0936D2D3" w14:textId="77777777" w:rsidR="006D7333" w:rsidRPr="00B434E2" w:rsidRDefault="006D7333" w:rsidP="006D7333">
      <w:pPr>
        <w:jc w:val="left"/>
        <w:rPr>
          <w:b/>
          <w:bCs/>
          <w:sz w:val="18"/>
          <w:szCs w:val="18"/>
          <w:lang w:val="en-CA"/>
        </w:rPr>
      </w:pPr>
    </w:p>
    <w:tbl>
      <w:tblPr>
        <w:tblStyle w:val="TableGrid"/>
        <w:tblW w:w="5309" w:type="pct"/>
        <w:tblInd w:w="-113" w:type="dxa"/>
        <w:tblLook w:val="04A0" w:firstRow="1" w:lastRow="0" w:firstColumn="1" w:lastColumn="0" w:noHBand="0" w:noVBand="1"/>
      </w:tblPr>
      <w:tblGrid>
        <w:gridCol w:w="3097"/>
        <w:gridCol w:w="856"/>
        <w:gridCol w:w="5308"/>
        <w:gridCol w:w="667"/>
      </w:tblGrid>
      <w:tr w:rsidR="006D7333" w:rsidRPr="00B434E2" w14:paraId="739736B3" w14:textId="77777777" w:rsidTr="00B006A9">
        <w:trPr>
          <w:trHeight w:val="289"/>
        </w:trPr>
        <w:tc>
          <w:tcPr>
            <w:tcW w:w="5000" w:type="pct"/>
            <w:gridSpan w:val="4"/>
            <w:shd w:val="clear" w:color="auto" w:fill="auto"/>
          </w:tcPr>
          <w:p w14:paraId="1742AA98" w14:textId="77777777" w:rsidR="006D7333" w:rsidRPr="00B434E2" w:rsidRDefault="006D7333" w:rsidP="00B006A9">
            <w:pPr>
              <w:jc w:val="left"/>
              <w:rPr>
                <w:b/>
                <w:bCs/>
                <w:sz w:val="18"/>
                <w:szCs w:val="18"/>
              </w:rPr>
            </w:pPr>
            <w:r w:rsidRPr="00B434E2">
              <w:rPr>
                <w:b/>
                <w:sz w:val="18"/>
                <w:szCs w:val="18"/>
              </w:rPr>
              <w:t>(IV) DONNÉES SUR LA CONSOMMATION (tonnes PAO)</w:t>
            </w:r>
          </w:p>
        </w:tc>
      </w:tr>
      <w:tr w:rsidR="006D7333" w:rsidRPr="00B434E2" w14:paraId="4A9195AF" w14:textId="77777777" w:rsidTr="00B006A9">
        <w:trPr>
          <w:trHeight w:val="289"/>
        </w:trPr>
        <w:tc>
          <w:tcPr>
            <w:tcW w:w="1560" w:type="pct"/>
            <w:shd w:val="clear" w:color="auto" w:fill="auto"/>
          </w:tcPr>
          <w:p w14:paraId="0B1A54AF" w14:textId="77777777" w:rsidR="006D7333" w:rsidRPr="00B434E2" w:rsidRDefault="006D7333" w:rsidP="00B006A9">
            <w:pPr>
              <w:spacing w:after="60"/>
              <w:jc w:val="center"/>
              <w:rPr>
                <w:sz w:val="18"/>
                <w:szCs w:val="18"/>
              </w:rPr>
            </w:pPr>
            <w:r w:rsidRPr="00B434E2">
              <w:rPr>
                <w:sz w:val="18"/>
                <w:szCs w:val="18"/>
              </w:rPr>
              <w:t>Référence 2009 - 2010 :</w:t>
            </w:r>
          </w:p>
        </w:tc>
        <w:tc>
          <w:tcPr>
            <w:tcW w:w="431" w:type="pct"/>
            <w:shd w:val="clear" w:color="auto" w:fill="auto"/>
          </w:tcPr>
          <w:p w14:paraId="0C2F8788" w14:textId="77777777" w:rsidR="006D7333" w:rsidRPr="00B434E2" w:rsidRDefault="006D7333" w:rsidP="00B006A9">
            <w:pPr>
              <w:spacing w:after="60"/>
              <w:rPr>
                <w:sz w:val="18"/>
                <w:szCs w:val="18"/>
              </w:rPr>
            </w:pPr>
            <w:r w:rsidRPr="00B434E2">
              <w:rPr>
                <w:color w:val="000000" w:themeColor="text1"/>
                <w:sz w:val="18"/>
                <w:szCs w:val="18"/>
              </w:rPr>
              <w:t>11,68</w:t>
            </w:r>
          </w:p>
        </w:tc>
        <w:tc>
          <w:tcPr>
            <w:tcW w:w="2673" w:type="pct"/>
            <w:shd w:val="clear" w:color="auto" w:fill="auto"/>
          </w:tcPr>
          <w:p w14:paraId="166F2A99" w14:textId="77777777" w:rsidR="006D7333" w:rsidRPr="00B434E2" w:rsidRDefault="006D7333" w:rsidP="00B006A9">
            <w:pPr>
              <w:spacing w:after="60"/>
              <w:jc w:val="center"/>
              <w:rPr>
                <w:sz w:val="18"/>
                <w:szCs w:val="18"/>
              </w:rPr>
            </w:pPr>
            <w:r w:rsidRPr="00B434E2">
              <w:rPr>
                <w:sz w:val="18"/>
                <w:szCs w:val="18"/>
              </w:rPr>
              <w:t>Point de départ des réductions globales durables :</w:t>
            </w:r>
          </w:p>
        </w:tc>
        <w:tc>
          <w:tcPr>
            <w:tcW w:w="336" w:type="pct"/>
            <w:shd w:val="clear" w:color="auto" w:fill="auto"/>
          </w:tcPr>
          <w:p w14:paraId="41C20048" w14:textId="77777777" w:rsidR="006D7333" w:rsidRPr="00B434E2" w:rsidRDefault="006D7333" w:rsidP="00B006A9">
            <w:pPr>
              <w:spacing w:after="60"/>
              <w:rPr>
                <w:sz w:val="18"/>
                <w:szCs w:val="18"/>
              </w:rPr>
            </w:pPr>
            <w:r w:rsidRPr="00B434E2">
              <w:rPr>
                <w:sz w:val="18"/>
                <w:szCs w:val="18"/>
              </w:rPr>
              <w:t>16,62</w:t>
            </w:r>
          </w:p>
        </w:tc>
      </w:tr>
      <w:tr w:rsidR="006D7333" w:rsidRPr="00B434E2" w14:paraId="77F991F8" w14:textId="77777777" w:rsidTr="00B006A9">
        <w:trPr>
          <w:trHeight w:val="173"/>
        </w:trPr>
        <w:tc>
          <w:tcPr>
            <w:tcW w:w="5000" w:type="pct"/>
            <w:gridSpan w:val="4"/>
            <w:shd w:val="clear" w:color="auto" w:fill="auto"/>
          </w:tcPr>
          <w:p w14:paraId="4E283802" w14:textId="77777777" w:rsidR="006D7333" w:rsidRPr="00B434E2" w:rsidRDefault="006D7333" w:rsidP="00B006A9">
            <w:pPr>
              <w:jc w:val="center"/>
              <w:rPr>
                <w:b/>
                <w:bCs/>
                <w:sz w:val="18"/>
                <w:szCs w:val="18"/>
              </w:rPr>
            </w:pPr>
            <w:r w:rsidRPr="00B434E2">
              <w:rPr>
                <w:b/>
                <w:sz w:val="18"/>
                <w:szCs w:val="18"/>
              </w:rPr>
              <w:t>CONSOMMATION ADMISSIBLE AU FINANCEMENT (tonnes PAO)</w:t>
            </w:r>
          </w:p>
        </w:tc>
      </w:tr>
      <w:tr w:rsidR="006D7333" w:rsidRPr="00B434E2" w14:paraId="42989E37" w14:textId="77777777" w:rsidTr="00B006A9">
        <w:trPr>
          <w:trHeight w:val="289"/>
        </w:trPr>
        <w:tc>
          <w:tcPr>
            <w:tcW w:w="1560" w:type="pct"/>
            <w:shd w:val="clear" w:color="auto" w:fill="auto"/>
          </w:tcPr>
          <w:p w14:paraId="3C61D0DA" w14:textId="77777777" w:rsidR="006D7333" w:rsidRPr="00B434E2" w:rsidRDefault="006D7333" w:rsidP="00B006A9">
            <w:pPr>
              <w:spacing w:after="60"/>
              <w:jc w:val="center"/>
              <w:rPr>
                <w:sz w:val="18"/>
                <w:szCs w:val="18"/>
              </w:rPr>
            </w:pPr>
            <w:r w:rsidRPr="00B434E2">
              <w:rPr>
                <w:sz w:val="18"/>
                <w:szCs w:val="18"/>
              </w:rPr>
              <w:t>Déjà approuvée :</w:t>
            </w:r>
          </w:p>
        </w:tc>
        <w:tc>
          <w:tcPr>
            <w:tcW w:w="431" w:type="pct"/>
            <w:shd w:val="clear" w:color="auto" w:fill="auto"/>
          </w:tcPr>
          <w:p w14:paraId="0F961B7B" w14:textId="77777777" w:rsidR="006D7333" w:rsidRPr="00B434E2" w:rsidRDefault="006D7333" w:rsidP="00B006A9">
            <w:pPr>
              <w:spacing w:after="60"/>
              <w:jc w:val="center"/>
              <w:rPr>
                <w:sz w:val="18"/>
                <w:szCs w:val="18"/>
              </w:rPr>
            </w:pPr>
            <w:r w:rsidRPr="00B434E2">
              <w:rPr>
                <w:color w:val="000000" w:themeColor="text1"/>
                <w:sz w:val="18"/>
                <w:szCs w:val="18"/>
              </w:rPr>
              <w:t>9,02</w:t>
            </w:r>
          </w:p>
        </w:tc>
        <w:tc>
          <w:tcPr>
            <w:tcW w:w="2673" w:type="pct"/>
            <w:shd w:val="clear" w:color="auto" w:fill="auto"/>
          </w:tcPr>
          <w:p w14:paraId="0CA900D3" w14:textId="77777777" w:rsidR="006D7333" w:rsidRPr="00B434E2" w:rsidRDefault="006D7333" w:rsidP="00B006A9">
            <w:pPr>
              <w:spacing w:after="60"/>
              <w:jc w:val="center"/>
              <w:rPr>
                <w:sz w:val="18"/>
                <w:szCs w:val="18"/>
              </w:rPr>
            </w:pPr>
            <w:r w:rsidRPr="00B434E2">
              <w:rPr>
                <w:sz w:val="18"/>
                <w:szCs w:val="18"/>
              </w:rPr>
              <w:t>Restante :</w:t>
            </w:r>
          </w:p>
        </w:tc>
        <w:tc>
          <w:tcPr>
            <w:tcW w:w="336" w:type="pct"/>
            <w:shd w:val="clear" w:color="auto" w:fill="auto"/>
          </w:tcPr>
          <w:p w14:paraId="4A914889" w14:textId="77777777" w:rsidR="006D7333" w:rsidRPr="00B434E2" w:rsidRDefault="006D7333" w:rsidP="00B006A9">
            <w:pPr>
              <w:spacing w:after="60"/>
              <w:jc w:val="center"/>
              <w:rPr>
                <w:sz w:val="18"/>
                <w:szCs w:val="18"/>
              </w:rPr>
            </w:pPr>
            <w:r w:rsidRPr="00B434E2">
              <w:rPr>
                <w:color w:val="000000" w:themeColor="text1"/>
                <w:sz w:val="18"/>
                <w:szCs w:val="18"/>
              </w:rPr>
              <w:t>7,59</w:t>
            </w:r>
          </w:p>
        </w:tc>
      </w:tr>
    </w:tbl>
    <w:p w14:paraId="73FA73C7" w14:textId="77777777" w:rsidR="006D7333" w:rsidRPr="00B434E2" w:rsidRDefault="006D7333" w:rsidP="006D7333">
      <w:pPr>
        <w:ind w:left="459"/>
        <w:jc w:val="center"/>
        <w:rPr>
          <w:sz w:val="18"/>
          <w:szCs w:val="18"/>
          <w:lang w:val="en-CA"/>
        </w:rPr>
      </w:pPr>
    </w:p>
    <w:tbl>
      <w:tblPr>
        <w:tblStyle w:val="TableGrid"/>
        <w:tblW w:w="5309" w:type="pct"/>
        <w:tblInd w:w="-113" w:type="dxa"/>
        <w:tblLook w:val="04A0" w:firstRow="1" w:lastRow="0" w:firstColumn="1" w:lastColumn="0" w:noHBand="0" w:noVBand="1"/>
      </w:tblPr>
      <w:tblGrid>
        <w:gridCol w:w="1290"/>
        <w:gridCol w:w="4579"/>
        <w:gridCol w:w="1078"/>
        <w:gridCol w:w="991"/>
        <w:gridCol w:w="989"/>
        <w:gridCol w:w="1001"/>
      </w:tblGrid>
      <w:tr w:rsidR="006D7333" w:rsidRPr="00B434E2" w14:paraId="4EC15D0E" w14:textId="77777777" w:rsidTr="00B434E2">
        <w:trPr>
          <w:trHeight w:val="323"/>
        </w:trPr>
        <w:tc>
          <w:tcPr>
            <w:tcW w:w="2955" w:type="pct"/>
            <w:gridSpan w:val="2"/>
            <w:shd w:val="clear" w:color="auto" w:fill="auto"/>
          </w:tcPr>
          <w:p w14:paraId="6A38844A" w14:textId="4F772351" w:rsidR="006D7333" w:rsidRPr="00B434E2" w:rsidRDefault="006D7333" w:rsidP="00B006A9">
            <w:pPr>
              <w:spacing w:after="60"/>
              <w:jc w:val="left"/>
              <w:rPr>
                <w:b/>
                <w:sz w:val="18"/>
                <w:szCs w:val="18"/>
              </w:rPr>
            </w:pPr>
            <w:r w:rsidRPr="00B434E2">
              <w:rPr>
                <w:b/>
                <w:sz w:val="18"/>
                <w:szCs w:val="18"/>
              </w:rPr>
              <w:t>(V) PLAN D</w:t>
            </w:r>
            <w:r w:rsidR="00687D1A" w:rsidRPr="00B434E2">
              <w:rPr>
                <w:b/>
                <w:sz w:val="18"/>
                <w:szCs w:val="18"/>
              </w:rPr>
              <w:t>’</w:t>
            </w:r>
            <w:r w:rsidRPr="00B434E2">
              <w:rPr>
                <w:b/>
                <w:sz w:val="18"/>
                <w:szCs w:val="18"/>
              </w:rPr>
              <w:t>ACTIVITÉS</w:t>
            </w:r>
          </w:p>
        </w:tc>
        <w:tc>
          <w:tcPr>
            <w:tcW w:w="543" w:type="pct"/>
          </w:tcPr>
          <w:p w14:paraId="1537F369" w14:textId="77777777" w:rsidR="006D7333" w:rsidRPr="00B434E2" w:rsidRDefault="006D7333" w:rsidP="00B006A9">
            <w:pPr>
              <w:spacing w:after="60"/>
              <w:jc w:val="center"/>
              <w:rPr>
                <w:b/>
                <w:sz w:val="18"/>
                <w:szCs w:val="18"/>
              </w:rPr>
            </w:pPr>
            <w:r w:rsidRPr="00B434E2">
              <w:rPr>
                <w:b/>
                <w:sz w:val="18"/>
                <w:szCs w:val="18"/>
              </w:rPr>
              <w:t>2021</w:t>
            </w:r>
          </w:p>
        </w:tc>
        <w:tc>
          <w:tcPr>
            <w:tcW w:w="499" w:type="pct"/>
          </w:tcPr>
          <w:p w14:paraId="1E81C589" w14:textId="77777777" w:rsidR="006D7333" w:rsidRPr="00B434E2" w:rsidRDefault="006D7333" w:rsidP="00B006A9">
            <w:pPr>
              <w:spacing w:after="60"/>
              <w:jc w:val="center"/>
              <w:rPr>
                <w:b/>
                <w:sz w:val="18"/>
                <w:szCs w:val="18"/>
              </w:rPr>
            </w:pPr>
            <w:r w:rsidRPr="00B434E2">
              <w:rPr>
                <w:b/>
                <w:sz w:val="18"/>
                <w:szCs w:val="18"/>
              </w:rPr>
              <w:t>2022</w:t>
            </w:r>
          </w:p>
        </w:tc>
        <w:tc>
          <w:tcPr>
            <w:tcW w:w="498" w:type="pct"/>
          </w:tcPr>
          <w:p w14:paraId="7383C9B2" w14:textId="77777777" w:rsidR="006D7333" w:rsidRPr="00B434E2" w:rsidRDefault="006D7333" w:rsidP="00B006A9">
            <w:pPr>
              <w:spacing w:after="60"/>
              <w:jc w:val="center"/>
              <w:rPr>
                <w:b/>
                <w:sz w:val="18"/>
                <w:szCs w:val="18"/>
              </w:rPr>
            </w:pPr>
            <w:r w:rsidRPr="00B434E2">
              <w:rPr>
                <w:b/>
                <w:sz w:val="18"/>
                <w:szCs w:val="18"/>
              </w:rPr>
              <w:t>2023</w:t>
            </w:r>
          </w:p>
        </w:tc>
        <w:tc>
          <w:tcPr>
            <w:tcW w:w="504" w:type="pct"/>
            <w:shd w:val="clear" w:color="auto" w:fill="auto"/>
          </w:tcPr>
          <w:p w14:paraId="21DDA2F5" w14:textId="77777777" w:rsidR="006D7333" w:rsidRPr="00B434E2" w:rsidRDefault="006D7333" w:rsidP="00B006A9">
            <w:pPr>
              <w:spacing w:after="60"/>
              <w:jc w:val="center"/>
              <w:rPr>
                <w:b/>
                <w:sz w:val="18"/>
                <w:szCs w:val="18"/>
              </w:rPr>
            </w:pPr>
            <w:r w:rsidRPr="00B434E2">
              <w:rPr>
                <w:b/>
                <w:sz w:val="18"/>
                <w:szCs w:val="18"/>
              </w:rPr>
              <w:t>Total</w:t>
            </w:r>
          </w:p>
        </w:tc>
      </w:tr>
      <w:tr w:rsidR="006D7333" w:rsidRPr="00B434E2" w14:paraId="17233226" w14:textId="77777777" w:rsidTr="00B434E2">
        <w:trPr>
          <w:trHeight w:val="258"/>
        </w:trPr>
        <w:tc>
          <w:tcPr>
            <w:tcW w:w="650" w:type="pct"/>
            <w:vMerge w:val="restart"/>
            <w:shd w:val="clear" w:color="auto" w:fill="auto"/>
          </w:tcPr>
          <w:p w14:paraId="6B1BC9EF" w14:textId="77777777" w:rsidR="006D7333" w:rsidRPr="00B434E2" w:rsidRDefault="006D7333" w:rsidP="00B006A9">
            <w:pPr>
              <w:spacing w:after="60"/>
              <w:jc w:val="center"/>
              <w:rPr>
                <w:sz w:val="18"/>
                <w:szCs w:val="18"/>
              </w:rPr>
            </w:pPr>
            <w:r w:rsidRPr="00B434E2">
              <w:rPr>
                <w:color w:val="000000" w:themeColor="text1"/>
                <w:sz w:val="18"/>
                <w:szCs w:val="18"/>
              </w:rPr>
              <w:t>PNUD</w:t>
            </w:r>
          </w:p>
        </w:tc>
        <w:tc>
          <w:tcPr>
            <w:tcW w:w="2306" w:type="pct"/>
            <w:shd w:val="clear" w:color="auto" w:fill="auto"/>
          </w:tcPr>
          <w:p w14:paraId="241ECC96" w14:textId="77777777" w:rsidR="006D7333" w:rsidRPr="00B434E2" w:rsidRDefault="006D7333" w:rsidP="00B006A9">
            <w:pPr>
              <w:spacing w:after="60"/>
              <w:jc w:val="left"/>
              <w:rPr>
                <w:sz w:val="18"/>
                <w:szCs w:val="18"/>
              </w:rPr>
            </w:pPr>
            <w:r w:rsidRPr="00B434E2">
              <w:rPr>
                <w:sz w:val="18"/>
                <w:szCs w:val="18"/>
              </w:rPr>
              <w:t>Élimination des SAO (tonnes PAO)</w:t>
            </w:r>
          </w:p>
        </w:tc>
        <w:tc>
          <w:tcPr>
            <w:tcW w:w="543" w:type="pct"/>
            <w:shd w:val="clear" w:color="auto" w:fill="auto"/>
          </w:tcPr>
          <w:p w14:paraId="4C9B6C96" w14:textId="77777777" w:rsidR="006D7333" w:rsidRPr="00B434E2" w:rsidRDefault="006D7333" w:rsidP="00B006A9">
            <w:pPr>
              <w:spacing w:after="60"/>
              <w:jc w:val="right"/>
              <w:rPr>
                <w:sz w:val="18"/>
                <w:szCs w:val="18"/>
              </w:rPr>
            </w:pPr>
            <w:r w:rsidRPr="00B434E2">
              <w:rPr>
                <w:sz w:val="18"/>
                <w:szCs w:val="18"/>
              </w:rPr>
              <w:t>0,00</w:t>
            </w:r>
          </w:p>
        </w:tc>
        <w:tc>
          <w:tcPr>
            <w:tcW w:w="499" w:type="pct"/>
          </w:tcPr>
          <w:p w14:paraId="01A18505" w14:textId="77777777" w:rsidR="006D7333" w:rsidRPr="00B434E2" w:rsidRDefault="006D7333" w:rsidP="00B006A9">
            <w:pPr>
              <w:spacing w:after="60"/>
              <w:jc w:val="right"/>
              <w:rPr>
                <w:sz w:val="18"/>
                <w:szCs w:val="18"/>
              </w:rPr>
            </w:pPr>
            <w:r w:rsidRPr="00B434E2">
              <w:rPr>
                <w:sz w:val="18"/>
                <w:szCs w:val="18"/>
              </w:rPr>
              <w:t>0,00</w:t>
            </w:r>
          </w:p>
        </w:tc>
        <w:tc>
          <w:tcPr>
            <w:tcW w:w="498" w:type="pct"/>
            <w:shd w:val="clear" w:color="auto" w:fill="auto"/>
          </w:tcPr>
          <w:p w14:paraId="2C78D215" w14:textId="77777777" w:rsidR="006D7333" w:rsidRPr="00B434E2" w:rsidRDefault="006D7333" w:rsidP="00B006A9">
            <w:pPr>
              <w:spacing w:after="60"/>
              <w:jc w:val="right"/>
              <w:rPr>
                <w:sz w:val="18"/>
                <w:szCs w:val="18"/>
              </w:rPr>
            </w:pPr>
            <w:r w:rsidRPr="00B434E2">
              <w:rPr>
                <w:sz w:val="18"/>
                <w:szCs w:val="18"/>
              </w:rPr>
              <w:t>0,00</w:t>
            </w:r>
          </w:p>
        </w:tc>
        <w:tc>
          <w:tcPr>
            <w:tcW w:w="504" w:type="pct"/>
            <w:shd w:val="clear" w:color="auto" w:fill="auto"/>
          </w:tcPr>
          <w:p w14:paraId="32202B20" w14:textId="77777777" w:rsidR="006D7333" w:rsidRPr="00B434E2" w:rsidRDefault="006D7333" w:rsidP="00B006A9">
            <w:pPr>
              <w:spacing w:after="60"/>
              <w:jc w:val="right"/>
              <w:rPr>
                <w:sz w:val="18"/>
                <w:szCs w:val="18"/>
              </w:rPr>
            </w:pPr>
            <w:r w:rsidRPr="00B434E2">
              <w:rPr>
                <w:sz w:val="18"/>
                <w:szCs w:val="18"/>
              </w:rPr>
              <w:t>0,00</w:t>
            </w:r>
          </w:p>
        </w:tc>
      </w:tr>
      <w:tr w:rsidR="006D7333" w:rsidRPr="00B434E2" w14:paraId="6D93B20B" w14:textId="77777777" w:rsidTr="00B434E2">
        <w:trPr>
          <w:trHeight w:val="258"/>
        </w:trPr>
        <w:tc>
          <w:tcPr>
            <w:tcW w:w="650" w:type="pct"/>
            <w:vMerge/>
            <w:shd w:val="clear" w:color="auto" w:fill="auto"/>
          </w:tcPr>
          <w:p w14:paraId="3C478A86" w14:textId="77777777" w:rsidR="006D7333" w:rsidRPr="00B434E2" w:rsidRDefault="006D7333" w:rsidP="00B006A9">
            <w:pPr>
              <w:spacing w:after="60"/>
              <w:jc w:val="center"/>
              <w:rPr>
                <w:sz w:val="18"/>
                <w:szCs w:val="18"/>
                <w:lang w:val="en-CA"/>
              </w:rPr>
            </w:pPr>
          </w:p>
        </w:tc>
        <w:tc>
          <w:tcPr>
            <w:tcW w:w="2306" w:type="pct"/>
            <w:shd w:val="clear" w:color="auto" w:fill="auto"/>
          </w:tcPr>
          <w:p w14:paraId="1F9A070B" w14:textId="77777777" w:rsidR="006D7333" w:rsidRPr="00B434E2" w:rsidRDefault="006D7333" w:rsidP="00B006A9">
            <w:pPr>
              <w:spacing w:after="60"/>
              <w:jc w:val="left"/>
              <w:rPr>
                <w:sz w:val="18"/>
                <w:szCs w:val="18"/>
              </w:rPr>
            </w:pPr>
            <w:r w:rsidRPr="00B434E2">
              <w:rPr>
                <w:sz w:val="18"/>
                <w:szCs w:val="18"/>
              </w:rPr>
              <w:t>Financement ($ US)</w:t>
            </w:r>
          </w:p>
        </w:tc>
        <w:tc>
          <w:tcPr>
            <w:tcW w:w="543" w:type="pct"/>
            <w:shd w:val="clear" w:color="auto" w:fill="auto"/>
          </w:tcPr>
          <w:p w14:paraId="730CF062" w14:textId="77777777" w:rsidR="006D7333" w:rsidRPr="00B434E2" w:rsidRDefault="006D7333" w:rsidP="00B006A9">
            <w:pPr>
              <w:spacing w:after="60"/>
              <w:jc w:val="right"/>
              <w:rPr>
                <w:sz w:val="18"/>
                <w:szCs w:val="18"/>
              </w:rPr>
            </w:pPr>
            <w:r w:rsidRPr="00B434E2">
              <w:rPr>
                <w:sz w:val="18"/>
                <w:szCs w:val="18"/>
              </w:rPr>
              <w:t>0</w:t>
            </w:r>
          </w:p>
        </w:tc>
        <w:tc>
          <w:tcPr>
            <w:tcW w:w="499" w:type="pct"/>
          </w:tcPr>
          <w:p w14:paraId="526ED311" w14:textId="77777777" w:rsidR="006D7333" w:rsidRPr="00B434E2" w:rsidRDefault="006D7333" w:rsidP="00B006A9">
            <w:pPr>
              <w:spacing w:after="60"/>
              <w:jc w:val="right"/>
              <w:rPr>
                <w:sz w:val="18"/>
                <w:szCs w:val="18"/>
              </w:rPr>
            </w:pPr>
            <w:r w:rsidRPr="00B434E2">
              <w:rPr>
                <w:sz w:val="18"/>
                <w:szCs w:val="18"/>
              </w:rPr>
              <w:t>0</w:t>
            </w:r>
          </w:p>
        </w:tc>
        <w:tc>
          <w:tcPr>
            <w:tcW w:w="498" w:type="pct"/>
            <w:shd w:val="clear" w:color="auto" w:fill="auto"/>
          </w:tcPr>
          <w:p w14:paraId="00A40993" w14:textId="77777777" w:rsidR="006D7333" w:rsidRPr="00B434E2" w:rsidRDefault="006D7333" w:rsidP="00B006A9">
            <w:pPr>
              <w:spacing w:after="60"/>
              <w:jc w:val="right"/>
              <w:rPr>
                <w:sz w:val="18"/>
                <w:szCs w:val="18"/>
              </w:rPr>
            </w:pPr>
            <w:r w:rsidRPr="00B434E2">
              <w:rPr>
                <w:sz w:val="18"/>
                <w:szCs w:val="18"/>
              </w:rPr>
              <w:t>0</w:t>
            </w:r>
          </w:p>
        </w:tc>
        <w:tc>
          <w:tcPr>
            <w:tcW w:w="504" w:type="pct"/>
            <w:shd w:val="clear" w:color="auto" w:fill="auto"/>
          </w:tcPr>
          <w:p w14:paraId="300FEA13" w14:textId="77777777" w:rsidR="006D7333" w:rsidRPr="00B434E2" w:rsidRDefault="006D7333" w:rsidP="00B006A9">
            <w:pPr>
              <w:spacing w:after="60"/>
              <w:jc w:val="right"/>
              <w:rPr>
                <w:sz w:val="18"/>
                <w:szCs w:val="18"/>
              </w:rPr>
            </w:pPr>
            <w:r w:rsidRPr="00B434E2">
              <w:rPr>
                <w:sz w:val="18"/>
                <w:szCs w:val="18"/>
              </w:rPr>
              <w:t>0</w:t>
            </w:r>
          </w:p>
        </w:tc>
      </w:tr>
      <w:tr w:rsidR="006D7333" w:rsidRPr="00B434E2" w14:paraId="1BC4AB00" w14:textId="77777777" w:rsidTr="00B434E2">
        <w:trPr>
          <w:trHeight w:val="258"/>
        </w:trPr>
        <w:tc>
          <w:tcPr>
            <w:tcW w:w="650" w:type="pct"/>
            <w:vMerge w:val="restart"/>
            <w:shd w:val="clear" w:color="auto" w:fill="auto"/>
          </w:tcPr>
          <w:p w14:paraId="56223EDA" w14:textId="77777777" w:rsidR="006D7333" w:rsidRPr="00B434E2" w:rsidRDefault="006D7333" w:rsidP="00B006A9">
            <w:pPr>
              <w:spacing w:after="60"/>
              <w:jc w:val="center"/>
              <w:rPr>
                <w:sz w:val="18"/>
                <w:szCs w:val="18"/>
              </w:rPr>
            </w:pPr>
            <w:r w:rsidRPr="00B434E2">
              <w:rPr>
                <w:color w:val="000000" w:themeColor="text1"/>
                <w:sz w:val="18"/>
                <w:szCs w:val="18"/>
              </w:rPr>
              <w:t>PNUE</w:t>
            </w:r>
          </w:p>
        </w:tc>
        <w:tc>
          <w:tcPr>
            <w:tcW w:w="2306" w:type="pct"/>
            <w:shd w:val="clear" w:color="auto" w:fill="auto"/>
          </w:tcPr>
          <w:p w14:paraId="7AD2142C" w14:textId="77777777" w:rsidR="006D7333" w:rsidRPr="00B434E2" w:rsidRDefault="006D7333" w:rsidP="00B006A9">
            <w:pPr>
              <w:spacing w:after="60"/>
              <w:jc w:val="left"/>
              <w:rPr>
                <w:sz w:val="18"/>
                <w:szCs w:val="18"/>
              </w:rPr>
            </w:pPr>
            <w:r w:rsidRPr="00B434E2">
              <w:rPr>
                <w:sz w:val="18"/>
                <w:szCs w:val="18"/>
              </w:rPr>
              <w:t>Élimination des SAO (tonnes PAO)</w:t>
            </w:r>
          </w:p>
        </w:tc>
        <w:tc>
          <w:tcPr>
            <w:tcW w:w="543" w:type="pct"/>
            <w:shd w:val="clear" w:color="auto" w:fill="auto"/>
          </w:tcPr>
          <w:p w14:paraId="685CDA29" w14:textId="77777777" w:rsidR="006D7333" w:rsidRPr="00B434E2" w:rsidRDefault="006D7333" w:rsidP="00B006A9">
            <w:pPr>
              <w:spacing w:after="60"/>
              <w:jc w:val="right"/>
              <w:rPr>
                <w:sz w:val="18"/>
                <w:szCs w:val="18"/>
              </w:rPr>
            </w:pPr>
            <w:r w:rsidRPr="00B434E2">
              <w:rPr>
                <w:sz w:val="18"/>
                <w:szCs w:val="18"/>
              </w:rPr>
              <w:t>0,30</w:t>
            </w:r>
          </w:p>
        </w:tc>
        <w:tc>
          <w:tcPr>
            <w:tcW w:w="499" w:type="pct"/>
          </w:tcPr>
          <w:p w14:paraId="4D2A529A" w14:textId="77777777" w:rsidR="006D7333" w:rsidRPr="00B434E2" w:rsidRDefault="006D7333" w:rsidP="00B006A9">
            <w:pPr>
              <w:spacing w:after="60"/>
              <w:jc w:val="right"/>
              <w:rPr>
                <w:sz w:val="18"/>
                <w:szCs w:val="18"/>
              </w:rPr>
            </w:pPr>
            <w:r w:rsidRPr="00B434E2">
              <w:rPr>
                <w:sz w:val="18"/>
                <w:szCs w:val="18"/>
              </w:rPr>
              <w:t>0,00</w:t>
            </w:r>
          </w:p>
        </w:tc>
        <w:tc>
          <w:tcPr>
            <w:tcW w:w="498" w:type="pct"/>
            <w:shd w:val="clear" w:color="auto" w:fill="auto"/>
          </w:tcPr>
          <w:p w14:paraId="6BAFB383" w14:textId="77777777" w:rsidR="006D7333" w:rsidRPr="00B434E2" w:rsidRDefault="006D7333" w:rsidP="00B006A9">
            <w:pPr>
              <w:spacing w:after="60"/>
              <w:jc w:val="right"/>
              <w:rPr>
                <w:sz w:val="18"/>
                <w:szCs w:val="18"/>
              </w:rPr>
            </w:pPr>
            <w:r w:rsidRPr="00B434E2">
              <w:rPr>
                <w:sz w:val="18"/>
                <w:szCs w:val="18"/>
              </w:rPr>
              <w:t>0,00</w:t>
            </w:r>
          </w:p>
        </w:tc>
        <w:tc>
          <w:tcPr>
            <w:tcW w:w="504" w:type="pct"/>
            <w:shd w:val="clear" w:color="auto" w:fill="auto"/>
          </w:tcPr>
          <w:p w14:paraId="4E869310" w14:textId="77777777" w:rsidR="006D7333" w:rsidRPr="00B434E2" w:rsidRDefault="006D7333" w:rsidP="00B006A9">
            <w:pPr>
              <w:spacing w:after="60"/>
              <w:jc w:val="right"/>
              <w:rPr>
                <w:sz w:val="18"/>
                <w:szCs w:val="18"/>
              </w:rPr>
            </w:pPr>
            <w:r w:rsidRPr="00B434E2">
              <w:rPr>
                <w:sz w:val="18"/>
                <w:szCs w:val="18"/>
              </w:rPr>
              <w:t>0,30</w:t>
            </w:r>
          </w:p>
        </w:tc>
      </w:tr>
      <w:tr w:rsidR="006D7333" w:rsidRPr="00B434E2" w14:paraId="52D2F989" w14:textId="77777777" w:rsidTr="00B434E2">
        <w:trPr>
          <w:trHeight w:val="258"/>
        </w:trPr>
        <w:tc>
          <w:tcPr>
            <w:tcW w:w="650" w:type="pct"/>
            <w:vMerge/>
            <w:shd w:val="clear" w:color="auto" w:fill="auto"/>
          </w:tcPr>
          <w:p w14:paraId="62E0DED6" w14:textId="77777777" w:rsidR="006D7333" w:rsidRPr="00B434E2" w:rsidRDefault="006D7333" w:rsidP="00B006A9">
            <w:pPr>
              <w:spacing w:after="60"/>
              <w:jc w:val="center"/>
              <w:rPr>
                <w:sz w:val="18"/>
                <w:szCs w:val="18"/>
                <w:lang w:val="en-CA"/>
              </w:rPr>
            </w:pPr>
          </w:p>
        </w:tc>
        <w:tc>
          <w:tcPr>
            <w:tcW w:w="2306" w:type="pct"/>
            <w:shd w:val="clear" w:color="auto" w:fill="auto"/>
          </w:tcPr>
          <w:p w14:paraId="67D1AEA7" w14:textId="77777777" w:rsidR="006D7333" w:rsidRPr="00B434E2" w:rsidRDefault="006D7333" w:rsidP="00B006A9">
            <w:pPr>
              <w:spacing w:after="60"/>
              <w:jc w:val="left"/>
              <w:rPr>
                <w:sz w:val="18"/>
                <w:szCs w:val="18"/>
              </w:rPr>
            </w:pPr>
            <w:r w:rsidRPr="00B434E2">
              <w:rPr>
                <w:sz w:val="18"/>
                <w:szCs w:val="18"/>
              </w:rPr>
              <w:t>Financement ($ US)</w:t>
            </w:r>
          </w:p>
        </w:tc>
        <w:tc>
          <w:tcPr>
            <w:tcW w:w="543" w:type="pct"/>
            <w:shd w:val="clear" w:color="auto" w:fill="auto"/>
          </w:tcPr>
          <w:p w14:paraId="7226209F" w14:textId="77777777" w:rsidR="006D7333" w:rsidRPr="00B434E2" w:rsidRDefault="006D7333" w:rsidP="00B006A9">
            <w:pPr>
              <w:spacing w:after="60"/>
              <w:jc w:val="right"/>
              <w:rPr>
                <w:sz w:val="18"/>
                <w:szCs w:val="18"/>
              </w:rPr>
            </w:pPr>
            <w:r w:rsidRPr="00B434E2">
              <w:rPr>
                <w:sz w:val="18"/>
                <w:szCs w:val="18"/>
              </w:rPr>
              <w:t>41 973</w:t>
            </w:r>
          </w:p>
        </w:tc>
        <w:tc>
          <w:tcPr>
            <w:tcW w:w="499" w:type="pct"/>
          </w:tcPr>
          <w:p w14:paraId="3BBE5971" w14:textId="77777777" w:rsidR="006D7333" w:rsidRPr="00B434E2" w:rsidRDefault="006D7333" w:rsidP="00B006A9">
            <w:pPr>
              <w:spacing w:after="60"/>
              <w:jc w:val="right"/>
              <w:rPr>
                <w:sz w:val="18"/>
                <w:szCs w:val="18"/>
              </w:rPr>
            </w:pPr>
            <w:r w:rsidRPr="00B434E2">
              <w:rPr>
                <w:sz w:val="18"/>
                <w:szCs w:val="18"/>
              </w:rPr>
              <w:t>0</w:t>
            </w:r>
          </w:p>
        </w:tc>
        <w:tc>
          <w:tcPr>
            <w:tcW w:w="498" w:type="pct"/>
            <w:shd w:val="clear" w:color="auto" w:fill="auto"/>
          </w:tcPr>
          <w:p w14:paraId="107A0A43" w14:textId="77777777" w:rsidR="006D7333" w:rsidRPr="00B434E2" w:rsidRDefault="006D7333" w:rsidP="00B006A9">
            <w:pPr>
              <w:spacing w:after="60"/>
              <w:jc w:val="right"/>
              <w:rPr>
                <w:sz w:val="18"/>
                <w:szCs w:val="18"/>
              </w:rPr>
            </w:pPr>
            <w:r w:rsidRPr="00B434E2">
              <w:rPr>
                <w:sz w:val="18"/>
                <w:szCs w:val="18"/>
              </w:rPr>
              <w:t>0</w:t>
            </w:r>
          </w:p>
        </w:tc>
        <w:tc>
          <w:tcPr>
            <w:tcW w:w="504" w:type="pct"/>
            <w:shd w:val="clear" w:color="auto" w:fill="auto"/>
          </w:tcPr>
          <w:p w14:paraId="34E86762" w14:textId="77777777" w:rsidR="006D7333" w:rsidRPr="00B434E2" w:rsidRDefault="006D7333" w:rsidP="00B006A9">
            <w:pPr>
              <w:spacing w:after="60"/>
              <w:jc w:val="right"/>
              <w:rPr>
                <w:sz w:val="18"/>
                <w:szCs w:val="18"/>
              </w:rPr>
            </w:pPr>
            <w:r w:rsidRPr="00B434E2">
              <w:rPr>
                <w:sz w:val="18"/>
                <w:szCs w:val="18"/>
              </w:rPr>
              <w:t>41 973</w:t>
            </w:r>
          </w:p>
        </w:tc>
      </w:tr>
    </w:tbl>
    <w:p w14:paraId="02BBDBEF" w14:textId="77777777" w:rsidR="006D7333" w:rsidRPr="00B434E2" w:rsidRDefault="006D7333" w:rsidP="006D7333">
      <w:pPr>
        <w:jc w:val="center"/>
        <w:rPr>
          <w:sz w:val="18"/>
          <w:szCs w:val="18"/>
          <w:lang w:val="en-CA"/>
        </w:rPr>
      </w:pPr>
    </w:p>
    <w:tbl>
      <w:tblPr>
        <w:tblStyle w:val="TableGrid"/>
        <w:tblW w:w="5490" w:type="pct"/>
        <w:tblInd w:w="-455" w:type="dxa"/>
        <w:tblLayout w:type="fixed"/>
        <w:tblCellMar>
          <w:left w:w="43" w:type="dxa"/>
          <w:right w:w="43" w:type="dxa"/>
        </w:tblCellMar>
        <w:tblLook w:val="04A0" w:firstRow="1" w:lastRow="0" w:firstColumn="1" w:lastColumn="0" w:noHBand="0" w:noVBand="1"/>
      </w:tblPr>
      <w:tblGrid>
        <w:gridCol w:w="1081"/>
        <w:gridCol w:w="629"/>
        <w:gridCol w:w="1444"/>
        <w:gridCol w:w="711"/>
        <w:gridCol w:w="713"/>
        <w:gridCol w:w="710"/>
        <w:gridCol w:w="712"/>
        <w:gridCol w:w="712"/>
        <w:gridCol w:w="710"/>
        <w:gridCol w:w="712"/>
        <w:gridCol w:w="710"/>
        <w:gridCol w:w="712"/>
        <w:gridCol w:w="710"/>
      </w:tblGrid>
      <w:tr w:rsidR="006D7333" w:rsidRPr="00B434E2" w14:paraId="3F1E2FEB" w14:textId="77777777" w:rsidTr="00B434E2">
        <w:trPr>
          <w:trHeight w:val="157"/>
        </w:trPr>
        <w:tc>
          <w:tcPr>
            <w:tcW w:w="1535" w:type="pct"/>
            <w:gridSpan w:val="3"/>
            <w:shd w:val="clear" w:color="auto" w:fill="auto"/>
          </w:tcPr>
          <w:p w14:paraId="7BF10729" w14:textId="77777777" w:rsidR="006D7333" w:rsidRPr="00B434E2" w:rsidRDefault="006D7333" w:rsidP="00B006A9">
            <w:pPr>
              <w:jc w:val="left"/>
              <w:rPr>
                <w:b/>
                <w:sz w:val="18"/>
                <w:szCs w:val="18"/>
              </w:rPr>
            </w:pPr>
            <w:r w:rsidRPr="00B434E2">
              <w:rPr>
                <w:b/>
                <w:sz w:val="18"/>
                <w:szCs w:val="18"/>
              </w:rPr>
              <w:t xml:space="preserve">(VI) DONNÉES DU PROJET </w:t>
            </w:r>
          </w:p>
        </w:tc>
        <w:tc>
          <w:tcPr>
            <w:tcW w:w="346" w:type="pct"/>
            <w:shd w:val="clear" w:color="auto" w:fill="auto"/>
          </w:tcPr>
          <w:p w14:paraId="68AC9798" w14:textId="77777777" w:rsidR="006D7333" w:rsidRPr="00B434E2" w:rsidRDefault="006D7333" w:rsidP="00B006A9">
            <w:pPr>
              <w:jc w:val="center"/>
              <w:rPr>
                <w:b/>
                <w:sz w:val="18"/>
                <w:szCs w:val="18"/>
              </w:rPr>
            </w:pPr>
            <w:r w:rsidRPr="00B434E2">
              <w:rPr>
                <w:b/>
                <w:sz w:val="18"/>
                <w:szCs w:val="18"/>
              </w:rPr>
              <w:t>2021</w:t>
            </w:r>
          </w:p>
        </w:tc>
        <w:tc>
          <w:tcPr>
            <w:tcW w:w="347" w:type="pct"/>
            <w:shd w:val="clear" w:color="auto" w:fill="auto"/>
          </w:tcPr>
          <w:p w14:paraId="4040A21F" w14:textId="77777777" w:rsidR="006D7333" w:rsidRPr="00B434E2" w:rsidRDefault="006D7333" w:rsidP="00B006A9">
            <w:pPr>
              <w:jc w:val="center"/>
              <w:rPr>
                <w:b/>
                <w:sz w:val="18"/>
                <w:szCs w:val="18"/>
              </w:rPr>
            </w:pPr>
            <w:r w:rsidRPr="00B434E2">
              <w:rPr>
                <w:b/>
                <w:sz w:val="18"/>
                <w:szCs w:val="18"/>
              </w:rPr>
              <w:t>2022-2023</w:t>
            </w:r>
          </w:p>
        </w:tc>
        <w:tc>
          <w:tcPr>
            <w:tcW w:w="346" w:type="pct"/>
          </w:tcPr>
          <w:p w14:paraId="0A985B6D" w14:textId="77777777" w:rsidR="006D7333" w:rsidRPr="00B434E2" w:rsidRDefault="006D7333" w:rsidP="00B006A9">
            <w:pPr>
              <w:jc w:val="center"/>
              <w:rPr>
                <w:b/>
                <w:sz w:val="18"/>
                <w:szCs w:val="18"/>
              </w:rPr>
            </w:pPr>
            <w:r w:rsidRPr="00B434E2">
              <w:rPr>
                <w:b/>
                <w:sz w:val="18"/>
                <w:szCs w:val="18"/>
              </w:rPr>
              <w:t>2024</w:t>
            </w:r>
          </w:p>
        </w:tc>
        <w:tc>
          <w:tcPr>
            <w:tcW w:w="347" w:type="pct"/>
          </w:tcPr>
          <w:p w14:paraId="11F8281C" w14:textId="77777777" w:rsidR="006D7333" w:rsidRPr="00B434E2" w:rsidRDefault="006D7333" w:rsidP="00B006A9">
            <w:pPr>
              <w:jc w:val="center"/>
              <w:rPr>
                <w:b/>
                <w:sz w:val="18"/>
                <w:szCs w:val="18"/>
              </w:rPr>
            </w:pPr>
            <w:r w:rsidRPr="00B434E2">
              <w:rPr>
                <w:b/>
                <w:sz w:val="18"/>
                <w:szCs w:val="18"/>
              </w:rPr>
              <w:t>2025</w:t>
            </w:r>
          </w:p>
        </w:tc>
        <w:tc>
          <w:tcPr>
            <w:tcW w:w="347" w:type="pct"/>
            <w:shd w:val="clear" w:color="auto" w:fill="auto"/>
          </w:tcPr>
          <w:p w14:paraId="782786E5" w14:textId="77777777" w:rsidR="006D7333" w:rsidRPr="00B434E2" w:rsidRDefault="006D7333" w:rsidP="00B006A9">
            <w:pPr>
              <w:jc w:val="center"/>
              <w:rPr>
                <w:b/>
                <w:sz w:val="18"/>
                <w:szCs w:val="18"/>
              </w:rPr>
            </w:pPr>
            <w:r w:rsidRPr="00B434E2">
              <w:rPr>
                <w:b/>
                <w:sz w:val="18"/>
                <w:szCs w:val="18"/>
              </w:rPr>
              <w:t>2026</w:t>
            </w:r>
          </w:p>
        </w:tc>
        <w:tc>
          <w:tcPr>
            <w:tcW w:w="346" w:type="pct"/>
            <w:shd w:val="clear" w:color="auto" w:fill="auto"/>
          </w:tcPr>
          <w:p w14:paraId="1F6EFF65" w14:textId="77777777" w:rsidR="006D7333" w:rsidRPr="00B434E2" w:rsidRDefault="006D7333" w:rsidP="00B006A9">
            <w:pPr>
              <w:jc w:val="center"/>
              <w:rPr>
                <w:b/>
                <w:sz w:val="18"/>
                <w:szCs w:val="18"/>
              </w:rPr>
            </w:pPr>
            <w:r w:rsidRPr="00B434E2">
              <w:rPr>
                <w:b/>
                <w:sz w:val="18"/>
                <w:szCs w:val="18"/>
              </w:rPr>
              <w:t>2027</w:t>
            </w:r>
          </w:p>
        </w:tc>
        <w:tc>
          <w:tcPr>
            <w:tcW w:w="347" w:type="pct"/>
            <w:shd w:val="clear" w:color="auto" w:fill="auto"/>
          </w:tcPr>
          <w:p w14:paraId="00489771" w14:textId="77777777" w:rsidR="006D7333" w:rsidRPr="00B434E2" w:rsidRDefault="006D7333" w:rsidP="00B006A9">
            <w:pPr>
              <w:jc w:val="center"/>
              <w:rPr>
                <w:b/>
                <w:sz w:val="18"/>
                <w:szCs w:val="18"/>
              </w:rPr>
            </w:pPr>
            <w:r w:rsidRPr="00B434E2">
              <w:rPr>
                <w:b/>
                <w:sz w:val="18"/>
                <w:szCs w:val="18"/>
              </w:rPr>
              <w:t>2028</w:t>
            </w:r>
          </w:p>
        </w:tc>
        <w:tc>
          <w:tcPr>
            <w:tcW w:w="346" w:type="pct"/>
            <w:shd w:val="clear" w:color="auto" w:fill="auto"/>
          </w:tcPr>
          <w:p w14:paraId="7BE6840B" w14:textId="77777777" w:rsidR="006D7333" w:rsidRPr="00B434E2" w:rsidRDefault="006D7333" w:rsidP="00B006A9">
            <w:pPr>
              <w:jc w:val="center"/>
              <w:rPr>
                <w:b/>
                <w:sz w:val="18"/>
                <w:szCs w:val="18"/>
              </w:rPr>
            </w:pPr>
            <w:r w:rsidRPr="00B434E2">
              <w:rPr>
                <w:b/>
                <w:sz w:val="18"/>
                <w:szCs w:val="18"/>
              </w:rPr>
              <w:t>2029</w:t>
            </w:r>
          </w:p>
        </w:tc>
        <w:tc>
          <w:tcPr>
            <w:tcW w:w="347" w:type="pct"/>
            <w:shd w:val="clear" w:color="auto" w:fill="auto"/>
          </w:tcPr>
          <w:p w14:paraId="55648A77" w14:textId="77777777" w:rsidR="006D7333" w:rsidRPr="00B434E2" w:rsidRDefault="006D7333" w:rsidP="00B006A9">
            <w:pPr>
              <w:jc w:val="center"/>
              <w:rPr>
                <w:b/>
                <w:sz w:val="18"/>
                <w:szCs w:val="18"/>
              </w:rPr>
            </w:pPr>
            <w:r w:rsidRPr="00B434E2">
              <w:rPr>
                <w:b/>
                <w:sz w:val="18"/>
                <w:szCs w:val="18"/>
              </w:rPr>
              <w:t>2030</w:t>
            </w:r>
          </w:p>
        </w:tc>
        <w:tc>
          <w:tcPr>
            <w:tcW w:w="346" w:type="pct"/>
            <w:shd w:val="clear" w:color="auto" w:fill="auto"/>
          </w:tcPr>
          <w:p w14:paraId="0D20D1D2" w14:textId="77777777" w:rsidR="006D7333" w:rsidRPr="00B434E2" w:rsidRDefault="006D7333" w:rsidP="00B006A9">
            <w:pPr>
              <w:jc w:val="center"/>
              <w:rPr>
                <w:b/>
                <w:sz w:val="18"/>
                <w:szCs w:val="18"/>
              </w:rPr>
            </w:pPr>
            <w:r w:rsidRPr="00B434E2">
              <w:rPr>
                <w:b/>
                <w:sz w:val="18"/>
                <w:szCs w:val="18"/>
              </w:rPr>
              <w:t>Total</w:t>
            </w:r>
          </w:p>
        </w:tc>
      </w:tr>
      <w:tr w:rsidR="006D7333" w:rsidRPr="00B434E2" w14:paraId="372E7703" w14:textId="77777777" w:rsidTr="00B434E2">
        <w:trPr>
          <w:trHeight w:val="48"/>
        </w:trPr>
        <w:tc>
          <w:tcPr>
            <w:tcW w:w="1535" w:type="pct"/>
            <w:gridSpan w:val="3"/>
            <w:shd w:val="clear" w:color="auto" w:fill="auto"/>
          </w:tcPr>
          <w:p w14:paraId="042120EB" w14:textId="77777777" w:rsidR="006D7333" w:rsidRPr="00B434E2" w:rsidRDefault="006D7333" w:rsidP="00B006A9">
            <w:pPr>
              <w:tabs>
                <w:tab w:val="left" w:pos="8280"/>
              </w:tabs>
              <w:spacing w:after="60"/>
              <w:jc w:val="left"/>
              <w:rPr>
                <w:sz w:val="18"/>
                <w:szCs w:val="18"/>
              </w:rPr>
            </w:pPr>
            <w:r w:rsidRPr="00B434E2">
              <w:rPr>
                <w:sz w:val="18"/>
                <w:szCs w:val="18"/>
              </w:rPr>
              <w:t>Limites de consommation du Protocole de Montréal</w:t>
            </w:r>
          </w:p>
        </w:tc>
        <w:tc>
          <w:tcPr>
            <w:tcW w:w="346" w:type="pct"/>
            <w:shd w:val="clear" w:color="auto" w:fill="auto"/>
          </w:tcPr>
          <w:p w14:paraId="05F882FC" w14:textId="77777777" w:rsidR="006D7333" w:rsidRPr="00B434E2" w:rsidRDefault="006D7333" w:rsidP="00B006A9">
            <w:pPr>
              <w:tabs>
                <w:tab w:val="left" w:pos="8280"/>
              </w:tabs>
              <w:spacing w:after="60"/>
              <w:jc w:val="right"/>
              <w:rPr>
                <w:sz w:val="18"/>
                <w:szCs w:val="18"/>
              </w:rPr>
            </w:pPr>
            <w:r w:rsidRPr="00B434E2">
              <w:rPr>
                <w:sz w:val="18"/>
                <w:szCs w:val="18"/>
              </w:rPr>
              <w:t>7,59</w:t>
            </w:r>
          </w:p>
        </w:tc>
        <w:tc>
          <w:tcPr>
            <w:tcW w:w="347" w:type="pct"/>
            <w:shd w:val="clear" w:color="auto" w:fill="auto"/>
          </w:tcPr>
          <w:p w14:paraId="29C5A616" w14:textId="77777777" w:rsidR="006D7333" w:rsidRPr="00B434E2" w:rsidRDefault="006D7333" w:rsidP="00B006A9">
            <w:pPr>
              <w:tabs>
                <w:tab w:val="left" w:pos="8280"/>
              </w:tabs>
              <w:spacing w:after="60"/>
              <w:jc w:val="right"/>
              <w:rPr>
                <w:sz w:val="18"/>
                <w:szCs w:val="18"/>
              </w:rPr>
            </w:pPr>
            <w:r w:rsidRPr="00B434E2">
              <w:rPr>
                <w:sz w:val="18"/>
                <w:szCs w:val="18"/>
              </w:rPr>
              <w:t>7,59</w:t>
            </w:r>
          </w:p>
        </w:tc>
        <w:tc>
          <w:tcPr>
            <w:tcW w:w="346" w:type="pct"/>
            <w:shd w:val="clear" w:color="auto" w:fill="auto"/>
          </w:tcPr>
          <w:p w14:paraId="1E8157BC" w14:textId="77777777" w:rsidR="006D7333" w:rsidRPr="00B434E2" w:rsidRDefault="006D7333" w:rsidP="00B006A9">
            <w:pPr>
              <w:tabs>
                <w:tab w:val="left" w:pos="8280"/>
              </w:tabs>
              <w:spacing w:after="60"/>
              <w:jc w:val="right"/>
              <w:rPr>
                <w:sz w:val="18"/>
                <w:szCs w:val="18"/>
              </w:rPr>
            </w:pPr>
            <w:r w:rsidRPr="00B434E2">
              <w:rPr>
                <w:sz w:val="18"/>
                <w:szCs w:val="18"/>
              </w:rPr>
              <w:t>7,59</w:t>
            </w:r>
          </w:p>
        </w:tc>
        <w:tc>
          <w:tcPr>
            <w:tcW w:w="347" w:type="pct"/>
            <w:shd w:val="clear" w:color="auto" w:fill="auto"/>
          </w:tcPr>
          <w:p w14:paraId="630F948C" w14:textId="77777777" w:rsidR="006D7333" w:rsidRPr="00B434E2" w:rsidRDefault="006D7333" w:rsidP="00B006A9">
            <w:pPr>
              <w:tabs>
                <w:tab w:val="left" w:pos="8280"/>
              </w:tabs>
              <w:spacing w:after="60"/>
              <w:jc w:val="right"/>
              <w:rPr>
                <w:sz w:val="18"/>
                <w:szCs w:val="18"/>
              </w:rPr>
            </w:pPr>
            <w:r w:rsidRPr="00B434E2">
              <w:rPr>
                <w:sz w:val="18"/>
                <w:szCs w:val="18"/>
              </w:rPr>
              <w:t>3,80</w:t>
            </w:r>
          </w:p>
        </w:tc>
        <w:tc>
          <w:tcPr>
            <w:tcW w:w="347" w:type="pct"/>
            <w:shd w:val="clear" w:color="auto" w:fill="auto"/>
          </w:tcPr>
          <w:p w14:paraId="67C2A31C" w14:textId="77777777" w:rsidR="006D7333" w:rsidRPr="00B434E2" w:rsidRDefault="006D7333" w:rsidP="00B006A9">
            <w:pPr>
              <w:tabs>
                <w:tab w:val="left" w:pos="8280"/>
              </w:tabs>
              <w:spacing w:after="60"/>
              <w:jc w:val="right"/>
              <w:rPr>
                <w:sz w:val="18"/>
                <w:szCs w:val="18"/>
              </w:rPr>
            </w:pPr>
            <w:r w:rsidRPr="00B434E2">
              <w:rPr>
                <w:sz w:val="18"/>
                <w:szCs w:val="18"/>
              </w:rPr>
              <w:t>3,80</w:t>
            </w:r>
          </w:p>
        </w:tc>
        <w:tc>
          <w:tcPr>
            <w:tcW w:w="346" w:type="pct"/>
            <w:shd w:val="clear" w:color="auto" w:fill="auto"/>
          </w:tcPr>
          <w:p w14:paraId="30F86AB9" w14:textId="77777777" w:rsidR="006D7333" w:rsidRPr="00B434E2" w:rsidRDefault="006D7333" w:rsidP="00B006A9">
            <w:pPr>
              <w:tabs>
                <w:tab w:val="left" w:pos="8280"/>
              </w:tabs>
              <w:spacing w:after="60"/>
              <w:jc w:val="right"/>
              <w:rPr>
                <w:sz w:val="18"/>
                <w:szCs w:val="18"/>
              </w:rPr>
            </w:pPr>
            <w:r w:rsidRPr="00B434E2">
              <w:rPr>
                <w:sz w:val="18"/>
                <w:szCs w:val="18"/>
              </w:rPr>
              <w:t>3,80</w:t>
            </w:r>
          </w:p>
        </w:tc>
        <w:tc>
          <w:tcPr>
            <w:tcW w:w="347" w:type="pct"/>
            <w:shd w:val="clear" w:color="auto" w:fill="auto"/>
          </w:tcPr>
          <w:p w14:paraId="45231738" w14:textId="77777777" w:rsidR="006D7333" w:rsidRPr="00B434E2" w:rsidRDefault="006D7333" w:rsidP="00B006A9">
            <w:pPr>
              <w:tabs>
                <w:tab w:val="left" w:pos="8280"/>
              </w:tabs>
              <w:spacing w:after="60"/>
              <w:jc w:val="right"/>
              <w:rPr>
                <w:sz w:val="18"/>
                <w:szCs w:val="18"/>
              </w:rPr>
            </w:pPr>
            <w:r w:rsidRPr="00B434E2">
              <w:rPr>
                <w:sz w:val="18"/>
                <w:szCs w:val="18"/>
              </w:rPr>
              <w:t>3,80</w:t>
            </w:r>
          </w:p>
        </w:tc>
        <w:tc>
          <w:tcPr>
            <w:tcW w:w="346" w:type="pct"/>
            <w:shd w:val="clear" w:color="auto" w:fill="auto"/>
          </w:tcPr>
          <w:p w14:paraId="6E3E9B47" w14:textId="77777777" w:rsidR="006D7333" w:rsidRPr="00B434E2" w:rsidRDefault="006D7333" w:rsidP="00B006A9">
            <w:pPr>
              <w:tabs>
                <w:tab w:val="left" w:pos="8280"/>
              </w:tabs>
              <w:spacing w:after="60"/>
              <w:jc w:val="right"/>
              <w:rPr>
                <w:sz w:val="18"/>
                <w:szCs w:val="18"/>
              </w:rPr>
            </w:pPr>
            <w:r w:rsidRPr="00B434E2">
              <w:rPr>
                <w:sz w:val="18"/>
                <w:szCs w:val="18"/>
              </w:rPr>
              <w:t>3,80</w:t>
            </w:r>
          </w:p>
        </w:tc>
        <w:tc>
          <w:tcPr>
            <w:tcW w:w="347" w:type="pct"/>
            <w:shd w:val="clear" w:color="auto" w:fill="auto"/>
          </w:tcPr>
          <w:p w14:paraId="72D7EE1F"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shd w:val="clear" w:color="auto" w:fill="auto"/>
          </w:tcPr>
          <w:p w14:paraId="60D71ADD" w14:textId="77777777" w:rsidR="006D7333" w:rsidRPr="00B434E2" w:rsidRDefault="006D7333" w:rsidP="00B006A9">
            <w:pPr>
              <w:tabs>
                <w:tab w:val="left" w:pos="8280"/>
              </w:tabs>
              <w:spacing w:after="60"/>
              <w:jc w:val="right"/>
              <w:rPr>
                <w:sz w:val="18"/>
                <w:szCs w:val="18"/>
              </w:rPr>
            </w:pPr>
            <w:proofErr w:type="spellStart"/>
            <w:r w:rsidRPr="00B434E2">
              <w:rPr>
                <w:sz w:val="18"/>
                <w:szCs w:val="18"/>
              </w:rPr>
              <w:t>s.o</w:t>
            </w:r>
            <w:proofErr w:type="spellEnd"/>
            <w:r w:rsidRPr="00B434E2">
              <w:rPr>
                <w:sz w:val="18"/>
                <w:szCs w:val="18"/>
              </w:rPr>
              <w:t>.</w:t>
            </w:r>
          </w:p>
        </w:tc>
      </w:tr>
      <w:tr w:rsidR="006D7333" w:rsidRPr="00B434E2" w14:paraId="1A45532E" w14:textId="77777777" w:rsidTr="00B434E2">
        <w:trPr>
          <w:trHeight w:val="48"/>
        </w:trPr>
        <w:tc>
          <w:tcPr>
            <w:tcW w:w="1535" w:type="pct"/>
            <w:gridSpan w:val="3"/>
            <w:shd w:val="clear" w:color="auto" w:fill="auto"/>
          </w:tcPr>
          <w:p w14:paraId="0C98890E" w14:textId="77777777" w:rsidR="006D7333" w:rsidRPr="00B434E2" w:rsidRDefault="006D7333" w:rsidP="00B006A9">
            <w:pPr>
              <w:tabs>
                <w:tab w:val="left" w:pos="8280"/>
              </w:tabs>
              <w:spacing w:after="60"/>
              <w:jc w:val="left"/>
              <w:rPr>
                <w:sz w:val="18"/>
                <w:szCs w:val="18"/>
              </w:rPr>
            </w:pPr>
            <w:r w:rsidRPr="00B434E2">
              <w:rPr>
                <w:sz w:val="18"/>
                <w:szCs w:val="18"/>
              </w:rPr>
              <w:t>Consommation maximale admissible (tonnes PAO)</w:t>
            </w:r>
          </w:p>
        </w:tc>
        <w:tc>
          <w:tcPr>
            <w:tcW w:w="346" w:type="pct"/>
            <w:shd w:val="clear" w:color="auto" w:fill="auto"/>
          </w:tcPr>
          <w:p w14:paraId="52CEA531" w14:textId="77777777" w:rsidR="006D7333" w:rsidRPr="00B434E2" w:rsidRDefault="006D7333" w:rsidP="00B006A9">
            <w:pPr>
              <w:tabs>
                <w:tab w:val="left" w:pos="8280"/>
              </w:tabs>
              <w:spacing w:after="60"/>
              <w:jc w:val="right"/>
              <w:rPr>
                <w:sz w:val="18"/>
                <w:szCs w:val="18"/>
              </w:rPr>
            </w:pPr>
            <w:r w:rsidRPr="00B434E2">
              <w:rPr>
                <w:sz w:val="18"/>
                <w:szCs w:val="18"/>
              </w:rPr>
              <w:t>5,42</w:t>
            </w:r>
          </w:p>
        </w:tc>
        <w:tc>
          <w:tcPr>
            <w:tcW w:w="347" w:type="pct"/>
            <w:shd w:val="clear" w:color="auto" w:fill="auto"/>
          </w:tcPr>
          <w:p w14:paraId="5CA43119" w14:textId="77777777" w:rsidR="006D7333" w:rsidRPr="00B434E2" w:rsidRDefault="006D7333" w:rsidP="00B006A9">
            <w:pPr>
              <w:tabs>
                <w:tab w:val="left" w:pos="8280"/>
              </w:tabs>
              <w:spacing w:after="60"/>
              <w:jc w:val="right"/>
              <w:rPr>
                <w:sz w:val="18"/>
                <w:szCs w:val="18"/>
              </w:rPr>
            </w:pPr>
            <w:r w:rsidRPr="00B434E2">
              <w:rPr>
                <w:sz w:val="18"/>
                <w:szCs w:val="18"/>
              </w:rPr>
              <w:t>3,44</w:t>
            </w:r>
          </w:p>
        </w:tc>
        <w:tc>
          <w:tcPr>
            <w:tcW w:w="346" w:type="pct"/>
            <w:shd w:val="clear" w:color="auto" w:fill="auto"/>
          </w:tcPr>
          <w:p w14:paraId="21FC864B" w14:textId="77777777" w:rsidR="006D7333" w:rsidRPr="00B434E2" w:rsidRDefault="006D7333" w:rsidP="00B006A9">
            <w:pPr>
              <w:tabs>
                <w:tab w:val="left" w:pos="8280"/>
              </w:tabs>
              <w:spacing w:after="60"/>
              <w:jc w:val="right"/>
              <w:rPr>
                <w:sz w:val="18"/>
                <w:szCs w:val="18"/>
              </w:rPr>
            </w:pPr>
            <w:r w:rsidRPr="00B434E2">
              <w:rPr>
                <w:sz w:val="18"/>
                <w:szCs w:val="18"/>
              </w:rPr>
              <w:t>3,44</w:t>
            </w:r>
          </w:p>
        </w:tc>
        <w:tc>
          <w:tcPr>
            <w:tcW w:w="347" w:type="pct"/>
            <w:shd w:val="clear" w:color="auto" w:fill="auto"/>
          </w:tcPr>
          <w:p w14:paraId="6FB8A889" w14:textId="77777777" w:rsidR="006D7333" w:rsidRPr="00B434E2" w:rsidRDefault="006D7333" w:rsidP="00B006A9">
            <w:pPr>
              <w:tabs>
                <w:tab w:val="left" w:pos="8280"/>
              </w:tabs>
              <w:spacing w:after="60"/>
              <w:jc w:val="right"/>
              <w:rPr>
                <w:sz w:val="18"/>
                <w:szCs w:val="18"/>
              </w:rPr>
            </w:pPr>
            <w:r w:rsidRPr="00B434E2">
              <w:rPr>
                <w:sz w:val="18"/>
                <w:szCs w:val="18"/>
              </w:rPr>
              <w:t>2,88</w:t>
            </w:r>
          </w:p>
        </w:tc>
        <w:tc>
          <w:tcPr>
            <w:tcW w:w="347" w:type="pct"/>
            <w:shd w:val="clear" w:color="auto" w:fill="auto"/>
          </w:tcPr>
          <w:p w14:paraId="1A267FF1" w14:textId="77777777" w:rsidR="006D7333" w:rsidRPr="00B434E2" w:rsidRDefault="006D7333" w:rsidP="00B006A9">
            <w:pPr>
              <w:tabs>
                <w:tab w:val="left" w:pos="8280"/>
              </w:tabs>
              <w:spacing w:after="60"/>
              <w:jc w:val="right"/>
              <w:rPr>
                <w:sz w:val="18"/>
                <w:szCs w:val="18"/>
              </w:rPr>
            </w:pPr>
            <w:r w:rsidRPr="00B434E2">
              <w:rPr>
                <w:sz w:val="18"/>
                <w:szCs w:val="18"/>
              </w:rPr>
              <w:t>2,32</w:t>
            </w:r>
          </w:p>
        </w:tc>
        <w:tc>
          <w:tcPr>
            <w:tcW w:w="346" w:type="pct"/>
            <w:shd w:val="clear" w:color="auto" w:fill="auto"/>
          </w:tcPr>
          <w:p w14:paraId="5206F0E1" w14:textId="77777777" w:rsidR="006D7333" w:rsidRPr="00B434E2" w:rsidRDefault="006D7333" w:rsidP="00B006A9">
            <w:pPr>
              <w:tabs>
                <w:tab w:val="left" w:pos="8280"/>
              </w:tabs>
              <w:spacing w:after="60"/>
              <w:jc w:val="right"/>
              <w:rPr>
                <w:sz w:val="18"/>
                <w:szCs w:val="18"/>
              </w:rPr>
            </w:pPr>
            <w:r w:rsidRPr="00B434E2">
              <w:rPr>
                <w:sz w:val="18"/>
                <w:szCs w:val="18"/>
              </w:rPr>
              <w:t>2,32</w:t>
            </w:r>
          </w:p>
        </w:tc>
        <w:tc>
          <w:tcPr>
            <w:tcW w:w="347" w:type="pct"/>
            <w:shd w:val="clear" w:color="auto" w:fill="auto"/>
          </w:tcPr>
          <w:p w14:paraId="6F53C7A5" w14:textId="77777777" w:rsidR="006D7333" w:rsidRPr="00B434E2" w:rsidRDefault="006D7333" w:rsidP="00B006A9">
            <w:pPr>
              <w:tabs>
                <w:tab w:val="left" w:pos="8280"/>
              </w:tabs>
              <w:spacing w:after="60"/>
              <w:jc w:val="right"/>
              <w:rPr>
                <w:sz w:val="18"/>
                <w:szCs w:val="18"/>
              </w:rPr>
            </w:pPr>
            <w:r w:rsidRPr="00B434E2">
              <w:rPr>
                <w:sz w:val="18"/>
                <w:szCs w:val="18"/>
              </w:rPr>
              <w:t>0,29</w:t>
            </w:r>
          </w:p>
        </w:tc>
        <w:tc>
          <w:tcPr>
            <w:tcW w:w="346" w:type="pct"/>
            <w:shd w:val="clear" w:color="auto" w:fill="auto"/>
          </w:tcPr>
          <w:p w14:paraId="7C1EF1F5" w14:textId="77777777" w:rsidR="006D7333" w:rsidRPr="00B434E2" w:rsidRDefault="006D7333" w:rsidP="00B006A9">
            <w:pPr>
              <w:tabs>
                <w:tab w:val="left" w:pos="8280"/>
              </w:tabs>
              <w:spacing w:after="60"/>
              <w:jc w:val="right"/>
              <w:rPr>
                <w:sz w:val="18"/>
                <w:szCs w:val="18"/>
              </w:rPr>
            </w:pPr>
            <w:r w:rsidRPr="00B434E2">
              <w:rPr>
                <w:sz w:val="18"/>
                <w:szCs w:val="18"/>
              </w:rPr>
              <w:t>0,29</w:t>
            </w:r>
          </w:p>
        </w:tc>
        <w:tc>
          <w:tcPr>
            <w:tcW w:w="347" w:type="pct"/>
            <w:shd w:val="clear" w:color="auto" w:fill="auto"/>
          </w:tcPr>
          <w:p w14:paraId="4A354F4C"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shd w:val="clear" w:color="auto" w:fill="auto"/>
          </w:tcPr>
          <w:p w14:paraId="7A2FE3DB" w14:textId="77777777" w:rsidR="006D7333" w:rsidRPr="00B434E2" w:rsidRDefault="006D7333" w:rsidP="00B006A9">
            <w:pPr>
              <w:tabs>
                <w:tab w:val="left" w:pos="8280"/>
              </w:tabs>
              <w:spacing w:after="60"/>
              <w:jc w:val="right"/>
              <w:rPr>
                <w:sz w:val="18"/>
                <w:szCs w:val="18"/>
              </w:rPr>
            </w:pPr>
            <w:proofErr w:type="spellStart"/>
            <w:r w:rsidRPr="00B434E2">
              <w:rPr>
                <w:sz w:val="18"/>
                <w:szCs w:val="18"/>
              </w:rPr>
              <w:t>s.o</w:t>
            </w:r>
            <w:proofErr w:type="spellEnd"/>
            <w:r w:rsidRPr="00B434E2">
              <w:rPr>
                <w:sz w:val="18"/>
                <w:szCs w:val="18"/>
              </w:rPr>
              <w:t>.</w:t>
            </w:r>
          </w:p>
        </w:tc>
      </w:tr>
      <w:tr w:rsidR="006D7333" w:rsidRPr="00B434E2" w14:paraId="47FFA531" w14:textId="77777777" w:rsidTr="00B434E2">
        <w:trPr>
          <w:trHeight w:val="154"/>
        </w:trPr>
        <w:tc>
          <w:tcPr>
            <w:tcW w:w="526" w:type="pct"/>
            <w:vMerge w:val="restart"/>
            <w:shd w:val="clear" w:color="auto" w:fill="auto"/>
          </w:tcPr>
          <w:p w14:paraId="7094C0AF" w14:textId="77777777" w:rsidR="006D7333" w:rsidRPr="00B434E2" w:rsidRDefault="006D7333" w:rsidP="00B006A9">
            <w:pPr>
              <w:tabs>
                <w:tab w:val="left" w:pos="8280"/>
              </w:tabs>
              <w:spacing w:after="60"/>
              <w:jc w:val="left"/>
              <w:rPr>
                <w:sz w:val="18"/>
                <w:szCs w:val="18"/>
              </w:rPr>
            </w:pPr>
            <w:r w:rsidRPr="00B434E2">
              <w:rPr>
                <w:sz w:val="18"/>
                <w:szCs w:val="18"/>
              </w:rPr>
              <w:t>Coûts des projets demandés en principe ($ US)</w:t>
            </w:r>
          </w:p>
        </w:tc>
        <w:tc>
          <w:tcPr>
            <w:tcW w:w="306" w:type="pct"/>
            <w:vMerge w:val="restart"/>
            <w:shd w:val="clear" w:color="auto" w:fill="auto"/>
          </w:tcPr>
          <w:p w14:paraId="15B0E387" w14:textId="77777777" w:rsidR="006D7333" w:rsidRPr="00B434E2" w:rsidRDefault="006D7333" w:rsidP="00B006A9">
            <w:pPr>
              <w:tabs>
                <w:tab w:val="left" w:pos="8280"/>
              </w:tabs>
              <w:spacing w:after="60"/>
              <w:jc w:val="center"/>
              <w:rPr>
                <w:sz w:val="18"/>
                <w:szCs w:val="18"/>
              </w:rPr>
            </w:pPr>
            <w:r w:rsidRPr="00B434E2">
              <w:rPr>
                <w:color w:val="000000" w:themeColor="text1"/>
                <w:sz w:val="18"/>
                <w:szCs w:val="18"/>
              </w:rPr>
              <w:t>PNUD</w:t>
            </w:r>
          </w:p>
        </w:tc>
        <w:tc>
          <w:tcPr>
            <w:tcW w:w="702" w:type="pct"/>
            <w:shd w:val="clear" w:color="auto" w:fill="auto"/>
          </w:tcPr>
          <w:p w14:paraId="3E155F86" w14:textId="77777777" w:rsidR="006D7333" w:rsidRPr="00B434E2" w:rsidRDefault="006D7333" w:rsidP="00B006A9">
            <w:pPr>
              <w:tabs>
                <w:tab w:val="left" w:pos="8280"/>
              </w:tabs>
              <w:spacing w:after="60"/>
              <w:jc w:val="left"/>
              <w:rPr>
                <w:sz w:val="18"/>
                <w:szCs w:val="18"/>
              </w:rPr>
            </w:pPr>
            <w:r w:rsidRPr="00B434E2">
              <w:rPr>
                <w:sz w:val="18"/>
                <w:szCs w:val="18"/>
              </w:rPr>
              <w:t>Coûts de projet</w:t>
            </w:r>
          </w:p>
        </w:tc>
        <w:tc>
          <w:tcPr>
            <w:tcW w:w="346" w:type="pct"/>
            <w:shd w:val="clear" w:color="auto" w:fill="auto"/>
          </w:tcPr>
          <w:p w14:paraId="54FE7B55" w14:textId="77777777" w:rsidR="006D7333" w:rsidRPr="00B434E2" w:rsidRDefault="006D7333" w:rsidP="00B006A9">
            <w:pPr>
              <w:tabs>
                <w:tab w:val="left" w:pos="8280"/>
              </w:tabs>
              <w:spacing w:after="60"/>
              <w:jc w:val="right"/>
              <w:rPr>
                <w:sz w:val="18"/>
                <w:szCs w:val="18"/>
              </w:rPr>
            </w:pPr>
            <w:r w:rsidRPr="00B434E2">
              <w:rPr>
                <w:sz w:val="18"/>
                <w:szCs w:val="18"/>
              </w:rPr>
              <w:t>169 000</w:t>
            </w:r>
          </w:p>
        </w:tc>
        <w:tc>
          <w:tcPr>
            <w:tcW w:w="347" w:type="pct"/>
            <w:shd w:val="clear" w:color="auto" w:fill="auto"/>
          </w:tcPr>
          <w:p w14:paraId="41CE5C0C"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shd w:val="clear" w:color="auto" w:fill="auto"/>
          </w:tcPr>
          <w:p w14:paraId="24AE0EFA" w14:textId="77777777" w:rsidR="006D7333" w:rsidRPr="00B434E2" w:rsidRDefault="006D7333" w:rsidP="00B006A9">
            <w:pPr>
              <w:tabs>
                <w:tab w:val="left" w:pos="8280"/>
              </w:tabs>
              <w:spacing w:after="60"/>
              <w:jc w:val="right"/>
              <w:rPr>
                <w:sz w:val="18"/>
                <w:szCs w:val="18"/>
              </w:rPr>
            </w:pPr>
            <w:r w:rsidRPr="00B434E2">
              <w:rPr>
                <w:sz w:val="18"/>
                <w:szCs w:val="18"/>
              </w:rPr>
              <w:t>244 255</w:t>
            </w:r>
          </w:p>
        </w:tc>
        <w:tc>
          <w:tcPr>
            <w:tcW w:w="347" w:type="pct"/>
            <w:shd w:val="clear" w:color="auto" w:fill="auto"/>
          </w:tcPr>
          <w:p w14:paraId="448165C3"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shd w:val="clear" w:color="auto" w:fill="auto"/>
          </w:tcPr>
          <w:p w14:paraId="3329B49F" w14:textId="77777777" w:rsidR="006D7333" w:rsidRPr="00B434E2" w:rsidRDefault="006D7333" w:rsidP="00B006A9">
            <w:pPr>
              <w:tabs>
                <w:tab w:val="left" w:pos="8280"/>
              </w:tabs>
              <w:spacing w:after="60"/>
              <w:jc w:val="right"/>
              <w:rPr>
                <w:sz w:val="18"/>
                <w:szCs w:val="18"/>
              </w:rPr>
            </w:pPr>
            <w:r w:rsidRPr="00B434E2">
              <w:rPr>
                <w:sz w:val="18"/>
                <w:szCs w:val="18"/>
              </w:rPr>
              <w:t>124 745</w:t>
            </w:r>
          </w:p>
        </w:tc>
        <w:tc>
          <w:tcPr>
            <w:tcW w:w="346" w:type="pct"/>
            <w:shd w:val="clear" w:color="auto" w:fill="auto"/>
          </w:tcPr>
          <w:p w14:paraId="6202F5E0"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shd w:val="clear" w:color="auto" w:fill="auto"/>
          </w:tcPr>
          <w:p w14:paraId="269F8278"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shd w:val="clear" w:color="auto" w:fill="auto"/>
          </w:tcPr>
          <w:p w14:paraId="505D053E" w14:textId="77777777" w:rsidR="006D7333" w:rsidRPr="00B434E2" w:rsidRDefault="006D7333" w:rsidP="00B006A9">
            <w:pPr>
              <w:tabs>
                <w:tab w:val="left" w:pos="8280"/>
              </w:tabs>
              <w:spacing w:after="60"/>
              <w:jc w:val="right"/>
              <w:rPr>
                <w:sz w:val="18"/>
                <w:szCs w:val="18"/>
              </w:rPr>
            </w:pPr>
            <w:r w:rsidRPr="00B434E2">
              <w:rPr>
                <w:sz w:val="18"/>
                <w:szCs w:val="18"/>
              </w:rPr>
              <w:t>65 000</w:t>
            </w:r>
          </w:p>
        </w:tc>
        <w:tc>
          <w:tcPr>
            <w:tcW w:w="347" w:type="pct"/>
            <w:shd w:val="clear" w:color="auto" w:fill="auto"/>
          </w:tcPr>
          <w:p w14:paraId="1B9EF896"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shd w:val="clear" w:color="auto" w:fill="auto"/>
          </w:tcPr>
          <w:p w14:paraId="3CB35CE6" w14:textId="77777777" w:rsidR="006D7333" w:rsidRPr="00B434E2" w:rsidRDefault="006D7333" w:rsidP="00B006A9">
            <w:pPr>
              <w:tabs>
                <w:tab w:val="left" w:pos="8280"/>
              </w:tabs>
              <w:spacing w:after="60"/>
              <w:jc w:val="right"/>
              <w:rPr>
                <w:sz w:val="18"/>
                <w:szCs w:val="18"/>
              </w:rPr>
            </w:pPr>
            <w:r w:rsidRPr="00B434E2">
              <w:rPr>
                <w:sz w:val="18"/>
                <w:szCs w:val="18"/>
              </w:rPr>
              <w:t>603 000</w:t>
            </w:r>
          </w:p>
        </w:tc>
      </w:tr>
      <w:tr w:rsidR="006D7333" w:rsidRPr="00B434E2" w14:paraId="64D43ACD" w14:textId="77777777" w:rsidTr="00B434E2">
        <w:trPr>
          <w:trHeight w:val="200"/>
        </w:trPr>
        <w:tc>
          <w:tcPr>
            <w:tcW w:w="526" w:type="pct"/>
            <w:vMerge/>
            <w:shd w:val="clear" w:color="auto" w:fill="auto"/>
          </w:tcPr>
          <w:p w14:paraId="35712723" w14:textId="77777777" w:rsidR="006D7333" w:rsidRPr="00B434E2" w:rsidRDefault="006D7333" w:rsidP="00B006A9">
            <w:pPr>
              <w:tabs>
                <w:tab w:val="left" w:pos="8280"/>
              </w:tabs>
              <w:spacing w:after="60"/>
              <w:jc w:val="left"/>
              <w:rPr>
                <w:sz w:val="18"/>
                <w:szCs w:val="18"/>
                <w:lang w:val="en-CA"/>
              </w:rPr>
            </w:pPr>
          </w:p>
        </w:tc>
        <w:tc>
          <w:tcPr>
            <w:tcW w:w="306" w:type="pct"/>
            <w:vMerge/>
            <w:shd w:val="clear" w:color="auto" w:fill="auto"/>
          </w:tcPr>
          <w:p w14:paraId="50F7377D" w14:textId="77777777" w:rsidR="006D7333" w:rsidRPr="00B434E2" w:rsidRDefault="006D7333" w:rsidP="00B006A9">
            <w:pPr>
              <w:tabs>
                <w:tab w:val="left" w:pos="8280"/>
              </w:tabs>
              <w:spacing w:after="60"/>
              <w:jc w:val="center"/>
              <w:rPr>
                <w:sz w:val="18"/>
                <w:szCs w:val="18"/>
                <w:lang w:val="en-CA"/>
              </w:rPr>
            </w:pPr>
          </w:p>
        </w:tc>
        <w:tc>
          <w:tcPr>
            <w:tcW w:w="702" w:type="pct"/>
            <w:shd w:val="clear" w:color="auto" w:fill="auto"/>
          </w:tcPr>
          <w:p w14:paraId="3718A515" w14:textId="2164CBFF" w:rsidR="006D7333" w:rsidRPr="00B434E2" w:rsidRDefault="006D7333" w:rsidP="00B006A9">
            <w:pPr>
              <w:tabs>
                <w:tab w:val="left" w:pos="8280"/>
              </w:tabs>
              <w:spacing w:after="60"/>
              <w:jc w:val="left"/>
              <w:rPr>
                <w:sz w:val="18"/>
                <w:szCs w:val="18"/>
              </w:rPr>
            </w:pPr>
            <w:r w:rsidRPr="00B434E2">
              <w:rPr>
                <w:sz w:val="18"/>
                <w:szCs w:val="18"/>
              </w:rPr>
              <w:t>Coûts d</w:t>
            </w:r>
            <w:r w:rsidR="00687D1A" w:rsidRPr="00B434E2">
              <w:rPr>
                <w:sz w:val="18"/>
                <w:szCs w:val="18"/>
              </w:rPr>
              <w:t>’</w:t>
            </w:r>
            <w:r w:rsidRPr="00B434E2">
              <w:rPr>
                <w:sz w:val="18"/>
                <w:szCs w:val="18"/>
              </w:rPr>
              <w:t>appui</w:t>
            </w:r>
          </w:p>
        </w:tc>
        <w:tc>
          <w:tcPr>
            <w:tcW w:w="346" w:type="pct"/>
            <w:shd w:val="clear" w:color="auto" w:fill="auto"/>
          </w:tcPr>
          <w:p w14:paraId="4781D4F8" w14:textId="77777777" w:rsidR="006D7333" w:rsidRPr="00B434E2" w:rsidRDefault="006D7333" w:rsidP="00B006A9">
            <w:pPr>
              <w:tabs>
                <w:tab w:val="left" w:pos="8280"/>
              </w:tabs>
              <w:spacing w:after="60"/>
              <w:jc w:val="right"/>
              <w:rPr>
                <w:sz w:val="18"/>
                <w:szCs w:val="18"/>
              </w:rPr>
            </w:pPr>
            <w:r w:rsidRPr="00B434E2">
              <w:rPr>
                <w:sz w:val="18"/>
                <w:szCs w:val="18"/>
              </w:rPr>
              <w:t>11 830</w:t>
            </w:r>
          </w:p>
        </w:tc>
        <w:tc>
          <w:tcPr>
            <w:tcW w:w="347" w:type="pct"/>
            <w:shd w:val="clear" w:color="auto" w:fill="auto"/>
          </w:tcPr>
          <w:p w14:paraId="5AD40CBA"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shd w:val="clear" w:color="auto" w:fill="auto"/>
          </w:tcPr>
          <w:p w14:paraId="13F92539" w14:textId="77777777" w:rsidR="006D7333" w:rsidRPr="00B434E2" w:rsidRDefault="006D7333" w:rsidP="00B006A9">
            <w:pPr>
              <w:tabs>
                <w:tab w:val="left" w:pos="8280"/>
              </w:tabs>
              <w:spacing w:after="60"/>
              <w:jc w:val="right"/>
              <w:rPr>
                <w:sz w:val="18"/>
                <w:szCs w:val="18"/>
              </w:rPr>
            </w:pPr>
            <w:r w:rsidRPr="00B434E2">
              <w:rPr>
                <w:sz w:val="18"/>
                <w:szCs w:val="18"/>
              </w:rPr>
              <w:t>17 098</w:t>
            </w:r>
          </w:p>
        </w:tc>
        <w:tc>
          <w:tcPr>
            <w:tcW w:w="347" w:type="pct"/>
            <w:shd w:val="clear" w:color="auto" w:fill="auto"/>
          </w:tcPr>
          <w:p w14:paraId="5815B387"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shd w:val="clear" w:color="auto" w:fill="auto"/>
          </w:tcPr>
          <w:p w14:paraId="5395283F" w14:textId="77777777" w:rsidR="006D7333" w:rsidRPr="00B434E2" w:rsidRDefault="006D7333" w:rsidP="00B006A9">
            <w:pPr>
              <w:tabs>
                <w:tab w:val="left" w:pos="8280"/>
              </w:tabs>
              <w:spacing w:after="60"/>
              <w:jc w:val="right"/>
              <w:rPr>
                <w:sz w:val="18"/>
                <w:szCs w:val="18"/>
              </w:rPr>
            </w:pPr>
            <w:r w:rsidRPr="00B434E2">
              <w:rPr>
                <w:sz w:val="18"/>
                <w:szCs w:val="18"/>
              </w:rPr>
              <w:t>8 732</w:t>
            </w:r>
          </w:p>
        </w:tc>
        <w:tc>
          <w:tcPr>
            <w:tcW w:w="346" w:type="pct"/>
            <w:shd w:val="clear" w:color="auto" w:fill="auto"/>
          </w:tcPr>
          <w:p w14:paraId="1C35C970"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shd w:val="clear" w:color="auto" w:fill="auto"/>
          </w:tcPr>
          <w:p w14:paraId="567D8B47"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shd w:val="clear" w:color="auto" w:fill="auto"/>
          </w:tcPr>
          <w:p w14:paraId="29550879" w14:textId="77777777" w:rsidR="006D7333" w:rsidRPr="00B434E2" w:rsidRDefault="006D7333" w:rsidP="00B006A9">
            <w:pPr>
              <w:tabs>
                <w:tab w:val="left" w:pos="8280"/>
              </w:tabs>
              <w:spacing w:after="60"/>
              <w:jc w:val="right"/>
              <w:rPr>
                <w:sz w:val="18"/>
                <w:szCs w:val="18"/>
              </w:rPr>
            </w:pPr>
            <w:r w:rsidRPr="00B434E2">
              <w:rPr>
                <w:sz w:val="18"/>
                <w:szCs w:val="18"/>
              </w:rPr>
              <w:t>4 550</w:t>
            </w:r>
          </w:p>
        </w:tc>
        <w:tc>
          <w:tcPr>
            <w:tcW w:w="347" w:type="pct"/>
            <w:shd w:val="clear" w:color="auto" w:fill="auto"/>
          </w:tcPr>
          <w:p w14:paraId="3E32D017"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shd w:val="clear" w:color="auto" w:fill="auto"/>
          </w:tcPr>
          <w:p w14:paraId="3E65DCCB" w14:textId="77777777" w:rsidR="006D7333" w:rsidRPr="00B434E2" w:rsidRDefault="006D7333" w:rsidP="00B006A9">
            <w:pPr>
              <w:tabs>
                <w:tab w:val="left" w:pos="8280"/>
              </w:tabs>
              <w:spacing w:after="60"/>
              <w:jc w:val="right"/>
              <w:rPr>
                <w:sz w:val="18"/>
                <w:szCs w:val="18"/>
              </w:rPr>
            </w:pPr>
            <w:r w:rsidRPr="00B434E2">
              <w:rPr>
                <w:sz w:val="18"/>
                <w:szCs w:val="18"/>
              </w:rPr>
              <w:t>42 210</w:t>
            </w:r>
          </w:p>
        </w:tc>
      </w:tr>
      <w:tr w:rsidR="006D7333" w:rsidRPr="00B434E2" w14:paraId="655D839E" w14:textId="77777777" w:rsidTr="00B434E2">
        <w:trPr>
          <w:trHeight w:val="48"/>
        </w:trPr>
        <w:tc>
          <w:tcPr>
            <w:tcW w:w="526" w:type="pct"/>
            <w:vMerge/>
            <w:shd w:val="clear" w:color="auto" w:fill="auto"/>
          </w:tcPr>
          <w:p w14:paraId="3CE0A942" w14:textId="77777777" w:rsidR="006D7333" w:rsidRPr="00B434E2" w:rsidRDefault="006D7333" w:rsidP="00B006A9">
            <w:pPr>
              <w:tabs>
                <w:tab w:val="left" w:pos="8280"/>
              </w:tabs>
              <w:spacing w:after="60"/>
              <w:jc w:val="left"/>
              <w:rPr>
                <w:sz w:val="18"/>
                <w:szCs w:val="18"/>
                <w:lang w:val="en-CA"/>
              </w:rPr>
            </w:pPr>
          </w:p>
        </w:tc>
        <w:tc>
          <w:tcPr>
            <w:tcW w:w="306" w:type="pct"/>
            <w:vMerge w:val="restart"/>
            <w:shd w:val="clear" w:color="auto" w:fill="auto"/>
          </w:tcPr>
          <w:p w14:paraId="11CA1A34" w14:textId="77777777" w:rsidR="006D7333" w:rsidRPr="00B434E2" w:rsidRDefault="006D7333" w:rsidP="00B006A9">
            <w:pPr>
              <w:tabs>
                <w:tab w:val="left" w:pos="8280"/>
              </w:tabs>
              <w:spacing w:after="60"/>
              <w:jc w:val="center"/>
              <w:rPr>
                <w:sz w:val="18"/>
                <w:szCs w:val="18"/>
              </w:rPr>
            </w:pPr>
            <w:r w:rsidRPr="00B434E2">
              <w:rPr>
                <w:color w:val="000000" w:themeColor="text1"/>
                <w:sz w:val="18"/>
                <w:szCs w:val="18"/>
              </w:rPr>
              <w:t>PNUE</w:t>
            </w:r>
          </w:p>
        </w:tc>
        <w:tc>
          <w:tcPr>
            <w:tcW w:w="702" w:type="pct"/>
            <w:shd w:val="clear" w:color="auto" w:fill="auto"/>
          </w:tcPr>
          <w:p w14:paraId="115BEC79" w14:textId="77777777" w:rsidR="006D7333" w:rsidRPr="00B434E2" w:rsidRDefault="006D7333" w:rsidP="00B006A9">
            <w:pPr>
              <w:tabs>
                <w:tab w:val="left" w:pos="8280"/>
              </w:tabs>
              <w:spacing w:after="60"/>
              <w:jc w:val="left"/>
              <w:rPr>
                <w:sz w:val="18"/>
                <w:szCs w:val="18"/>
              </w:rPr>
            </w:pPr>
            <w:r w:rsidRPr="00B434E2">
              <w:rPr>
                <w:sz w:val="18"/>
                <w:szCs w:val="18"/>
              </w:rPr>
              <w:t>Coûts de projet</w:t>
            </w:r>
          </w:p>
        </w:tc>
        <w:tc>
          <w:tcPr>
            <w:tcW w:w="346" w:type="pct"/>
            <w:shd w:val="clear" w:color="auto" w:fill="auto"/>
          </w:tcPr>
          <w:p w14:paraId="0E8B9E8C" w14:textId="77777777" w:rsidR="006D7333" w:rsidRPr="00B434E2" w:rsidRDefault="006D7333" w:rsidP="00B006A9">
            <w:pPr>
              <w:tabs>
                <w:tab w:val="left" w:pos="8280"/>
              </w:tabs>
              <w:spacing w:after="60"/>
              <w:jc w:val="right"/>
              <w:rPr>
                <w:sz w:val="18"/>
                <w:szCs w:val="18"/>
              </w:rPr>
            </w:pPr>
            <w:r w:rsidRPr="00B434E2">
              <w:rPr>
                <w:sz w:val="18"/>
                <w:szCs w:val="18"/>
              </w:rPr>
              <w:t>26 000</w:t>
            </w:r>
          </w:p>
        </w:tc>
        <w:tc>
          <w:tcPr>
            <w:tcW w:w="347" w:type="pct"/>
          </w:tcPr>
          <w:p w14:paraId="1D4E2A5E"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5ABC12E4" w14:textId="77777777" w:rsidR="006D7333" w:rsidRPr="00B434E2" w:rsidRDefault="006D7333" w:rsidP="00B006A9">
            <w:pPr>
              <w:tabs>
                <w:tab w:val="left" w:pos="8280"/>
              </w:tabs>
              <w:spacing w:after="60"/>
              <w:jc w:val="right"/>
              <w:rPr>
                <w:sz w:val="18"/>
                <w:szCs w:val="18"/>
              </w:rPr>
            </w:pPr>
            <w:r w:rsidRPr="00B434E2">
              <w:rPr>
                <w:sz w:val="18"/>
                <w:szCs w:val="18"/>
              </w:rPr>
              <w:t>17 000</w:t>
            </w:r>
          </w:p>
        </w:tc>
        <w:tc>
          <w:tcPr>
            <w:tcW w:w="347" w:type="pct"/>
          </w:tcPr>
          <w:p w14:paraId="7C2D9E40"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7D1CECE4" w14:textId="77777777" w:rsidR="006D7333" w:rsidRPr="00B434E2" w:rsidRDefault="006D7333" w:rsidP="00B006A9">
            <w:pPr>
              <w:tabs>
                <w:tab w:val="left" w:pos="8280"/>
              </w:tabs>
              <w:spacing w:after="60"/>
              <w:jc w:val="right"/>
              <w:rPr>
                <w:sz w:val="18"/>
                <w:szCs w:val="18"/>
              </w:rPr>
            </w:pPr>
            <w:r w:rsidRPr="00B434E2">
              <w:rPr>
                <w:sz w:val="18"/>
                <w:szCs w:val="18"/>
              </w:rPr>
              <w:t>4 000</w:t>
            </w:r>
          </w:p>
        </w:tc>
        <w:tc>
          <w:tcPr>
            <w:tcW w:w="346" w:type="pct"/>
          </w:tcPr>
          <w:p w14:paraId="59B8D98B"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237E86EF"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480B45B5"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737E0425"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44720603" w14:textId="77777777" w:rsidR="006D7333" w:rsidRPr="00B434E2" w:rsidRDefault="006D7333" w:rsidP="00B006A9">
            <w:pPr>
              <w:tabs>
                <w:tab w:val="left" w:pos="8280"/>
              </w:tabs>
              <w:spacing w:after="60"/>
              <w:jc w:val="right"/>
              <w:rPr>
                <w:sz w:val="18"/>
                <w:szCs w:val="18"/>
              </w:rPr>
            </w:pPr>
            <w:r w:rsidRPr="00B434E2">
              <w:rPr>
                <w:sz w:val="18"/>
                <w:szCs w:val="18"/>
              </w:rPr>
              <w:t>47 000</w:t>
            </w:r>
          </w:p>
        </w:tc>
      </w:tr>
      <w:tr w:rsidR="006D7333" w:rsidRPr="00B434E2" w14:paraId="2C7E0972" w14:textId="77777777" w:rsidTr="00B434E2">
        <w:trPr>
          <w:trHeight w:val="57"/>
        </w:trPr>
        <w:tc>
          <w:tcPr>
            <w:tcW w:w="526" w:type="pct"/>
            <w:vMerge/>
            <w:shd w:val="clear" w:color="auto" w:fill="auto"/>
          </w:tcPr>
          <w:p w14:paraId="4F8F3F21" w14:textId="77777777" w:rsidR="006D7333" w:rsidRPr="00B434E2" w:rsidRDefault="006D7333" w:rsidP="00B006A9">
            <w:pPr>
              <w:tabs>
                <w:tab w:val="left" w:pos="8280"/>
              </w:tabs>
              <w:spacing w:after="60"/>
              <w:jc w:val="center"/>
              <w:rPr>
                <w:sz w:val="18"/>
                <w:szCs w:val="18"/>
                <w:lang w:val="en-CA"/>
              </w:rPr>
            </w:pPr>
          </w:p>
        </w:tc>
        <w:tc>
          <w:tcPr>
            <w:tcW w:w="306" w:type="pct"/>
            <w:vMerge/>
            <w:shd w:val="clear" w:color="auto" w:fill="auto"/>
          </w:tcPr>
          <w:p w14:paraId="4575C30F" w14:textId="77777777" w:rsidR="006D7333" w:rsidRPr="00B434E2" w:rsidRDefault="006D7333" w:rsidP="00B006A9">
            <w:pPr>
              <w:tabs>
                <w:tab w:val="left" w:pos="8280"/>
              </w:tabs>
              <w:spacing w:after="60"/>
              <w:jc w:val="center"/>
              <w:rPr>
                <w:sz w:val="18"/>
                <w:szCs w:val="18"/>
                <w:lang w:val="en-CA"/>
              </w:rPr>
            </w:pPr>
          </w:p>
        </w:tc>
        <w:tc>
          <w:tcPr>
            <w:tcW w:w="702" w:type="pct"/>
            <w:shd w:val="clear" w:color="auto" w:fill="auto"/>
          </w:tcPr>
          <w:p w14:paraId="51C8E9C5" w14:textId="22BBCA4B" w:rsidR="006D7333" w:rsidRPr="00B434E2" w:rsidRDefault="006D7333" w:rsidP="00B006A9">
            <w:pPr>
              <w:tabs>
                <w:tab w:val="left" w:pos="8280"/>
              </w:tabs>
              <w:spacing w:after="60"/>
              <w:jc w:val="left"/>
              <w:rPr>
                <w:sz w:val="18"/>
                <w:szCs w:val="18"/>
              </w:rPr>
            </w:pPr>
            <w:r w:rsidRPr="00B434E2">
              <w:rPr>
                <w:sz w:val="18"/>
                <w:szCs w:val="18"/>
              </w:rPr>
              <w:t>Coûts d</w:t>
            </w:r>
            <w:r w:rsidR="00687D1A" w:rsidRPr="00B434E2">
              <w:rPr>
                <w:sz w:val="18"/>
                <w:szCs w:val="18"/>
              </w:rPr>
              <w:t>’</w:t>
            </w:r>
            <w:r w:rsidRPr="00B434E2">
              <w:rPr>
                <w:sz w:val="18"/>
                <w:szCs w:val="18"/>
              </w:rPr>
              <w:t>appui</w:t>
            </w:r>
          </w:p>
        </w:tc>
        <w:tc>
          <w:tcPr>
            <w:tcW w:w="346" w:type="pct"/>
            <w:shd w:val="clear" w:color="auto" w:fill="auto"/>
          </w:tcPr>
          <w:p w14:paraId="23BD03CF" w14:textId="77777777" w:rsidR="006D7333" w:rsidRPr="00B434E2" w:rsidRDefault="006D7333" w:rsidP="00B006A9">
            <w:pPr>
              <w:tabs>
                <w:tab w:val="left" w:pos="8280"/>
              </w:tabs>
              <w:spacing w:after="60"/>
              <w:jc w:val="right"/>
              <w:rPr>
                <w:sz w:val="18"/>
                <w:szCs w:val="18"/>
              </w:rPr>
            </w:pPr>
            <w:r w:rsidRPr="00B434E2">
              <w:rPr>
                <w:sz w:val="18"/>
                <w:szCs w:val="18"/>
              </w:rPr>
              <w:t>3 380</w:t>
            </w:r>
          </w:p>
        </w:tc>
        <w:tc>
          <w:tcPr>
            <w:tcW w:w="347" w:type="pct"/>
          </w:tcPr>
          <w:p w14:paraId="2547DC7D"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50E27B67" w14:textId="77777777" w:rsidR="006D7333" w:rsidRPr="00B434E2" w:rsidRDefault="006D7333" w:rsidP="00B006A9">
            <w:pPr>
              <w:tabs>
                <w:tab w:val="left" w:pos="8280"/>
              </w:tabs>
              <w:spacing w:after="60"/>
              <w:jc w:val="right"/>
              <w:rPr>
                <w:sz w:val="18"/>
                <w:szCs w:val="18"/>
              </w:rPr>
            </w:pPr>
            <w:r w:rsidRPr="00B434E2">
              <w:rPr>
                <w:sz w:val="18"/>
                <w:szCs w:val="18"/>
              </w:rPr>
              <w:t>2 210</w:t>
            </w:r>
          </w:p>
        </w:tc>
        <w:tc>
          <w:tcPr>
            <w:tcW w:w="347" w:type="pct"/>
          </w:tcPr>
          <w:p w14:paraId="1BA51003"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266404A7" w14:textId="77777777" w:rsidR="006D7333" w:rsidRPr="00B434E2" w:rsidRDefault="006D7333" w:rsidP="00B006A9">
            <w:pPr>
              <w:tabs>
                <w:tab w:val="left" w:pos="8280"/>
              </w:tabs>
              <w:spacing w:after="60"/>
              <w:jc w:val="right"/>
              <w:rPr>
                <w:sz w:val="18"/>
                <w:szCs w:val="18"/>
              </w:rPr>
            </w:pPr>
            <w:r w:rsidRPr="00B434E2">
              <w:rPr>
                <w:sz w:val="18"/>
                <w:szCs w:val="18"/>
              </w:rPr>
              <w:t>520</w:t>
            </w:r>
          </w:p>
        </w:tc>
        <w:tc>
          <w:tcPr>
            <w:tcW w:w="346" w:type="pct"/>
          </w:tcPr>
          <w:p w14:paraId="66135208"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0E3EF52B"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20503A8E"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40E31B73"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63A0D7A7" w14:textId="77777777" w:rsidR="006D7333" w:rsidRPr="00B434E2" w:rsidRDefault="006D7333" w:rsidP="00B006A9">
            <w:pPr>
              <w:tabs>
                <w:tab w:val="left" w:pos="8280"/>
              </w:tabs>
              <w:spacing w:after="60"/>
              <w:jc w:val="right"/>
              <w:rPr>
                <w:sz w:val="18"/>
                <w:szCs w:val="18"/>
              </w:rPr>
            </w:pPr>
            <w:r w:rsidRPr="00B434E2">
              <w:rPr>
                <w:sz w:val="18"/>
                <w:szCs w:val="18"/>
              </w:rPr>
              <w:t>6 110</w:t>
            </w:r>
          </w:p>
        </w:tc>
      </w:tr>
      <w:tr w:rsidR="006D7333" w:rsidRPr="00B434E2" w14:paraId="4F729FBD" w14:textId="77777777" w:rsidTr="00B434E2">
        <w:trPr>
          <w:trHeight w:val="114"/>
        </w:trPr>
        <w:tc>
          <w:tcPr>
            <w:tcW w:w="1535" w:type="pct"/>
            <w:gridSpan w:val="3"/>
            <w:shd w:val="clear" w:color="auto" w:fill="auto"/>
          </w:tcPr>
          <w:p w14:paraId="7A3D23D7" w14:textId="77777777" w:rsidR="006D7333" w:rsidRPr="00B434E2" w:rsidRDefault="006D7333" w:rsidP="00B006A9">
            <w:pPr>
              <w:tabs>
                <w:tab w:val="left" w:pos="8280"/>
              </w:tabs>
              <w:spacing w:after="60"/>
              <w:jc w:val="left"/>
              <w:rPr>
                <w:sz w:val="18"/>
                <w:szCs w:val="18"/>
              </w:rPr>
            </w:pPr>
            <w:r w:rsidRPr="00B434E2">
              <w:rPr>
                <w:sz w:val="18"/>
                <w:szCs w:val="18"/>
              </w:rPr>
              <w:t>Coûts de projet totaux demandés en principe ($ US)</w:t>
            </w:r>
          </w:p>
        </w:tc>
        <w:tc>
          <w:tcPr>
            <w:tcW w:w="346" w:type="pct"/>
            <w:shd w:val="clear" w:color="auto" w:fill="auto"/>
          </w:tcPr>
          <w:p w14:paraId="1694EF9C" w14:textId="77777777" w:rsidR="006D7333" w:rsidRPr="00B434E2" w:rsidRDefault="006D7333" w:rsidP="00B006A9">
            <w:pPr>
              <w:tabs>
                <w:tab w:val="left" w:pos="8280"/>
              </w:tabs>
              <w:spacing w:after="60"/>
              <w:jc w:val="right"/>
              <w:rPr>
                <w:sz w:val="18"/>
                <w:szCs w:val="18"/>
              </w:rPr>
            </w:pPr>
            <w:r w:rsidRPr="00B434E2">
              <w:rPr>
                <w:sz w:val="18"/>
                <w:szCs w:val="18"/>
              </w:rPr>
              <w:t>195 000</w:t>
            </w:r>
          </w:p>
        </w:tc>
        <w:tc>
          <w:tcPr>
            <w:tcW w:w="347" w:type="pct"/>
          </w:tcPr>
          <w:p w14:paraId="6AB8FAED"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557F4C55" w14:textId="77777777" w:rsidR="006D7333" w:rsidRPr="00B434E2" w:rsidRDefault="006D7333" w:rsidP="00B006A9">
            <w:pPr>
              <w:tabs>
                <w:tab w:val="left" w:pos="8280"/>
              </w:tabs>
              <w:spacing w:after="60"/>
              <w:jc w:val="right"/>
              <w:rPr>
                <w:sz w:val="18"/>
                <w:szCs w:val="18"/>
              </w:rPr>
            </w:pPr>
            <w:r w:rsidRPr="00B434E2">
              <w:rPr>
                <w:sz w:val="18"/>
                <w:szCs w:val="18"/>
              </w:rPr>
              <w:t>261 255</w:t>
            </w:r>
          </w:p>
        </w:tc>
        <w:tc>
          <w:tcPr>
            <w:tcW w:w="347" w:type="pct"/>
          </w:tcPr>
          <w:p w14:paraId="0FA04AD9"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136424E0" w14:textId="77777777" w:rsidR="006D7333" w:rsidRPr="00B434E2" w:rsidRDefault="006D7333" w:rsidP="00B006A9">
            <w:pPr>
              <w:tabs>
                <w:tab w:val="left" w:pos="8280"/>
              </w:tabs>
              <w:spacing w:after="60"/>
              <w:jc w:val="right"/>
              <w:rPr>
                <w:sz w:val="18"/>
                <w:szCs w:val="18"/>
              </w:rPr>
            </w:pPr>
            <w:r w:rsidRPr="00B434E2">
              <w:rPr>
                <w:sz w:val="18"/>
                <w:szCs w:val="18"/>
              </w:rPr>
              <w:t>128 745</w:t>
            </w:r>
          </w:p>
        </w:tc>
        <w:tc>
          <w:tcPr>
            <w:tcW w:w="346" w:type="pct"/>
          </w:tcPr>
          <w:p w14:paraId="03E76824"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5F92DA7C"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1FD4A3BC" w14:textId="77777777" w:rsidR="006D7333" w:rsidRPr="00B434E2" w:rsidRDefault="006D7333" w:rsidP="00B006A9">
            <w:pPr>
              <w:tabs>
                <w:tab w:val="left" w:pos="8280"/>
              </w:tabs>
              <w:spacing w:after="60"/>
              <w:jc w:val="right"/>
              <w:rPr>
                <w:sz w:val="18"/>
                <w:szCs w:val="18"/>
              </w:rPr>
            </w:pPr>
            <w:r w:rsidRPr="00B434E2">
              <w:rPr>
                <w:sz w:val="18"/>
                <w:szCs w:val="18"/>
              </w:rPr>
              <w:t>65 000</w:t>
            </w:r>
          </w:p>
        </w:tc>
        <w:tc>
          <w:tcPr>
            <w:tcW w:w="347" w:type="pct"/>
          </w:tcPr>
          <w:p w14:paraId="3B9A3139"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255F2DF4" w14:textId="77777777" w:rsidR="006D7333" w:rsidRPr="00B434E2" w:rsidRDefault="006D7333" w:rsidP="00B006A9">
            <w:pPr>
              <w:tabs>
                <w:tab w:val="left" w:pos="8280"/>
              </w:tabs>
              <w:spacing w:after="60"/>
              <w:jc w:val="right"/>
              <w:rPr>
                <w:sz w:val="18"/>
                <w:szCs w:val="18"/>
              </w:rPr>
            </w:pPr>
            <w:r w:rsidRPr="00B434E2">
              <w:rPr>
                <w:sz w:val="18"/>
                <w:szCs w:val="18"/>
              </w:rPr>
              <w:t>650 000</w:t>
            </w:r>
          </w:p>
        </w:tc>
      </w:tr>
      <w:tr w:rsidR="006D7333" w:rsidRPr="00B434E2" w14:paraId="6935F254" w14:textId="77777777" w:rsidTr="00B434E2">
        <w:trPr>
          <w:trHeight w:val="145"/>
        </w:trPr>
        <w:tc>
          <w:tcPr>
            <w:tcW w:w="1535" w:type="pct"/>
            <w:gridSpan w:val="3"/>
            <w:shd w:val="clear" w:color="auto" w:fill="auto"/>
          </w:tcPr>
          <w:p w14:paraId="7B66F50A" w14:textId="254418E0" w:rsidR="006D7333" w:rsidRPr="00B434E2" w:rsidRDefault="006D7333" w:rsidP="00B006A9">
            <w:pPr>
              <w:tabs>
                <w:tab w:val="left" w:pos="8280"/>
              </w:tabs>
              <w:spacing w:after="60"/>
              <w:jc w:val="left"/>
              <w:rPr>
                <w:sz w:val="18"/>
                <w:szCs w:val="18"/>
              </w:rPr>
            </w:pPr>
            <w:r w:rsidRPr="00B434E2">
              <w:rPr>
                <w:sz w:val="18"/>
                <w:szCs w:val="18"/>
              </w:rPr>
              <w:t>Coûts d</w:t>
            </w:r>
            <w:r w:rsidR="00687D1A" w:rsidRPr="00B434E2">
              <w:rPr>
                <w:sz w:val="18"/>
                <w:szCs w:val="18"/>
              </w:rPr>
              <w:t>’</w:t>
            </w:r>
            <w:r w:rsidRPr="00B434E2">
              <w:rPr>
                <w:sz w:val="18"/>
                <w:szCs w:val="18"/>
              </w:rPr>
              <w:t>appui totaux demandés en principe ($ US)</w:t>
            </w:r>
          </w:p>
        </w:tc>
        <w:tc>
          <w:tcPr>
            <w:tcW w:w="346" w:type="pct"/>
            <w:shd w:val="clear" w:color="auto" w:fill="auto"/>
          </w:tcPr>
          <w:p w14:paraId="37D3899A" w14:textId="77777777" w:rsidR="006D7333" w:rsidRPr="00B434E2" w:rsidRDefault="006D7333" w:rsidP="00B006A9">
            <w:pPr>
              <w:tabs>
                <w:tab w:val="left" w:pos="8280"/>
              </w:tabs>
              <w:spacing w:after="60"/>
              <w:jc w:val="right"/>
              <w:rPr>
                <w:sz w:val="18"/>
                <w:szCs w:val="18"/>
              </w:rPr>
            </w:pPr>
            <w:r w:rsidRPr="00B434E2">
              <w:rPr>
                <w:sz w:val="18"/>
                <w:szCs w:val="18"/>
              </w:rPr>
              <w:t>15 210</w:t>
            </w:r>
          </w:p>
        </w:tc>
        <w:tc>
          <w:tcPr>
            <w:tcW w:w="347" w:type="pct"/>
          </w:tcPr>
          <w:p w14:paraId="4952B448"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04DB181C" w14:textId="77777777" w:rsidR="006D7333" w:rsidRPr="00B434E2" w:rsidRDefault="006D7333" w:rsidP="00B006A9">
            <w:pPr>
              <w:tabs>
                <w:tab w:val="left" w:pos="8280"/>
              </w:tabs>
              <w:spacing w:after="60"/>
              <w:jc w:val="right"/>
              <w:rPr>
                <w:sz w:val="18"/>
                <w:szCs w:val="18"/>
              </w:rPr>
            </w:pPr>
            <w:r w:rsidRPr="00B434E2">
              <w:rPr>
                <w:sz w:val="18"/>
                <w:szCs w:val="18"/>
              </w:rPr>
              <w:t>19 308</w:t>
            </w:r>
          </w:p>
        </w:tc>
        <w:tc>
          <w:tcPr>
            <w:tcW w:w="347" w:type="pct"/>
          </w:tcPr>
          <w:p w14:paraId="64389780"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6A190594" w14:textId="77777777" w:rsidR="006D7333" w:rsidRPr="00B434E2" w:rsidRDefault="006D7333" w:rsidP="00B006A9">
            <w:pPr>
              <w:tabs>
                <w:tab w:val="left" w:pos="8280"/>
              </w:tabs>
              <w:spacing w:after="60"/>
              <w:jc w:val="right"/>
              <w:rPr>
                <w:sz w:val="18"/>
                <w:szCs w:val="18"/>
              </w:rPr>
            </w:pPr>
            <w:r w:rsidRPr="00B434E2">
              <w:rPr>
                <w:sz w:val="18"/>
                <w:szCs w:val="18"/>
              </w:rPr>
              <w:t>9 252</w:t>
            </w:r>
          </w:p>
        </w:tc>
        <w:tc>
          <w:tcPr>
            <w:tcW w:w="346" w:type="pct"/>
          </w:tcPr>
          <w:p w14:paraId="5CF7F72D"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2FD24F37"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3235D0F7" w14:textId="77777777" w:rsidR="006D7333" w:rsidRPr="00B434E2" w:rsidRDefault="006D7333" w:rsidP="00B006A9">
            <w:pPr>
              <w:tabs>
                <w:tab w:val="left" w:pos="8280"/>
              </w:tabs>
              <w:spacing w:after="60"/>
              <w:jc w:val="right"/>
              <w:rPr>
                <w:sz w:val="18"/>
                <w:szCs w:val="18"/>
              </w:rPr>
            </w:pPr>
            <w:r w:rsidRPr="00B434E2">
              <w:rPr>
                <w:sz w:val="18"/>
                <w:szCs w:val="18"/>
              </w:rPr>
              <w:t>4 550</w:t>
            </w:r>
          </w:p>
        </w:tc>
        <w:tc>
          <w:tcPr>
            <w:tcW w:w="347" w:type="pct"/>
          </w:tcPr>
          <w:p w14:paraId="559E615B"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3809C0CB" w14:textId="77777777" w:rsidR="006D7333" w:rsidRPr="00B434E2" w:rsidRDefault="006D7333" w:rsidP="00B006A9">
            <w:pPr>
              <w:tabs>
                <w:tab w:val="left" w:pos="8280"/>
              </w:tabs>
              <w:spacing w:after="60"/>
              <w:jc w:val="right"/>
              <w:rPr>
                <w:sz w:val="18"/>
                <w:szCs w:val="18"/>
              </w:rPr>
            </w:pPr>
            <w:r w:rsidRPr="00B434E2">
              <w:rPr>
                <w:sz w:val="18"/>
                <w:szCs w:val="18"/>
              </w:rPr>
              <w:t>48 320</w:t>
            </w:r>
          </w:p>
        </w:tc>
      </w:tr>
      <w:tr w:rsidR="006D7333" w:rsidRPr="00B434E2" w14:paraId="7C8F0B79" w14:textId="77777777" w:rsidTr="00B434E2">
        <w:trPr>
          <w:trHeight w:val="68"/>
        </w:trPr>
        <w:tc>
          <w:tcPr>
            <w:tcW w:w="1535" w:type="pct"/>
            <w:gridSpan w:val="3"/>
            <w:shd w:val="clear" w:color="auto" w:fill="auto"/>
          </w:tcPr>
          <w:p w14:paraId="559E5E66" w14:textId="77777777" w:rsidR="006D7333" w:rsidRPr="00B434E2" w:rsidRDefault="006D7333" w:rsidP="00B006A9">
            <w:pPr>
              <w:tabs>
                <w:tab w:val="left" w:pos="8280"/>
              </w:tabs>
              <w:spacing w:after="60"/>
              <w:jc w:val="left"/>
              <w:rPr>
                <w:sz w:val="18"/>
                <w:szCs w:val="18"/>
              </w:rPr>
            </w:pPr>
            <w:r w:rsidRPr="00B434E2">
              <w:rPr>
                <w:sz w:val="18"/>
                <w:szCs w:val="18"/>
              </w:rPr>
              <w:t>Financement total demandé en principe ($ US)</w:t>
            </w:r>
          </w:p>
        </w:tc>
        <w:tc>
          <w:tcPr>
            <w:tcW w:w="346" w:type="pct"/>
            <w:shd w:val="clear" w:color="auto" w:fill="auto"/>
          </w:tcPr>
          <w:p w14:paraId="37985FBF" w14:textId="77777777" w:rsidR="006D7333" w:rsidRPr="00B434E2" w:rsidRDefault="006D7333" w:rsidP="00B006A9">
            <w:pPr>
              <w:tabs>
                <w:tab w:val="left" w:pos="8280"/>
              </w:tabs>
              <w:spacing w:after="60"/>
              <w:jc w:val="right"/>
              <w:rPr>
                <w:sz w:val="18"/>
                <w:szCs w:val="18"/>
              </w:rPr>
            </w:pPr>
            <w:r w:rsidRPr="00B434E2">
              <w:rPr>
                <w:sz w:val="18"/>
                <w:szCs w:val="18"/>
              </w:rPr>
              <w:t>210 210</w:t>
            </w:r>
          </w:p>
        </w:tc>
        <w:tc>
          <w:tcPr>
            <w:tcW w:w="347" w:type="pct"/>
          </w:tcPr>
          <w:p w14:paraId="6B9E036B"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27F60254" w14:textId="77777777" w:rsidR="006D7333" w:rsidRPr="00B434E2" w:rsidRDefault="006D7333" w:rsidP="00B006A9">
            <w:pPr>
              <w:tabs>
                <w:tab w:val="left" w:pos="8280"/>
              </w:tabs>
              <w:spacing w:after="60"/>
              <w:jc w:val="right"/>
              <w:rPr>
                <w:sz w:val="18"/>
                <w:szCs w:val="18"/>
              </w:rPr>
            </w:pPr>
            <w:r w:rsidRPr="00B434E2">
              <w:rPr>
                <w:sz w:val="18"/>
                <w:szCs w:val="18"/>
              </w:rPr>
              <w:t>280 563</w:t>
            </w:r>
          </w:p>
        </w:tc>
        <w:tc>
          <w:tcPr>
            <w:tcW w:w="347" w:type="pct"/>
          </w:tcPr>
          <w:p w14:paraId="23C41E12"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35C24BF1" w14:textId="77777777" w:rsidR="006D7333" w:rsidRPr="00B434E2" w:rsidRDefault="006D7333" w:rsidP="00B006A9">
            <w:pPr>
              <w:tabs>
                <w:tab w:val="left" w:pos="8280"/>
              </w:tabs>
              <w:spacing w:after="60"/>
              <w:jc w:val="right"/>
              <w:rPr>
                <w:sz w:val="18"/>
                <w:szCs w:val="18"/>
              </w:rPr>
            </w:pPr>
            <w:r w:rsidRPr="00B434E2">
              <w:rPr>
                <w:sz w:val="18"/>
                <w:szCs w:val="18"/>
              </w:rPr>
              <w:t>137 997</w:t>
            </w:r>
          </w:p>
        </w:tc>
        <w:tc>
          <w:tcPr>
            <w:tcW w:w="346" w:type="pct"/>
          </w:tcPr>
          <w:p w14:paraId="79E82740"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7" w:type="pct"/>
          </w:tcPr>
          <w:p w14:paraId="5A36C61F"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025B877B" w14:textId="77777777" w:rsidR="006D7333" w:rsidRPr="00B434E2" w:rsidRDefault="006D7333" w:rsidP="00B006A9">
            <w:pPr>
              <w:tabs>
                <w:tab w:val="left" w:pos="8280"/>
              </w:tabs>
              <w:spacing w:after="60"/>
              <w:jc w:val="right"/>
              <w:rPr>
                <w:sz w:val="18"/>
                <w:szCs w:val="18"/>
              </w:rPr>
            </w:pPr>
            <w:r w:rsidRPr="00B434E2">
              <w:rPr>
                <w:sz w:val="18"/>
                <w:szCs w:val="18"/>
              </w:rPr>
              <w:t>69 550</w:t>
            </w:r>
          </w:p>
        </w:tc>
        <w:tc>
          <w:tcPr>
            <w:tcW w:w="347" w:type="pct"/>
          </w:tcPr>
          <w:p w14:paraId="0C692299" w14:textId="77777777" w:rsidR="006D7333" w:rsidRPr="00B434E2" w:rsidRDefault="006D7333" w:rsidP="00B006A9">
            <w:pPr>
              <w:tabs>
                <w:tab w:val="left" w:pos="8280"/>
              </w:tabs>
              <w:spacing w:after="60"/>
              <w:jc w:val="right"/>
              <w:rPr>
                <w:sz w:val="18"/>
                <w:szCs w:val="18"/>
              </w:rPr>
            </w:pPr>
            <w:r w:rsidRPr="00B434E2">
              <w:rPr>
                <w:sz w:val="18"/>
                <w:szCs w:val="18"/>
              </w:rPr>
              <w:t>0</w:t>
            </w:r>
          </w:p>
        </w:tc>
        <w:tc>
          <w:tcPr>
            <w:tcW w:w="346" w:type="pct"/>
          </w:tcPr>
          <w:p w14:paraId="386101CE" w14:textId="77777777" w:rsidR="006D7333" w:rsidRPr="00B434E2" w:rsidRDefault="006D7333" w:rsidP="00B006A9">
            <w:pPr>
              <w:tabs>
                <w:tab w:val="left" w:pos="8280"/>
              </w:tabs>
              <w:spacing w:after="60"/>
              <w:jc w:val="right"/>
              <w:rPr>
                <w:sz w:val="18"/>
                <w:szCs w:val="18"/>
              </w:rPr>
            </w:pPr>
            <w:r w:rsidRPr="00B434E2">
              <w:rPr>
                <w:sz w:val="18"/>
                <w:szCs w:val="18"/>
              </w:rPr>
              <w:t>698 320</w:t>
            </w:r>
          </w:p>
        </w:tc>
      </w:tr>
    </w:tbl>
    <w:p w14:paraId="16B81519" w14:textId="77777777" w:rsidR="006D7333" w:rsidRPr="00B434E2" w:rsidRDefault="006D7333" w:rsidP="006D7333">
      <w:pPr>
        <w:rPr>
          <w:sz w:val="18"/>
          <w:szCs w:val="18"/>
          <w:lang w:val="en-CA"/>
        </w:rPr>
      </w:pPr>
    </w:p>
    <w:tbl>
      <w:tblPr>
        <w:tblStyle w:val="TableGrid10"/>
        <w:tblW w:w="5309" w:type="pct"/>
        <w:tblInd w:w="-113" w:type="dxa"/>
        <w:tblLook w:val="04A0" w:firstRow="1" w:lastRow="0" w:firstColumn="1" w:lastColumn="0" w:noHBand="0" w:noVBand="1"/>
      </w:tblPr>
      <w:tblGrid>
        <w:gridCol w:w="3111"/>
        <w:gridCol w:w="3332"/>
        <w:gridCol w:w="3485"/>
      </w:tblGrid>
      <w:tr w:rsidR="006D7333" w:rsidRPr="00B434E2" w14:paraId="4D360269" w14:textId="77777777" w:rsidTr="00B006A9">
        <w:trPr>
          <w:trHeight w:hRule="exact" w:val="227"/>
        </w:trPr>
        <w:tc>
          <w:tcPr>
            <w:tcW w:w="5000" w:type="pct"/>
            <w:gridSpan w:val="3"/>
            <w:shd w:val="clear" w:color="auto" w:fill="auto"/>
          </w:tcPr>
          <w:p w14:paraId="2F0E288A" w14:textId="4A17BF4C" w:rsidR="006D7333" w:rsidRPr="00B434E2" w:rsidRDefault="006D7333" w:rsidP="00B006A9">
            <w:pPr>
              <w:rPr>
                <w:b/>
                <w:color w:val="000000" w:themeColor="text1"/>
                <w:sz w:val="18"/>
                <w:szCs w:val="18"/>
              </w:rPr>
            </w:pPr>
            <w:r w:rsidRPr="00B434E2">
              <w:rPr>
                <w:b/>
                <w:color w:val="000000" w:themeColor="text1"/>
                <w:sz w:val="18"/>
                <w:szCs w:val="18"/>
              </w:rPr>
              <w:t>(VII) Demande d</w:t>
            </w:r>
            <w:r w:rsidR="00687D1A" w:rsidRPr="00B434E2">
              <w:rPr>
                <w:b/>
                <w:color w:val="000000" w:themeColor="text1"/>
                <w:sz w:val="18"/>
                <w:szCs w:val="18"/>
              </w:rPr>
              <w:t>’</w:t>
            </w:r>
            <w:r w:rsidRPr="00B434E2">
              <w:rPr>
                <w:b/>
                <w:color w:val="000000" w:themeColor="text1"/>
                <w:sz w:val="18"/>
                <w:szCs w:val="18"/>
              </w:rPr>
              <w:t>approbation du financement pour la première tranche (2021)</w:t>
            </w:r>
          </w:p>
        </w:tc>
      </w:tr>
      <w:tr w:rsidR="006D7333" w:rsidRPr="00B434E2" w14:paraId="0DCC4233" w14:textId="77777777" w:rsidTr="00B006A9">
        <w:trPr>
          <w:trHeight w:hRule="exact" w:val="227"/>
        </w:trPr>
        <w:tc>
          <w:tcPr>
            <w:tcW w:w="1567" w:type="pct"/>
            <w:shd w:val="clear" w:color="auto" w:fill="auto"/>
          </w:tcPr>
          <w:p w14:paraId="2C074C8A" w14:textId="77777777" w:rsidR="006D7333" w:rsidRPr="00B434E2" w:rsidRDefault="006D7333" w:rsidP="00B006A9">
            <w:pPr>
              <w:jc w:val="center"/>
              <w:rPr>
                <w:b/>
                <w:color w:val="000000" w:themeColor="text1"/>
                <w:sz w:val="18"/>
                <w:szCs w:val="18"/>
              </w:rPr>
            </w:pPr>
            <w:r w:rsidRPr="00B434E2">
              <w:rPr>
                <w:b/>
                <w:color w:val="000000" w:themeColor="text1"/>
                <w:sz w:val="18"/>
                <w:szCs w:val="18"/>
              </w:rPr>
              <w:t>Agence</w:t>
            </w:r>
          </w:p>
        </w:tc>
        <w:tc>
          <w:tcPr>
            <w:tcW w:w="1678" w:type="pct"/>
            <w:shd w:val="clear" w:color="auto" w:fill="auto"/>
          </w:tcPr>
          <w:p w14:paraId="2F100E2B" w14:textId="77777777" w:rsidR="006D7333" w:rsidRPr="00B434E2" w:rsidRDefault="006D7333" w:rsidP="00B006A9">
            <w:pPr>
              <w:jc w:val="center"/>
              <w:rPr>
                <w:b/>
                <w:color w:val="000000" w:themeColor="text1"/>
                <w:sz w:val="18"/>
                <w:szCs w:val="18"/>
              </w:rPr>
            </w:pPr>
            <w:r w:rsidRPr="00B434E2">
              <w:rPr>
                <w:b/>
                <w:color w:val="000000" w:themeColor="text1"/>
                <w:sz w:val="18"/>
                <w:szCs w:val="18"/>
              </w:rPr>
              <w:t>Financement demandé ($ US)</w:t>
            </w:r>
          </w:p>
        </w:tc>
        <w:tc>
          <w:tcPr>
            <w:tcW w:w="1755" w:type="pct"/>
            <w:shd w:val="clear" w:color="auto" w:fill="auto"/>
          </w:tcPr>
          <w:p w14:paraId="15FC5EC4" w14:textId="41DBAADD" w:rsidR="006D7333" w:rsidRPr="00B434E2" w:rsidRDefault="006D7333" w:rsidP="00B006A9">
            <w:pPr>
              <w:jc w:val="center"/>
              <w:rPr>
                <w:b/>
                <w:color w:val="000000" w:themeColor="text1"/>
                <w:sz w:val="18"/>
                <w:szCs w:val="18"/>
              </w:rPr>
            </w:pPr>
            <w:r w:rsidRPr="00B434E2">
              <w:rPr>
                <w:b/>
                <w:color w:val="000000" w:themeColor="text1"/>
                <w:sz w:val="18"/>
                <w:szCs w:val="18"/>
              </w:rPr>
              <w:t>Coûts d</w:t>
            </w:r>
            <w:r w:rsidR="00687D1A" w:rsidRPr="00B434E2">
              <w:rPr>
                <w:b/>
                <w:color w:val="000000" w:themeColor="text1"/>
                <w:sz w:val="18"/>
                <w:szCs w:val="18"/>
              </w:rPr>
              <w:t>’</w:t>
            </w:r>
            <w:r w:rsidRPr="00B434E2">
              <w:rPr>
                <w:b/>
                <w:color w:val="000000" w:themeColor="text1"/>
                <w:sz w:val="18"/>
                <w:szCs w:val="18"/>
              </w:rPr>
              <w:t>appui ($ US)</w:t>
            </w:r>
          </w:p>
        </w:tc>
      </w:tr>
      <w:tr w:rsidR="006D7333" w:rsidRPr="00B434E2" w14:paraId="15676E9E" w14:textId="77777777" w:rsidTr="00B006A9">
        <w:trPr>
          <w:trHeight w:hRule="exact" w:val="227"/>
        </w:trPr>
        <w:tc>
          <w:tcPr>
            <w:tcW w:w="1567" w:type="pct"/>
            <w:shd w:val="clear" w:color="auto" w:fill="auto"/>
          </w:tcPr>
          <w:p w14:paraId="70144C75" w14:textId="77777777" w:rsidR="006D7333" w:rsidRPr="00B434E2" w:rsidRDefault="006D7333" w:rsidP="00B006A9">
            <w:pPr>
              <w:rPr>
                <w:color w:val="000000" w:themeColor="text1"/>
                <w:sz w:val="18"/>
                <w:szCs w:val="18"/>
              </w:rPr>
            </w:pPr>
            <w:r w:rsidRPr="00B434E2">
              <w:rPr>
                <w:color w:val="000000" w:themeColor="text1"/>
                <w:sz w:val="18"/>
                <w:szCs w:val="18"/>
              </w:rPr>
              <w:t>PNUD</w:t>
            </w:r>
          </w:p>
        </w:tc>
        <w:tc>
          <w:tcPr>
            <w:tcW w:w="1678" w:type="pct"/>
            <w:shd w:val="clear" w:color="auto" w:fill="auto"/>
          </w:tcPr>
          <w:p w14:paraId="55C60B9B" w14:textId="77777777" w:rsidR="006D7333" w:rsidRPr="00B434E2" w:rsidRDefault="006D7333" w:rsidP="00B006A9">
            <w:pPr>
              <w:jc w:val="right"/>
              <w:rPr>
                <w:color w:val="000000" w:themeColor="text1"/>
                <w:sz w:val="18"/>
                <w:szCs w:val="18"/>
              </w:rPr>
            </w:pPr>
            <w:r w:rsidRPr="00B434E2">
              <w:rPr>
                <w:color w:val="000000" w:themeColor="text1"/>
                <w:sz w:val="18"/>
                <w:szCs w:val="18"/>
              </w:rPr>
              <w:t>169 000</w:t>
            </w:r>
          </w:p>
        </w:tc>
        <w:tc>
          <w:tcPr>
            <w:tcW w:w="1755" w:type="pct"/>
            <w:shd w:val="clear" w:color="auto" w:fill="auto"/>
          </w:tcPr>
          <w:p w14:paraId="29B810C0" w14:textId="77777777" w:rsidR="006D7333" w:rsidRPr="00B434E2" w:rsidRDefault="006D7333" w:rsidP="00B006A9">
            <w:pPr>
              <w:jc w:val="right"/>
              <w:rPr>
                <w:color w:val="000000" w:themeColor="text1"/>
                <w:sz w:val="18"/>
                <w:szCs w:val="18"/>
              </w:rPr>
            </w:pPr>
            <w:r w:rsidRPr="00B434E2">
              <w:rPr>
                <w:color w:val="000000" w:themeColor="text1"/>
                <w:sz w:val="18"/>
                <w:szCs w:val="18"/>
              </w:rPr>
              <w:t>11 830</w:t>
            </w:r>
          </w:p>
        </w:tc>
      </w:tr>
      <w:tr w:rsidR="006D7333" w:rsidRPr="00B434E2" w14:paraId="47E13A2E" w14:textId="77777777" w:rsidTr="00B006A9">
        <w:trPr>
          <w:trHeight w:hRule="exact" w:val="227"/>
        </w:trPr>
        <w:tc>
          <w:tcPr>
            <w:tcW w:w="1567" w:type="pct"/>
            <w:shd w:val="clear" w:color="auto" w:fill="auto"/>
          </w:tcPr>
          <w:p w14:paraId="3C0B6736" w14:textId="77777777" w:rsidR="006D7333" w:rsidRPr="00B434E2" w:rsidRDefault="006D7333" w:rsidP="00B006A9">
            <w:pPr>
              <w:rPr>
                <w:color w:val="000000" w:themeColor="text1"/>
                <w:sz w:val="18"/>
                <w:szCs w:val="18"/>
              </w:rPr>
            </w:pPr>
            <w:r w:rsidRPr="00B434E2">
              <w:rPr>
                <w:color w:val="000000" w:themeColor="text1"/>
                <w:sz w:val="18"/>
                <w:szCs w:val="18"/>
              </w:rPr>
              <w:t>PNUE</w:t>
            </w:r>
          </w:p>
        </w:tc>
        <w:tc>
          <w:tcPr>
            <w:tcW w:w="1678" w:type="pct"/>
            <w:shd w:val="clear" w:color="auto" w:fill="auto"/>
          </w:tcPr>
          <w:p w14:paraId="1C8344DB" w14:textId="77777777" w:rsidR="006D7333" w:rsidRPr="00B434E2" w:rsidRDefault="006D7333" w:rsidP="00B006A9">
            <w:pPr>
              <w:jc w:val="right"/>
              <w:rPr>
                <w:color w:val="000000" w:themeColor="text1"/>
                <w:sz w:val="18"/>
                <w:szCs w:val="18"/>
              </w:rPr>
            </w:pPr>
            <w:r w:rsidRPr="00B434E2">
              <w:rPr>
                <w:color w:val="000000" w:themeColor="text1"/>
                <w:sz w:val="18"/>
                <w:szCs w:val="18"/>
              </w:rPr>
              <w:t>26 000</w:t>
            </w:r>
          </w:p>
        </w:tc>
        <w:tc>
          <w:tcPr>
            <w:tcW w:w="1755" w:type="pct"/>
            <w:shd w:val="clear" w:color="auto" w:fill="auto"/>
          </w:tcPr>
          <w:p w14:paraId="72F54EE9" w14:textId="77777777" w:rsidR="006D7333" w:rsidRPr="00B434E2" w:rsidRDefault="006D7333" w:rsidP="00B006A9">
            <w:pPr>
              <w:jc w:val="right"/>
              <w:rPr>
                <w:color w:val="000000" w:themeColor="text1"/>
                <w:sz w:val="18"/>
                <w:szCs w:val="18"/>
              </w:rPr>
            </w:pPr>
            <w:r w:rsidRPr="00B434E2">
              <w:rPr>
                <w:color w:val="000000" w:themeColor="text1"/>
                <w:sz w:val="18"/>
                <w:szCs w:val="18"/>
              </w:rPr>
              <w:t>3 380</w:t>
            </w:r>
          </w:p>
        </w:tc>
      </w:tr>
      <w:tr w:rsidR="006D7333" w:rsidRPr="00B434E2" w14:paraId="089F4F6D" w14:textId="77777777" w:rsidTr="00B006A9">
        <w:trPr>
          <w:trHeight w:hRule="exact" w:val="227"/>
        </w:trPr>
        <w:tc>
          <w:tcPr>
            <w:tcW w:w="1567" w:type="pct"/>
            <w:shd w:val="clear" w:color="auto" w:fill="auto"/>
          </w:tcPr>
          <w:p w14:paraId="2681C22A" w14:textId="77777777" w:rsidR="006D7333" w:rsidRPr="00B434E2" w:rsidRDefault="006D7333" w:rsidP="00B006A9">
            <w:pPr>
              <w:rPr>
                <w:color w:val="000000" w:themeColor="text1"/>
                <w:sz w:val="18"/>
                <w:szCs w:val="18"/>
              </w:rPr>
            </w:pPr>
            <w:r w:rsidRPr="00B434E2">
              <w:rPr>
                <w:color w:val="000000" w:themeColor="text1"/>
                <w:sz w:val="18"/>
                <w:szCs w:val="18"/>
              </w:rPr>
              <w:t>Total</w:t>
            </w:r>
          </w:p>
        </w:tc>
        <w:tc>
          <w:tcPr>
            <w:tcW w:w="1678" w:type="pct"/>
            <w:shd w:val="clear" w:color="auto" w:fill="auto"/>
          </w:tcPr>
          <w:p w14:paraId="5B029BB9" w14:textId="77777777" w:rsidR="006D7333" w:rsidRPr="00B434E2" w:rsidRDefault="006D7333" w:rsidP="00B006A9">
            <w:pPr>
              <w:jc w:val="right"/>
              <w:rPr>
                <w:color w:val="000000" w:themeColor="text1"/>
                <w:sz w:val="18"/>
                <w:szCs w:val="18"/>
              </w:rPr>
            </w:pPr>
            <w:r w:rsidRPr="00B434E2">
              <w:rPr>
                <w:color w:val="000000" w:themeColor="text1"/>
                <w:sz w:val="18"/>
                <w:szCs w:val="18"/>
              </w:rPr>
              <w:t>195 000</w:t>
            </w:r>
          </w:p>
        </w:tc>
        <w:tc>
          <w:tcPr>
            <w:tcW w:w="1755" w:type="pct"/>
            <w:shd w:val="clear" w:color="auto" w:fill="auto"/>
          </w:tcPr>
          <w:p w14:paraId="0E1CF994" w14:textId="77777777" w:rsidR="006D7333" w:rsidRPr="00B434E2" w:rsidRDefault="006D7333" w:rsidP="00B006A9">
            <w:pPr>
              <w:jc w:val="right"/>
              <w:rPr>
                <w:color w:val="000000" w:themeColor="text1"/>
                <w:sz w:val="18"/>
                <w:szCs w:val="18"/>
              </w:rPr>
            </w:pPr>
            <w:r w:rsidRPr="00B434E2">
              <w:rPr>
                <w:color w:val="000000" w:themeColor="text1"/>
                <w:sz w:val="18"/>
                <w:szCs w:val="18"/>
              </w:rPr>
              <w:t>15 210</w:t>
            </w:r>
          </w:p>
        </w:tc>
      </w:tr>
    </w:tbl>
    <w:p w14:paraId="62B6C5F6" w14:textId="77777777" w:rsidR="006D7333" w:rsidRPr="00B434E2" w:rsidRDefault="006D7333" w:rsidP="006D7333">
      <w:pPr>
        <w:ind w:left="-567"/>
        <w:rPr>
          <w:sz w:val="18"/>
          <w:szCs w:val="18"/>
          <w:lang w:val="en-CA"/>
        </w:rPr>
      </w:pPr>
    </w:p>
    <w:tbl>
      <w:tblPr>
        <w:tblStyle w:val="TableGrid"/>
        <w:tblW w:w="5309" w:type="pct"/>
        <w:tblInd w:w="-113" w:type="dxa"/>
        <w:tblLook w:val="04A0" w:firstRow="1" w:lastRow="0" w:firstColumn="1" w:lastColumn="0" w:noHBand="0" w:noVBand="1"/>
      </w:tblPr>
      <w:tblGrid>
        <w:gridCol w:w="3121"/>
        <w:gridCol w:w="6807"/>
      </w:tblGrid>
      <w:tr w:rsidR="006D7333" w:rsidRPr="00B434E2" w14:paraId="21B01ABD" w14:textId="77777777" w:rsidTr="00B006A9">
        <w:trPr>
          <w:trHeight w:hRule="exact" w:val="281"/>
        </w:trPr>
        <w:tc>
          <w:tcPr>
            <w:tcW w:w="1572" w:type="pct"/>
            <w:shd w:val="clear" w:color="auto" w:fill="auto"/>
          </w:tcPr>
          <w:p w14:paraId="18D56582" w14:textId="77777777" w:rsidR="006D7333" w:rsidRPr="00B434E2" w:rsidRDefault="006D7333" w:rsidP="00B006A9">
            <w:pPr>
              <w:jc w:val="left"/>
              <w:rPr>
                <w:b/>
                <w:color w:val="000000" w:themeColor="text1"/>
                <w:sz w:val="18"/>
                <w:szCs w:val="18"/>
              </w:rPr>
            </w:pPr>
            <w:r w:rsidRPr="00B434E2">
              <w:rPr>
                <w:b/>
                <w:color w:val="000000" w:themeColor="text1"/>
                <w:sz w:val="18"/>
                <w:szCs w:val="18"/>
              </w:rPr>
              <w:t>Recommandation du Secrétariat :</w:t>
            </w:r>
          </w:p>
        </w:tc>
        <w:tc>
          <w:tcPr>
            <w:tcW w:w="3428" w:type="pct"/>
            <w:shd w:val="clear" w:color="auto" w:fill="auto"/>
          </w:tcPr>
          <w:p w14:paraId="4DA3D85C" w14:textId="77777777" w:rsidR="006D7333" w:rsidRPr="00B434E2" w:rsidRDefault="006D7333" w:rsidP="00B006A9">
            <w:pPr>
              <w:jc w:val="center"/>
              <w:rPr>
                <w:color w:val="000000" w:themeColor="text1"/>
                <w:sz w:val="18"/>
                <w:szCs w:val="18"/>
              </w:rPr>
            </w:pPr>
            <w:r w:rsidRPr="00B434E2">
              <w:rPr>
                <w:color w:val="000000" w:themeColor="text1"/>
                <w:sz w:val="18"/>
                <w:szCs w:val="18"/>
              </w:rPr>
              <w:t>À examiner individuellement</w:t>
            </w:r>
          </w:p>
        </w:tc>
      </w:tr>
    </w:tbl>
    <w:p w14:paraId="7BFE8BEA" w14:textId="77777777" w:rsidR="006D7333" w:rsidRPr="00EE5B08" w:rsidRDefault="006D7333" w:rsidP="006D7333">
      <w:pPr>
        <w:jc w:val="left"/>
      </w:pPr>
      <w:r>
        <w:br w:type="page"/>
      </w:r>
    </w:p>
    <w:p w14:paraId="2258F961" w14:textId="77777777" w:rsidR="006D7333" w:rsidRPr="00EE5B08" w:rsidRDefault="006D7333" w:rsidP="006D7333">
      <w:pPr>
        <w:pStyle w:val="StyleHeader4Para4Left0Firstline0"/>
        <w:numPr>
          <w:ilvl w:val="0"/>
          <w:numId w:val="0"/>
        </w:numPr>
        <w:jc w:val="center"/>
        <w:rPr>
          <w:b/>
          <w:sz w:val="22"/>
        </w:rPr>
      </w:pPr>
      <w:r>
        <w:rPr>
          <w:b/>
          <w:sz w:val="22"/>
        </w:rPr>
        <w:lastRenderedPageBreak/>
        <w:t>DESCRIPTION DU PROJET</w:t>
      </w:r>
    </w:p>
    <w:p w14:paraId="4A63CFC3" w14:textId="77777777" w:rsidR="006D7333" w:rsidRPr="00EE5B08" w:rsidRDefault="006D7333" w:rsidP="006D7333">
      <w:pPr>
        <w:rPr>
          <w:b/>
        </w:rPr>
      </w:pPr>
      <w:r>
        <w:rPr>
          <w:b/>
        </w:rPr>
        <w:t>Contexte</w:t>
      </w:r>
    </w:p>
    <w:p w14:paraId="7226374A" w14:textId="77777777" w:rsidR="006D7333" w:rsidRPr="00EE5B08" w:rsidRDefault="006D7333" w:rsidP="006D7333">
      <w:pPr>
        <w:rPr>
          <w:lang w:val="en-CA"/>
        </w:rPr>
      </w:pPr>
    </w:p>
    <w:p w14:paraId="3F240EB7" w14:textId="39AD1B85" w:rsidR="006D7333" w:rsidRPr="008A5A35" w:rsidRDefault="006D7333" w:rsidP="006D7333">
      <w:pPr>
        <w:pStyle w:val="Heading1"/>
      </w:pPr>
      <w:r>
        <w:t>Au nom du gouvernement de El Salvador, le PNUD, en sa qualité d</w:t>
      </w:r>
      <w:r w:rsidR="00687D1A">
        <w:t>’</w:t>
      </w:r>
      <w:r>
        <w:t>agence d</w:t>
      </w:r>
      <w:r w:rsidR="00687D1A">
        <w:t>’</w:t>
      </w:r>
      <w:r>
        <w:t>exécution principale, a présenté une demande pour la phase II du plan de gestion de l</w:t>
      </w:r>
      <w:r w:rsidR="00687D1A">
        <w:t>’</w:t>
      </w:r>
      <w:r>
        <w:t>élimination des HCFC (PGEH) d</w:t>
      </w:r>
      <w:r w:rsidR="00687D1A">
        <w:t>’</w:t>
      </w:r>
      <w:r>
        <w:t>un montant total initialement proposé de 698 320 $ US, soit 603 000 $ US plus des coûts d</w:t>
      </w:r>
      <w:r w:rsidR="00687D1A">
        <w:t>’</w:t>
      </w:r>
      <w:r>
        <w:t>appui d</w:t>
      </w:r>
      <w:r w:rsidR="00687D1A">
        <w:t>’</w:t>
      </w:r>
      <w:r>
        <w:t>agence de 42 210 $ US pour le PNUD, et 47 000 $ US plus des coûts d</w:t>
      </w:r>
      <w:r w:rsidR="00687D1A">
        <w:t>’</w:t>
      </w:r>
      <w:r>
        <w:t>appui d</w:t>
      </w:r>
      <w:r w:rsidR="00687D1A">
        <w:t>’</w:t>
      </w:r>
      <w:r>
        <w:t>agence de 6 110 $ US pour le PNUE</w:t>
      </w:r>
      <w:r w:rsidRPr="00EE5B08">
        <w:rPr>
          <w:rStyle w:val="FootnoteReference"/>
          <w:lang w:val="en-CA"/>
        </w:rPr>
        <w:footnoteReference w:id="2"/>
      </w:r>
      <w:r w:rsidR="0085559C">
        <w:t>.</w:t>
      </w:r>
      <w:r>
        <w:t xml:space="preserve"> La mise en œuvre de la phase II du PGEH permettra d</w:t>
      </w:r>
      <w:r w:rsidR="00687D1A">
        <w:t>’</w:t>
      </w:r>
      <w:r>
        <w:t>éliminer la consommation restante de HCFC d</w:t>
      </w:r>
      <w:r w:rsidR="00687D1A">
        <w:t>’</w:t>
      </w:r>
      <w:r>
        <w:t>ici 2030.</w:t>
      </w:r>
    </w:p>
    <w:p w14:paraId="65554DA2" w14:textId="57FB8AF6" w:rsidR="006D7333" w:rsidRPr="00030EDD" w:rsidRDefault="00060BC4" w:rsidP="006D7333">
      <w:pPr>
        <w:pStyle w:val="Heading1"/>
      </w:pPr>
      <w:r w:rsidRPr="00060BC4">
        <w:t>Le montant proposé initialement pour la première tranche</w:t>
      </w:r>
      <w:r>
        <w:t xml:space="preserve"> </w:t>
      </w:r>
      <w:r w:rsidR="006D7333">
        <w:t xml:space="preserve">de la phase II du PGEH </w:t>
      </w:r>
      <w:r w:rsidR="0085559C">
        <w:t>faisant l</w:t>
      </w:r>
      <w:r w:rsidR="00687D1A">
        <w:t>’</w:t>
      </w:r>
      <w:r w:rsidR="0085559C">
        <w:t>objet d</w:t>
      </w:r>
      <w:r w:rsidR="00687D1A">
        <w:t>’</w:t>
      </w:r>
      <w:r w:rsidR="0085559C">
        <w:t>une demande</w:t>
      </w:r>
      <w:r w:rsidR="006D7333">
        <w:t xml:space="preserve"> à la présente réunion s</w:t>
      </w:r>
      <w:r w:rsidR="00687D1A">
        <w:t>’</w:t>
      </w:r>
      <w:r w:rsidR="006D7333">
        <w:t>élève à 210 210 $ US, soit 169 000 $ US plus des coûts d</w:t>
      </w:r>
      <w:r w:rsidR="00687D1A">
        <w:t>’</w:t>
      </w:r>
      <w:r w:rsidR="006D7333">
        <w:t>appui d</w:t>
      </w:r>
      <w:r w:rsidR="00687D1A">
        <w:t>’</w:t>
      </w:r>
      <w:r w:rsidR="006D7333">
        <w:t>agence de 11 830 $ US pour le PNUD, et 26 000 $ US plus des coûts d</w:t>
      </w:r>
      <w:r w:rsidR="00687D1A">
        <w:t>’</w:t>
      </w:r>
      <w:r w:rsidR="006D7333">
        <w:t>appui d</w:t>
      </w:r>
      <w:r w:rsidR="00687D1A">
        <w:t>’</w:t>
      </w:r>
      <w:r w:rsidR="006D7333">
        <w:t>agence de 3 380 $ US pour le PNUE.</w:t>
      </w:r>
    </w:p>
    <w:p w14:paraId="149020D0" w14:textId="77777777" w:rsidR="006D7333" w:rsidRPr="00EE5B08" w:rsidRDefault="006D7333" w:rsidP="006D7333">
      <w:pPr>
        <w:pStyle w:val="Heading1"/>
        <w:numPr>
          <w:ilvl w:val="0"/>
          <w:numId w:val="0"/>
        </w:numPr>
        <w:rPr>
          <w:b/>
        </w:rPr>
      </w:pPr>
      <w:r>
        <w:rPr>
          <w:b/>
        </w:rPr>
        <w:t>État de la mise en œuvre de la phase I du PGEH</w:t>
      </w:r>
    </w:p>
    <w:p w14:paraId="784780AF" w14:textId="4A0F0FB0" w:rsidR="006D7333" w:rsidRDefault="006D7333" w:rsidP="006D7333">
      <w:pPr>
        <w:pStyle w:val="Heading1"/>
        <w:tabs>
          <w:tab w:val="num" w:pos="709"/>
        </w:tabs>
      </w:pPr>
      <w:r>
        <w:t>La phase I du PGEH de El Salvador a tout d</w:t>
      </w:r>
      <w:r w:rsidR="00687D1A">
        <w:t>’</w:t>
      </w:r>
      <w:r>
        <w:t>abord été approuvée à la 65</w:t>
      </w:r>
      <w:r>
        <w:rPr>
          <w:vertAlign w:val="superscript"/>
        </w:rPr>
        <w:t>e</w:t>
      </w:r>
      <w:r>
        <w:t> réunion</w:t>
      </w:r>
      <w:r w:rsidRPr="00BA2382">
        <w:rPr>
          <w:rStyle w:val="FootnoteReference"/>
          <w:lang w:val="en-CA"/>
        </w:rPr>
        <w:footnoteReference w:id="3"/>
      </w:r>
      <w:r>
        <w:t xml:space="preserve"> puis révisée à la 74</w:t>
      </w:r>
      <w:r>
        <w:rPr>
          <w:vertAlign w:val="superscript"/>
        </w:rPr>
        <w:t>e</w:t>
      </w:r>
      <w:r>
        <w:t> réunion</w:t>
      </w:r>
      <w:r w:rsidRPr="00BA2382">
        <w:rPr>
          <w:rStyle w:val="FootnoteReference"/>
          <w:lang w:val="en-CA"/>
        </w:rPr>
        <w:footnoteReference w:id="4"/>
      </w:r>
      <w:r>
        <w:t xml:space="preserve"> afin de respecter la réduction de 35</w:t>
      </w:r>
      <w:r w:rsidR="0085559C">
        <w:t> </w:t>
      </w:r>
      <w:r w:rsidR="00EB3D24">
        <w:t>pour cent</w:t>
      </w:r>
      <w:r>
        <w:t xml:space="preserve"> par rapport à la valeur de référence d</w:t>
      </w:r>
      <w:r w:rsidR="00687D1A">
        <w:t>’</w:t>
      </w:r>
      <w:r>
        <w:t>ici 2020, pour un coût total de 1 074 277 $ US, plus des coûts d</w:t>
      </w:r>
      <w:r w:rsidR="00687D1A">
        <w:t>’</w:t>
      </w:r>
      <w:r>
        <w:t>appui d</w:t>
      </w:r>
      <w:r w:rsidR="00687D1A">
        <w:t>’</w:t>
      </w:r>
      <w:r>
        <w:t>agence, en vue d</w:t>
      </w:r>
      <w:r w:rsidR="00687D1A">
        <w:t>’</w:t>
      </w:r>
      <w:r>
        <w:t xml:space="preserve">éliminer 9,02 tonnes PAO de HCFC (dont 4,94 tonnes PAO de HCFC-141b contenu dans les polyols </w:t>
      </w:r>
      <w:proofErr w:type="spellStart"/>
      <w:r>
        <w:t>prémélangés</w:t>
      </w:r>
      <w:proofErr w:type="spellEnd"/>
      <w:r>
        <w:t xml:space="preserve"> importés) utilisées dans le secteur de la fabrication de mousse</w:t>
      </w:r>
      <w:r w:rsidR="001B3269">
        <w:t>s</w:t>
      </w:r>
      <w:r>
        <w:t xml:space="preserve"> en polyuréthane (PU) et celui de l</w:t>
      </w:r>
      <w:r w:rsidR="00687D1A">
        <w:t>’</w:t>
      </w:r>
      <w:r>
        <w:t>entretien des équipements de réfrigération et de climatisation. Le financement approuvé incluait un renforcement des institutions (RI) pour un montant de 285 000 $ US sur neuf ans à compter de juillet 2011. La quatrième et dernière tranche de la phase I du PGEH a été approuvée dans le cadre du processus d</w:t>
      </w:r>
      <w:r w:rsidR="00687D1A">
        <w:t>’</w:t>
      </w:r>
      <w:r>
        <w:t xml:space="preserve">approbation intersessions </w:t>
      </w:r>
      <w:r w:rsidR="001B3269">
        <w:t>de</w:t>
      </w:r>
      <w:r>
        <w:t xml:space="preserve"> la 86</w:t>
      </w:r>
      <w:r>
        <w:rPr>
          <w:vertAlign w:val="superscript"/>
        </w:rPr>
        <w:t>e</w:t>
      </w:r>
      <w:r>
        <w:t> réunion (PAI-86) en décembre 2020 ; la phase I sera achevée d</w:t>
      </w:r>
      <w:r w:rsidR="00687D1A">
        <w:t>’</w:t>
      </w:r>
      <w:r>
        <w:t>ici au 31 décembre 2021.</w:t>
      </w:r>
    </w:p>
    <w:p w14:paraId="6A20B175" w14:textId="77777777" w:rsidR="006D7333" w:rsidRPr="00B02CA7" w:rsidRDefault="006D7333" w:rsidP="006D7333">
      <w:pPr>
        <w:rPr>
          <w:u w:val="single"/>
        </w:rPr>
      </w:pPr>
      <w:r>
        <w:rPr>
          <w:u w:val="single"/>
        </w:rPr>
        <w:t>Consommation de HCFC</w:t>
      </w:r>
    </w:p>
    <w:p w14:paraId="0344C753" w14:textId="77777777" w:rsidR="006D7333" w:rsidRPr="00B815AE" w:rsidRDefault="006D7333" w:rsidP="006D7333">
      <w:pPr>
        <w:rPr>
          <w:lang w:val="en-CA"/>
        </w:rPr>
      </w:pPr>
    </w:p>
    <w:p w14:paraId="009F6B43" w14:textId="0B3FE067" w:rsidR="006D7333" w:rsidRPr="00456256" w:rsidRDefault="006D7333" w:rsidP="006D7333">
      <w:pPr>
        <w:pStyle w:val="Heading1"/>
      </w:pPr>
      <w:r>
        <w:t>Le gouvernement de El Salvador a déclaré une consommation de 2,74 tonnes PAO de HCFC en 20</w:t>
      </w:r>
      <w:r w:rsidR="00B434E2">
        <w:t>20, ce qui est inférieur de 76 pour cent</w:t>
      </w:r>
      <w:r>
        <w:t xml:space="preserve"> à la valeur de référence des HCFC en ce qui a trait à la conformité. La consommation de HCFC pour la période 2016-2020 est indiquée dans le tableau 1.</w:t>
      </w:r>
    </w:p>
    <w:p w14:paraId="7EE28DFB" w14:textId="025E1654" w:rsidR="006D7333" w:rsidRPr="00A23DD9" w:rsidRDefault="006D7333" w:rsidP="006D7333">
      <w:pPr>
        <w:rPr>
          <w:b/>
        </w:rPr>
      </w:pPr>
      <w:r>
        <w:rPr>
          <w:b/>
        </w:rPr>
        <w:t>Tableau 1. Consommation de HCFC en El Salvador (données de l</w:t>
      </w:r>
      <w:r w:rsidR="00687D1A">
        <w:rPr>
          <w:b/>
        </w:rPr>
        <w:t>’</w:t>
      </w:r>
      <w:r>
        <w:rPr>
          <w:b/>
        </w:rPr>
        <w:t>Article 7 - 2016-2020)</w:t>
      </w:r>
    </w:p>
    <w:tbl>
      <w:tblPr>
        <w:tblW w:w="4979" w:type="pct"/>
        <w:tblLayout w:type="fixed"/>
        <w:tblLook w:val="04A0" w:firstRow="1" w:lastRow="0" w:firstColumn="1" w:lastColumn="0" w:noHBand="0" w:noVBand="1"/>
      </w:tblPr>
      <w:tblGrid>
        <w:gridCol w:w="3141"/>
        <w:gridCol w:w="1028"/>
        <w:gridCol w:w="1028"/>
        <w:gridCol w:w="1030"/>
        <w:gridCol w:w="1028"/>
        <w:gridCol w:w="929"/>
        <w:gridCol w:w="1127"/>
      </w:tblGrid>
      <w:tr w:rsidR="006D7333" w:rsidRPr="00D44A69" w14:paraId="2B5288C4" w14:textId="77777777" w:rsidTr="00B006A9">
        <w:trPr>
          <w:tblHeader/>
        </w:trPr>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46DC033" w14:textId="77777777" w:rsidR="006D7333" w:rsidRPr="00D44A69" w:rsidRDefault="006D7333" w:rsidP="00B006A9">
            <w:pPr>
              <w:widowControl w:val="0"/>
              <w:jc w:val="left"/>
              <w:rPr>
                <w:b/>
                <w:bCs/>
                <w:color w:val="000000"/>
                <w:sz w:val="20"/>
                <w:szCs w:val="20"/>
              </w:rPr>
            </w:pPr>
            <w:r>
              <w:rPr>
                <w:b/>
                <w:color w:val="000000"/>
                <w:sz w:val="20"/>
              </w:rPr>
              <w:t>HCFC</w:t>
            </w:r>
          </w:p>
        </w:tc>
        <w:tc>
          <w:tcPr>
            <w:tcW w:w="552" w:type="pct"/>
            <w:tcBorders>
              <w:top w:val="single" w:sz="4" w:space="0" w:color="auto"/>
              <w:left w:val="single" w:sz="4" w:space="0" w:color="auto"/>
              <w:bottom w:val="single" w:sz="4" w:space="0" w:color="auto"/>
              <w:right w:val="single" w:sz="4" w:space="0" w:color="auto"/>
            </w:tcBorders>
            <w:vAlign w:val="center"/>
          </w:tcPr>
          <w:p w14:paraId="11735273" w14:textId="77777777" w:rsidR="006D7333" w:rsidRPr="00D44A69" w:rsidRDefault="006D7333" w:rsidP="00B006A9">
            <w:pPr>
              <w:widowControl w:val="0"/>
              <w:jc w:val="center"/>
              <w:rPr>
                <w:b/>
                <w:bCs/>
                <w:color w:val="000000"/>
                <w:sz w:val="20"/>
                <w:szCs w:val="20"/>
              </w:rPr>
            </w:pPr>
            <w:r>
              <w:rPr>
                <w:b/>
                <w:color w:val="000000"/>
                <w:sz w:val="20"/>
              </w:rPr>
              <w:t>2016</w:t>
            </w:r>
          </w:p>
        </w:tc>
        <w:tc>
          <w:tcPr>
            <w:tcW w:w="552" w:type="pct"/>
            <w:tcBorders>
              <w:top w:val="single" w:sz="4" w:space="0" w:color="auto"/>
              <w:left w:val="single" w:sz="4" w:space="0" w:color="auto"/>
              <w:bottom w:val="single" w:sz="4" w:space="0" w:color="auto"/>
              <w:right w:val="single" w:sz="4" w:space="0" w:color="auto"/>
            </w:tcBorders>
            <w:vAlign w:val="center"/>
          </w:tcPr>
          <w:p w14:paraId="102ECB2A" w14:textId="77777777" w:rsidR="006D7333" w:rsidRPr="00D44A69" w:rsidRDefault="006D7333" w:rsidP="00B006A9">
            <w:pPr>
              <w:widowControl w:val="0"/>
              <w:jc w:val="center"/>
              <w:rPr>
                <w:b/>
                <w:bCs/>
                <w:color w:val="000000"/>
                <w:sz w:val="20"/>
                <w:szCs w:val="20"/>
              </w:rPr>
            </w:pPr>
            <w:r>
              <w:rPr>
                <w:b/>
                <w:color w:val="000000"/>
                <w:sz w:val="20"/>
              </w:rPr>
              <w:t>2017</w:t>
            </w:r>
          </w:p>
        </w:tc>
        <w:tc>
          <w:tcPr>
            <w:tcW w:w="553" w:type="pct"/>
            <w:tcBorders>
              <w:top w:val="single" w:sz="4" w:space="0" w:color="auto"/>
              <w:left w:val="nil"/>
              <w:bottom w:val="single" w:sz="4" w:space="0" w:color="auto"/>
              <w:right w:val="single" w:sz="4" w:space="0" w:color="auto"/>
            </w:tcBorders>
          </w:tcPr>
          <w:p w14:paraId="6E34C560" w14:textId="77777777" w:rsidR="006D7333" w:rsidRPr="00D44A69" w:rsidRDefault="006D7333" w:rsidP="00B006A9">
            <w:pPr>
              <w:widowControl w:val="0"/>
              <w:jc w:val="center"/>
              <w:rPr>
                <w:b/>
                <w:bCs/>
                <w:color w:val="000000"/>
                <w:sz w:val="20"/>
                <w:szCs w:val="20"/>
              </w:rPr>
            </w:pPr>
            <w:r>
              <w:rPr>
                <w:b/>
                <w:color w:val="000000"/>
                <w:sz w:val="20"/>
              </w:rPr>
              <w:t>2018</w:t>
            </w:r>
          </w:p>
        </w:tc>
        <w:tc>
          <w:tcPr>
            <w:tcW w:w="552" w:type="pct"/>
            <w:tcBorders>
              <w:top w:val="single" w:sz="4" w:space="0" w:color="auto"/>
              <w:left w:val="nil"/>
              <w:bottom w:val="single" w:sz="4" w:space="0" w:color="auto"/>
              <w:right w:val="single" w:sz="4" w:space="0" w:color="auto"/>
            </w:tcBorders>
          </w:tcPr>
          <w:p w14:paraId="7984D9C6" w14:textId="77777777" w:rsidR="006D7333" w:rsidRPr="00D44A69" w:rsidRDefault="006D7333" w:rsidP="00B006A9">
            <w:pPr>
              <w:widowControl w:val="0"/>
              <w:jc w:val="center"/>
              <w:rPr>
                <w:b/>
                <w:bCs/>
                <w:color w:val="000000"/>
                <w:sz w:val="20"/>
                <w:szCs w:val="20"/>
              </w:rPr>
            </w:pPr>
            <w:r>
              <w:rPr>
                <w:b/>
                <w:color w:val="000000"/>
                <w:sz w:val="20"/>
              </w:rPr>
              <w:t>2019</w:t>
            </w:r>
          </w:p>
        </w:tc>
        <w:tc>
          <w:tcPr>
            <w:tcW w:w="499" w:type="pct"/>
            <w:tcBorders>
              <w:top w:val="single" w:sz="4" w:space="0" w:color="auto"/>
              <w:left w:val="single" w:sz="4" w:space="0" w:color="auto"/>
              <w:bottom w:val="single" w:sz="4" w:space="0" w:color="auto"/>
              <w:right w:val="single" w:sz="4" w:space="0" w:color="auto"/>
            </w:tcBorders>
          </w:tcPr>
          <w:p w14:paraId="78A38254" w14:textId="77777777" w:rsidR="006D7333" w:rsidRPr="00D44A69" w:rsidRDefault="006D7333" w:rsidP="00B006A9">
            <w:pPr>
              <w:widowControl w:val="0"/>
              <w:jc w:val="center"/>
              <w:rPr>
                <w:b/>
                <w:bCs/>
                <w:color w:val="000000"/>
                <w:sz w:val="20"/>
                <w:szCs w:val="20"/>
              </w:rPr>
            </w:pPr>
            <w:r>
              <w:rPr>
                <w:b/>
                <w:color w:val="000000"/>
                <w:sz w:val="20"/>
              </w:rPr>
              <w:t>2020</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C508" w14:textId="77777777" w:rsidR="006D7333" w:rsidRPr="00D44A69" w:rsidRDefault="006D7333" w:rsidP="00B006A9">
            <w:pPr>
              <w:widowControl w:val="0"/>
              <w:jc w:val="center"/>
              <w:rPr>
                <w:b/>
                <w:bCs/>
                <w:color w:val="000000"/>
                <w:sz w:val="20"/>
                <w:szCs w:val="20"/>
              </w:rPr>
            </w:pPr>
            <w:r>
              <w:rPr>
                <w:b/>
                <w:color w:val="000000"/>
                <w:sz w:val="20"/>
              </w:rPr>
              <w:t>Référence</w:t>
            </w:r>
          </w:p>
        </w:tc>
      </w:tr>
      <w:tr w:rsidR="006D7333" w:rsidRPr="00D44A69" w14:paraId="11719DF0" w14:textId="77777777" w:rsidTr="00B006A9">
        <w:tc>
          <w:tcPr>
            <w:tcW w:w="16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8559E46" w14:textId="77777777" w:rsidR="006D7333" w:rsidRPr="00D44A69" w:rsidRDefault="006D7333" w:rsidP="00B006A9">
            <w:pPr>
              <w:widowControl w:val="0"/>
              <w:jc w:val="left"/>
              <w:rPr>
                <w:b/>
                <w:bCs/>
                <w:color w:val="000000"/>
                <w:sz w:val="20"/>
                <w:szCs w:val="20"/>
              </w:rPr>
            </w:pPr>
            <w:r>
              <w:rPr>
                <w:b/>
                <w:color w:val="000000"/>
                <w:sz w:val="20"/>
              </w:rPr>
              <w:t>Tonnes métriques</w:t>
            </w:r>
          </w:p>
        </w:tc>
        <w:tc>
          <w:tcPr>
            <w:tcW w:w="552" w:type="pct"/>
            <w:tcBorders>
              <w:top w:val="single" w:sz="4" w:space="0" w:color="auto"/>
              <w:left w:val="single" w:sz="4" w:space="0" w:color="auto"/>
              <w:bottom w:val="single" w:sz="4" w:space="0" w:color="auto"/>
              <w:right w:val="single" w:sz="4" w:space="0" w:color="auto"/>
            </w:tcBorders>
            <w:vAlign w:val="center"/>
          </w:tcPr>
          <w:p w14:paraId="27A59974" w14:textId="77777777" w:rsidR="006D7333" w:rsidRPr="00D44A69" w:rsidRDefault="006D7333" w:rsidP="00B006A9">
            <w:pPr>
              <w:widowControl w:val="0"/>
              <w:jc w:val="center"/>
              <w:rPr>
                <w:b/>
                <w:bCs/>
                <w:color w:val="000000"/>
                <w:sz w:val="20"/>
                <w:szCs w:val="20"/>
                <w:lang w:val="en-CA"/>
              </w:rPr>
            </w:pPr>
          </w:p>
        </w:tc>
        <w:tc>
          <w:tcPr>
            <w:tcW w:w="552" w:type="pct"/>
            <w:tcBorders>
              <w:top w:val="single" w:sz="4" w:space="0" w:color="auto"/>
              <w:left w:val="single" w:sz="4" w:space="0" w:color="auto"/>
              <w:bottom w:val="single" w:sz="4" w:space="0" w:color="auto"/>
              <w:right w:val="single" w:sz="4" w:space="0" w:color="auto"/>
            </w:tcBorders>
            <w:vAlign w:val="center"/>
          </w:tcPr>
          <w:p w14:paraId="16FCCF8F" w14:textId="77777777" w:rsidR="006D7333" w:rsidRPr="00D44A69" w:rsidRDefault="006D7333" w:rsidP="00B006A9">
            <w:pPr>
              <w:widowControl w:val="0"/>
              <w:jc w:val="center"/>
              <w:rPr>
                <w:b/>
                <w:bCs/>
                <w:color w:val="000000"/>
                <w:sz w:val="20"/>
                <w:szCs w:val="20"/>
                <w:lang w:val="en-CA"/>
              </w:rPr>
            </w:pPr>
          </w:p>
        </w:tc>
        <w:tc>
          <w:tcPr>
            <w:tcW w:w="553" w:type="pct"/>
            <w:tcBorders>
              <w:top w:val="nil"/>
              <w:left w:val="nil"/>
              <w:bottom w:val="single" w:sz="4" w:space="0" w:color="auto"/>
              <w:right w:val="single" w:sz="4" w:space="0" w:color="auto"/>
            </w:tcBorders>
          </w:tcPr>
          <w:p w14:paraId="7BB3614F" w14:textId="77777777" w:rsidR="006D7333" w:rsidRPr="00D44A69" w:rsidRDefault="006D7333" w:rsidP="00B006A9">
            <w:pPr>
              <w:widowControl w:val="0"/>
              <w:jc w:val="center"/>
              <w:rPr>
                <w:b/>
                <w:bCs/>
                <w:color w:val="000000"/>
                <w:sz w:val="20"/>
                <w:szCs w:val="20"/>
                <w:lang w:val="en-CA"/>
              </w:rPr>
            </w:pPr>
          </w:p>
        </w:tc>
        <w:tc>
          <w:tcPr>
            <w:tcW w:w="552" w:type="pct"/>
            <w:tcBorders>
              <w:top w:val="nil"/>
              <w:left w:val="nil"/>
              <w:bottom w:val="single" w:sz="4" w:space="0" w:color="auto"/>
              <w:right w:val="single" w:sz="4" w:space="0" w:color="auto"/>
            </w:tcBorders>
          </w:tcPr>
          <w:p w14:paraId="2BA91507" w14:textId="77777777" w:rsidR="006D7333" w:rsidRPr="00D44A69" w:rsidRDefault="006D7333" w:rsidP="00B006A9">
            <w:pPr>
              <w:widowControl w:val="0"/>
              <w:jc w:val="center"/>
              <w:rPr>
                <w:b/>
                <w:bCs/>
                <w:color w:val="000000"/>
                <w:sz w:val="20"/>
                <w:szCs w:val="20"/>
                <w:lang w:val="en-CA"/>
              </w:rPr>
            </w:pPr>
          </w:p>
        </w:tc>
        <w:tc>
          <w:tcPr>
            <w:tcW w:w="499" w:type="pct"/>
            <w:tcBorders>
              <w:top w:val="nil"/>
              <w:left w:val="single" w:sz="4" w:space="0" w:color="auto"/>
              <w:bottom w:val="single" w:sz="4" w:space="0" w:color="auto"/>
              <w:right w:val="single" w:sz="4" w:space="0" w:color="auto"/>
            </w:tcBorders>
          </w:tcPr>
          <w:p w14:paraId="109874CE" w14:textId="77777777" w:rsidR="006D7333" w:rsidRPr="00D44A69" w:rsidRDefault="006D7333" w:rsidP="00B006A9">
            <w:pPr>
              <w:widowControl w:val="0"/>
              <w:jc w:val="center"/>
              <w:rPr>
                <w:b/>
                <w:bCs/>
                <w:color w:val="000000"/>
                <w:sz w:val="20"/>
                <w:szCs w:val="20"/>
                <w:lang w:val="en-CA"/>
              </w:rPr>
            </w:pPr>
          </w:p>
        </w:tc>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43C5AC59" w14:textId="77777777" w:rsidR="006D7333" w:rsidRPr="00D44A69" w:rsidRDefault="006D7333" w:rsidP="00B006A9">
            <w:pPr>
              <w:widowControl w:val="0"/>
              <w:jc w:val="center"/>
              <w:rPr>
                <w:b/>
                <w:bCs/>
                <w:color w:val="000000"/>
                <w:sz w:val="20"/>
                <w:szCs w:val="20"/>
                <w:lang w:val="en-CA"/>
              </w:rPr>
            </w:pPr>
          </w:p>
        </w:tc>
      </w:tr>
      <w:tr w:rsidR="006D7333" w:rsidRPr="00D44A69" w14:paraId="5F835642" w14:textId="77777777" w:rsidTr="00B006A9">
        <w:tc>
          <w:tcPr>
            <w:tcW w:w="16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EC4BE3A" w14:textId="77777777" w:rsidR="006D7333" w:rsidRPr="00D44A69" w:rsidRDefault="006D7333" w:rsidP="00B006A9">
            <w:pPr>
              <w:widowControl w:val="0"/>
              <w:jc w:val="left"/>
              <w:rPr>
                <w:color w:val="000000"/>
                <w:sz w:val="20"/>
                <w:szCs w:val="20"/>
              </w:rPr>
            </w:pPr>
            <w:r>
              <w:rPr>
                <w:color w:val="000000"/>
                <w:sz w:val="20"/>
              </w:rPr>
              <w:t>HCFC-22</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6CC2A031" w14:textId="77777777" w:rsidR="006D7333" w:rsidRPr="00D44A69" w:rsidRDefault="006D7333" w:rsidP="00B006A9">
            <w:pPr>
              <w:widowControl w:val="0"/>
              <w:jc w:val="right"/>
              <w:rPr>
                <w:color w:val="000000"/>
                <w:sz w:val="20"/>
                <w:szCs w:val="20"/>
              </w:rPr>
            </w:pPr>
            <w:r>
              <w:rPr>
                <w:color w:val="000000"/>
                <w:sz w:val="20"/>
              </w:rPr>
              <w:t>116,33</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018871F0" w14:textId="77777777" w:rsidR="006D7333" w:rsidRPr="00D44A69" w:rsidRDefault="006D7333" w:rsidP="00B006A9">
            <w:pPr>
              <w:widowControl w:val="0"/>
              <w:jc w:val="right"/>
              <w:rPr>
                <w:color w:val="000000"/>
                <w:sz w:val="20"/>
                <w:szCs w:val="20"/>
              </w:rPr>
            </w:pPr>
            <w:r>
              <w:rPr>
                <w:color w:val="000000"/>
                <w:sz w:val="20"/>
              </w:rPr>
              <w:t>116,63</w:t>
            </w:r>
          </w:p>
        </w:tc>
        <w:tc>
          <w:tcPr>
            <w:tcW w:w="553" w:type="pct"/>
            <w:tcBorders>
              <w:top w:val="nil"/>
              <w:left w:val="nil"/>
              <w:bottom w:val="single" w:sz="4" w:space="0" w:color="auto"/>
              <w:right w:val="single" w:sz="4" w:space="0" w:color="auto"/>
            </w:tcBorders>
            <w:tcMar>
              <w:right w:w="202" w:type="dxa"/>
            </w:tcMar>
          </w:tcPr>
          <w:p w14:paraId="6A87BAA8" w14:textId="77777777" w:rsidR="006D7333" w:rsidRPr="00D44A69" w:rsidRDefault="006D7333" w:rsidP="00B006A9">
            <w:pPr>
              <w:widowControl w:val="0"/>
              <w:jc w:val="right"/>
              <w:rPr>
                <w:color w:val="000000"/>
                <w:sz w:val="20"/>
                <w:szCs w:val="20"/>
              </w:rPr>
            </w:pPr>
            <w:r>
              <w:rPr>
                <w:color w:val="000000"/>
                <w:sz w:val="20"/>
              </w:rPr>
              <w:t>77,84</w:t>
            </w:r>
          </w:p>
        </w:tc>
        <w:tc>
          <w:tcPr>
            <w:tcW w:w="552" w:type="pct"/>
            <w:tcBorders>
              <w:top w:val="nil"/>
              <w:left w:val="nil"/>
              <w:bottom w:val="single" w:sz="4" w:space="0" w:color="auto"/>
              <w:right w:val="single" w:sz="4" w:space="0" w:color="auto"/>
            </w:tcBorders>
            <w:tcMar>
              <w:right w:w="202" w:type="dxa"/>
            </w:tcMar>
          </w:tcPr>
          <w:p w14:paraId="7410C141" w14:textId="77777777" w:rsidR="006D7333" w:rsidRPr="00D44A69" w:rsidRDefault="006D7333" w:rsidP="00B006A9">
            <w:pPr>
              <w:widowControl w:val="0"/>
              <w:jc w:val="right"/>
              <w:rPr>
                <w:color w:val="000000"/>
                <w:sz w:val="20"/>
                <w:szCs w:val="20"/>
              </w:rPr>
            </w:pPr>
            <w:r>
              <w:rPr>
                <w:color w:val="000000"/>
                <w:sz w:val="20"/>
              </w:rPr>
              <w:t>62,59</w:t>
            </w:r>
          </w:p>
        </w:tc>
        <w:tc>
          <w:tcPr>
            <w:tcW w:w="499" w:type="pct"/>
            <w:tcBorders>
              <w:top w:val="nil"/>
              <w:left w:val="single" w:sz="4" w:space="0" w:color="auto"/>
              <w:bottom w:val="single" w:sz="4" w:space="0" w:color="auto"/>
              <w:right w:val="single" w:sz="4" w:space="0" w:color="auto"/>
            </w:tcBorders>
            <w:tcMar>
              <w:right w:w="202" w:type="dxa"/>
            </w:tcMar>
          </w:tcPr>
          <w:p w14:paraId="41D2DA71" w14:textId="77777777" w:rsidR="006D7333" w:rsidRPr="00D44A69" w:rsidRDefault="006D7333" w:rsidP="00B006A9">
            <w:pPr>
              <w:widowControl w:val="0"/>
              <w:jc w:val="right"/>
              <w:rPr>
                <w:color w:val="000000"/>
                <w:sz w:val="20"/>
                <w:szCs w:val="20"/>
              </w:rPr>
            </w:pPr>
            <w:r>
              <w:rPr>
                <w:color w:val="000000"/>
                <w:sz w:val="20"/>
              </w:rPr>
              <w:t>49,75</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5112F665" w14:textId="77777777" w:rsidR="006D7333" w:rsidRPr="00D44A69" w:rsidRDefault="006D7333" w:rsidP="00B006A9">
            <w:pPr>
              <w:widowControl w:val="0"/>
              <w:jc w:val="right"/>
              <w:rPr>
                <w:color w:val="000000"/>
                <w:sz w:val="20"/>
                <w:szCs w:val="20"/>
              </w:rPr>
            </w:pPr>
            <w:r>
              <w:rPr>
                <w:color w:val="000000"/>
                <w:sz w:val="20"/>
              </w:rPr>
              <w:t>148,13</w:t>
            </w:r>
          </w:p>
        </w:tc>
      </w:tr>
      <w:tr w:rsidR="006D7333" w:rsidRPr="00D44A69" w14:paraId="5F4320D9" w14:textId="77777777" w:rsidTr="00B006A9">
        <w:tc>
          <w:tcPr>
            <w:tcW w:w="16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C910C73" w14:textId="77777777" w:rsidR="006D7333" w:rsidRPr="00D44A69" w:rsidRDefault="006D7333" w:rsidP="00B006A9">
            <w:pPr>
              <w:widowControl w:val="0"/>
              <w:jc w:val="left"/>
              <w:rPr>
                <w:color w:val="000000"/>
                <w:sz w:val="20"/>
                <w:szCs w:val="20"/>
              </w:rPr>
            </w:pPr>
            <w:r>
              <w:rPr>
                <w:color w:val="000000"/>
                <w:sz w:val="20"/>
              </w:rPr>
              <w:t>HCFC-123</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739775E2" w14:textId="77777777" w:rsidR="006D7333" w:rsidRPr="00D44A69" w:rsidRDefault="006D7333" w:rsidP="00B006A9">
            <w:pPr>
              <w:widowControl w:val="0"/>
              <w:jc w:val="right"/>
              <w:rPr>
                <w:color w:val="000000"/>
                <w:sz w:val="20"/>
                <w:szCs w:val="20"/>
              </w:rPr>
            </w:pPr>
            <w:r>
              <w:rPr>
                <w:color w:val="000000"/>
                <w:sz w:val="20"/>
              </w:rPr>
              <w:t>0,64</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49264B4" w14:textId="77777777" w:rsidR="006D7333" w:rsidRPr="00D44A69" w:rsidRDefault="006D7333" w:rsidP="00B006A9">
            <w:pPr>
              <w:widowControl w:val="0"/>
              <w:jc w:val="right"/>
              <w:rPr>
                <w:color w:val="000000"/>
                <w:sz w:val="20"/>
                <w:szCs w:val="20"/>
              </w:rPr>
            </w:pPr>
            <w:r>
              <w:rPr>
                <w:color w:val="000000"/>
                <w:sz w:val="20"/>
              </w:rPr>
              <w:t>0,41</w:t>
            </w:r>
          </w:p>
        </w:tc>
        <w:tc>
          <w:tcPr>
            <w:tcW w:w="553" w:type="pct"/>
            <w:tcBorders>
              <w:top w:val="nil"/>
              <w:left w:val="nil"/>
              <w:bottom w:val="single" w:sz="4" w:space="0" w:color="auto"/>
              <w:right w:val="single" w:sz="4" w:space="0" w:color="auto"/>
            </w:tcBorders>
            <w:tcMar>
              <w:right w:w="202" w:type="dxa"/>
            </w:tcMar>
          </w:tcPr>
          <w:p w14:paraId="4F2DFBC5" w14:textId="77777777" w:rsidR="006D7333" w:rsidRPr="00D44A69" w:rsidRDefault="006D7333" w:rsidP="00B006A9">
            <w:pPr>
              <w:widowControl w:val="0"/>
              <w:jc w:val="right"/>
              <w:rPr>
                <w:color w:val="000000"/>
                <w:sz w:val="20"/>
                <w:szCs w:val="20"/>
              </w:rPr>
            </w:pPr>
            <w:r>
              <w:rPr>
                <w:color w:val="000000"/>
                <w:sz w:val="20"/>
              </w:rPr>
              <w:t>0,64</w:t>
            </w:r>
          </w:p>
        </w:tc>
        <w:tc>
          <w:tcPr>
            <w:tcW w:w="552" w:type="pct"/>
            <w:tcBorders>
              <w:top w:val="nil"/>
              <w:left w:val="nil"/>
              <w:bottom w:val="single" w:sz="4" w:space="0" w:color="auto"/>
              <w:right w:val="single" w:sz="4" w:space="0" w:color="auto"/>
            </w:tcBorders>
            <w:tcMar>
              <w:right w:w="202" w:type="dxa"/>
            </w:tcMar>
          </w:tcPr>
          <w:p w14:paraId="32209F1E" w14:textId="77777777" w:rsidR="006D7333" w:rsidRPr="00D44A69" w:rsidRDefault="006D7333" w:rsidP="00B006A9">
            <w:pPr>
              <w:widowControl w:val="0"/>
              <w:jc w:val="right"/>
              <w:rPr>
                <w:color w:val="000000"/>
                <w:sz w:val="20"/>
                <w:szCs w:val="20"/>
              </w:rPr>
            </w:pPr>
            <w:r>
              <w:rPr>
                <w:color w:val="000000"/>
                <w:sz w:val="20"/>
              </w:rPr>
              <w:t>0,00</w:t>
            </w:r>
          </w:p>
        </w:tc>
        <w:tc>
          <w:tcPr>
            <w:tcW w:w="499" w:type="pct"/>
            <w:tcBorders>
              <w:top w:val="nil"/>
              <w:left w:val="single" w:sz="4" w:space="0" w:color="auto"/>
              <w:bottom w:val="single" w:sz="4" w:space="0" w:color="auto"/>
              <w:right w:val="single" w:sz="4" w:space="0" w:color="auto"/>
            </w:tcBorders>
            <w:tcMar>
              <w:right w:w="202" w:type="dxa"/>
            </w:tcMar>
          </w:tcPr>
          <w:p w14:paraId="2885009D" w14:textId="77777777" w:rsidR="006D7333" w:rsidRPr="00D44A69" w:rsidRDefault="006D7333" w:rsidP="00B006A9">
            <w:pPr>
              <w:widowControl w:val="0"/>
              <w:jc w:val="right"/>
              <w:rPr>
                <w:color w:val="000000"/>
                <w:sz w:val="20"/>
                <w:szCs w:val="20"/>
              </w:rPr>
            </w:pPr>
            <w:r>
              <w:rPr>
                <w:color w:val="000000"/>
                <w:sz w:val="20"/>
              </w:rPr>
              <w:t>0,14</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11756227" w14:textId="77777777" w:rsidR="006D7333" w:rsidRPr="00D44A69" w:rsidRDefault="006D7333" w:rsidP="00B006A9">
            <w:pPr>
              <w:widowControl w:val="0"/>
              <w:jc w:val="right"/>
              <w:rPr>
                <w:color w:val="000000"/>
                <w:sz w:val="20"/>
                <w:szCs w:val="20"/>
              </w:rPr>
            </w:pPr>
            <w:r>
              <w:rPr>
                <w:color w:val="000000"/>
                <w:sz w:val="20"/>
              </w:rPr>
              <w:t>2,65</w:t>
            </w:r>
          </w:p>
        </w:tc>
      </w:tr>
      <w:tr w:rsidR="006D7333" w:rsidRPr="00D44A69" w14:paraId="792C3621" w14:textId="77777777" w:rsidTr="00B006A9">
        <w:tc>
          <w:tcPr>
            <w:tcW w:w="16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5004E4" w14:textId="77777777" w:rsidR="006D7333" w:rsidRPr="00D44A69" w:rsidRDefault="006D7333" w:rsidP="00B006A9">
            <w:pPr>
              <w:widowControl w:val="0"/>
              <w:jc w:val="left"/>
              <w:rPr>
                <w:color w:val="000000"/>
                <w:sz w:val="20"/>
                <w:szCs w:val="20"/>
              </w:rPr>
            </w:pPr>
            <w:r>
              <w:rPr>
                <w:color w:val="000000"/>
                <w:sz w:val="20"/>
              </w:rPr>
              <w:t>HCFC-124</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71D8736B" w14:textId="77777777" w:rsidR="006D7333" w:rsidRPr="00D44A69" w:rsidRDefault="006D7333" w:rsidP="00B006A9">
            <w:pPr>
              <w:widowControl w:val="0"/>
              <w:jc w:val="right"/>
              <w:rPr>
                <w:color w:val="000000"/>
                <w:sz w:val="20"/>
                <w:szCs w:val="20"/>
              </w:rPr>
            </w:pPr>
            <w:r>
              <w:rPr>
                <w:color w:val="000000"/>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7D0D2D9" w14:textId="77777777" w:rsidR="006D7333" w:rsidRPr="00D44A69" w:rsidRDefault="006D7333" w:rsidP="00B006A9">
            <w:pPr>
              <w:widowControl w:val="0"/>
              <w:jc w:val="right"/>
              <w:rPr>
                <w:color w:val="000000"/>
                <w:sz w:val="20"/>
                <w:szCs w:val="20"/>
              </w:rPr>
            </w:pPr>
            <w:r>
              <w:rPr>
                <w:color w:val="000000"/>
                <w:sz w:val="20"/>
              </w:rPr>
              <w:t>0,00</w:t>
            </w:r>
          </w:p>
        </w:tc>
        <w:tc>
          <w:tcPr>
            <w:tcW w:w="553" w:type="pct"/>
            <w:tcBorders>
              <w:top w:val="nil"/>
              <w:left w:val="nil"/>
              <w:bottom w:val="single" w:sz="4" w:space="0" w:color="auto"/>
              <w:right w:val="single" w:sz="4" w:space="0" w:color="auto"/>
            </w:tcBorders>
            <w:tcMar>
              <w:right w:w="202" w:type="dxa"/>
            </w:tcMar>
          </w:tcPr>
          <w:p w14:paraId="413595CA" w14:textId="77777777" w:rsidR="006D7333" w:rsidRPr="00D44A69" w:rsidRDefault="006D7333" w:rsidP="00B006A9">
            <w:pPr>
              <w:widowControl w:val="0"/>
              <w:jc w:val="right"/>
              <w:rPr>
                <w:color w:val="000000"/>
                <w:sz w:val="20"/>
                <w:szCs w:val="20"/>
              </w:rPr>
            </w:pPr>
            <w:r>
              <w:rPr>
                <w:color w:val="000000"/>
                <w:sz w:val="20"/>
              </w:rPr>
              <w:t>0,00</w:t>
            </w:r>
          </w:p>
        </w:tc>
        <w:tc>
          <w:tcPr>
            <w:tcW w:w="552" w:type="pct"/>
            <w:tcBorders>
              <w:top w:val="nil"/>
              <w:left w:val="nil"/>
              <w:bottom w:val="single" w:sz="4" w:space="0" w:color="auto"/>
              <w:right w:val="single" w:sz="4" w:space="0" w:color="auto"/>
            </w:tcBorders>
            <w:tcMar>
              <w:right w:w="202" w:type="dxa"/>
            </w:tcMar>
          </w:tcPr>
          <w:p w14:paraId="3FC040BF" w14:textId="77777777" w:rsidR="006D7333" w:rsidRPr="00D44A69" w:rsidRDefault="006D7333" w:rsidP="00B006A9">
            <w:pPr>
              <w:widowControl w:val="0"/>
              <w:jc w:val="right"/>
              <w:rPr>
                <w:color w:val="000000"/>
                <w:sz w:val="20"/>
                <w:szCs w:val="20"/>
              </w:rPr>
            </w:pPr>
            <w:r>
              <w:rPr>
                <w:color w:val="000000"/>
                <w:sz w:val="20"/>
              </w:rPr>
              <w:t>0,00</w:t>
            </w:r>
          </w:p>
        </w:tc>
        <w:tc>
          <w:tcPr>
            <w:tcW w:w="499" w:type="pct"/>
            <w:tcBorders>
              <w:top w:val="nil"/>
              <w:left w:val="single" w:sz="4" w:space="0" w:color="auto"/>
              <w:bottom w:val="single" w:sz="4" w:space="0" w:color="auto"/>
              <w:right w:val="single" w:sz="4" w:space="0" w:color="auto"/>
            </w:tcBorders>
            <w:tcMar>
              <w:right w:w="202" w:type="dxa"/>
            </w:tcMar>
          </w:tcPr>
          <w:p w14:paraId="4D80BB79" w14:textId="77777777" w:rsidR="006D7333" w:rsidRPr="00D44A69" w:rsidRDefault="006D7333" w:rsidP="00B006A9">
            <w:pPr>
              <w:widowControl w:val="0"/>
              <w:jc w:val="right"/>
              <w:rPr>
                <w:color w:val="000000"/>
                <w:sz w:val="20"/>
                <w:szCs w:val="20"/>
              </w:rPr>
            </w:pPr>
            <w:r>
              <w:rPr>
                <w:color w:val="000000"/>
                <w:sz w:val="20"/>
              </w:rPr>
              <w:t>0,00</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5EA4F3DC" w14:textId="77777777" w:rsidR="006D7333" w:rsidRPr="00D44A69" w:rsidRDefault="006D7333" w:rsidP="00B006A9">
            <w:pPr>
              <w:widowControl w:val="0"/>
              <w:jc w:val="right"/>
              <w:rPr>
                <w:color w:val="000000"/>
                <w:sz w:val="20"/>
                <w:szCs w:val="20"/>
              </w:rPr>
            </w:pPr>
            <w:r>
              <w:rPr>
                <w:color w:val="000000"/>
                <w:sz w:val="20"/>
              </w:rPr>
              <w:t>4,89</w:t>
            </w:r>
          </w:p>
        </w:tc>
      </w:tr>
      <w:tr w:rsidR="006D7333" w:rsidRPr="00D44A69" w14:paraId="54DF401E" w14:textId="77777777" w:rsidTr="00B006A9">
        <w:tc>
          <w:tcPr>
            <w:tcW w:w="16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0258FD1" w14:textId="77777777" w:rsidR="006D7333" w:rsidRPr="00D44A69" w:rsidRDefault="006D7333" w:rsidP="00B006A9">
            <w:pPr>
              <w:widowControl w:val="0"/>
              <w:jc w:val="left"/>
              <w:rPr>
                <w:color w:val="000000"/>
                <w:sz w:val="20"/>
                <w:szCs w:val="20"/>
              </w:rPr>
            </w:pPr>
            <w:r>
              <w:rPr>
                <w:color w:val="000000"/>
                <w:sz w:val="20"/>
              </w:rPr>
              <w:t>HCFC-141b</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2C0B1A45" w14:textId="77777777" w:rsidR="006D7333" w:rsidRPr="00D44A69" w:rsidRDefault="006D7333" w:rsidP="00B006A9">
            <w:pPr>
              <w:widowControl w:val="0"/>
              <w:jc w:val="right"/>
              <w:rPr>
                <w:color w:val="000000"/>
                <w:sz w:val="20"/>
                <w:szCs w:val="20"/>
              </w:rPr>
            </w:pPr>
            <w:r>
              <w:rPr>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40FB9EA3" w14:textId="77777777" w:rsidR="006D7333" w:rsidRPr="00D44A69" w:rsidRDefault="006D7333" w:rsidP="00B006A9">
            <w:pPr>
              <w:widowControl w:val="0"/>
              <w:jc w:val="right"/>
              <w:rPr>
                <w:color w:val="000000"/>
                <w:sz w:val="20"/>
                <w:szCs w:val="20"/>
              </w:rPr>
            </w:pPr>
            <w:r>
              <w:rPr>
                <w:sz w:val="20"/>
              </w:rPr>
              <w:t>0,00</w:t>
            </w:r>
          </w:p>
        </w:tc>
        <w:tc>
          <w:tcPr>
            <w:tcW w:w="553" w:type="pct"/>
            <w:tcBorders>
              <w:top w:val="nil"/>
              <w:left w:val="nil"/>
              <w:bottom w:val="single" w:sz="4" w:space="0" w:color="auto"/>
              <w:right w:val="single" w:sz="4" w:space="0" w:color="auto"/>
            </w:tcBorders>
            <w:tcMar>
              <w:right w:w="202" w:type="dxa"/>
            </w:tcMar>
          </w:tcPr>
          <w:p w14:paraId="10019754" w14:textId="77777777" w:rsidR="006D7333" w:rsidRPr="00D44A69" w:rsidRDefault="006D7333" w:rsidP="00B006A9">
            <w:pPr>
              <w:widowControl w:val="0"/>
              <w:jc w:val="right"/>
              <w:rPr>
                <w:color w:val="000000"/>
                <w:sz w:val="20"/>
                <w:szCs w:val="20"/>
              </w:rPr>
            </w:pPr>
            <w:r>
              <w:rPr>
                <w:sz w:val="20"/>
              </w:rPr>
              <w:t>0,00</w:t>
            </w:r>
          </w:p>
        </w:tc>
        <w:tc>
          <w:tcPr>
            <w:tcW w:w="552" w:type="pct"/>
            <w:tcBorders>
              <w:top w:val="nil"/>
              <w:left w:val="nil"/>
              <w:bottom w:val="single" w:sz="4" w:space="0" w:color="auto"/>
              <w:right w:val="single" w:sz="4" w:space="0" w:color="auto"/>
            </w:tcBorders>
            <w:tcMar>
              <w:right w:w="202" w:type="dxa"/>
            </w:tcMar>
          </w:tcPr>
          <w:p w14:paraId="28172944" w14:textId="77777777" w:rsidR="006D7333" w:rsidRPr="00D44A69" w:rsidRDefault="006D7333" w:rsidP="00B006A9">
            <w:pPr>
              <w:widowControl w:val="0"/>
              <w:jc w:val="right"/>
              <w:rPr>
                <w:color w:val="000000"/>
                <w:sz w:val="20"/>
                <w:szCs w:val="20"/>
              </w:rPr>
            </w:pPr>
            <w:r>
              <w:rPr>
                <w:sz w:val="20"/>
              </w:rPr>
              <w:t>0,00</w:t>
            </w:r>
          </w:p>
        </w:tc>
        <w:tc>
          <w:tcPr>
            <w:tcW w:w="499" w:type="pct"/>
            <w:tcBorders>
              <w:top w:val="nil"/>
              <w:left w:val="single" w:sz="4" w:space="0" w:color="auto"/>
              <w:bottom w:val="single" w:sz="4" w:space="0" w:color="auto"/>
              <w:right w:val="single" w:sz="4" w:space="0" w:color="auto"/>
            </w:tcBorders>
            <w:tcMar>
              <w:right w:w="202" w:type="dxa"/>
            </w:tcMar>
          </w:tcPr>
          <w:p w14:paraId="1B96CE94" w14:textId="77777777" w:rsidR="006D7333" w:rsidRPr="00D44A69" w:rsidRDefault="006D7333" w:rsidP="00B006A9">
            <w:pPr>
              <w:widowControl w:val="0"/>
              <w:jc w:val="right"/>
              <w:rPr>
                <w:color w:val="000000"/>
                <w:sz w:val="20"/>
                <w:szCs w:val="20"/>
              </w:rPr>
            </w:pPr>
            <w:r>
              <w:rPr>
                <w:sz w:val="20"/>
              </w:rPr>
              <w:t>0,00</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037FB213" w14:textId="77777777" w:rsidR="006D7333" w:rsidRPr="00D44A69" w:rsidRDefault="006D7333" w:rsidP="00B006A9">
            <w:pPr>
              <w:widowControl w:val="0"/>
              <w:jc w:val="right"/>
              <w:rPr>
                <w:color w:val="000000"/>
                <w:sz w:val="20"/>
                <w:szCs w:val="20"/>
              </w:rPr>
            </w:pPr>
            <w:r>
              <w:rPr>
                <w:color w:val="000000"/>
                <w:sz w:val="20"/>
              </w:rPr>
              <w:t>30,39</w:t>
            </w:r>
          </w:p>
        </w:tc>
      </w:tr>
      <w:tr w:rsidR="006D7333" w:rsidRPr="00D44A69" w14:paraId="2D7FD15A" w14:textId="77777777" w:rsidTr="00B006A9">
        <w:tc>
          <w:tcPr>
            <w:tcW w:w="16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3ABA81A" w14:textId="77777777" w:rsidR="006D7333" w:rsidRPr="00D44A69" w:rsidRDefault="006D7333" w:rsidP="00B006A9">
            <w:pPr>
              <w:widowControl w:val="0"/>
              <w:jc w:val="left"/>
              <w:rPr>
                <w:color w:val="000000"/>
                <w:sz w:val="20"/>
                <w:szCs w:val="20"/>
              </w:rPr>
            </w:pPr>
            <w:r>
              <w:rPr>
                <w:color w:val="000000"/>
                <w:sz w:val="20"/>
              </w:rPr>
              <w:t>HCFC-142b</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3B5CA1D2" w14:textId="77777777" w:rsidR="006D7333" w:rsidRPr="00D44A69" w:rsidRDefault="006D7333" w:rsidP="00B006A9">
            <w:pPr>
              <w:widowControl w:val="0"/>
              <w:jc w:val="right"/>
              <w:rPr>
                <w:color w:val="000000"/>
                <w:sz w:val="20"/>
                <w:szCs w:val="20"/>
              </w:rPr>
            </w:pPr>
            <w:r>
              <w:rPr>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6BB8CDDA" w14:textId="77777777" w:rsidR="006D7333" w:rsidRPr="00D44A69" w:rsidRDefault="006D7333" w:rsidP="00B006A9">
            <w:pPr>
              <w:widowControl w:val="0"/>
              <w:jc w:val="right"/>
              <w:rPr>
                <w:color w:val="000000"/>
                <w:sz w:val="20"/>
                <w:szCs w:val="20"/>
              </w:rPr>
            </w:pPr>
            <w:r>
              <w:rPr>
                <w:sz w:val="20"/>
              </w:rPr>
              <w:t>0,00</w:t>
            </w:r>
          </w:p>
        </w:tc>
        <w:tc>
          <w:tcPr>
            <w:tcW w:w="553" w:type="pct"/>
            <w:tcBorders>
              <w:top w:val="nil"/>
              <w:left w:val="nil"/>
              <w:bottom w:val="single" w:sz="4" w:space="0" w:color="auto"/>
              <w:right w:val="single" w:sz="4" w:space="0" w:color="auto"/>
            </w:tcBorders>
            <w:tcMar>
              <w:right w:w="202" w:type="dxa"/>
            </w:tcMar>
          </w:tcPr>
          <w:p w14:paraId="2BBE18DC" w14:textId="77777777" w:rsidR="006D7333" w:rsidRPr="00D44A69" w:rsidRDefault="006D7333" w:rsidP="00B006A9">
            <w:pPr>
              <w:widowControl w:val="0"/>
              <w:jc w:val="right"/>
              <w:rPr>
                <w:color w:val="000000"/>
                <w:sz w:val="20"/>
                <w:szCs w:val="20"/>
              </w:rPr>
            </w:pPr>
            <w:r>
              <w:rPr>
                <w:sz w:val="20"/>
              </w:rPr>
              <w:t>0,00</w:t>
            </w:r>
          </w:p>
        </w:tc>
        <w:tc>
          <w:tcPr>
            <w:tcW w:w="552" w:type="pct"/>
            <w:tcBorders>
              <w:top w:val="nil"/>
              <w:left w:val="nil"/>
              <w:bottom w:val="single" w:sz="4" w:space="0" w:color="auto"/>
              <w:right w:val="single" w:sz="4" w:space="0" w:color="auto"/>
            </w:tcBorders>
            <w:tcMar>
              <w:right w:w="202" w:type="dxa"/>
            </w:tcMar>
          </w:tcPr>
          <w:p w14:paraId="36CC82B8" w14:textId="77777777" w:rsidR="006D7333" w:rsidRPr="00D44A69" w:rsidRDefault="006D7333" w:rsidP="00B006A9">
            <w:pPr>
              <w:widowControl w:val="0"/>
              <w:jc w:val="right"/>
              <w:rPr>
                <w:color w:val="000000"/>
                <w:sz w:val="20"/>
                <w:szCs w:val="20"/>
              </w:rPr>
            </w:pPr>
            <w:r>
              <w:rPr>
                <w:sz w:val="20"/>
              </w:rPr>
              <w:t>0,00</w:t>
            </w:r>
          </w:p>
        </w:tc>
        <w:tc>
          <w:tcPr>
            <w:tcW w:w="499" w:type="pct"/>
            <w:tcBorders>
              <w:top w:val="nil"/>
              <w:left w:val="single" w:sz="4" w:space="0" w:color="auto"/>
              <w:bottom w:val="single" w:sz="4" w:space="0" w:color="auto"/>
              <w:right w:val="single" w:sz="4" w:space="0" w:color="auto"/>
            </w:tcBorders>
            <w:tcMar>
              <w:right w:w="202" w:type="dxa"/>
            </w:tcMar>
          </w:tcPr>
          <w:p w14:paraId="5EBF9BAB" w14:textId="77777777" w:rsidR="006D7333" w:rsidRPr="00D44A69" w:rsidRDefault="006D7333" w:rsidP="00B006A9">
            <w:pPr>
              <w:widowControl w:val="0"/>
              <w:jc w:val="right"/>
              <w:rPr>
                <w:color w:val="000000"/>
                <w:sz w:val="20"/>
                <w:szCs w:val="20"/>
              </w:rPr>
            </w:pPr>
            <w:r>
              <w:rPr>
                <w:sz w:val="20"/>
              </w:rPr>
              <w:t>0,00</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77C3CC41" w14:textId="77777777" w:rsidR="006D7333" w:rsidRPr="00D44A69" w:rsidRDefault="006D7333" w:rsidP="00B006A9">
            <w:pPr>
              <w:widowControl w:val="0"/>
              <w:jc w:val="right"/>
              <w:rPr>
                <w:color w:val="000000"/>
                <w:sz w:val="20"/>
                <w:szCs w:val="20"/>
              </w:rPr>
            </w:pPr>
            <w:r>
              <w:rPr>
                <w:color w:val="000000"/>
                <w:sz w:val="20"/>
              </w:rPr>
              <w:t>0,47</w:t>
            </w:r>
          </w:p>
        </w:tc>
      </w:tr>
      <w:tr w:rsidR="006D7333" w:rsidRPr="00D44A69" w14:paraId="490203A2" w14:textId="77777777" w:rsidTr="00B006A9">
        <w:tc>
          <w:tcPr>
            <w:tcW w:w="168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B8F275D" w14:textId="77777777" w:rsidR="006D7333" w:rsidRPr="00D44A69" w:rsidRDefault="006D7333" w:rsidP="00B006A9">
            <w:pPr>
              <w:jc w:val="left"/>
              <w:rPr>
                <w:rFonts w:eastAsiaTheme="minorHAnsi"/>
                <w:b/>
                <w:color w:val="000000"/>
                <w:sz w:val="20"/>
                <w:szCs w:val="20"/>
              </w:rPr>
            </w:pPr>
            <w:r>
              <w:rPr>
                <w:b/>
                <w:color w:val="000000"/>
                <w:sz w:val="20"/>
              </w:rPr>
              <w:t>Total (</w:t>
            </w:r>
            <w:proofErr w:type="spellStart"/>
            <w:r>
              <w:rPr>
                <w:b/>
                <w:color w:val="000000"/>
                <w:sz w:val="20"/>
              </w:rPr>
              <w:t>tm</w:t>
            </w:r>
            <w:proofErr w:type="spellEnd"/>
            <w:r>
              <w:rPr>
                <w:b/>
                <w:color w:val="000000"/>
                <w:sz w:val="20"/>
              </w:rPr>
              <w:t>)</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5DE5E111" w14:textId="77777777" w:rsidR="006D7333" w:rsidRPr="00D44A69" w:rsidRDefault="006D7333" w:rsidP="00B006A9">
            <w:pPr>
              <w:widowControl w:val="0"/>
              <w:jc w:val="right"/>
              <w:rPr>
                <w:b/>
                <w:color w:val="000000"/>
                <w:sz w:val="20"/>
                <w:szCs w:val="20"/>
              </w:rPr>
            </w:pPr>
            <w:r>
              <w:rPr>
                <w:b/>
                <w:color w:val="000000"/>
                <w:sz w:val="20"/>
              </w:rPr>
              <w:t>116,97</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56F8318D" w14:textId="77777777" w:rsidR="006D7333" w:rsidRPr="00D44A69" w:rsidRDefault="006D7333" w:rsidP="00B006A9">
            <w:pPr>
              <w:widowControl w:val="0"/>
              <w:jc w:val="right"/>
              <w:rPr>
                <w:b/>
                <w:color w:val="000000"/>
                <w:sz w:val="20"/>
                <w:szCs w:val="20"/>
              </w:rPr>
            </w:pPr>
            <w:r>
              <w:rPr>
                <w:b/>
                <w:color w:val="000000"/>
                <w:sz w:val="20"/>
              </w:rPr>
              <w:t>117,04</w:t>
            </w:r>
          </w:p>
        </w:tc>
        <w:tc>
          <w:tcPr>
            <w:tcW w:w="553" w:type="pct"/>
            <w:tcBorders>
              <w:top w:val="nil"/>
              <w:left w:val="nil"/>
              <w:bottom w:val="single" w:sz="4" w:space="0" w:color="auto"/>
              <w:right w:val="single" w:sz="4" w:space="0" w:color="auto"/>
            </w:tcBorders>
            <w:tcMar>
              <w:right w:w="202" w:type="dxa"/>
            </w:tcMar>
          </w:tcPr>
          <w:p w14:paraId="0A91C90A" w14:textId="77777777" w:rsidR="006D7333" w:rsidRPr="00D44A69" w:rsidRDefault="006D7333" w:rsidP="00B006A9">
            <w:pPr>
              <w:widowControl w:val="0"/>
              <w:jc w:val="right"/>
              <w:rPr>
                <w:b/>
                <w:color w:val="000000"/>
                <w:sz w:val="20"/>
                <w:szCs w:val="20"/>
              </w:rPr>
            </w:pPr>
            <w:r>
              <w:rPr>
                <w:b/>
                <w:color w:val="000000"/>
                <w:sz w:val="20"/>
              </w:rPr>
              <w:t>78,48</w:t>
            </w:r>
          </w:p>
        </w:tc>
        <w:tc>
          <w:tcPr>
            <w:tcW w:w="552" w:type="pct"/>
            <w:tcBorders>
              <w:top w:val="nil"/>
              <w:left w:val="nil"/>
              <w:bottom w:val="single" w:sz="4" w:space="0" w:color="auto"/>
              <w:right w:val="single" w:sz="4" w:space="0" w:color="auto"/>
            </w:tcBorders>
            <w:tcMar>
              <w:right w:w="202" w:type="dxa"/>
            </w:tcMar>
          </w:tcPr>
          <w:p w14:paraId="15DA3DCE" w14:textId="77777777" w:rsidR="006D7333" w:rsidRPr="00D44A69" w:rsidRDefault="006D7333" w:rsidP="00B006A9">
            <w:pPr>
              <w:widowControl w:val="0"/>
              <w:jc w:val="right"/>
              <w:rPr>
                <w:b/>
                <w:color w:val="000000"/>
                <w:sz w:val="20"/>
                <w:szCs w:val="20"/>
              </w:rPr>
            </w:pPr>
            <w:r>
              <w:rPr>
                <w:b/>
                <w:color w:val="000000"/>
                <w:sz w:val="20"/>
              </w:rPr>
              <w:t>62,59</w:t>
            </w:r>
          </w:p>
        </w:tc>
        <w:tc>
          <w:tcPr>
            <w:tcW w:w="499" w:type="pct"/>
            <w:tcBorders>
              <w:top w:val="nil"/>
              <w:left w:val="single" w:sz="4" w:space="0" w:color="auto"/>
              <w:bottom w:val="single" w:sz="4" w:space="0" w:color="auto"/>
              <w:right w:val="single" w:sz="4" w:space="0" w:color="auto"/>
            </w:tcBorders>
            <w:tcMar>
              <w:right w:w="202" w:type="dxa"/>
            </w:tcMar>
          </w:tcPr>
          <w:p w14:paraId="7081D203" w14:textId="77777777" w:rsidR="006D7333" w:rsidRPr="00D44A69" w:rsidRDefault="006D7333" w:rsidP="00B006A9">
            <w:pPr>
              <w:widowControl w:val="0"/>
              <w:jc w:val="right"/>
              <w:rPr>
                <w:b/>
                <w:color w:val="000000"/>
                <w:sz w:val="20"/>
                <w:szCs w:val="20"/>
              </w:rPr>
            </w:pPr>
            <w:r>
              <w:rPr>
                <w:b/>
                <w:color w:val="000000"/>
                <w:sz w:val="20"/>
              </w:rPr>
              <w:t>49,89</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3F62B68D" w14:textId="77777777" w:rsidR="006D7333" w:rsidRPr="00D44A69" w:rsidRDefault="006D7333" w:rsidP="00B006A9">
            <w:pPr>
              <w:widowControl w:val="0"/>
              <w:jc w:val="right"/>
              <w:rPr>
                <w:b/>
                <w:color w:val="000000"/>
                <w:sz w:val="20"/>
                <w:szCs w:val="20"/>
              </w:rPr>
            </w:pPr>
            <w:r>
              <w:rPr>
                <w:b/>
                <w:color w:val="000000"/>
                <w:sz w:val="20"/>
              </w:rPr>
              <w:t>186,51</w:t>
            </w:r>
          </w:p>
        </w:tc>
      </w:tr>
      <w:tr w:rsidR="006D7333" w:rsidRPr="00D44A69" w14:paraId="54AF9037" w14:textId="77777777" w:rsidTr="00B006A9">
        <w:tc>
          <w:tcPr>
            <w:tcW w:w="168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D523178" w14:textId="77777777" w:rsidR="006D7333" w:rsidRPr="00D44A69" w:rsidRDefault="006D7333" w:rsidP="00B006A9">
            <w:pPr>
              <w:jc w:val="left"/>
              <w:rPr>
                <w:b/>
                <w:bCs/>
                <w:color w:val="000000"/>
                <w:sz w:val="20"/>
                <w:szCs w:val="20"/>
              </w:rPr>
            </w:pPr>
            <w:r>
              <w:rPr>
                <w:color w:val="000000"/>
                <w:sz w:val="20"/>
              </w:rPr>
              <w:t xml:space="preserve">HCFC-141b dans les polyols </w:t>
            </w:r>
            <w:proofErr w:type="spellStart"/>
            <w:r>
              <w:rPr>
                <w:color w:val="000000"/>
                <w:sz w:val="20"/>
              </w:rPr>
              <w:t>prémélangés</w:t>
            </w:r>
            <w:proofErr w:type="spellEnd"/>
            <w:r>
              <w:rPr>
                <w:color w:val="000000"/>
                <w:sz w:val="20"/>
              </w:rPr>
              <w:t xml:space="preserve"> importés*</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0540BDB6" w14:textId="77777777" w:rsidR="006D7333" w:rsidRPr="00D44A69" w:rsidRDefault="006D7333" w:rsidP="00B006A9">
            <w:pPr>
              <w:jc w:val="right"/>
              <w:rPr>
                <w:color w:val="000000"/>
                <w:sz w:val="20"/>
                <w:szCs w:val="20"/>
              </w:rPr>
            </w:pPr>
            <w:r>
              <w:rPr>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FBA9F00" w14:textId="77777777" w:rsidR="006D7333" w:rsidRPr="00D44A69" w:rsidRDefault="006D7333" w:rsidP="00B006A9">
            <w:pPr>
              <w:jc w:val="right"/>
              <w:rPr>
                <w:color w:val="000000"/>
                <w:sz w:val="20"/>
                <w:szCs w:val="20"/>
              </w:rPr>
            </w:pPr>
            <w:r>
              <w:rPr>
                <w:sz w:val="20"/>
              </w:rPr>
              <w:t>0,00</w:t>
            </w:r>
          </w:p>
        </w:tc>
        <w:tc>
          <w:tcPr>
            <w:tcW w:w="553" w:type="pct"/>
            <w:tcBorders>
              <w:top w:val="nil"/>
              <w:left w:val="nil"/>
              <w:bottom w:val="single" w:sz="4" w:space="0" w:color="auto"/>
              <w:right w:val="single" w:sz="4" w:space="0" w:color="auto"/>
            </w:tcBorders>
            <w:tcMar>
              <w:right w:w="202" w:type="dxa"/>
            </w:tcMar>
          </w:tcPr>
          <w:p w14:paraId="55727919" w14:textId="77777777" w:rsidR="006D7333" w:rsidRPr="00D44A69" w:rsidRDefault="006D7333" w:rsidP="00B006A9">
            <w:pPr>
              <w:jc w:val="right"/>
              <w:rPr>
                <w:color w:val="000000"/>
                <w:sz w:val="20"/>
                <w:szCs w:val="20"/>
              </w:rPr>
            </w:pPr>
            <w:r>
              <w:rPr>
                <w:sz w:val="20"/>
              </w:rPr>
              <w:t>0,00</w:t>
            </w:r>
          </w:p>
        </w:tc>
        <w:tc>
          <w:tcPr>
            <w:tcW w:w="552" w:type="pct"/>
            <w:tcBorders>
              <w:top w:val="nil"/>
              <w:left w:val="nil"/>
              <w:bottom w:val="single" w:sz="4" w:space="0" w:color="auto"/>
              <w:right w:val="single" w:sz="4" w:space="0" w:color="auto"/>
            </w:tcBorders>
            <w:tcMar>
              <w:right w:w="202" w:type="dxa"/>
            </w:tcMar>
          </w:tcPr>
          <w:p w14:paraId="239C9378" w14:textId="77777777" w:rsidR="006D7333" w:rsidRPr="00D44A69" w:rsidRDefault="006D7333" w:rsidP="00B006A9">
            <w:pPr>
              <w:jc w:val="right"/>
              <w:rPr>
                <w:color w:val="000000"/>
                <w:sz w:val="20"/>
                <w:szCs w:val="20"/>
              </w:rPr>
            </w:pPr>
            <w:r>
              <w:rPr>
                <w:sz w:val="20"/>
              </w:rPr>
              <w:t>0,00</w:t>
            </w:r>
          </w:p>
        </w:tc>
        <w:tc>
          <w:tcPr>
            <w:tcW w:w="499" w:type="pct"/>
            <w:tcBorders>
              <w:top w:val="nil"/>
              <w:left w:val="single" w:sz="4" w:space="0" w:color="auto"/>
              <w:bottom w:val="single" w:sz="4" w:space="0" w:color="auto"/>
              <w:right w:val="single" w:sz="4" w:space="0" w:color="auto"/>
            </w:tcBorders>
            <w:tcMar>
              <w:right w:w="202" w:type="dxa"/>
            </w:tcMar>
          </w:tcPr>
          <w:p w14:paraId="48D21ED6" w14:textId="77777777" w:rsidR="006D7333" w:rsidRPr="00D44A69" w:rsidRDefault="006D7333" w:rsidP="00B006A9">
            <w:pPr>
              <w:jc w:val="right"/>
              <w:rPr>
                <w:sz w:val="20"/>
                <w:szCs w:val="20"/>
              </w:rPr>
            </w:pPr>
            <w:r>
              <w:rPr>
                <w:sz w:val="20"/>
              </w:rPr>
              <w:t>0,00</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3FF5D315" w14:textId="77777777" w:rsidR="006D7333" w:rsidRPr="00D44A69" w:rsidRDefault="006D7333" w:rsidP="00B006A9">
            <w:pPr>
              <w:jc w:val="right"/>
              <w:rPr>
                <w:sz w:val="20"/>
                <w:szCs w:val="20"/>
              </w:rPr>
            </w:pPr>
            <w:r>
              <w:rPr>
                <w:sz w:val="20"/>
              </w:rPr>
              <w:t>44,87**</w:t>
            </w:r>
          </w:p>
        </w:tc>
      </w:tr>
      <w:tr w:rsidR="006D7333" w:rsidRPr="00D44A69" w14:paraId="08E91C04" w14:textId="77777777" w:rsidTr="00B006A9">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E3C61AC" w14:textId="77777777" w:rsidR="006D7333" w:rsidRPr="00D44A69" w:rsidRDefault="006D7333" w:rsidP="00B006A9">
            <w:pPr>
              <w:widowControl w:val="0"/>
              <w:jc w:val="left"/>
              <w:rPr>
                <w:b/>
                <w:bCs/>
                <w:color w:val="000000"/>
                <w:sz w:val="20"/>
                <w:szCs w:val="20"/>
              </w:rPr>
            </w:pPr>
            <w:r>
              <w:rPr>
                <w:b/>
                <w:color w:val="000000"/>
                <w:sz w:val="20"/>
              </w:rPr>
              <w:t>Tonnes PAO</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D7BFF91" w14:textId="77777777" w:rsidR="006D7333" w:rsidRPr="00D44A69" w:rsidRDefault="006D7333" w:rsidP="00B006A9">
            <w:pPr>
              <w:widowControl w:val="0"/>
              <w:jc w:val="right"/>
              <w:rPr>
                <w:color w:val="000000"/>
                <w:sz w:val="20"/>
                <w:szCs w:val="20"/>
              </w:rPr>
            </w:pP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39082FB9" w14:textId="77777777" w:rsidR="006D7333" w:rsidRPr="00D44A69" w:rsidRDefault="006D7333" w:rsidP="00B006A9">
            <w:pPr>
              <w:widowControl w:val="0"/>
              <w:jc w:val="right"/>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tcMar>
              <w:right w:w="202" w:type="dxa"/>
            </w:tcMar>
          </w:tcPr>
          <w:p w14:paraId="0A1BA214" w14:textId="77777777" w:rsidR="006D7333" w:rsidRPr="00D44A69" w:rsidRDefault="006D7333" w:rsidP="00B006A9">
            <w:pPr>
              <w:widowControl w:val="0"/>
              <w:jc w:val="right"/>
              <w:rPr>
                <w:color w:val="000000"/>
                <w:sz w:val="20"/>
                <w:szCs w:val="20"/>
              </w:rPr>
            </w:pP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612592E2" w14:textId="77777777" w:rsidR="006D7333" w:rsidRPr="00D44A69" w:rsidRDefault="006D7333" w:rsidP="00B006A9">
            <w:pPr>
              <w:widowControl w:val="0"/>
              <w:jc w:val="right"/>
              <w:rPr>
                <w:color w:val="000000"/>
                <w:sz w:val="20"/>
                <w:szCs w:val="20"/>
              </w:rPr>
            </w:pPr>
          </w:p>
        </w:tc>
        <w:tc>
          <w:tcPr>
            <w:tcW w:w="499" w:type="pct"/>
            <w:tcBorders>
              <w:top w:val="single" w:sz="4" w:space="0" w:color="auto"/>
              <w:left w:val="single" w:sz="4" w:space="0" w:color="auto"/>
              <w:bottom w:val="single" w:sz="4" w:space="0" w:color="auto"/>
              <w:right w:val="single" w:sz="4" w:space="0" w:color="auto"/>
            </w:tcBorders>
            <w:tcMar>
              <w:right w:w="202" w:type="dxa"/>
            </w:tcMar>
          </w:tcPr>
          <w:p w14:paraId="7980DC16" w14:textId="77777777" w:rsidR="006D7333" w:rsidRPr="00D44A69" w:rsidRDefault="006D7333" w:rsidP="00B006A9">
            <w:pPr>
              <w:widowControl w:val="0"/>
              <w:jc w:val="right"/>
              <w:rPr>
                <w:color w:val="000000"/>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5F883F16" w14:textId="77777777" w:rsidR="006D7333" w:rsidRPr="00D44A69" w:rsidRDefault="006D7333" w:rsidP="00B006A9">
            <w:pPr>
              <w:widowControl w:val="0"/>
              <w:jc w:val="right"/>
              <w:rPr>
                <w:color w:val="000000"/>
                <w:sz w:val="20"/>
                <w:szCs w:val="20"/>
              </w:rPr>
            </w:pPr>
          </w:p>
        </w:tc>
      </w:tr>
      <w:tr w:rsidR="006D7333" w:rsidRPr="00D44A69" w14:paraId="2A661989" w14:textId="77777777" w:rsidTr="00B006A9">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1E483F1" w14:textId="77777777" w:rsidR="006D7333" w:rsidRPr="00D44A69" w:rsidRDefault="006D7333" w:rsidP="00B006A9">
            <w:pPr>
              <w:widowControl w:val="0"/>
              <w:jc w:val="left"/>
              <w:rPr>
                <w:color w:val="000000"/>
                <w:sz w:val="20"/>
                <w:szCs w:val="20"/>
              </w:rPr>
            </w:pPr>
            <w:r>
              <w:rPr>
                <w:color w:val="000000"/>
                <w:sz w:val="20"/>
              </w:rPr>
              <w:t>HCFC-22</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66A6A11F" w14:textId="77777777" w:rsidR="006D7333" w:rsidRPr="00D44A69" w:rsidRDefault="006D7333" w:rsidP="00B006A9">
            <w:pPr>
              <w:widowControl w:val="0"/>
              <w:jc w:val="right"/>
              <w:rPr>
                <w:color w:val="000000"/>
                <w:sz w:val="20"/>
                <w:szCs w:val="20"/>
              </w:rPr>
            </w:pPr>
            <w:r>
              <w:rPr>
                <w:color w:val="000000"/>
                <w:sz w:val="20"/>
              </w:rPr>
              <w:t>6,40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218003BF" w14:textId="77777777" w:rsidR="006D7333" w:rsidRPr="00D44A69" w:rsidRDefault="006D7333" w:rsidP="00B006A9">
            <w:pPr>
              <w:widowControl w:val="0"/>
              <w:jc w:val="right"/>
              <w:rPr>
                <w:color w:val="000000"/>
                <w:sz w:val="20"/>
                <w:szCs w:val="20"/>
              </w:rPr>
            </w:pPr>
            <w:r>
              <w:rPr>
                <w:color w:val="000000"/>
                <w:sz w:val="20"/>
              </w:rPr>
              <w:t>6,41</w:t>
            </w:r>
          </w:p>
        </w:tc>
        <w:tc>
          <w:tcPr>
            <w:tcW w:w="553" w:type="pct"/>
            <w:tcBorders>
              <w:top w:val="single" w:sz="4" w:space="0" w:color="auto"/>
              <w:left w:val="single" w:sz="4" w:space="0" w:color="auto"/>
              <w:bottom w:val="single" w:sz="4" w:space="0" w:color="auto"/>
              <w:right w:val="single" w:sz="4" w:space="0" w:color="auto"/>
            </w:tcBorders>
            <w:tcMar>
              <w:right w:w="202" w:type="dxa"/>
            </w:tcMar>
          </w:tcPr>
          <w:p w14:paraId="471C75ED" w14:textId="77777777" w:rsidR="006D7333" w:rsidRPr="00D44A69" w:rsidRDefault="006D7333" w:rsidP="00B006A9">
            <w:pPr>
              <w:widowControl w:val="0"/>
              <w:jc w:val="right"/>
              <w:rPr>
                <w:color w:val="000000"/>
                <w:sz w:val="20"/>
                <w:szCs w:val="20"/>
              </w:rPr>
            </w:pPr>
            <w:r>
              <w:rPr>
                <w:color w:val="000000"/>
                <w:sz w:val="20"/>
              </w:rPr>
              <w:t>4,28</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29E4E023" w14:textId="77777777" w:rsidR="006D7333" w:rsidRPr="00D44A69" w:rsidRDefault="006D7333" w:rsidP="00B006A9">
            <w:pPr>
              <w:widowControl w:val="0"/>
              <w:jc w:val="right"/>
              <w:rPr>
                <w:color w:val="000000"/>
                <w:sz w:val="20"/>
                <w:szCs w:val="20"/>
              </w:rPr>
            </w:pPr>
            <w:r>
              <w:rPr>
                <w:color w:val="000000"/>
                <w:sz w:val="20"/>
              </w:rPr>
              <w:t>3,44</w:t>
            </w:r>
          </w:p>
        </w:tc>
        <w:tc>
          <w:tcPr>
            <w:tcW w:w="499" w:type="pct"/>
            <w:tcBorders>
              <w:top w:val="single" w:sz="4" w:space="0" w:color="auto"/>
              <w:left w:val="single" w:sz="4" w:space="0" w:color="auto"/>
              <w:bottom w:val="single" w:sz="4" w:space="0" w:color="auto"/>
              <w:right w:val="single" w:sz="4" w:space="0" w:color="auto"/>
            </w:tcBorders>
            <w:tcMar>
              <w:right w:w="202" w:type="dxa"/>
            </w:tcMar>
          </w:tcPr>
          <w:p w14:paraId="4C776CCA" w14:textId="77777777" w:rsidR="006D7333" w:rsidRPr="00D44A69" w:rsidRDefault="006D7333" w:rsidP="00B006A9">
            <w:pPr>
              <w:widowControl w:val="0"/>
              <w:jc w:val="right"/>
              <w:rPr>
                <w:color w:val="000000"/>
                <w:sz w:val="20"/>
                <w:szCs w:val="20"/>
              </w:rPr>
            </w:pPr>
            <w:r>
              <w:rPr>
                <w:color w:val="000000"/>
                <w:sz w:val="20"/>
              </w:rPr>
              <w:t>2,74</w:t>
            </w:r>
          </w:p>
        </w:tc>
        <w:tc>
          <w:tcPr>
            <w:tcW w:w="60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1C956590" w14:textId="77777777" w:rsidR="006D7333" w:rsidRPr="00D44A69" w:rsidRDefault="006D7333" w:rsidP="00B006A9">
            <w:pPr>
              <w:widowControl w:val="0"/>
              <w:jc w:val="right"/>
              <w:rPr>
                <w:color w:val="000000"/>
                <w:sz w:val="20"/>
                <w:szCs w:val="20"/>
              </w:rPr>
            </w:pPr>
            <w:r>
              <w:rPr>
                <w:color w:val="000000"/>
                <w:sz w:val="20"/>
              </w:rPr>
              <w:t>8,15</w:t>
            </w:r>
          </w:p>
        </w:tc>
      </w:tr>
      <w:tr w:rsidR="006D7333" w:rsidRPr="00D44A69" w14:paraId="2CEAB0EF" w14:textId="77777777" w:rsidTr="00B006A9">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9EE568A" w14:textId="77777777" w:rsidR="006D7333" w:rsidRPr="00D44A69" w:rsidRDefault="006D7333" w:rsidP="00B006A9">
            <w:pPr>
              <w:widowControl w:val="0"/>
              <w:jc w:val="left"/>
              <w:rPr>
                <w:color w:val="000000"/>
                <w:sz w:val="20"/>
                <w:szCs w:val="20"/>
              </w:rPr>
            </w:pPr>
            <w:r>
              <w:rPr>
                <w:color w:val="000000"/>
                <w:sz w:val="20"/>
              </w:rPr>
              <w:t>HCFC-123</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377AC7B2" w14:textId="77777777" w:rsidR="006D7333" w:rsidRPr="00D44A69" w:rsidRDefault="006D7333" w:rsidP="00B006A9">
            <w:pPr>
              <w:widowControl w:val="0"/>
              <w:jc w:val="right"/>
              <w:rPr>
                <w:color w:val="000000"/>
                <w:sz w:val="20"/>
                <w:szCs w:val="20"/>
              </w:rPr>
            </w:pPr>
            <w:r>
              <w:rPr>
                <w:color w:val="000000"/>
                <w:sz w:val="20"/>
              </w:rPr>
              <w:t>0,01</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7C4BD027" w14:textId="77777777" w:rsidR="006D7333" w:rsidRPr="00D44A69" w:rsidRDefault="006D7333" w:rsidP="00B006A9">
            <w:pPr>
              <w:widowControl w:val="0"/>
              <w:jc w:val="right"/>
              <w:rPr>
                <w:color w:val="000000"/>
                <w:sz w:val="20"/>
                <w:szCs w:val="20"/>
              </w:rPr>
            </w:pPr>
            <w:r>
              <w:rPr>
                <w:color w:val="000000"/>
                <w:sz w:val="20"/>
              </w:rPr>
              <w:t>0,01</w:t>
            </w:r>
          </w:p>
        </w:tc>
        <w:tc>
          <w:tcPr>
            <w:tcW w:w="553" w:type="pct"/>
            <w:tcBorders>
              <w:top w:val="single" w:sz="4" w:space="0" w:color="auto"/>
              <w:left w:val="single" w:sz="4" w:space="0" w:color="auto"/>
              <w:bottom w:val="single" w:sz="4" w:space="0" w:color="auto"/>
              <w:right w:val="single" w:sz="4" w:space="0" w:color="auto"/>
            </w:tcBorders>
            <w:tcMar>
              <w:right w:w="202" w:type="dxa"/>
            </w:tcMar>
          </w:tcPr>
          <w:p w14:paraId="037D55DE" w14:textId="77777777" w:rsidR="006D7333" w:rsidRPr="00D44A69" w:rsidRDefault="006D7333" w:rsidP="00B006A9">
            <w:pPr>
              <w:widowControl w:val="0"/>
              <w:jc w:val="right"/>
              <w:rPr>
                <w:color w:val="000000"/>
                <w:sz w:val="20"/>
                <w:szCs w:val="20"/>
              </w:rPr>
            </w:pPr>
            <w:r>
              <w:rPr>
                <w:color w:val="000000"/>
                <w:sz w:val="20"/>
              </w:rPr>
              <w:t>0,01</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7A53D620" w14:textId="77777777" w:rsidR="006D7333" w:rsidRPr="00D44A69" w:rsidRDefault="006D7333" w:rsidP="00B006A9">
            <w:pPr>
              <w:widowControl w:val="0"/>
              <w:jc w:val="right"/>
              <w:rPr>
                <w:color w:val="000000"/>
                <w:sz w:val="20"/>
                <w:szCs w:val="20"/>
              </w:rPr>
            </w:pPr>
            <w:r>
              <w:rPr>
                <w:color w:val="000000"/>
                <w:sz w:val="20"/>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14:paraId="7D4A7777" w14:textId="77777777" w:rsidR="006D7333" w:rsidRPr="00D44A69" w:rsidRDefault="006D7333" w:rsidP="00B006A9">
            <w:pPr>
              <w:widowControl w:val="0"/>
              <w:jc w:val="right"/>
              <w:rPr>
                <w:color w:val="000000"/>
                <w:sz w:val="20"/>
                <w:szCs w:val="20"/>
              </w:rPr>
            </w:pPr>
            <w:r>
              <w:rPr>
                <w:color w:val="000000"/>
                <w:sz w:val="20"/>
              </w:rPr>
              <w:t>0,00</w:t>
            </w:r>
          </w:p>
        </w:tc>
        <w:tc>
          <w:tcPr>
            <w:tcW w:w="60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2CD61B86" w14:textId="77777777" w:rsidR="006D7333" w:rsidRPr="00D44A69" w:rsidRDefault="006D7333" w:rsidP="00B006A9">
            <w:pPr>
              <w:widowControl w:val="0"/>
              <w:jc w:val="right"/>
              <w:rPr>
                <w:color w:val="000000"/>
                <w:sz w:val="20"/>
                <w:szCs w:val="20"/>
              </w:rPr>
            </w:pPr>
            <w:r>
              <w:rPr>
                <w:color w:val="000000"/>
                <w:sz w:val="20"/>
              </w:rPr>
              <w:t>0,05</w:t>
            </w:r>
          </w:p>
        </w:tc>
      </w:tr>
      <w:tr w:rsidR="006D7333" w:rsidRPr="00D44A69" w14:paraId="3EDA5F09" w14:textId="77777777" w:rsidTr="00B006A9">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2927EB7" w14:textId="77777777" w:rsidR="006D7333" w:rsidRPr="00D44A69" w:rsidRDefault="006D7333" w:rsidP="00B006A9">
            <w:pPr>
              <w:widowControl w:val="0"/>
              <w:jc w:val="left"/>
              <w:rPr>
                <w:color w:val="000000"/>
                <w:sz w:val="20"/>
                <w:szCs w:val="20"/>
              </w:rPr>
            </w:pPr>
            <w:r>
              <w:rPr>
                <w:color w:val="000000"/>
                <w:sz w:val="20"/>
              </w:rPr>
              <w:t>HCFC-124</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09140DAC" w14:textId="77777777" w:rsidR="006D7333" w:rsidRPr="00D44A69" w:rsidRDefault="006D7333" w:rsidP="00B006A9">
            <w:pPr>
              <w:widowControl w:val="0"/>
              <w:jc w:val="right"/>
              <w:rPr>
                <w:color w:val="000000"/>
                <w:sz w:val="20"/>
                <w:szCs w:val="20"/>
              </w:rPr>
            </w:pPr>
            <w:r>
              <w:rPr>
                <w:color w:val="000000"/>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615D3522" w14:textId="77777777" w:rsidR="006D7333" w:rsidRPr="00D44A69" w:rsidRDefault="006D7333" w:rsidP="00B006A9">
            <w:pPr>
              <w:widowControl w:val="0"/>
              <w:jc w:val="right"/>
              <w:rPr>
                <w:color w:val="000000"/>
                <w:sz w:val="20"/>
                <w:szCs w:val="20"/>
              </w:rPr>
            </w:pPr>
            <w:r>
              <w:rPr>
                <w:color w:val="000000"/>
                <w:sz w:val="20"/>
              </w:rPr>
              <w:t>0,00</w:t>
            </w:r>
          </w:p>
        </w:tc>
        <w:tc>
          <w:tcPr>
            <w:tcW w:w="553" w:type="pct"/>
            <w:tcBorders>
              <w:top w:val="single" w:sz="4" w:space="0" w:color="auto"/>
              <w:left w:val="single" w:sz="4" w:space="0" w:color="auto"/>
              <w:bottom w:val="single" w:sz="4" w:space="0" w:color="auto"/>
              <w:right w:val="single" w:sz="4" w:space="0" w:color="auto"/>
            </w:tcBorders>
            <w:tcMar>
              <w:right w:w="202" w:type="dxa"/>
            </w:tcMar>
          </w:tcPr>
          <w:p w14:paraId="4FCC354A" w14:textId="77777777" w:rsidR="006D7333" w:rsidRPr="00D44A69" w:rsidRDefault="006D7333" w:rsidP="00B006A9">
            <w:pPr>
              <w:widowControl w:val="0"/>
              <w:jc w:val="right"/>
              <w:rPr>
                <w:color w:val="000000"/>
                <w:sz w:val="20"/>
                <w:szCs w:val="20"/>
              </w:rPr>
            </w:pPr>
            <w:r>
              <w:rPr>
                <w:color w:val="000000"/>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68252CD9" w14:textId="77777777" w:rsidR="006D7333" w:rsidRPr="00D44A69" w:rsidRDefault="006D7333" w:rsidP="00B006A9">
            <w:pPr>
              <w:widowControl w:val="0"/>
              <w:jc w:val="right"/>
              <w:rPr>
                <w:color w:val="000000"/>
                <w:sz w:val="20"/>
                <w:szCs w:val="20"/>
              </w:rPr>
            </w:pPr>
            <w:r>
              <w:rPr>
                <w:color w:val="000000"/>
                <w:sz w:val="20"/>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14:paraId="75368048" w14:textId="77777777" w:rsidR="006D7333" w:rsidRPr="00D44A69" w:rsidRDefault="006D7333" w:rsidP="00B006A9">
            <w:pPr>
              <w:widowControl w:val="0"/>
              <w:jc w:val="right"/>
              <w:rPr>
                <w:color w:val="000000"/>
                <w:sz w:val="20"/>
                <w:szCs w:val="20"/>
              </w:rPr>
            </w:pPr>
            <w:r>
              <w:rPr>
                <w:color w:val="000000"/>
                <w:sz w:val="20"/>
              </w:rPr>
              <w:t>0,00</w:t>
            </w:r>
          </w:p>
        </w:tc>
        <w:tc>
          <w:tcPr>
            <w:tcW w:w="60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46E4493C" w14:textId="77777777" w:rsidR="006D7333" w:rsidRPr="00D44A69" w:rsidRDefault="006D7333" w:rsidP="00B006A9">
            <w:pPr>
              <w:widowControl w:val="0"/>
              <w:jc w:val="right"/>
              <w:rPr>
                <w:color w:val="000000"/>
                <w:sz w:val="20"/>
                <w:szCs w:val="20"/>
              </w:rPr>
            </w:pPr>
            <w:r>
              <w:rPr>
                <w:color w:val="000000"/>
                <w:sz w:val="20"/>
              </w:rPr>
              <w:t>0,11</w:t>
            </w:r>
          </w:p>
        </w:tc>
      </w:tr>
      <w:tr w:rsidR="006D7333" w:rsidRPr="00D44A69" w14:paraId="30D04878" w14:textId="77777777" w:rsidTr="00B006A9">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A7CA6BF" w14:textId="77777777" w:rsidR="006D7333" w:rsidRPr="00D44A69" w:rsidRDefault="006D7333" w:rsidP="00B006A9">
            <w:pPr>
              <w:widowControl w:val="0"/>
              <w:jc w:val="left"/>
              <w:rPr>
                <w:color w:val="000000"/>
                <w:sz w:val="20"/>
                <w:szCs w:val="20"/>
              </w:rPr>
            </w:pPr>
            <w:r>
              <w:rPr>
                <w:color w:val="000000"/>
                <w:sz w:val="20"/>
              </w:rPr>
              <w:lastRenderedPageBreak/>
              <w:t>HCFC-141b</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7B15DC5A" w14:textId="77777777" w:rsidR="006D7333" w:rsidRPr="00D44A69" w:rsidRDefault="006D7333" w:rsidP="00B006A9">
            <w:pPr>
              <w:widowControl w:val="0"/>
              <w:jc w:val="right"/>
              <w:rPr>
                <w:color w:val="000000"/>
                <w:sz w:val="20"/>
                <w:szCs w:val="20"/>
              </w:rPr>
            </w:pPr>
            <w:r>
              <w:rPr>
                <w:color w:val="000000"/>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0B36947" w14:textId="77777777" w:rsidR="006D7333" w:rsidRPr="00D44A69" w:rsidRDefault="006D7333" w:rsidP="00B006A9">
            <w:pPr>
              <w:widowControl w:val="0"/>
              <w:jc w:val="right"/>
              <w:rPr>
                <w:color w:val="000000"/>
                <w:sz w:val="20"/>
                <w:szCs w:val="20"/>
              </w:rPr>
            </w:pPr>
            <w:r>
              <w:rPr>
                <w:color w:val="000000"/>
                <w:sz w:val="20"/>
              </w:rPr>
              <w:t>0,00</w:t>
            </w:r>
          </w:p>
        </w:tc>
        <w:tc>
          <w:tcPr>
            <w:tcW w:w="553" w:type="pct"/>
            <w:tcBorders>
              <w:top w:val="single" w:sz="4" w:space="0" w:color="auto"/>
              <w:left w:val="single" w:sz="4" w:space="0" w:color="auto"/>
              <w:bottom w:val="single" w:sz="4" w:space="0" w:color="auto"/>
              <w:right w:val="single" w:sz="4" w:space="0" w:color="auto"/>
            </w:tcBorders>
            <w:tcMar>
              <w:right w:w="202" w:type="dxa"/>
            </w:tcMar>
          </w:tcPr>
          <w:p w14:paraId="4DDA7094" w14:textId="77777777" w:rsidR="006D7333" w:rsidRPr="00D44A69" w:rsidRDefault="006D7333" w:rsidP="00B006A9">
            <w:pPr>
              <w:widowControl w:val="0"/>
              <w:jc w:val="right"/>
              <w:rPr>
                <w:color w:val="000000"/>
                <w:sz w:val="20"/>
                <w:szCs w:val="20"/>
              </w:rPr>
            </w:pPr>
            <w:r>
              <w:rPr>
                <w:color w:val="000000"/>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501DC8EA" w14:textId="77777777" w:rsidR="006D7333" w:rsidRPr="00D44A69" w:rsidRDefault="006D7333" w:rsidP="00B006A9">
            <w:pPr>
              <w:widowControl w:val="0"/>
              <w:jc w:val="right"/>
              <w:rPr>
                <w:color w:val="000000"/>
                <w:sz w:val="20"/>
                <w:szCs w:val="20"/>
              </w:rPr>
            </w:pPr>
            <w:r>
              <w:rPr>
                <w:color w:val="000000"/>
                <w:sz w:val="20"/>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14:paraId="21B1891C" w14:textId="77777777" w:rsidR="006D7333" w:rsidRPr="00D44A69" w:rsidRDefault="006D7333" w:rsidP="00B006A9">
            <w:pPr>
              <w:widowControl w:val="0"/>
              <w:jc w:val="right"/>
              <w:rPr>
                <w:color w:val="000000"/>
                <w:sz w:val="20"/>
                <w:szCs w:val="20"/>
              </w:rPr>
            </w:pPr>
            <w:r>
              <w:rPr>
                <w:color w:val="000000"/>
                <w:sz w:val="20"/>
              </w:rPr>
              <w:t>0,00</w:t>
            </w:r>
          </w:p>
        </w:tc>
        <w:tc>
          <w:tcPr>
            <w:tcW w:w="60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32E5B151" w14:textId="77777777" w:rsidR="006D7333" w:rsidRPr="00D44A69" w:rsidRDefault="006D7333" w:rsidP="00B006A9">
            <w:pPr>
              <w:widowControl w:val="0"/>
              <w:jc w:val="right"/>
              <w:rPr>
                <w:color w:val="000000"/>
                <w:sz w:val="20"/>
                <w:szCs w:val="20"/>
              </w:rPr>
            </w:pPr>
            <w:r>
              <w:rPr>
                <w:color w:val="000000"/>
                <w:sz w:val="20"/>
              </w:rPr>
              <w:t>3,34</w:t>
            </w:r>
          </w:p>
        </w:tc>
      </w:tr>
      <w:tr w:rsidR="006D7333" w:rsidRPr="00D44A69" w14:paraId="013101B3" w14:textId="77777777" w:rsidTr="00B006A9">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178E77B" w14:textId="77777777" w:rsidR="006D7333" w:rsidRPr="00D44A69" w:rsidRDefault="006D7333" w:rsidP="00B006A9">
            <w:pPr>
              <w:widowControl w:val="0"/>
              <w:jc w:val="left"/>
              <w:rPr>
                <w:color w:val="000000"/>
                <w:sz w:val="20"/>
                <w:szCs w:val="20"/>
              </w:rPr>
            </w:pPr>
            <w:r>
              <w:rPr>
                <w:color w:val="000000"/>
                <w:sz w:val="20"/>
              </w:rPr>
              <w:t>HCFC-142b</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565522E3" w14:textId="77777777" w:rsidR="006D7333" w:rsidRPr="00D44A69" w:rsidRDefault="006D7333" w:rsidP="00B006A9">
            <w:pPr>
              <w:widowControl w:val="0"/>
              <w:jc w:val="right"/>
              <w:rPr>
                <w:color w:val="000000"/>
                <w:sz w:val="20"/>
                <w:szCs w:val="20"/>
              </w:rPr>
            </w:pPr>
            <w:r>
              <w:rPr>
                <w:color w:val="000000"/>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B284A10" w14:textId="77777777" w:rsidR="006D7333" w:rsidRPr="00D44A69" w:rsidRDefault="006D7333" w:rsidP="00B006A9">
            <w:pPr>
              <w:widowControl w:val="0"/>
              <w:jc w:val="right"/>
              <w:rPr>
                <w:color w:val="000000"/>
                <w:sz w:val="20"/>
                <w:szCs w:val="20"/>
              </w:rPr>
            </w:pPr>
            <w:r>
              <w:rPr>
                <w:color w:val="000000"/>
                <w:sz w:val="20"/>
              </w:rPr>
              <w:t>0,00</w:t>
            </w:r>
          </w:p>
        </w:tc>
        <w:tc>
          <w:tcPr>
            <w:tcW w:w="553" w:type="pct"/>
            <w:tcBorders>
              <w:top w:val="single" w:sz="4" w:space="0" w:color="auto"/>
              <w:left w:val="single" w:sz="4" w:space="0" w:color="auto"/>
              <w:bottom w:val="single" w:sz="4" w:space="0" w:color="auto"/>
              <w:right w:val="single" w:sz="4" w:space="0" w:color="auto"/>
            </w:tcBorders>
            <w:tcMar>
              <w:right w:w="202" w:type="dxa"/>
            </w:tcMar>
          </w:tcPr>
          <w:p w14:paraId="73AE1B5B" w14:textId="77777777" w:rsidR="006D7333" w:rsidRPr="00D44A69" w:rsidRDefault="006D7333" w:rsidP="00B006A9">
            <w:pPr>
              <w:widowControl w:val="0"/>
              <w:jc w:val="right"/>
              <w:rPr>
                <w:color w:val="000000"/>
                <w:sz w:val="20"/>
                <w:szCs w:val="20"/>
              </w:rPr>
            </w:pPr>
            <w:r>
              <w:rPr>
                <w:color w:val="000000"/>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795C6033" w14:textId="77777777" w:rsidR="006D7333" w:rsidRPr="00D44A69" w:rsidRDefault="006D7333" w:rsidP="00B006A9">
            <w:pPr>
              <w:widowControl w:val="0"/>
              <w:jc w:val="right"/>
              <w:rPr>
                <w:color w:val="000000"/>
                <w:sz w:val="20"/>
                <w:szCs w:val="20"/>
              </w:rPr>
            </w:pPr>
            <w:r>
              <w:rPr>
                <w:color w:val="000000"/>
                <w:sz w:val="20"/>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14:paraId="67E38554" w14:textId="77777777" w:rsidR="006D7333" w:rsidRPr="00D44A69" w:rsidRDefault="006D7333" w:rsidP="00B006A9">
            <w:pPr>
              <w:widowControl w:val="0"/>
              <w:jc w:val="right"/>
              <w:rPr>
                <w:color w:val="000000"/>
                <w:sz w:val="20"/>
                <w:szCs w:val="20"/>
              </w:rPr>
            </w:pPr>
            <w:r>
              <w:rPr>
                <w:color w:val="000000"/>
                <w:sz w:val="20"/>
              </w:rPr>
              <w:t>0,00</w:t>
            </w:r>
          </w:p>
        </w:tc>
        <w:tc>
          <w:tcPr>
            <w:tcW w:w="60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1E7ECAA6" w14:textId="77777777" w:rsidR="006D7333" w:rsidRPr="00D44A69" w:rsidRDefault="006D7333" w:rsidP="00B006A9">
            <w:pPr>
              <w:widowControl w:val="0"/>
              <w:jc w:val="right"/>
              <w:rPr>
                <w:color w:val="000000"/>
                <w:sz w:val="20"/>
                <w:szCs w:val="20"/>
              </w:rPr>
            </w:pPr>
            <w:r>
              <w:rPr>
                <w:color w:val="000000"/>
                <w:sz w:val="20"/>
              </w:rPr>
              <w:t>0,03</w:t>
            </w:r>
          </w:p>
        </w:tc>
      </w:tr>
      <w:tr w:rsidR="006D7333" w:rsidRPr="00D44A69" w14:paraId="0E8ECDC0" w14:textId="77777777" w:rsidTr="00B006A9">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01AD6C4" w14:textId="77777777" w:rsidR="006D7333" w:rsidRPr="00D44A69" w:rsidRDefault="006D7333" w:rsidP="00B006A9">
            <w:pPr>
              <w:jc w:val="left"/>
              <w:rPr>
                <w:rFonts w:eastAsiaTheme="minorHAnsi"/>
                <w:b/>
                <w:sz w:val="20"/>
                <w:szCs w:val="20"/>
              </w:rPr>
            </w:pPr>
            <w:r>
              <w:rPr>
                <w:b/>
                <w:sz w:val="20"/>
              </w:rPr>
              <w:t>Total (tonnes PAO)</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30ADF386" w14:textId="77777777" w:rsidR="006D7333" w:rsidRPr="00D44A69" w:rsidRDefault="006D7333" w:rsidP="00B006A9">
            <w:pPr>
              <w:widowControl w:val="0"/>
              <w:jc w:val="right"/>
              <w:rPr>
                <w:rFonts w:eastAsiaTheme="minorHAnsi"/>
                <w:b/>
                <w:color w:val="000000"/>
                <w:sz w:val="20"/>
                <w:szCs w:val="20"/>
              </w:rPr>
            </w:pPr>
            <w:r>
              <w:rPr>
                <w:b/>
                <w:color w:val="000000"/>
                <w:sz w:val="20"/>
              </w:rPr>
              <w:t>6,41</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C642436" w14:textId="77777777" w:rsidR="006D7333" w:rsidRPr="00D44A69" w:rsidRDefault="006D7333" w:rsidP="00B006A9">
            <w:pPr>
              <w:widowControl w:val="0"/>
              <w:jc w:val="right"/>
              <w:rPr>
                <w:rFonts w:eastAsiaTheme="minorHAnsi"/>
                <w:b/>
                <w:color w:val="000000"/>
                <w:sz w:val="20"/>
                <w:szCs w:val="20"/>
              </w:rPr>
            </w:pPr>
            <w:r>
              <w:rPr>
                <w:b/>
                <w:color w:val="000000"/>
                <w:sz w:val="20"/>
              </w:rPr>
              <w:t>6,42</w:t>
            </w:r>
          </w:p>
        </w:tc>
        <w:tc>
          <w:tcPr>
            <w:tcW w:w="553" w:type="pct"/>
            <w:tcBorders>
              <w:top w:val="single" w:sz="4" w:space="0" w:color="auto"/>
              <w:left w:val="single" w:sz="4" w:space="0" w:color="auto"/>
              <w:bottom w:val="single" w:sz="4" w:space="0" w:color="auto"/>
              <w:right w:val="single" w:sz="4" w:space="0" w:color="auto"/>
            </w:tcBorders>
            <w:tcMar>
              <w:right w:w="202" w:type="dxa"/>
            </w:tcMar>
          </w:tcPr>
          <w:p w14:paraId="48CDFEDD" w14:textId="77777777" w:rsidR="006D7333" w:rsidRPr="00D44A69" w:rsidRDefault="006D7333" w:rsidP="00B006A9">
            <w:pPr>
              <w:widowControl w:val="0"/>
              <w:jc w:val="right"/>
              <w:rPr>
                <w:rFonts w:eastAsiaTheme="minorHAnsi"/>
                <w:b/>
                <w:color w:val="000000"/>
                <w:sz w:val="20"/>
                <w:szCs w:val="20"/>
              </w:rPr>
            </w:pPr>
            <w:r>
              <w:rPr>
                <w:b/>
                <w:color w:val="000000"/>
                <w:sz w:val="20"/>
              </w:rPr>
              <w:t>4,29</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21B7368F" w14:textId="77777777" w:rsidR="006D7333" w:rsidRPr="00D44A69" w:rsidRDefault="006D7333" w:rsidP="00B006A9">
            <w:pPr>
              <w:widowControl w:val="0"/>
              <w:jc w:val="right"/>
              <w:rPr>
                <w:rFonts w:eastAsiaTheme="minorHAnsi"/>
                <w:b/>
                <w:color w:val="000000"/>
                <w:sz w:val="20"/>
                <w:szCs w:val="20"/>
              </w:rPr>
            </w:pPr>
            <w:r>
              <w:rPr>
                <w:b/>
                <w:color w:val="000000"/>
                <w:sz w:val="20"/>
              </w:rPr>
              <w:t>3,44</w:t>
            </w:r>
          </w:p>
        </w:tc>
        <w:tc>
          <w:tcPr>
            <w:tcW w:w="499" w:type="pct"/>
            <w:tcBorders>
              <w:top w:val="single" w:sz="4" w:space="0" w:color="auto"/>
              <w:left w:val="single" w:sz="4" w:space="0" w:color="auto"/>
              <w:bottom w:val="single" w:sz="4" w:space="0" w:color="auto"/>
              <w:right w:val="single" w:sz="4" w:space="0" w:color="auto"/>
            </w:tcBorders>
            <w:tcMar>
              <w:right w:w="202" w:type="dxa"/>
            </w:tcMar>
          </w:tcPr>
          <w:p w14:paraId="0CB4D05D" w14:textId="77777777" w:rsidR="006D7333" w:rsidRPr="00D44A69" w:rsidRDefault="006D7333" w:rsidP="00B006A9">
            <w:pPr>
              <w:jc w:val="right"/>
              <w:rPr>
                <w:rFonts w:eastAsiaTheme="minorHAnsi"/>
                <w:b/>
                <w:color w:val="000000"/>
                <w:sz w:val="20"/>
                <w:szCs w:val="20"/>
              </w:rPr>
            </w:pPr>
            <w:r>
              <w:rPr>
                <w:b/>
                <w:color w:val="000000"/>
                <w:sz w:val="20"/>
              </w:rPr>
              <w:t>2,74</w:t>
            </w:r>
          </w:p>
        </w:tc>
        <w:tc>
          <w:tcPr>
            <w:tcW w:w="60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0FAA2D0C" w14:textId="77777777" w:rsidR="006D7333" w:rsidRPr="00D44A69" w:rsidRDefault="006D7333" w:rsidP="00B006A9">
            <w:pPr>
              <w:jc w:val="right"/>
              <w:rPr>
                <w:rFonts w:eastAsiaTheme="minorHAnsi"/>
                <w:b/>
                <w:color w:val="000000"/>
                <w:sz w:val="20"/>
                <w:szCs w:val="20"/>
              </w:rPr>
            </w:pPr>
            <w:r>
              <w:rPr>
                <w:b/>
                <w:color w:val="000000"/>
                <w:sz w:val="20"/>
              </w:rPr>
              <w:t>11,7</w:t>
            </w:r>
          </w:p>
        </w:tc>
      </w:tr>
      <w:tr w:rsidR="006D7333" w:rsidRPr="00D44A69" w14:paraId="5386D8EE" w14:textId="77777777" w:rsidTr="00B006A9">
        <w:tc>
          <w:tcPr>
            <w:tcW w:w="16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777EE8F" w14:textId="77777777" w:rsidR="006D7333" w:rsidRPr="00D44A69" w:rsidRDefault="006D7333" w:rsidP="00B006A9">
            <w:pPr>
              <w:jc w:val="left"/>
              <w:rPr>
                <w:color w:val="000000"/>
                <w:sz w:val="20"/>
                <w:szCs w:val="20"/>
              </w:rPr>
            </w:pPr>
            <w:r>
              <w:rPr>
                <w:color w:val="000000"/>
                <w:sz w:val="20"/>
              </w:rPr>
              <w:t xml:space="preserve">HCFC-141b dans les polyols </w:t>
            </w:r>
            <w:proofErr w:type="spellStart"/>
            <w:r>
              <w:rPr>
                <w:color w:val="000000"/>
                <w:sz w:val="20"/>
              </w:rPr>
              <w:t>prémélangés</w:t>
            </w:r>
            <w:proofErr w:type="spellEnd"/>
            <w:r>
              <w:rPr>
                <w:color w:val="000000"/>
                <w:sz w:val="20"/>
              </w:rPr>
              <w:t xml:space="preserve"> importés*</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6F079314" w14:textId="77777777" w:rsidR="006D7333" w:rsidRPr="00D44A69" w:rsidRDefault="006D7333" w:rsidP="00B006A9">
            <w:pPr>
              <w:jc w:val="right"/>
              <w:rPr>
                <w:color w:val="000000"/>
                <w:sz w:val="20"/>
                <w:szCs w:val="20"/>
              </w:rPr>
            </w:pPr>
            <w:r>
              <w:rPr>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0A249C6" w14:textId="77777777" w:rsidR="006D7333" w:rsidRPr="00D44A69" w:rsidRDefault="006D7333" w:rsidP="00B006A9">
            <w:pPr>
              <w:jc w:val="right"/>
              <w:rPr>
                <w:color w:val="000000"/>
                <w:sz w:val="20"/>
                <w:szCs w:val="20"/>
              </w:rPr>
            </w:pPr>
            <w:r>
              <w:rPr>
                <w:sz w:val="20"/>
              </w:rPr>
              <w:t>0,00</w:t>
            </w:r>
          </w:p>
        </w:tc>
        <w:tc>
          <w:tcPr>
            <w:tcW w:w="553" w:type="pct"/>
            <w:tcBorders>
              <w:top w:val="single" w:sz="4" w:space="0" w:color="auto"/>
              <w:left w:val="single" w:sz="4" w:space="0" w:color="auto"/>
              <w:bottom w:val="single" w:sz="4" w:space="0" w:color="auto"/>
              <w:right w:val="single" w:sz="4" w:space="0" w:color="auto"/>
            </w:tcBorders>
            <w:tcMar>
              <w:right w:w="202" w:type="dxa"/>
            </w:tcMar>
          </w:tcPr>
          <w:p w14:paraId="3CF4ECCC" w14:textId="77777777" w:rsidR="006D7333" w:rsidRPr="00D44A69" w:rsidRDefault="006D7333" w:rsidP="00B006A9">
            <w:pPr>
              <w:jc w:val="right"/>
              <w:rPr>
                <w:color w:val="000000"/>
                <w:sz w:val="20"/>
                <w:szCs w:val="20"/>
              </w:rPr>
            </w:pPr>
            <w:r>
              <w:rPr>
                <w:sz w:val="20"/>
              </w:rPr>
              <w:t>0,00</w:t>
            </w:r>
          </w:p>
        </w:tc>
        <w:tc>
          <w:tcPr>
            <w:tcW w:w="552" w:type="pct"/>
            <w:tcBorders>
              <w:top w:val="single" w:sz="4" w:space="0" w:color="auto"/>
              <w:left w:val="single" w:sz="4" w:space="0" w:color="auto"/>
              <w:bottom w:val="single" w:sz="4" w:space="0" w:color="auto"/>
              <w:right w:val="single" w:sz="4" w:space="0" w:color="auto"/>
            </w:tcBorders>
            <w:tcMar>
              <w:right w:w="202" w:type="dxa"/>
            </w:tcMar>
          </w:tcPr>
          <w:p w14:paraId="1B2D2CF9" w14:textId="77777777" w:rsidR="006D7333" w:rsidRPr="00D44A69" w:rsidRDefault="006D7333" w:rsidP="00B006A9">
            <w:pPr>
              <w:jc w:val="right"/>
              <w:rPr>
                <w:color w:val="000000"/>
                <w:sz w:val="20"/>
                <w:szCs w:val="20"/>
              </w:rPr>
            </w:pPr>
            <w:r>
              <w:rPr>
                <w:sz w:val="20"/>
              </w:rPr>
              <w:t>0,00</w:t>
            </w:r>
          </w:p>
        </w:tc>
        <w:tc>
          <w:tcPr>
            <w:tcW w:w="499" w:type="pct"/>
            <w:tcBorders>
              <w:top w:val="single" w:sz="4" w:space="0" w:color="auto"/>
              <w:left w:val="single" w:sz="4" w:space="0" w:color="auto"/>
              <w:bottom w:val="single" w:sz="4" w:space="0" w:color="auto"/>
              <w:right w:val="single" w:sz="4" w:space="0" w:color="auto"/>
            </w:tcBorders>
            <w:tcMar>
              <w:right w:w="202" w:type="dxa"/>
            </w:tcMar>
          </w:tcPr>
          <w:p w14:paraId="2F22FE49" w14:textId="77777777" w:rsidR="006D7333" w:rsidRPr="00D44A69" w:rsidRDefault="006D7333" w:rsidP="00B006A9">
            <w:pPr>
              <w:jc w:val="right"/>
              <w:rPr>
                <w:rFonts w:eastAsiaTheme="minorHAnsi"/>
                <w:color w:val="000000"/>
                <w:sz w:val="20"/>
                <w:szCs w:val="20"/>
              </w:rPr>
            </w:pPr>
            <w:r>
              <w:rPr>
                <w:color w:val="000000"/>
                <w:sz w:val="20"/>
              </w:rPr>
              <w:t>0,00</w:t>
            </w:r>
          </w:p>
        </w:tc>
        <w:tc>
          <w:tcPr>
            <w:tcW w:w="605"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6C820857" w14:textId="77777777" w:rsidR="006D7333" w:rsidRPr="00D44A69" w:rsidRDefault="006D7333" w:rsidP="00B006A9">
            <w:pPr>
              <w:jc w:val="right"/>
              <w:rPr>
                <w:rFonts w:eastAsiaTheme="minorHAnsi"/>
                <w:color w:val="000000"/>
                <w:sz w:val="20"/>
                <w:szCs w:val="20"/>
              </w:rPr>
            </w:pPr>
            <w:r>
              <w:rPr>
                <w:color w:val="000000"/>
                <w:sz w:val="20"/>
              </w:rPr>
              <w:t>4,94**</w:t>
            </w:r>
          </w:p>
        </w:tc>
      </w:tr>
    </w:tbl>
    <w:p w14:paraId="773D0EE1" w14:textId="723B7717" w:rsidR="006D7333" w:rsidRPr="002224BF" w:rsidRDefault="006D7333" w:rsidP="006D7333">
      <w:pPr>
        <w:keepNext/>
        <w:keepLines/>
        <w:rPr>
          <w:strike/>
          <w:sz w:val="20"/>
          <w:szCs w:val="20"/>
        </w:rPr>
      </w:pPr>
      <w:r>
        <w:rPr>
          <w:sz w:val="20"/>
        </w:rPr>
        <w:t xml:space="preserve">* La consommation de HCFC-141b contenu dans les polyols </w:t>
      </w:r>
      <w:proofErr w:type="spellStart"/>
      <w:r>
        <w:rPr>
          <w:sz w:val="20"/>
        </w:rPr>
        <w:t>prémélangés</w:t>
      </w:r>
      <w:proofErr w:type="spellEnd"/>
      <w:r>
        <w:rPr>
          <w:sz w:val="20"/>
        </w:rPr>
        <w:t xml:space="preserve"> importés n</w:t>
      </w:r>
      <w:r w:rsidR="00687D1A">
        <w:rPr>
          <w:sz w:val="20"/>
        </w:rPr>
        <w:t>’</w:t>
      </w:r>
      <w:r>
        <w:rPr>
          <w:sz w:val="20"/>
        </w:rPr>
        <w:t xml:space="preserve">a pas été déclarée dans le rapport sur la mise en œuvre du programme de pays depuis 2011. </w:t>
      </w:r>
    </w:p>
    <w:p w14:paraId="7C70C791" w14:textId="77777777" w:rsidR="006D7333" w:rsidRDefault="006D7333" w:rsidP="006D7333">
      <w:pPr>
        <w:keepNext/>
        <w:keepLines/>
        <w:rPr>
          <w:sz w:val="20"/>
          <w:szCs w:val="20"/>
        </w:rPr>
      </w:pPr>
      <w:r>
        <w:rPr>
          <w:sz w:val="20"/>
        </w:rPr>
        <w:t>** Usage moyen entre 2007 et 2009.</w:t>
      </w:r>
    </w:p>
    <w:p w14:paraId="0DA5135E" w14:textId="77777777" w:rsidR="006D7333" w:rsidRDefault="006D7333" w:rsidP="006D7333">
      <w:pPr>
        <w:rPr>
          <w:sz w:val="18"/>
          <w:szCs w:val="18"/>
          <w:lang w:val="en-CA"/>
        </w:rPr>
      </w:pPr>
    </w:p>
    <w:p w14:paraId="10E4C336" w14:textId="35DFF503" w:rsidR="006D7333" w:rsidRDefault="006D7333" w:rsidP="006D7333">
      <w:pPr>
        <w:pStyle w:val="Heading1"/>
      </w:pPr>
      <w:r>
        <w:t>La consommation de HCFC présente une tendance globalement baissière attribuée aux activités du PGEH, en particulier la formation dispensée aux techniciens en réfrigération et climatisation qui a permis de réduire les fuites de frigorigènes au niveau des équipements de réfrigération et de climatisation, et l</w:t>
      </w:r>
      <w:r w:rsidR="00687D1A">
        <w:t>’</w:t>
      </w:r>
      <w:r>
        <w:t>application stricte du système d</w:t>
      </w:r>
      <w:r w:rsidR="00687D1A">
        <w:t>’</w:t>
      </w:r>
      <w:r>
        <w:t>octroi de permis et de quotas ; à l</w:t>
      </w:r>
      <w:r w:rsidR="00687D1A">
        <w:t>’</w:t>
      </w:r>
      <w:r>
        <w:t>introduction d</w:t>
      </w:r>
      <w:r w:rsidR="00687D1A">
        <w:t>’</w:t>
      </w:r>
      <w:r>
        <w:t>équipements sans HCFC dans les projets publics, aux restrictions sur l</w:t>
      </w:r>
      <w:r w:rsidR="00687D1A">
        <w:t>’</w:t>
      </w:r>
      <w:r>
        <w:t>achat d</w:t>
      </w:r>
      <w:r w:rsidR="00687D1A">
        <w:t>’</w:t>
      </w:r>
      <w:r>
        <w:t>équipements de réfrigération et de climatisation à base de HCFC</w:t>
      </w:r>
      <w:r>
        <w:noBreakHyphen/>
        <w:t xml:space="preserve">22 et aux conditions économiques et commerciales. Les climatiseurs à base de HCFC-22 sont également progressivement remplacés par des modules à base de R-410A, du fait de son faible coût et de sa plus </w:t>
      </w:r>
      <w:r w:rsidR="00A35E52">
        <w:t xml:space="preserve">grande </w:t>
      </w:r>
      <w:r>
        <w:t>efficacité énergétique.</w:t>
      </w:r>
    </w:p>
    <w:p w14:paraId="33219BBA" w14:textId="77777777" w:rsidR="006D7333" w:rsidRPr="008A16B9" w:rsidRDefault="006D7333" w:rsidP="006D7333">
      <w:pPr>
        <w:pStyle w:val="Heading1"/>
        <w:numPr>
          <w:ilvl w:val="0"/>
          <w:numId w:val="0"/>
        </w:numPr>
        <w:tabs>
          <w:tab w:val="num" w:pos="709"/>
        </w:tabs>
        <w:rPr>
          <w:i/>
        </w:rPr>
      </w:pPr>
      <w:r>
        <w:rPr>
          <w:i/>
        </w:rPr>
        <w:t>Rapport de mise en œuvre du programme du pays</w:t>
      </w:r>
    </w:p>
    <w:p w14:paraId="2B5FEF63" w14:textId="574A9D8A" w:rsidR="006D7333" w:rsidRPr="00D44A69" w:rsidRDefault="006D7333" w:rsidP="006D7333">
      <w:pPr>
        <w:pStyle w:val="Heading1"/>
      </w:pPr>
      <w:r>
        <w:t>Le gouvernement de El Salvador a déclaré les données relatives à la consommation sectorielle de HCFC dans son rapport sur la mise en œuvre du programme de pays pour 2020, lesquelles correspondent aux données communiquées en vertu de l</w:t>
      </w:r>
      <w:r w:rsidR="00687D1A">
        <w:t>’</w:t>
      </w:r>
      <w:r>
        <w:t>article 7 du Protocole de Montréal.</w:t>
      </w:r>
    </w:p>
    <w:p w14:paraId="1A6F6104" w14:textId="32C033F1" w:rsidR="006D7333" w:rsidRDefault="006D7333" w:rsidP="006D7333">
      <w:pPr>
        <w:pStyle w:val="Heading1"/>
        <w:numPr>
          <w:ilvl w:val="0"/>
          <w:numId w:val="0"/>
        </w:numPr>
        <w:rPr>
          <w:u w:val="single"/>
        </w:rPr>
      </w:pPr>
      <w:r>
        <w:rPr>
          <w:u w:val="single"/>
        </w:rPr>
        <w:t>État de l</w:t>
      </w:r>
      <w:r w:rsidR="00687D1A">
        <w:rPr>
          <w:u w:val="single"/>
        </w:rPr>
        <w:t>’</w:t>
      </w:r>
      <w:r>
        <w:rPr>
          <w:u w:val="single"/>
        </w:rPr>
        <w:t>avancement et des décaissements</w:t>
      </w:r>
    </w:p>
    <w:p w14:paraId="3DE984D6" w14:textId="106B82A6" w:rsidR="006D7333" w:rsidRDefault="006D7333" w:rsidP="006D7333">
      <w:pPr>
        <w:spacing w:after="240"/>
        <w:rPr>
          <w:i/>
        </w:rPr>
      </w:pPr>
      <w:r>
        <w:rPr>
          <w:i/>
        </w:rPr>
        <w:t>Politique en matière de SAO et cadre réglementaire</w:t>
      </w:r>
    </w:p>
    <w:p w14:paraId="4299C9ED" w14:textId="5C49DF25" w:rsidR="006D7333" w:rsidRPr="00CE57D5" w:rsidRDefault="006D7333" w:rsidP="006D7333">
      <w:pPr>
        <w:pStyle w:val="Heading1"/>
      </w:pPr>
      <w:r>
        <w:t>Le gouvernement de El Salvador dispose d</w:t>
      </w:r>
      <w:r w:rsidR="00687D1A">
        <w:t>’</w:t>
      </w:r>
      <w:r>
        <w:t>un cadre réglementaire permettant de maîtriser la consommation de SAO depuis 2020, a mis en place un système de quotas limitant l</w:t>
      </w:r>
      <w:r w:rsidR="00687D1A">
        <w:t>’</w:t>
      </w:r>
      <w:r>
        <w:t>importation de HCFC depuis avril 2013, et interdit l</w:t>
      </w:r>
      <w:r w:rsidR="00687D1A">
        <w:t>’</w:t>
      </w:r>
      <w:r>
        <w:t>importation et l</w:t>
      </w:r>
      <w:r w:rsidR="00687D1A">
        <w:t>’</w:t>
      </w:r>
      <w:r>
        <w:t xml:space="preserve">utilisation </w:t>
      </w:r>
      <w:r w:rsidR="00A35E52">
        <w:t xml:space="preserve">du </w:t>
      </w:r>
      <w:r>
        <w:t xml:space="preserve">HCFC-141b, que ce soit en vrac ou contenu dans les polyols </w:t>
      </w:r>
      <w:proofErr w:type="spellStart"/>
      <w:r>
        <w:t>prémélangés</w:t>
      </w:r>
      <w:proofErr w:type="spellEnd"/>
      <w:r>
        <w:t xml:space="preserve"> importés, depuis le 1</w:t>
      </w:r>
      <w:r>
        <w:rPr>
          <w:vertAlign w:val="superscript"/>
        </w:rPr>
        <w:t>er</w:t>
      </w:r>
      <w:r>
        <w:t> janvier 2015. À l</w:t>
      </w:r>
      <w:r w:rsidR="00687D1A">
        <w:t>’</w:t>
      </w:r>
      <w:r>
        <w:t>heure actuelle, le pays est train de finaliser l</w:t>
      </w:r>
      <w:r w:rsidR="00687D1A">
        <w:t>’</w:t>
      </w:r>
      <w:r>
        <w:t>adoption des codes douaniers communs à l</w:t>
      </w:r>
      <w:r w:rsidR="00687D1A">
        <w:t>’</w:t>
      </w:r>
      <w:r>
        <w:t>Amérique centrale concernant le système d</w:t>
      </w:r>
      <w:r w:rsidR="00687D1A">
        <w:t>’</w:t>
      </w:r>
      <w:r>
        <w:t>octroi de permis et de quotas d</w:t>
      </w:r>
      <w:r w:rsidR="00687D1A">
        <w:t>’</w:t>
      </w:r>
      <w:r>
        <w:t>importation et d</w:t>
      </w:r>
      <w:r w:rsidR="00687D1A">
        <w:t>’</w:t>
      </w:r>
      <w:r>
        <w:t>exportation, et rédige un projet de système de certification à destination des techniciens en réfrigération et climatisation ainsi qu</w:t>
      </w:r>
      <w:r w:rsidR="00687D1A">
        <w:t>’</w:t>
      </w:r>
      <w:r>
        <w:t xml:space="preserve">un projet de norme visant à évaluer les compétences professionnelles </w:t>
      </w:r>
      <w:r w:rsidR="00A35E52">
        <w:t xml:space="preserve">nécessaires </w:t>
      </w:r>
      <w:r>
        <w:t>dans le cadre des bonnes pratiques de réfrigération en coopération avec l</w:t>
      </w:r>
      <w:r w:rsidR="00687D1A">
        <w:t>’</w:t>
      </w:r>
      <w:r>
        <w:t>institut national de formation professionnelle (INSAFORP).</w:t>
      </w:r>
    </w:p>
    <w:p w14:paraId="20E46E2E" w14:textId="69B25EF4" w:rsidR="006D7333" w:rsidRDefault="006D7333" w:rsidP="006D7333">
      <w:pPr>
        <w:pStyle w:val="Heading1"/>
      </w:pPr>
      <w:r>
        <w:t xml:space="preserve">Au cours des trois premières tranches, un total de 73 agents des douanes </w:t>
      </w:r>
      <w:proofErr w:type="gramStart"/>
      <w:r>
        <w:t>ont</w:t>
      </w:r>
      <w:proofErr w:type="gramEnd"/>
      <w:r>
        <w:t xml:space="preserve"> bénéficié d</w:t>
      </w:r>
      <w:r w:rsidR="00687D1A">
        <w:t>’</w:t>
      </w:r>
      <w:r>
        <w:t>une formation sur la réglementation des SAO et le contrôle des importations de SAO, 39 agents d</w:t>
      </w:r>
      <w:r w:rsidR="00687D1A">
        <w:t>’</w:t>
      </w:r>
      <w:r>
        <w:t>exécution de la loi ont été formés aux processus d</w:t>
      </w:r>
      <w:r w:rsidR="00687D1A">
        <w:t>’</w:t>
      </w:r>
      <w:r>
        <w:t>autorisation, à la réglementation et au contrôle des importations de SAO, et 10 importateurs ont reçu une formation sur les frigorigènes à base d</w:t>
      </w:r>
      <w:r w:rsidR="00687D1A">
        <w:t>’</w:t>
      </w:r>
      <w:r>
        <w:t>hydrocarbures (HC) ainsi que du matériel et des outils pour assurer une classification exacte des tarifs.</w:t>
      </w:r>
    </w:p>
    <w:p w14:paraId="76638F75" w14:textId="6F457D84" w:rsidR="006D7333" w:rsidRPr="00456256" w:rsidRDefault="006D7333" w:rsidP="00FD0F3F">
      <w:pPr>
        <w:pStyle w:val="Heading1"/>
        <w:widowControl w:val="0"/>
      </w:pPr>
      <w:r>
        <w:t>Au cours du PAI-86, le Comité exécutif a demandé au PNUD, en sa qualité d</w:t>
      </w:r>
      <w:r w:rsidR="00687D1A">
        <w:t>’</w:t>
      </w:r>
      <w:r>
        <w:t>agence d</w:t>
      </w:r>
      <w:r w:rsidR="00687D1A">
        <w:t>’</w:t>
      </w:r>
      <w:r>
        <w:t>exécution principale, de fournir une mise à jour sur l</w:t>
      </w:r>
      <w:r w:rsidR="00687D1A">
        <w:t>’</w:t>
      </w:r>
      <w:r>
        <w:t>avancement de la mise en œuvre des recommandations figurant dans le rapport de vérification présenté à la 86</w:t>
      </w:r>
      <w:r>
        <w:rPr>
          <w:vertAlign w:val="superscript"/>
        </w:rPr>
        <w:t>e</w:t>
      </w:r>
      <w:r>
        <w:t> réunion</w:t>
      </w:r>
      <w:r w:rsidRPr="00456256">
        <w:rPr>
          <w:vertAlign w:val="superscript"/>
          <w:lang w:bidi="he-IL"/>
        </w:rPr>
        <w:footnoteReference w:id="5"/>
      </w:r>
      <w:r w:rsidR="00C845BC">
        <w:t>.</w:t>
      </w:r>
      <w:r>
        <w:t xml:space="preserve"> Le PNUD a indiqué que, suite aux délibérations avec le Bureau national de l</w:t>
      </w:r>
      <w:r w:rsidR="00687D1A">
        <w:t>’</w:t>
      </w:r>
      <w:r>
        <w:t>ozone (BNO), les activités suivantes seront réalisées durant la quatrième tranche (approuvée à la 86</w:t>
      </w:r>
      <w:r w:rsidRPr="00FD0F3F">
        <w:rPr>
          <w:vertAlign w:val="superscript"/>
        </w:rPr>
        <w:t>e</w:t>
      </w:r>
      <w:r>
        <w:t> réunion) : le BNO demandera la nomination d</w:t>
      </w:r>
      <w:r w:rsidR="00687D1A">
        <w:t>’</w:t>
      </w:r>
      <w:r>
        <w:t>un correspondant au sein des douanes dont le but sera de faciliter l</w:t>
      </w:r>
      <w:r w:rsidR="00687D1A">
        <w:t>’</w:t>
      </w:r>
      <w:r>
        <w:t>échange d</w:t>
      </w:r>
      <w:r w:rsidR="00687D1A">
        <w:t>’</w:t>
      </w:r>
      <w:r>
        <w:t>informations et la réalisation des contrôles, et le ministère de l</w:t>
      </w:r>
      <w:r w:rsidR="00687D1A">
        <w:t>’</w:t>
      </w:r>
      <w:r>
        <w:t xml:space="preserve">Environnement et des Ressources naturelles (MARN) mettra en œuvre de nouvelles procédures </w:t>
      </w:r>
      <w:r>
        <w:lastRenderedPageBreak/>
        <w:t>permettant d</w:t>
      </w:r>
      <w:r w:rsidR="00687D1A">
        <w:t>’</w:t>
      </w:r>
      <w:r>
        <w:t>améliorer le contrôle des quotas et des permis accordés, dont une procédure de double vérification interne et une procédure d</w:t>
      </w:r>
      <w:r w:rsidR="00687D1A">
        <w:t>’</w:t>
      </w:r>
      <w:r>
        <w:t>échanges périodiques d</w:t>
      </w:r>
      <w:r w:rsidR="00687D1A">
        <w:t>’</w:t>
      </w:r>
      <w:r>
        <w:t>informations.</w:t>
      </w:r>
    </w:p>
    <w:p w14:paraId="648376E9" w14:textId="77777777" w:rsidR="006D7333" w:rsidRPr="00DE4EE6" w:rsidRDefault="006D7333" w:rsidP="006D7333">
      <w:pPr>
        <w:pStyle w:val="Heading1"/>
        <w:keepNext/>
        <w:keepLines/>
        <w:numPr>
          <w:ilvl w:val="0"/>
          <w:numId w:val="0"/>
        </w:numPr>
        <w:rPr>
          <w:i/>
        </w:rPr>
      </w:pPr>
      <w:r>
        <w:rPr>
          <w:i/>
        </w:rPr>
        <w:t>Secteur des mousses en polyuréthane (PU)</w:t>
      </w:r>
    </w:p>
    <w:p w14:paraId="2275A8C8" w14:textId="4121E1AD" w:rsidR="006D7333" w:rsidRPr="00027E45" w:rsidRDefault="006D7333" w:rsidP="006D7333">
      <w:pPr>
        <w:pStyle w:val="Heading1"/>
        <w:keepNext/>
        <w:keepLines/>
      </w:pPr>
      <w:r>
        <w:t>Les trois entreprises de fabrication de mousse en PU incluses dans la phase I du PGEH ont achevé avec succès leur reconversion au formiate de méthyle, permettant l</w:t>
      </w:r>
      <w:r w:rsidR="00687D1A">
        <w:t>’</w:t>
      </w:r>
      <w:r>
        <w:t>élimination de 8,31 tonnes PAO de HCFC</w:t>
      </w:r>
      <w:r>
        <w:noBreakHyphen/>
        <w:t xml:space="preserve">141b contenu dans les polyols </w:t>
      </w:r>
      <w:proofErr w:type="spellStart"/>
      <w:r>
        <w:t>prémélangés</w:t>
      </w:r>
      <w:proofErr w:type="spellEnd"/>
      <w:r>
        <w:t xml:space="preserve"> importés</w:t>
      </w:r>
      <w:r w:rsidRPr="00027E45">
        <w:rPr>
          <w:vertAlign w:val="superscript"/>
        </w:rPr>
        <w:footnoteReference w:id="6"/>
      </w:r>
      <w:r>
        <w:t>.</w:t>
      </w:r>
    </w:p>
    <w:p w14:paraId="16D8B5DC" w14:textId="3E523461" w:rsidR="006D7333" w:rsidRPr="006B620C" w:rsidRDefault="006D7333" w:rsidP="006D7333">
      <w:pPr>
        <w:pStyle w:val="Heading1"/>
        <w:widowControl w:val="0"/>
        <w:numPr>
          <w:ilvl w:val="0"/>
          <w:numId w:val="0"/>
        </w:numPr>
        <w:rPr>
          <w:highlight w:val="yellow"/>
        </w:rPr>
      </w:pPr>
      <w:r>
        <w:rPr>
          <w:i/>
        </w:rPr>
        <w:t>Secteur de l</w:t>
      </w:r>
      <w:r w:rsidR="00687D1A">
        <w:rPr>
          <w:i/>
        </w:rPr>
        <w:t>’</w:t>
      </w:r>
      <w:r>
        <w:rPr>
          <w:i/>
        </w:rPr>
        <w:t>entretien des équipements de réfrigération</w:t>
      </w:r>
    </w:p>
    <w:p w14:paraId="12C56B0D" w14:textId="1B958CF0" w:rsidR="006D7333" w:rsidRPr="00083F9B" w:rsidRDefault="006D7333" w:rsidP="006D7333">
      <w:pPr>
        <w:pStyle w:val="Heading1"/>
        <w:widowControl w:val="0"/>
      </w:pPr>
      <w:r>
        <w:t>Au cours des trois premières tranches, un total de 20 formateurs et 1 719 techniciens en réfrigération et climatisation (dont 19 femmes) ont été formés à l</w:t>
      </w:r>
      <w:r w:rsidR="00687D1A">
        <w:t>’</w:t>
      </w:r>
      <w:r>
        <w:t>utilisation sans danger de frigorigènes inflammables (R-600a et R-290). Un total de 2 000 ensembles d</w:t>
      </w:r>
      <w:r w:rsidR="00687D1A">
        <w:t>’</w:t>
      </w:r>
      <w:r>
        <w:t>outils de base (incluant torches, jauges, lunettes de protection et détecteurs de fuites), destinés à améliorer le soudage et à prévenir les fuites, ont été achetés et distribués aux techniciens participant aux activités de formation. 160 bouteilles et 30 unités de récupération servant à récupérer et réutiliser les frigorigènes ont également été distribuées aux cours de 17 ateliers de formation sur l</w:t>
      </w:r>
      <w:r w:rsidR="00687D1A">
        <w:t>’</w:t>
      </w:r>
      <w:r>
        <w:t>entretien des équipements de réfrigération et de climatisation. La mise en œuvre des activités liées à la quatrième tranche de financement est ralentie du fait des restrictions imposées par la COVID</w:t>
      </w:r>
      <w:r>
        <w:noBreakHyphen/>
        <w:t>19.</w:t>
      </w:r>
    </w:p>
    <w:p w14:paraId="3AA8990E" w14:textId="0D5B9338" w:rsidR="006D7333" w:rsidRPr="00CD2447" w:rsidRDefault="006D7333" w:rsidP="006D7333">
      <w:pPr>
        <w:pStyle w:val="Heading1"/>
        <w:numPr>
          <w:ilvl w:val="0"/>
          <w:numId w:val="0"/>
        </w:numPr>
      </w:pPr>
      <w:r>
        <w:rPr>
          <w:i/>
        </w:rPr>
        <w:t>Mise en œuvre et suivi du projet</w:t>
      </w:r>
    </w:p>
    <w:p w14:paraId="710484ED" w14:textId="3AF38CA1" w:rsidR="006D7333" w:rsidRPr="00CD2447" w:rsidRDefault="006D7333" w:rsidP="006D7333">
      <w:pPr>
        <w:pStyle w:val="Heading1"/>
      </w:pPr>
      <w:r>
        <w:t>Le Bureau national de l</w:t>
      </w:r>
      <w:r w:rsidR="00687D1A">
        <w:t>’</w:t>
      </w:r>
      <w:r>
        <w:t xml:space="preserve">ozone (BNO) était responsable du suivi et de la mise en œuvre du projet. Un total de 54 000 $ US a été décaissé pour embaucher un coordinateur de projet pour le PGEH, </w:t>
      </w:r>
      <w:r w:rsidR="00EF7B5C">
        <w:t>afin</w:t>
      </w:r>
      <w:r>
        <w:t xml:space="preserve"> de soutenir le BNO.</w:t>
      </w:r>
    </w:p>
    <w:p w14:paraId="556C65F1" w14:textId="77777777" w:rsidR="006D7333" w:rsidRPr="002406B8" w:rsidRDefault="006D7333" w:rsidP="006D7333">
      <w:pPr>
        <w:pStyle w:val="Heading1"/>
        <w:numPr>
          <w:ilvl w:val="0"/>
          <w:numId w:val="0"/>
        </w:numPr>
      </w:pPr>
      <w:r>
        <w:rPr>
          <w:u w:val="single"/>
        </w:rPr>
        <w:t>Niveau de décaissement du financement</w:t>
      </w:r>
    </w:p>
    <w:p w14:paraId="3A8FB37B" w14:textId="77777777" w:rsidR="006D7333" w:rsidRPr="00446C05" w:rsidRDefault="006D7333" w:rsidP="006D7333">
      <w:pPr>
        <w:pStyle w:val="Heading1"/>
        <w:autoSpaceDE w:val="0"/>
        <w:autoSpaceDN w:val="0"/>
        <w:adjustRightInd w:val="0"/>
        <w:rPr>
          <w:bCs/>
        </w:rPr>
      </w:pPr>
      <w:r>
        <w:t>En février 2021, sur les 1 074 277 $ US approuvés (699 277 $ US pour le PNUD et 375 000 $ US pour le PNUE), 1 025 036 $ US avaient été décaissés (683 157 $ US pour le PNUD et 341 879 $ US pour le PNUE). Le PNUD a confirmé que le solde de 49 241 $ US, dont 35 000 $ US approuvés pour la tranche finale, sera transféré au pays au troisième trimestre 2021.</w:t>
      </w:r>
    </w:p>
    <w:p w14:paraId="35E542DC" w14:textId="77777777" w:rsidR="006D7333" w:rsidRPr="004D7619" w:rsidRDefault="006D7333" w:rsidP="006D7333">
      <w:pPr>
        <w:pStyle w:val="Heading1"/>
        <w:numPr>
          <w:ilvl w:val="0"/>
          <w:numId w:val="0"/>
        </w:numPr>
        <w:autoSpaceDE w:val="0"/>
        <w:autoSpaceDN w:val="0"/>
        <w:adjustRightInd w:val="0"/>
        <w:rPr>
          <w:b/>
          <w:bCs/>
        </w:rPr>
      </w:pPr>
      <w:r>
        <w:rPr>
          <w:b/>
        </w:rPr>
        <w:t>Phase II du PGEH</w:t>
      </w:r>
    </w:p>
    <w:p w14:paraId="3742CF35" w14:textId="77777777" w:rsidR="006D7333" w:rsidRPr="001A6018" w:rsidRDefault="006D7333" w:rsidP="006D7333">
      <w:pPr>
        <w:pStyle w:val="Heading1"/>
        <w:numPr>
          <w:ilvl w:val="0"/>
          <w:numId w:val="0"/>
        </w:numPr>
        <w:rPr>
          <w:u w:val="single"/>
        </w:rPr>
      </w:pPr>
      <w:r>
        <w:rPr>
          <w:u w:val="single"/>
        </w:rPr>
        <w:t>Consommation restante admissible au financement</w:t>
      </w:r>
    </w:p>
    <w:p w14:paraId="19140391" w14:textId="5F315846" w:rsidR="006D7333" w:rsidRPr="00767941" w:rsidRDefault="006D7333" w:rsidP="006D7333">
      <w:pPr>
        <w:pStyle w:val="Heading1"/>
      </w:pPr>
      <w:r>
        <w:t>Après déduction des 9,02 tonnes PAO de HCFC associées à la phase I du PGEH, la consommation restante admissible au financement s</w:t>
      </w:r>
      <w:r w:rsidR="00687D1A">
        <w:t>’</w:t>
      </w:r>
      <w:r w:rsidR="00EF7B5C">
        <w:t>élève</w:t>
      </w:r>
      <w:r>
        <w:t xml:space="preserve"> à 7,59 tonnes PAO de HCFC</w:t>
      </w:r>
      <w:r>
        <w:noBreakHyphen/>
        <w:t>22. Cette consommation, dédiée uniquement au secteur de l</w:t>
      </w:r>
      <w:r w:rsidR="00687D1A">
        <w:t>’</w:t>
      </w:r>
      <w:r>
        <w:t>entretien des équipements de réfrigération, sera éliminée durant la phase II.</w:t>
      </w:r>
    </w:p>
    <w:p w14:paraId="2FD986F3" w14:textId="0B6530A6" w:rsidR="006D7333" w:rsidRPr="00B64B00" w:rsidRDefault="006D7333" w:rsidP="006D7333">
      <w:pPr>
        <w:pStyle w:val="Heading1"/>
        <w:keepNext/>
        <w:keepLines/>
        <w:numPr>
          <w:ilvl w:val="0"/>
          <w:numId w:val="0"/>
        </w:numPr>
        <w:rPr>
          <w:u w:val="single"/>
        </w:rPr>
      </w:pPr>
      <w:r>
        <w:rPr>
          <w:u w:val="single"/>
        </w:rPr>
        <w:t>Répartition des HCFC</w:t>
      </w:r>
      <w:r w:rsidR="00BC5FEF">
        <w:rPr>
          <w:u w:val="single"/>
        </w:rPr>
        <w:t xml:space="preserve"> par secteur</w:t>
      </w:r>
    </w:p>
    <w:p w14:paraId="471AF7BC" w14:textId="5880DE7D" w:rsidR="006D7333" w:rsidRDefault="006D7333" w:rsidP="006D7333">
      <w:pPr>
        <w:pStyle w:val="Heading1"/>
        <w:rPr>
          <w:b/>
        </w:rPr>
      </w:pPr>
      <w:r>
        <w:t>Comme indiqué dans le tableau 2, le secteur de l</w:t>
      </w:r>
      <w:r w:rsidR="00687D1A">
        <w:t>’</w:t>
      </w:r>
      <w:r>
        <w:t>entretien compte environ 4 000 techniciens et 400 à 500 ateliers qui consomment du HCFC-22 pour l</w:t>
      </w:r>
      <w:r w:rsidR="00687D1A">
        <w:t>’</w:t>
      </w:r>
      <w:r>
        <w:t>entretien des équipements.</w:t>
      </w:r>
    </w:p>
    <w:p w14:paraId="709ED0DE" w14:textId="6B9BF712" w:rsidR="006D7333" w:rsidRPr="00456256" w:rsidRDefault="006D7333" w:rsidP="006D7333">
      <w:pPr>
        <w:pStyle w:val="Heading1"/>
        <w:keepNext/>
        <w:keepLines/>
        <w:numPr>
          <w:ilvl w:val="0"/>
          <w:numId w:val="0"/>
        </w:numPr>
        <w:spacing w:after="0"/>
        <w:rPr>
          <w:b/>
        </w:rPr>
      </w:pPr>
      <w:r>
        <w:rPr>
          <w:b/>
        </w:rPr>
        <w:lastRenderedPageBreak/>
        <w:t xml:space="preserve">Tableau 2. Répartition sectorielle du HCFC-22 </w:t>
      </w:r>
      <w:r w:rsidR="00BC5FEF">
        <w:rPr>
          <w:b/>
        </w:rPr>
        <w:t xml:space="preserve">en 2019 </w:t>
      </w:r>
      <w:r>
        <w:rPr>
          <w:b/>
        </w:rPr>
        <w:t>par type d</w:t>
      </w:r>
      <w:r w:rsidR="00687D1A">
        <w:rPr>
          <w:b/>
        </w:rPr>
        <w:t>’</w:t>
      </w:r>
      <w:r>
        <w:rPr>
          <w:b/>
        </w:rPr>
        <w:t>équipement de réfrigération et de climatisation</w:t>
      </w:r>
    </w:p>
    <w:tbl>
      <w:tblPr>
        <w:tblW w:w="5000" w:type="pct"/>
        <w:tblLook w:val="04A0" w:firstRow="1" w:lastRow="0" w:firstColumn="1" w:lastColumn="0" w:noHBand="0" w:noVBand="1"/>
      </w:tblPr>
      <w:tblGrid>
        <w:gridCol w:w="2335"/>
        <w:gridCol w:w="1403"/>
        <w:gridCol w:w="1403"/>
        <w:gridCol w:w="1403"/>
        <w:gridCol w:w="1403"/>
        <w:gridCol w:w="1403"/>
      </w:tblGrid>
      <w:tr w:rsidR="006D7333" w:rsidRPr="009770C2" w14:paraId="53EBAC21" w14:textId="77777777" w:rsidTr="00B006A9">
        <w:trPr>
          <w:tblHeader/>
        </w:trPr>
        <w:tc>
          <w:tcPr>
            <w:tcW w:w="1249" w:type="pct"/>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hideMark/>
          </w:tcPr>
          <w:p w14:paraId="17BFD23B" w14:textId="77777777" w:rsidR="006D7333" w:rsidRPr="00F60614" w:rsidRDefault="006D7333" w:rsidP="00B006A9">
            <w:pPr>
              <w:jc w:val="left"/>
              <w:rPr>
                <w:b/>
                <w:bCs/>
                <w:sz w:val="20"/>
                <w:szCs w:val="20"/>
              </w:rPr>
            </w:pPr>
            <w:r>
              <w:rPr>
                <w:b/>
                <w:sz w:val="20"/>
              </w:rPr>
              <w:t>Secteur/Applications</w:t>
            </w:r>
          </w:p>
        </w:tc>
        <w:tc>
          <w:tcPr>
            <w:tcW w:w="750"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4F0E565" w14:textId="77777777" w:rsidR="006D7333" w:rsidRPr="00F60614" w:rsidRDefault="006D7333" w:rsidP="00B006A9">
            <w:pPr>
              <w:jc w:val="center"/>
              <w:rPr>
                <w:b/>
                <w:bCs/>
                <w:sz w:val="20"/>
                <w:szCs w:val="20"/>
              </w:rPr>
            </w:pPr>
            <w:r>
              <w:rPr>
                <w:b/>
                <w:sz w:val="20"/>
              </w:rPr>
              <w:t>Équipements (unités)</w:t>
            </w:r>
          </w:p>
        </w:tc>
        <w:tc>
          <w:tcPr>
            <w:tcW w:w="750" w:type="pct"/>
            <w:tcBorders>
              <w:top w:val="single" w:sz="4" w:space="0" w:color="auto"/>
              <w:left w:val="single" w:sz="4" w:space="0" w:color="auto"/>
              <w:bottom w:val="single" w:sz="4" w:space="0" w:color="auto"/>
              <w:right w:val="single" w:sz="4" w:space="0" w:color="auto"/>
            </w:tcBorders>
            <w:vAlign w:val="center"/>
          </w:tcPr>
          <w:p w14:paraId="189D23DE" w14:textId="77777777" w:rsidR="006D7333" w:rsidRPr="00F60614" w:rsidRDefault="006D7333" w:rsidP="00B006A9">
            <w:pPr>
              <w:jc w:val="center"/>
              <w:rPr>
                <w:b/>
                <w:bCs/>
                <w:color w:val="222222"/>
                <w:sz w:val="20"/>
                <w:szCs w:val="20"/>
              </w:rPr>
            </w:pPr>
            <w:r>
              <w:rPr>
                <w:b/>
                <w:color w:val="222222"/>
                <w:sz w:val="20"/>
              </w:rPr>
              <w:t>Équipements à base de HCFC rechargés (%)</w:t>
            </w:r>
          </w:p>
        </w:tc>
        <w:tc>
          <w:tcPr>
            <w:tcW w:w="750" w:type="pct"/>
            <w:tcBorders>
              <w:top w:val="single" w:sz="4" w:space="0" w:color="auto"/>
              <w:left w:val="single" w:sz="4" w:space="0" w:color="auto"/>
              <w:bottom w:val="single" w:sz="4" w:space="0" w:color="auto"/>
              <w:right w:val="single" w:sz="4" w:space="0" w:color="auto"/>
            </w:tcBorders>
            <w:vAlign w:val="center"/>
          </w:tcPr>
          <w:p w14:paraId="5F75BCC2" w14:textId="77777777" w:rsidR="006D7333" w:rsidRPr="00F60614" w:rsidRDefault="006D7333" w:rsidP="00B006A9">
            <w:pPr>
              <w:jc w:val="center"/>
              <w:rPr>
                <w:b/>
                <w:bCs/>
                <w:color w:val="222222"/>
                <w:sz w:val="20"/>
                <w:szCs w:val="20"/>
              </w:rPr>
            </w:pPr>
            <w:r>
              <w:rPr>
                <w:b/>
                <w:color w:val="222222"/>
                <w:sz w:val="20"/>
              </w:rPr>
              <w:t>Recharge (kg)</w:t>
            </w:r>
          </w:p>
        </w:tc>
        <w:tc>
          <w:tcPr>
            <w:tcW w:w="750" w:type="pct"/>
            <w:tcBorders>
              <w:top w:val="single" w:sz="4" w:space="0" w:color="auto"/>
              <w:left w:val="nil"/>
              <w:bottom w:val="single" w:sz="4" w:space="0" w:color="auto"/>
              <w:right w:val="single" w:sz="4" w:space="0" w:color="auto"/>
            </w:tcBorders>
            <w:tcMar>
              <w:left w:w="0" w:type="dxa"/>
              <w:right w:w="0" w:type="dxa"/>
            </w:tcMar>
            <w:vAlign w:val="center"/>
          </w:tcPr>
          <w:p w14:paraId="42D758C2" w14:textId="77777777" w:rsidR="006D7333" w:rsidRPr="00F60614" w:rsidRDefault="006D7333" w:rsidP="00B006A9">
            <w:pPr>
              <w:jc w:val="center"/>
              <w:rPr>
                <w:b/>
                <w:color w:val="000000"/>
                <w:sz w:val="20"/>
                <w:szCs w:val="20"/>
              </w:rPr>
            </w:pPr>
            <w:r>
              <w:rPr>
                <w:b/>
                <w:color w:val="000000"/>
                <w:sz w:val="20"/>
              </w:rPr>
              <w:t>Consommation (</w:t>
            </w:r>
            <w:proofErr w:type="spellStart"/>
            <w:r>
              <w:rPr>
                <w:b/>
                <w:color w:val="000000"/>
                <w:sz w:val="20"/>
              </w:rPr>
              <w:t>tm</w:t>
            </w:r>
            <w:proofErr w:type="spellEnd"/>
            <w:r>
              <w:rPr>
                <w:b/>
                <w:color w:val="000000"/>
                <w:sz w:val="20"/>
              </w:rPr>
              <w:t>)</w:t>
            </w:r>
          </w:p>
        </w:tc>
        <w:tc>
          <w:tcPr>
            <w:tcW w:w="750" w:type="pct"/>
            <w:tcBorders>
              <w:top w:val="single" w:sz="4" w:space="0" w:color="auto"/>
              <w:left w:val="nil"/>
              <w:bottom w:val="single" w:sz="4" w:space="0" w:color="auto"/>
              <w:right w:val="single" w:sz="4" w:space="0" w:color="auto"/>
            </w:tcBorders>
            <w:vAlign w:val="center"/>
          </w:tcPr>
          <w:p w14:paraId="5A74F519" w14:textId="77777777" w:rsidR="006D7333" w:rsidRPr="00F60614" w:rsidRDefault="006D7333" w:rsidP="00B006A9">
            <w:pPr>
              <w:jc w:val="center"/>
              <w:rPr>
                <w:b/>
                <w:color w:val="000000"/>
                <w:sz w:val="20"/>
                <w:szCs w:val="20"/>
              </w:rPr>
            </w:pPr>
            <w:r>
              <w:rPr>
                <w:b/>
                <w:color w:val="000000"/>
                <w:sz w:val="20"/>
              </w:rPr>
              <w:t>Utilisation (%)</w:t>
            </w:r>
          </w:p>
        </w:tc>
      </w:tr>
      <w:tr w:rsidR="006D7333" w:rsidRPr="009770C2" w14:paraId="72A4C614" w14:textId="77777777" w:rsidTr="00B006A9">
        <w:tc>
          <w:tcPr>
            <w:tcW w:w="1249" w:type="pct"/>
            <w:tcBorders>
              <w:top w:val="nil"/>
              <w:left w:val="single" w:sz="4" w:space="0" w:color="auto"/>
              <w:bottom w:val="single" w:sz="4" w:space="0" w:color="auto"/>
              <w:right w:val="single" w:sz="4" w:space="0" w:color="auto"/>
            </w:tcBorders>
            <w:shd w:val="clear" w:color="auto" w:fill="auto"/>
            <w:tcMar>
              <w:left w:w="58" w:type="dxa"/>
              <w:right w:w="0" w:type="dxa"/>
            </w:tcMar>
            <w:hideMark/>
          </w:tcPr>
          <w:p w14:paraId="133744FC" w14:textId="77777777" w:rsidR="006D7333" w:rsidRPr="00D60B52" w:rsidRDefault="006D7333" w:rsidP="00B006A9">
            <w:pPr>
              <w:jc w:val="left"/>
              <w:rPr>
                <w:sz w:val="20"/>
                <w:szCs w:val="20"/>
              </w:rPr>
            </w:pPr>
            <w:r>
              <w:rPr>
                <w:color w:val="222222"/>
                <w:sz w:val="20"/>
              </w:rPr>
              <w:t>Climatiseurs résidentiels, 9 000 BTU</w:t>
            </w:r>
          </w:p>
        </w:tc>
        <w:tc>
          <w:tcPr>
            <w:tcW w:w="750" w:type="pct"/>
            <w:tcBorders>
              <w:top w:val="nil"/>
              <w:left w:val="nil"/>
              <w:bottom w:val="single" w:sz="4" w:space="0" w:color="auto"/>
              <w:right w:val="single" w:sz="4" w:space="0" w:color="auto"/>
            </w:tcBorders>
            <w:shd w:val="clear" w:color="auto" w:fill="auto"/>
            <w:tcMar>
              <w:left w:w="115" w:type="dxa"/>
              <w:right w:w="216" w:type="dxa"/>
            </w:tcMar>
            <w:vAlign w:val="center"/>
          </w:tcPr>
          <w:p w14:paraId="4A5E269A" w14:textId="77777777" w:rsidR="006D7333" w:rsidRPr="00767941" w:rsidRDefault="006D7333" w:rsidP="00B006A9">
            <w:pPr>
              <w:jc w:val="right"/>
              <w:rPr>
                <w:sz w:val="20"/>
                <w:szCs w:val="20"/>
              </w:rPr>
            </w:pPr>
            <w:r>
              <w:rPr>
                <w:color w:val="000000"/>
                <w:sz w:val="20"/>
              </w:rPr>
              <w:t>58 850</w:t>
            </w:r>
          </w:p>
        </w:tc>
        <w:tc>
          <w:tcPr>
            <w:tcW w:w="750" w:type="pct"/>
            <w:tcBorders>
              <w:top w:val="nil"/>
              <w:left w:val="single" w:sz="4" w:space="0" w:color="auto"/>
              <w:bottom w:val="single" w:sz="4" w:space="0" w:color="auto"/>
              <w:right w:val="single" w:sz="4" w:space="0" w:color="auto"/>
            </w:tcBorders>
            <w:vAlign w:val="center"/>
          </w:tcPr>
          <w:p w14:paraId="18FBBE7C" w14:textId="77777777" w:rsidR="006D7333" w:rsidRPr="00767941" w:rsidRDefault="006D7333" w:rsidP="00B006A9">
            <w:pPr>
              <w:ind w:right="276"/>
              <w:jc w:val="right"/>
              <w:rPr>
                <w:color w:val="000000"/>
                <w:sz w:val="20"/>
                <w:szCs w:val="20"/>
              </w:rPr>
            </w:pPr>
            <w:r>
              <w:rPr>
                <w:color w:val="000000"/>
                <w:sz w:val="20"/>
              </w:rPr>
              <w:t>25</w:t>
            </w:r>
          </w:p>
        </w:tc>
        <w:tc>
          <w:tcPr>
            <w:tcW w:w="750" w:type="pct"/>
            <w:tcBorders>
              <w:top w:val="nil"/>
              <w:left w:val="single" w:sz="4" w:space="0" w:color="auto"/>
              <w:bottom w:val="single" w:sz="4" w:space="0" w:color="auto"/>
              <w:right w:val="single" w:sz="4" w:space="0" w:color="auto"/>
            </w:tcBorders>
            <w:vAlign w:val="center"/>
          </w:tcPr>
          <w:p w14:paraId="0CC75B0A" w14:textId="77777777" w:rsidR="006D7333" w:rsidRPr="00767941" w:rsidRDefault="006D7333" w:rsidP="00B006A9">
            <w:pPr>
              <w:ind w:right="364"/>
              <w:jc w:val="right"/>
              <w:rPr>
                <w:color w:val="000000"/>
                <w:sz w:val="20"/>
                <w:szCs w:val="20"/>
              </w:rPr>
            </w:pPr>
            <w:r>
              <w:rPr>
                <w:color w:val="000000"/>
                <w:sz w:val="20"/>
              </w:rPr>
              <w:t>0,7</w:t>
            </w:r>
          </w:p>
        </w:tc>
        <w:tc>
          <w:tcPr>
            <w:tcW w:w="750" w:type="pct"/>
            <w:tcBorders>
              <w:top w:val="nil"/>
              <w:left w:val="nil"/>
              <w:bottom w:val="single" w:sz="4" w:space="0" w:color="auto"/>
              <w:right w:val="single" w:sz="4" w:space="0" w:color="auto"/>
            </w:tcBorders>
            <w:tcMar>
              <w:left w:w="115" w:type="dxa"/>
              <w:right w:w="216" w:type="dxa"/>
            </w:tcMar>
            <w:vAlign w:val="center"/>
          </w:tcPr>
          <w:p w14:paraId="56FC46C1" w14:textId="77777777" w:rsidR="006D7333" w:rsidRPr="00767941" w:rsidRDefault="006D7333" w:rsidP="00B006A9">
            <w:pPr>
              <w:ind w:right="252"/>
              <w:jc w:val="right"/>
              <w:rPr>
                <w:color w:val="000000"/>
                <w:sz w:val="20"/>
                <w:szCs w:val="20"/>
              </w:rPr>
            </w:pPr>
            <w:r>
              <w:rPr>
                <w:color w:val="000000"/>
                <w:sz w:val="20"/>
              </w:rPr>
              <w:t>10,4</w:t>
            </w:r>
          </w:p>
        </w:tc>
        <w:tc>
          <w:tcPr>
            <w:tcW w:w="750" w:type="pct"/>
            <w:tcBorders>
              <w:top w:val="nil"/>
              <w:left w:val="nil"/>
              <w:bottom w:val="single" w:sz="4" w:space="0" w:color="auto"/>
              <w:right w:val="single" w:sz="4" w:space="0" w:color="auto"/>
            </w:tcBorders>
            <w:vAlign w:val="center"/>
          </w:tcPr>
          <w:p w14:paraId="273335D4" w14:textId="77777777" w:rsidR="006D7333" w:rsidRPr="002264FA" w:rsidRDefault="006D7333" w:rsidP="00B006A9">
            <w:pPr>
              <w:ind w:right="248"/>
              <w:jc w:val="right"/>
              <w:rPr>
                <w:color w:val="000000"/>
                <w:sz w:val="20"/>
                <w:szCs w:val="20"/>
              </w:rPr>
            </w:pPr>
            <w:r>
              <w:rPr>
                <w:color w:val="000000"/>
                <w:sz w:val="20"/>
              </w:rPr>
              <w:t>16,61</w:t>
            </w:r>
          </w:p>
        </w:tc>
      </w:tr>
      <w:tr w:rsidR="006D7333" w:rsidRPr="009770C2" w14:paraId="56C747A3" w14:textId="77777777" w:rsidTr="00B006A9">
        <w:tc>
          <w:tcPr>
            <w:tcW w:w="1249" w:type="pct"/>
            <w:tcBorders>
              <w:top w:val="nil"/>
              <w:left w:val="single" w:sz="4" w:space="0" w:color="auto"/>
              <w:bottom w:val="single" w:sz="4" w:space="0" w:color="auto"/>
              <w:right w:val="single" w:sz="4" w:space="0" w:color="auto"/>
            </w:tcBorders>
            <w:shd w:val="clear" w:color="auto" w:fill="auto"/>
            <w:tcMar>
              <w:left w:w="58" w:type="dxa"/>
              <w:right w:w="0" w:type="dxa"/>
            </w:tcMar>
          </w:tcPr>
          <w:p w14:paraId="364FD2B8" w14:textId="77777777" w:rsidR="006D7333" w:rsidRPr="00D60B52" w:rsidRDefault="006D7333" w:rsidP="00B006A9">
            <w:pPr>
              <w:jc w:val="left"/>
              <w:rPr>
                <w:color w:val="222222"/>
                <w:sz w:val="20"/>
                <w:szCs w:val="20"/>
              </w:rPr>
            </w:pPr>
            <w:r>
              <w:rPr>
                <w:color w:val="222222"/>
                <w:sz w:val="20"/>
              </w:rPr>
              <w:t>Climatiseurs résidentiels, 12 000 BTU</w:t>
            </w:r>
          </w:p>
        </w:tc>
        <w:tc>
          <w:tcPr>
            <w:tcW w:w="750" w:type="pct"/>
            <w:tcBorders>
              <w:top w:val="nil"/>
              <w:left w:val="nil"/>
              <w:bottom w:val="single" w:sz="4" w:space="0" w:color="auto"/>
              <w:right w:val="single" w:sz="4" w:space="0" w:color="auto"/>
            </w:tcBorders>
            <w:shd w:val="clear" w:color="auto" w:fill="auto"/>
            <w:tcMar>
              <w:left w:w="115" w:type="dxa"/>
              <w:right w:w="216" w:type="dxa"/>
            </w:tcMar>
            <w:vAlign w:val="center"/>
          </w:tcPr>
          <w:p w14:paraId="2F53B496" w14:textId="77777777" w:rsidR="006D7333" w:rsidRPr="00767941" w:rsidRDefault="006D7333" w:rsidP="00B006A9">
            <w:pPr>
              <w:jc w:val="right"/>
              <w:rPr>
                <w:color w:val="000000"/>
                <w:sz w:val="20"/>
                <w:szCs w:val="20"/>
              </w:rPr>
            </w:pPr>
            <w:r>
              <w:rPr>
                <w:color w:val="000000"/>
                <w:sz w:val="20"/>
              </w:rPr>
              <w:t>28 671</w:t>
            </w:r>
          </w:p>
        </w:tc>
        <w:tc>
          <w:tcPr>
            <w:tcW w:w="750" w:type="pct"/>
            <w:tcBorders>
              <w:top w:val="nil"/>
              <w:left w:val="single" w:sz="4" w:space="0" w:color="auto"/>
              <w:bottom w:val="single" w:sz="4" w:space="0" w:color="auto"/>
              <w:right w:val="single" w:sz="4" w:space="0" w:color="auto"/>
            </w:tcBorders>
            <w:vAlign w:val="center"/>
          </w:tcPr>
          <w:p w14:paraId="3943ACDE" w14:textId="77777777" w:rsidR="006D7333" w:rsidRDefault="006D7333" w:rsidP="00B006A9">
            <w:pPr>
              <w:ind w:right="276"/>
              <w:jc w:val="right"/>
              <w:rPr>
                <w:color w:val="000000"/>
                <w:sz w:val="20"/>
                <w:szCs w:val="20"/>
              </w:rPr>
            </w:pPr>
            <w:r>
              <w:rPr>
                <w:color w:val="000000"/>
                <w:sz w:val="20"/>
              </w:rPr>
              <w:t>25</w:t>
            </w:r>
          </w:p>
        </w:tc>
        <w:tc>
          <w:tcPr>
            <w:tcW w:w="750" w:type="pct"/>
            <w:tcBorders>
              <w:top w:val="nil"/>
              <w:left w:val="single" w:sz="4" w:space="0" w:color="auto"/>
              <w:bottom w:val="single" w:sz="4" w:space="0" w:color="auto"/>
              <w:right w:val="single" w:sz="4" w:space="0" w:color="auto"/>
            </w:tcBorders>
            <w:vAlign w:val="center"/>
          </w:tcPr>
          <w:p w14:paraId="744B9A56" w14:textId="77777777" w:rsidR="006D7333" w:rsidRDefault="006D7333" w:rsidP="00B006A9">
            <w:pPr>
              <w:ind w:right="364"/>
              <w:jc w:val="right"/>
              <w:rPr>
                <w:color w:val="000000"/>
                <w:sz w:val="20"/>
                <w:szCs w:val="20"/>
              </w:rPr>
            </w:pPr>
            <w:r>
              <w:rPr>
                <w:color w:val="000000"/>
                <w:sz w:val="20"/>
              </w:rPr>
              <w:t>1,0</w:t>
            </w:r>
          </w:p>
        </w:tc>
        <w:tc>
          <w:tcPr>
            <w:tcW w:w="750" w:type="pct"/>
            <w:tcBorders>
              <w:top w:val="nil"/>
              <w:left w:val="nil"/>
              <w:bottom w:val="single" w:sz="4" w:space="0" w:color="auto"/>
              <w:right w:val="single" w:sz="4" w:space="0" w:color="auto"/>
            </w:tcBorders>
            <w:tcMar>
              <w:left w:w="115" w:type="dxa"/>
              <w:right w:w="216" w:type="dxa"/>
            </w:tcMar>
            <w:vAlign w:val="center"/>
          </w:tcPr>
          <w:p w14:paraId="136CBF58" w14:textId="77777777" w:rsidR="006D7333" w:rsidRDefault="006D7333" w:rsidP="00B006A9">
            <w:pPr>
              <w:ind w:right="252"/>
              <w:jc w:val="right"/>
              <w:rPr>
                <w:color w:val="000000"/>
                <w:sz w:val="20"/>
                <w:szCs w:val="20"/>
              </w:rPr>
            </w:pPr>
            <w:r>
              <w:rPr>
                <w:color w:val="000000"/>
                <w:sz w:val="20"/>
              </w:rPr>
              <w:t>7,24</w:t>
            </w:r>
          </w:p>
        </w:tc>
        <w:tc>
          <w:tcPr>
            <w:tcW w:w="750" w:type="pct"/>
            <w:tcBorders>
              <w:top w:val="nil"/>
              <w:left w:val="nil"/>
              <w:bottom w:val="single" w:sz="4" w:space="0" w:color="auto"/>
              <w:right w:val="single" w:sz="4" w:space="0" w:color="auto"/>
            </w:tcBorders>
            <w:vAlign w:val="center"/>
          </w:tcPr>
          <w:p w14:paraId="4DF54E3D" w14:textId="77777777" w:rsidR="006D7333" w:rsidRPr="002264FA" w:rsidRDefault="006D7333" w:rsidP="00B006A9">
            <w:pPr>
              <w:ind w:right="248"/>
              <w:jc w:val="right"/>
              <w:rPr>
                <w:sz w:val="20"/>
                <w:szCs w:val="20"/>
              </w:rPr>
            </w:pPr>
            <w:r>
              <w:rPr>
                <w:color w:val="000000"/>
                <w:sz w:val="20"/>
              </w:rPr>
              <w:t>11,57</w:t>
            </w:r>
          </w:p>
        </w:tc>
      </w:tr>
      <w:tr w:rsidR="006D7333" w:rsidRPr="009770C2" w14:paraId="1A1B9D19" w14:textId="77777777" w:rsidTr="00B006A9">
        <w:tc>
          <w:tcPr>
            <w:tcW w:w="1249" w:type="pct"/>
            <w:tcBorders>
              <w:top w:val="nil"/>
              <w:left w:val="single" w:sz="4" w:space="0" w:color="auto"/>
              <w:bottom w:val="single" w:sz="4" w:space="0" w:color="auto"/>
              <w:right w:val="single" w:sz="4" w:space="0" w:color="auto"/>
            </w:tcBorders>
            <w:shd w:val="clear" w:color="auto" w:fill="auto"/>
            <w:tcMar>
              <w:left w:w="58" w:type="dxa"/>
              <w:right w:w="0" w:type="dxa"/>
            </w:tcMar>
            <w:hideMark/>
          </w:tcPr>
          <w:p w14:paraId="36140B03" w14:textId="77777777" w:rsidR="006D7333" w:rsidRPr="00D60B52" w:rsidRDefault="006D7333" w:rsidP="00B006A9">
            <w:pPr>
              <w:jc w:val="left"/>
              <w:rPr>
                <w:sz w:val="20"/>
                <w:szCs w:val="20"/>
              </w:rPr>
            </w:pPr>
            <w:r>
              <w:rPr>
                <w:color w:val="222222"/>
                <w:sz w:val="20"/>
              </w:rPr>
              <w:t>Climatiseurs commerciaux</w:t>
            </w:r>
          </w:p>
        </w:tc>
        <w:tc>
          <w:tcPr>
            <w:tcW w:w="750" w:type="pct"/>
            <w:tcBorders>
              <w:top w:val="nil"/>
              <w:left w:val="nil"/>
              <w:bottom w:val="single" w:sz="4" w:space="0" w:color="auto"/>
              <w:right w:val="single" w:sz="4" w:space="0" w:color="auto"/>
            </w:tcBorders>
            <w:shd w:val="clear" w:color="auto" w:fill="auto"/>
            <w:tcMar>
              <w:left w:w="115" w:type="dxa"/>
              <w:right w:w="216" w:type="dxa"/>
            </w:tcMar>
            <w:vAlign w:val="center"/>
          </w:tcPr>
          <w:p w14:paraId="39F740EA" w14:textId="77777777" w:rsidR="006D7333" w:rsidRPr="00767941" w:rsidRDefault="006D7333" w:rsidP="00B006A9">
            <w:pPr>
              <w:jc w:val="right"/>
              <w:rPr>
                <w:sz w:val="20"/>
                <w:szCs w:val="20"/>
              </w:rPr>
            </w:pPr>
            <w:r>
              <w:rPr>
                <w:color w:val="000000"/>
                <w:sz w:val="20"/>
              </w:rPr>
              <w:t>19 385</w:t>
            </w:r>
          </w:p>
        </w:tc>
        <w:tc>
          <w:tcPr>
            <w:tcW w:w="750" w:type="pct"/>
            <w:tcBorders>
              <w:top w:val="nil"/>
              <w:left w:val="single" w:sz="4" w:space="0" w:color="auto"/>
              <w:bottom w:val="single" w:sz="4" w:space="0" w:color="auto"/>
              <w:right w:val="single" w:sz="4" w:space="0" w:color="auto"/>
            </w:tcBorders>
            <w:vAlign w:val="center"/>
          </w:tcPr>
          <w:p w14:paraId="5D822E24" w14:textId="77777777" w:rsidR="006D7333" w:rsidRDefault="006D7333" w:rsidP="00B006A9">
            <w:pPr>
              <w:ind w:right="276"/>
              <w:jc w:val="right"/>
              <w:rPr>
                <w:color w:val="000000"/>
                <w:sz w:val="20"/>
                <w:szCs w:val="20"/>
              </w:rPr>
            </w:pPr>
            <w:r>
              <w:rPr>
                <w:color w:val="000000"/>
                <w:sz w:val="20"/>
              </w:rPr>
              <w:t>35</w:t>
            </w:r>
          </w:p>
        </w:tc>
        <w:tc>
          <w:tcPr>
            <w:tcW w:w="750" w:type="pct"/>
            <w:tcBorders>
              <w:top w:val="nil"/>
              <w:left w:val="single" w:sz="4" w:space="0" w:color="auto"/>
              <w:bottom w:val="single" w:sz="4" w:space="0" w:color="auto"/>
              <w:right w:val="single" w:sz="4" w:space="0" w:color="auto"/>
            </w:tcBorders>
            <w:vAlign w:val="center"/>
          </w:tcPr>
          <w:p w14:paraId="663112D0" w14:textId="77777777" w:rsidR="006D7333" w:rsidRDefault="006D7333" w:rsidP="00B006A9">
            <w:pPr>
              <w:ind w:right="364"/>
              <w:jc w:val="right"/>
              <w:rPr>
                <w:color w:val="000000"/>
                <w:sz w:val="20"/>
                <w:szCs w:val="20"/>
              </w:rPr>
            </w:pPr>
            <w:r>
              <w:rPr>
                <w:color w:val="000000"/>
                <w:sz w:val="20"/>
              </w:rPr>
              <w:t>2,16</w:t>
            </w:r>
          </w:p>
        </w:tc>
        <w:tc>
          <w:tcPr>
            <w:tcW w:w="750" w:type="pct"/>
            <w:tcBorders>
              <w:top w:val="nil"/>
              <w:left w:val="nil"/>
              <w:bottom w:val="single" w:sz="4" w:space="0" w:color="auto"/>
              <w:right w:val="single" w:sz="4" w:space="0" w:color="auto"/>
            </w:tcBorders>
            <w:tcMar>
              <w:left w:w="115" w:type="dxa"/>
              <w:right w:w="216" w:type="dxa"/>
            </w:tcMar>
            <w:vAlign w:val="center"/>
          </w:tcPr>
          <w:p w14:paraId="03AB9972" w14:textId="77777777" w:rsidR="006D7333" w:rsidRPr="0004150C" w:rsidRDefault="006D7333" w:rsidP="00B006A9">
            <w:pPr>
              <w:ind w:right="252"/>
              <w:jc w:val="right"/>
              <w:rPr>
                <w:color w:val="000000"/>
                <w:sz w:val="20"/>
                <w:szCs w:val="20"/>
              </w:rPr>
            </w:pPr>
            <w:r>
              <w:rPr>
                <w:color w:val="000000"/>
                <w:sz w:val="20"/>
              </w:rPr>
              <w:t>14,8</w:t>
            </w:r>
          </w:p>
        </w:tc>
        <w:tc>
          <w:tcPr>
            <w:tcW w:w="750" w:type="pct"/>
            <w:tcBorders>
              <w:top w:val="nil"/>
              <w:left w:val="nil"/>
              <w:bottom w:val="single" w:sz="4" w:space="0" w:color="auto"/>
              <w:right w:val="single" w:sz="4" w:space="0" w:color="auto"/>
            </w:tcBorders>
            <w:vAlign w:val="center"/>
          </w:tcPr>
          <w:p w14:paraId="692A62C2" w14:textId="77777777" w:rsidR="006D7333" w:rsidRPr="0004150C" w:rsidRDefault="006D7333" w:rsidP="00B006A9">
            <w:pPr>
              <w:ind w:right="248"/>
              <w:jc w:val="right"/>
              <w:rPr>
                <w:color w:val="000000"/>
                <w:sz w:val="20"/>
                <w:szCs w:val="20"/>
              </w:rPr>
            </w:pPr>
            <w:r>
              <w:rPr>
                <w:color w:val="000000"/>
                <w:sz w:val="20"/>
              </w:rPr>
              <w:t>23,64</w:t>
            </w:r>
          </w:p>
        </w:tc>
      </w:tr>
      <w:tr w:rsidR="006D7333" w:rsidRPr="009770C2" w14:paraId="40C8496A" w14:textId="77777777" w:rsidTr="00B006A9">
        <w:tc>
          <w:tcPr>
            <w:tcW w:w="1249" w:type="pct"/>
            <w:tcBorders>
              <w:top w:val="nil"/>
              <w:left w:val="single" w:sz="4" w:space="0" w:color="auto"/>
              <w:bottom w:val="single" w:sz="4" w:space="0" w:color="auto"/>
              <w:right w:val="single" w:sz="4" w:space="0" w:color="auto"/>
            </w:tcBorders>
            <w:shd w:val="clear" w:color="auto" w:fill="auto"/>
            <w:tcMar>
              <w:left w:w="58" w:type="dxa"/>
              <w:right w:w="0" w:type="dxa"/>
            </w:tcMar>
            <w:hideMark/>
          </w:tcPr>
          <w:p w14:paraId="30667BC9" w14:textId="77777777" w:rsidR="006D7333" w:rsidRPr="00D60B52" w:rsidRDefault="006D7333" w:rsidP="00B006A9">
            <w:pPr>
              <w:jc w:val="left"/>
              <w:rPr>
                <w:sz w:val="20"/>
                <w:szCs w:val="20"/>
              </w:rPr>
            </w:pPr>
            <w:r>
              <w:rPr>
                <w:color w:val="222222"/>
                <w:sz w:val="20"/>
              </w:rPr>
              <w:t>Réfrigérateurs commerciaux</w:t>
            </w:r>
          </w:p>
        </w:tc>
        <w:tc>
          <w:tcPr>
            <w:tcW w:w="750" w:type="pct"/>
            <w:tcBorders>
              <w:top w:val="nil"/>
              <w:left w:val="nil"/>
              <w:bottom w:val="single" w:sz="4" w:space="0" w:color="auto"/>
              <w:right w:val="single" w:sz="4" w:space="0" w:color="auto"/>
            </w:tcBorders>
            <w:shd w:val="clear" w:color="auto" w:fill="auto"/>
            <w:tcMar>
              <w:left w:w="115" w:type="dxa"/>
              <w:right w:w="216" w:type="dxa"/>
            </w:tcMar>
            <w:vAlign w:val="center"/>
          </w:tcPr>
          <w:p w14:paraId="66A78E3B" w14:textId="77777777" w:rsidR="006D7333" w:rsidRPr="00767941" w:rsidRDefault="006D7333" w:rsidP="00B006A9">
            <w:pPr>
              <w:jc w:val="right"/>
              <w:rPr>
                <w:sz w:val="20"/>
                <w:szCs w:val="20"/>
              </w:rPr>
            </w:pPr>
            <w:r>
              <w:rPr>
                <w:color w:val="000000"/>
                <w:sz w:val="20"/>
              </w:rPr>
              <w:t>15 508</w:t>
            </w:r>
          </w:p>
        </w:tc>
        <w:tc>
          <w:tcPr>
            <w:tcW w:w="750" w:type="pct"/>
            <w:tcBorders>
              <w:top w:val="nil"/>
              <w:left w:val="single" w:sz="4" w:space="0" w:color="auto"/>
              <w:bottom w:val="single" w:sz="4" w:space="0" w:color="auto"/>
              <w:right w:val="single" w:sz="4" w:space="0" w:color="auto"/>
            </w:tcBorders>
            <w:vAlign w:val="center"/>
          </w:tcPr>
          <w:p w14:paraId="450860D3" w14:textId="77777777" w:rsidR="006D7333" w:rsidRPr="00767941" w:rsidRDefault="006D7333" w:rsidP="00B006A9">
            <w:pPr>
              <w:ind w:right="276"/>
              <w:jc w:val="right"/>
              <w:rPr>
                <w:color w:val="000000"/>
                <w:sz w:val="20"/>
                <w:szCs w:val="20"/>
              </w:rPr>
            </w:pPr>
            <w:r>
              <w:rPr>
                <w:color w:val="000000"/>
                <w:sz w:val="20"/>
              </w:rPr>
              <w:t>35</w:t>
            </w:r>
          </w:p>
        </w:tc>
        <w:tc>
          <w:tcPr>
            <w:tcW w:w="750" w:type="pct"/>
            <w:tcBorders>
              <w:top w:val="nil"/>
              <w:left w:val="single" w:sz="4" w:space="0" w:color="auto"/>
              <w:bottom w:val="single" w:sz="4" w:space="0" w:color="auto"/>
              <w:right w:val="single" w:sz="4" w:space="0" w:color="auto"/>
            </w:tcBorders>
            <w:vAlign w:val="center"/>
          </w:tcPr>
          <w:p w14:paraId="6D774E00" w14:textId="77777777" w:rsidR="006D7333" w:rsidRPr="00767941" w:rsidRDefault="006D7333" w:rsidP="00B006A9">
            <w:pPr>
              <w:ind w:right="364"/>
              <w:jc w:val="right"/>
              <w:rPr>
                <w:color w:val="000000"/>
                <w:sz w:val="20"/>
                <w:szCs w:val="20"/>
              </w:rPr>
            </w:pPr>
            <w:r>
              <w:rPr>
                <w:color w:val="000000"/>
                <w:sz w:val="20"/>
              </w:rPr>
              <w:t>4,8</w:t>
            </w:r>
          </w:p>
        </w:tc>
        <w:tc>
          <w:tcPr>
            <w:tcW w:w="750" w:type="pct"/>
            <w:tcBorders>
              <w:top w:val="nil"/>
              <w:left w:val="nil"/>
              <w:bottom w:val="single" w:sz="4" w:space="0" w:color="auto"/>
              <w:right w:val="single" w:sz="4" w:space="0" w:color="auto"/>
            </w:tcBorders>
            <w:tcMar>
              <w:left w:w="115" w:type="dxa"/>
              <w:right w:w="216" w:type="dxa"/>
            </w:tcMar>
            <w:vAlign w:val="center"/>
          </w:tcPr>
          <w:p w14:paraId="14F83D8E" w14:textId="77777777" w:rsidR="006D7333" w:rsidRPr="0004150C" w:rsidRDefault="006D7333" w:rsidP="00B006A9">
            <w:pPr>
              <w:ind w:right="252"/>
              <w:jc w:val="right"/>
              <w:rPr>
                <w:color w:val="000000"/>
                <w:sz w:val="20"/>
                <w:szCs w:val="20"/>
              </w:rPr>
            </w:pPr>
            <w:r>
              <w:rPr>
                <w:color w:val="000000"/>
                <w:sz w:val="20"/>
              </w:rPr>
              <w:t>26,31</w:t>
            </w:r>
          </w:p>
        </w:tc>
        <w:tc>
          <w:tcPr>
            <w:tcW w:w="750" w:type="pct"/>
            <w:tcBorders>
              <w:top w:val="nil"/>
              <w:left w:val="nil"/>
              <w:bottom w:val="single" w:sz="4" w:space="0" w:color="auto"/>
              <w:right w:val="single" w:sz="4" w:space="0" w:color="auto"/>
            </w:tcBorders>
            <w:vAlign w:val="center"/>
          </w:tcPr>
          <w:p w14:paraId="125E2543" w14:textId="77777777" w:rsidR="006D7333" w:rsidRPr="0004150C" w:rsidRDefault="006D7333" w:rsidP="00B006A9">
            <w:pPr>
              <w:ind w:right="248"/>
              <w:jc w:val="right"/>
              <w:rPr>
                <w:color w:val="000000"/>
                <w:sz w:val="20"/>
                <w:szCs w:val="20"/>
              </w:rPr>
            </w:pPr>
            <w:r>
              <w:rPr>
                <w:color w:val="000000"/>
                <w:sz w:val="20"/>
              </w:rPr>
              <w:t>42,03</w:t>
            </w:r>
          </w:p>
        </w:tc>
      </w:tr>
      <w:tr w:rsidR="006D7333" w:rsidRPr="009770C2" w14:paraId="5A9E0958" w14:textId="77777777" w:rsidTr="00B006A9">
        <w:tc>
          <w:tcPr>
            <w:tcW w:w="1249" w:type="pct"/>
            <w:tcBorders>
              <w:top w:val="nil"/>
              <w:left w:val="single" w:sz="4" w:space="0" w:color="auto"/>
              <w:bottom w:val="single" w:sz="4" w:space="0" w:color="auto"/>
              <w:right w:val="single" w:sz="4" w:space="0" w:color="auto"/>
            </w:tcBorders>
            <w:shd w:val="clear" w:color="auto" w:fill="auto"/>
            <w:tcMar>
              <w:left w:w="58" w:type="dxa"/>
              <w:right w:w="0" w:type="dxa"/>
            </w:tcMar>
            <w:hideMark/>
          </w:tcPr>
          <w:p w14:paraId="5EB54BAF" w14:textId="77777777" w:rsidR="006D7333" w:rsidRPr="00CD2447" w:rsidRDefault="006D7333" w:rsidP="00B006A9">
            <w:pPr>
              <w:jc w:val="left"/>
              <w:rPr>
                <w:sz w:val="20"/>
                <w:szCs w:val="20"/>
              </w:rPr>
            </w:pPr>
            <w:r>
              <w:rPr>
                <w:color w:val="222222"/>
                <w:sz w:val="20"/>
              </w:rPr>
              <w:t>Réfrigérateurs industriels</w:t>
            </w:r>
          </w:p>
        </w:tc>
        <w:tc>
          <w:tcPr>
            <w:tcW w:w="750" w:type="pct"/>
            <w:tcBorders>
              <w:top w:val="nil"/>
              <w:left w:val="nil"/>
              <w:bottom w:val="single" w:sz="4" w:space="0" w:color="auto"/>
              <w:right w:val="single" w:sz="4" w:space="0" w:color="auto"/>
            </w:tcBorders>
            <w:shd w:val="clear" w:color="auto" w:fill="auto"/>
            <w:tcMar>
              <w:left w:w="115" w:type="dxa"/>
              <w:right w:w="216" w:type="dxa"/>
            </w:tcMar>
            <w:vAlign w:val="center"/>
          </w:tcPr>
          <w:p w14:paraId="6C257328" w14:textId="77777777" w:rsidR="006D7333" w:rsidRPr="00767941" w:rsidRDefault="006D7333" w:rsidP="00B006A9">
            <w:pPr>
              <w:jc w:val="right"/>
              <w:rPr>
                <w:sz w:val="20"/>
                <w:szCs w:val="20"/>
              </w:rPr>
            </w:pPr>
            <w:r>
              <w:rPr>
                <w:color w:val="000000"/>
                <w:sz w:val="20"/>
              </w:rPr>
              <w:t>50</w:t>
            </w:r>
          </w:p>
        </w:tc>
        <w:tc>
          <w:tcPr>
            <w:tcW w:w="750" w:type="pct"/>
            <w:tcBorders>
              <w:top w:val="nil"/>
              <w:left w:val="single" w:sz="4" w:space="0" w:color="auto"/>
              <w:bottom w:val="single" w:sz="4" w:space="0" w:color="auto"/>
              <w:right w:val="single" w:sz="4" w:space="0" w:color="auto"/>
            </w:tcBorders>
            <w:vAlign w:val="center"/>
          </w:tcPr>
          <w:p w14:paraId="73BFA5A9" w14:textId="77777777" w:rsidR="006D7333" w:rsidRDefault="006D7333" w:rsidP="00B006A9">
            <w:pPr>
              <w:ind w:right="276"/>
              <w:jc w:val="right"/>
              <w:rPr>
                <w:color w:val="000000"/>
                <w:sz w:val="20"/>
                <w:szCs w:val="20"/>
              </w:rPr>
            </w:pPr>
            <w:r>
              <w:rPr>
                <w:color w:val="000000"/>
                <w:sz w:val="20"/>
              </w:rPr>
              <w:t>15</w:t>
            </w:r>
          </w:p>
        </w:tc>
        <w:tc>
          <w:tcPr>
            <w:tcW w:w="750" w:type="pct"/>
            <w:tcBorders>
              <w:top w:val="nil"/>
              <w:left w:val="single" w:sz="4" w:space="0" w:color="auto"/>
              <w:bottom w:val="single" w:sz="4" w:space="0" w:color="auto"/>
              <w:right w:val="single" w:sz="4" w:space="0" w:color="auto"/>
            </w:tcBorders>
            <w:vAlign w:val="center"/>
          </w:tcPr>
          <w:p w14:paraId="1A434666" w14:textId="77777777" w:rsidR="006D7333" w:rsidRDefault="006D7333" w:rsidP="00B006A9">
            <w:pPr>
              <w:ind w:right="364"/>
              <w:jc w:val="right"/>
              <w:rPr>
                <w:color w:val="000000"/>
                <w:sz w:val="20"/>
                <w:szCs w:val="20"/>
              </w:rPr>
            </w:pPr>
            <w:r>
              <w:rPr>
                <w:color w:val="000000"/>
                <w:sz w:val="20"/>
              </w:rPr>
              <w:t>5,0</w:t>
            </w:r>
          </w:p>
        </w:tc>
        <w:tc>
          <w:tcPr>
            <w:tcW w:w="750" w:type="pct"/>
            <w:tcBorders>
              <w:top w:val="nil"/>
              <w:left w:val="nil"/>
              <w:bottom w:val="single" w:sz="4" w:space="0" w:color="auto"/>
              <w:right w:val="single" w:sz="4" w:space="0" w:color="auto"/>
            </w:tcBorders>
            <w:tcMar>
              <w:left w:w="115" w:type="dxa"/>
              <w:right w:w="216" w:type="dxa"/>
            </w:tcMar>
            <w:vAlign w:val="center"/>
          </w:tcPr>
          <w:p w14:paraId="21F0703A" w14:textId="77777777" w:rsidR="006D7333" w:rsidRPr="00767941" w:rsidRDefault="006D7333" w:rsidP="00B006A9">
            <w:pPr>
              <w:ind w:right="252"/>
              <w:jc w:val="right"/>
              <w:rPr>
                <w:color w:val="000000"/>
                <w:sz w:val="20"/>
                <w:szCs w:val="20"/>
              </w:rPr>
            </w:pPr>
            <w:r>
              <w:rPr>
                <w:color w:val="000000"/>
                <w:sz w:val="20"/>
              </w:rPr>
              <w:t>0,04</w:t>
            </w:r>
          </w:p>
        </w:tc>
        <w:tc>
          <w:tcPr>
            <w:tcW w:w="750" w:type="pct"/>
            <w:tcBorders>
              <w:top w:val="nil"/>
              <w:left w:val="nil"/>
              <w:bottom w:val="single" w:sz="4" w:space="0" w:color="auto"/>
              <w:right w:val="single" w:sz="4" w:space="0" w:color="auto"/>
            </w:tcBorders>
            <w:vAlign w:val="center"/>
          </w:tcPr>
          <w:p w14:paraId="200E2B40" w14:textId="77777777" w:rsidR="006D7333" w:rsidRPr="002264FA" w:rsidRDefault="006D7333" w:rsidP="00B006A9">
            <w:pPr>
              <w:ind w:right="248"/>
              <w:jc w:val="right"/>
              <w:rPr>
                <w:color w:val="000000"/>
                <w:sz w:val="20"/>
                <w:szCs w:val="20"/>
              </w:rPr>
            </w:pPr>
            <w:r>
              <w:rPr>
                <w:color w:val="000000"/>
                <w:sz w:val="20"/>
              </w:rPr>
              <w:t>0,06</w:t>
            </w:r>
          </w:p>
        </w:tc>
      </w:tr>
      <w:tr w:rsidR="006D7333" w:rsidRPr="009770C2" w14:paraId="6D7CA494" w14:textId="77777777" w:rsidTr="00B006A9">
        <w:tc>
          <w:tcPr>
            <w:tcW w:w="1249" w:type="pct"/>
            <w:tcBorders>
              <w:top w:val="nil"/>
              <w:left w:val="single" w:sz="4" w:space="0" w:color="auto"/>
              <w:bottom w:val="single" w:sz="4" w:space="0" w:color="auto"/>
              <w:right w:val="single" w:sz="4" w:space="0" w:color="auto"/>
            </w:tcBorders>
            <w:shd w:val="clear" w:color="auto" w:fill="auto"/>
            <w:tcMar>
              <w:left w:w="58" w:type="dxa"/>
              <w:right w:w="0" w:type="dxa"/>
            </w:tcMar>
          </w:tcPr>
          <w:p w14:paraId="7BD95FAA" w14:textId="77777777" w:rsidR="006D7333" w:rsidRPr="00CD2447" w:rsidRDefault="006D7333" w:rsidP="00B006A9">
            <w:pPr>
              <w:jc w:val="left"/>
              <w:rPr>
                <w:color w:val="222222"/>
                <w:sz w:val="20"/>
                <w:szCs w:val="20"/>
              </w:rPr>
            </w:pPr>
            <w:r>
              <w:rPr>
                <w:color w:val="222222"/>
                <w:sz w:val="20"/>
              </w:rPr>
              <w:t>Refroidisseurs</w:t>
            </w:r>
          </w:p>
        </w:tc>
        <w:tc>
          <w:tcPr>
            <w:tcW w:w="750" w:type="pct"/>
            <w:tcBorders>
              <w:top w:val="nil"/>
              <w:left w:val="nil"/>
              <w:bottom w:val="single" w:sz="4" w:space="0" w:color="auto"/>
              <w:right w:val="single" w:sz="4" w:space="0" w:color="auto"/>
            </w:tcBorders>
            <w:shd w:val="clear" w:color="auto" w:fill="auto"/>
            <w:tcMar>
              <w:left w:w="115" w:type="dxa"/>
              <w:right w:w="216" w:type="dxa"/>
            </w:tcMar>
            <w:vAlign w:val="center"/>
          </w:tcPr>
          <w:p w14:paraId="5D37EFC5" w14:textId="77777777" w:rsidR="006D7333" w:rsidRPr="00767941" w:rsidRDefault="006D7333" w:rsidP="00B006A9">
            <w:pPr>
              <w:jc w:val="right"/>
              <w:rPr>
                <w:sz w:val="20"/>
                <w:szCs w:val="20"/>
              </w:rPr>
            </w:pPr>
            <w:r>
              <w:rPr>
                <w:color w:val="000000"/>
                <w:sz w:val="20"/>
              </w:rPr>
              <w:t>30</w:t>
            </w:r>
          </w:p>
        </w:tc>
        <w:tc>
          <w:tcPr>
            <w:tcW w:w="750" w:type="pct"/>
            <w:tcBorders>
              <w:top w:val="nil"/>
              <w:left w:val="single" w:sz="4" w:space="0" w:color="auto"/>
              <w:bottom w:val="single" w:sz="4" w:space="0" w:color="auto"/>
              <w:right w:val="single" w:sz="4" w:space="0" w:color="auto"/>
            </w:tcBorders>
            <w:vAlign w:val="center"/>
          </w:tcPr>
          <w:p w14:paraId="45F651E0" w14:textId="77777777" w:rsidR="006D7333" w:rsidRDefault="006D7333" w:rsidP="00B006A9">
            <w:pPr>
              <w:ind w:right="276"/>
              <w:jc w:val="right"/>
              <w:rPr>
                <w:color w:val="000000"/>
                <w:sz w:val="20"/>
                <w:szCs w:val="20"/>
              </w:rPr>
            </w:pPr>
            <w:r>
              <w:rPr>
                <w:color w:val="000000"/>
                <w:sz w:val="20"/>
              </w:rPr>
              <w:t>10</w:t>
            </w:r>
          </w:p>
        </w:tc>
        <w:tc>
          <w:tcPr>
            <w:tcW w:w="750" w:type="pct"/>
            <w:tcBorders>
              <w:top w:val="nil"/>
              <w:left w:val="single" w:sz="4" w:space="0" w:color="auto"/>
              <w:bottom w:val="single" w:sz="4" w:space="0" w:color="auto"/>
              <w:right w:val="single" w:sz="4" w:space="0" w:color="auto"/>
            </w:tcBorders>
            <w:vAlign w:val="center"/>
          </w:tcPr>
          <w:p w14:paraId="15AFDB24" w14:textId="77777777" w:rsidR="006D7333" w:rsidRDefault="006D7333" w:rsidP="00B006A9">
            <w:pPr>
              <w:ind w:right="364"/>
              <w:jc w:val="right"/>
              <w:rPr>
                <w:color w:val="000000"/>
                <w:sz w:val="20"/>
                <w:szCs w:val="20"/>
              </w:rPr>
            </w:pPr>
            <w:r>
              <w:rPr>
                <w:color w:val="000000"/>
                <w:sz w:val="20"/>
              </w:rPr>
              <w:t>5,0</w:t>
            </w:r>
          </w:p>
        </w:tc>
        <w:tc>
          <w:tcPr>
            <w:tcW w:w="750" w:type="pct"/>
            <w:tcBorders>
              <w:top w:val="nil"/>
              <w:left w:val="nil"/>
              <w:bottom w:val="single" w:sz="4" w:space="0" w:color="auto"/>
              <w:right w:val="single" w:sz="4" w:space="0" w:color="auto"/>
            </w:tcBorders>
            <w:tcMar>
              <w:left w:w="115" w:type="dxa"/>
              <w:right w:w="216" w:type="dxa"/>
            </w:tcMar>
            <w:vAlign w:val="center"/>
          </w:tcPr>
          <w:p w14:paraId="1676A29D" w14:textId="77777777" w:rsidR="006D7333" w:rsidRPr="00767941" w:rsidRDefault="006D7333" w:rsidP="00B006A9">
            <w:pPr>
              <w:ind w:right="252"/>
              <w:jc w:val="right"/>
              <w:rPr>
                <w:color w:val="000000"/>
                <w:sz w:val="20"/>
                <w:szCs w:val="20"/>
              </w:rPr>
            </w:pPr>
            <w:r>
              <w:rPr>
                <w:color w:val="000000"/>
                <w:sz w:val="20"/>
              </w:rPr>
              <w:t>0,02</w:t>
            </w:r>
          </w:p>
        </w:tc>
        <w:tc>
          <w:tcPr>
            <w:tcW w:w="750" w:type="pct"/>
            <w:tcBorders>
              <w:top w:val="nil"/>
              <w:left w:val="nil"/>
              <w:bottom w:val="single" w:sz="4" w:space="0" w:color="auto"/>
              <w:right w:val="single" w:sz="4" w:space="0" w:color="auto"/>
            </w:tcBorders>
            <w:vAlign w:val="center"/>
          </w:tcPr>
          <w:p w14:paraId="60490CCB" w14:textId="77777777" w:rsidR="006D7333" w:rsidRPr="002264FA" w:rsidRDefault="006D7333" w:rsidP="00B006A9">
            <w:pPr>
              <w:ind w:right="248"/>
              <w:jc w:val="right"/>
              <w:rPr>
                <w:color w:val="000000"/>
                <w:sz w:val="20"/>
                <w:szCs w:val="20"/>
              </w:rPr>
            </w:pPr>
            <w:r>
              <w:rPr>
                <w:color w:val="000000"/>
                <w:sz w:val="20"/>
              </w:rPr>
              <w:t>0,03</w:t>
            </w:r>
          </w:p>
        </w:tc>
      </w:tr>
      <w:tr w:rsidR="006D7333" w:rsidRPr="00767941" w14:paraId="67464372" w14:textId="77777777" w:rsidTr="00B006A9">
        <w:tc>
          <w:tcPr>
            <w:tcW w:w="1249" w:type="pct"/>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61C2C3FD" w14:textId="77777777" w:rsidR="006D7333" w:rsidRPr="00767941" w:rsidRDefault="006D7333" w:rsidP="00B006A9">
            <w:pPr>
              <w:jc w:val="left"/>
              <w:rPr>
                <w:b/>
                <w:sz w:val="20"/>
                <w:szCs w:val="20"/>
              </w:rPr>
            </w:pPr>
            <w:r>
              <w:rPr>
                <w:b/>
                <w:sz w:val="20"/>
              </w:rPr>
              <w:t>Sous-total</w:t>
            </w:r>
          </w:p>
        </w:tc>
        <w:tc>
          <w:tcPr>
            <w:tcW w:w="750" w:type="pct"/>
            <w:tcBorders>
              <w:top w:val="nil"/>
              <w:left w:val="nil"/>
              <w:bottom w:val="single" w:sz="4" w:space="0" w:color="auto"/>
              <w:right w:val="single" w:sz="4" w:space="0" w:color="auto"/>
            </w:tcBorders>
            <w:shd w:val="clear" w:color="auto" w:fill="auto"/>
            <w:noWrap/>
            <w:tcMar>
              <w:left w:w="115" w:type="dxa"/>
              <w:right w:w="216" w:type="dxa"/>
            </w:tcMar>
          </w:tcPr>
          <w:p w14:paraId="07E5B56D" w14:textId="77777777" w:rsidR="006D7333" w:rsidRPr="00767941" w:rsidRDefault="006D7333" w:rsidP="00B006A9">
            <w:pPr>
              <w:jc w:val="right"/>
              <w:rPr>
                <w:b/>
                <w:color w:val="000000"/>
                <w:sz w:val="20"/>
                <w:szCs w:val="20"/>
              </w:rPr>
            </w:pPr>
            <w:r>
              <w:rPr>
                <w:b/>
                <w:color w:val="000000"/>
                <w:sz w:val="20"/>
              </w:rPr>
              <w:t>122 494</w:t>
            </w:r>
          </w:p>
        </w:tc>
        <w:tc>
          <w:tcPr>
            <w:tcW w:w="750" w:type="pct"/>
            <w:tcBorders>
              <w:top w:val="nil"/>
              <w:left w:val="single" w:sz="4" w:space="0" w:color="auto"/>
              <w:bottom w:val="single" w:sz="4" w:space="0" w:color="auto"/>
              <w:right w:val="single" w:sz="4" w:space="0" w:color="auto"/>
            </w:tcBorders>
          </w:tcPr>
          <w:p w14:paraId="126DDB63" w14:textId="77777777" w:rsidR="006D7333" w:rsidRPr="00767941" w:rsidRDefault="006D7333" w:rsidP="00B006A9">
            <w:pPr>
              <w:jc w:val="right"/>
              <w:rPr>
                <w:b/>
                <w:color w:val="000000"/>
                <w:sz w:val="20"/>
                <w:szCs w:val="20"/>
              </w:rPr>
            </w:pPr>
            <w:proofErr w:type="spellStart"/>
            <w:r>
              <w:rPr>
                <w:b/>
                <w:color w:val="000000"/>
                <w:sz w:val="20"/>
              </w:rPr>
              <w:t>s.o</w:t>
            </w:r>
            <w:proofErr w:type="spellEnd"/>
            <w:r>
              <w:rPr>
                <w:b/>
                <w:color w:val="000000"/>
                <w:sz w:val="20"/>
              </w:rPr>
              <w:t>.</w:t>
            </w:r>
          </w:p>
        </w:tc>
        <w:tc>
          <w:tcPr>
            <w:tcW w:w="750" w:type="pct"/>
            <w:tcBorders>
              <w:top w:val="nil"/>
              <w:left w:val="single" w:sz="4" w:space="0" w:color="auto"/>
              <w:bottom w:val="single" w:sz="4" w:space="0" w:color="auto"/>
              <w:right w:val="single" w:sz="4" w:space="0" w:color="auto"/>
            </w:tcBorders>
          </w:tcPr>
          <w:p w14:paraId="1B860EB4" w14:textId="77777777" w:rsidR="006D7333" w:rsidRPr="00767941" w:rsidRDefault="006D7333" w:rsidP="00B006A9">
            <w:pPr>
              <w:ind w:right="364"/>
              <w:jc w:val="right"/>
              <w:rPr>
                <w:b/>
                <w:color w:val="000000"/>
                <w:sz w:val="20"/>
                <w:szCs w:val="20"/>
              </w:rPr>
            </w:pPr>
            <w:proofErr w:type="spellStart"/>
            <w:r>
              <w:rPr>
                <w:b/>
                <w:color w:val="000000"/>
                <w:sz w:val="20"/>
              </w:rPr>
              <w:t>s.o</w:t>
            </w:r>
            <w:proofErr w:type="spellEnd"/>
            <w:r>
              <w:rPr>
                <w:b/>
                <w:color w:val="000000"/>
                <w:sz w:val="20"/>
              </w:rPr>
              <w:t>.</w:t>
            </w:r>
          </w:p>
        </w:tc>
        <w:tc>
          <w:tcPr>
            <w:tcW w:w="750" w:type="pct"/>
            <w:tcBorders>
              <w:top w:val="nil"/>
              <w:left w:val="nil"/>
              <w:bottom w:val="single" w:sz="4" w:space="0" w:color="auto"/>
              <w:right w:val="single" w:sz="4" w:space="0" w:color="auto"/>
            </w:tcBorders>
            <w:tcMar>
              <w:left w:w="115" w:type="dxa"/>
              <w:right w:w="216" w:type="dxa"/>
            </w:tcMar>
          </w:tcPr>
          <w:p w14:paraId="00EEC98A" w14:textId="77777777" w:rsidR="006D7333" w:rsidRPr="00767941" w:rsidRDefault="006D7333" w:rsidP="00B006A9">
            <w:pPr>
              <w:ind w:right="252"/>
              <w:jc w:val="right"/>
              <w:rPr>
                <w:b/>
                <w:color w:val="000000"/>
                <w:sz w:val="20"/>
                <w:szCs w:val="20"/>
              </w:rPr>
            </w:pPr>
            <w:r>
              <w:rPr>
                <w:b/>
                <w:color w:val="000000"/>
                <w:sz w:val="20"/>
              </w:rPr>
              <w:t>58,81</w:t>
            </w:r>
          </w:p>
        </w:tc>
        <w:tc>
          <w:tcPr>
            <w:tcW w:w="750" w:type="pct"/>
            <w:tcBorders>
              <w:top w:val="nil"/>
              <w:left w:val="nil"/>
              <w:bottom w:val="single" w:sz="4" w:space="0" w:color="auto"/>
              <w:right w:val="single" w:sz="4" w:space="0" w:color="auto"/>
            </w:tcBorders>
          </w:tcPr>
          <w:p w14:paraId="63B664CF" w14:textId="77777777" w:rsidR="006D7333" w:rsidRPr="00767941" w:rsidRDefault="006D7333" w:rsidP="00B006A9">
            <w:pPr>
              <w:ind w:right="248"/>
              <w:jc w:val="right"/>
              <w:rPr>
                <w:b/>
                <w:color w:val="000000"/>
                <w:sz w:val="20"/>
                <w:szCs w:val="20"/>
              </w:rPr>
            </w:pPr>
            <w:r>
              <w:rPr>
                <w:b/>
                <w:color w:val="000000"/>
                <w:sz w:val="20"/>
              </w:rPr>
              <w:t>93,95</w:t>
            </w:r>
          </w:p>
        </w:tc>
      </w:tr>
      <w:tr w:rsidR="006D7333" w:rsidRPr="00767941" w14:paraId="29A12CB2" w14:textId="77777777" w:rsidTr="00B006A9">
        <w:tc>
          <w:tcPr>
            <w:tcW w:w="3499" w:type="pct"/>
            <w:gridSpan w:val="4"/>
            <w:tcBorders>
              <w:top w:val="nil"/>
              <w:left w:val="single" w:sz="4" w:space="0" w:color="auto"/>
              <w:bottom w:val="single" w:sz="4" w:space="0" w:color="auto"/>
              <w:right w:val="single" w:sz="4" w:space="0" w:color="auto"/>
            </w:tcBorders>
            <w:shd w:val="clear" w:color="auto" w:fill="auto"/>
            <w:tcMar>
              <w:left w:w="58" w:type="dxa"/>
              <w:right w:w="0" w:type="dxa"/>
            </w:tcMar>
            <w:vAlign w:val="center"/>
          </w:tcPr>
          <w:p w14:paraId="0D966773" w14:textId="77777777" w:rsidR="006D7333" w:rsidRPr="00767941" w:rsidRDefault="006D7333" w:rsidP="00B006A9">
            <w:pPr>
              <w:ind w:right="364"/>
              <w:jc w:val="left"/>
              <w:rPr>
                <w:b/>
                <w:color w:val="000000"/>
                <w:sz w:val="20"/>
                <w:szCs w:val="20"/>
              </w:rPr>
            </w:pPr>
            <w:r>
              <w:rPr>
                <w:b/>
                <w:color w:val="000000"/>
                <w:sz w:val="20"/>
              </w:rPr>
              <w:t>Stocks</w:t>
            </w:r>
          </w:p>
        </w:tc>
        <w:tc>
          <w:tcPr>
            <w:tcW w:w="750" w:type="pct"/>
            <w:tcBorders>
              <w:top w:val="nil"/>
              <w:left w:val="nil"/>
              <w:bottom w:val="single" w:sz="4" w:space="0" w:color="auto"/>
              <w:right w:val="single" w:sz="4" w:space="0" w:color="auto"/>
            </w:tcBorders>
            <w:tcMar>
              <w:left w:w="115" w:type="dxa"/>
              <w:right w:w="216" w:type="dxa"/>
            </w:tcMar>
          </w:tcPr>
          <w:p w14:paraId="5E0B63FE" w14:textId="77777777" w:rsidR="006D7333" w:rsidRDefault="006D7333" w:rsidP="00B006A9">
            <w:pPr>
              <w:ind w:right="252"/>
              <w:jc w:val="right"/>
              <w:rPr>
                <w:b/>
                <w:color w:val="000000"/>
                <w:sz w:val="20"/>
                <w:szCs w:val="20"/>
              </w:rPr>
            </w:pPr>
            <w:r>
              <w:rPr>
                <w:color w:val="000000"/>
                <w:sz w:val="20"/>
              </w:rPr>
              <w:t>3,79</w:t>
            </w:r>
          </w:p>
        </w:tc>
        <w:tc>
          <w:tcPr>
            <w:tcW w:w="750" w:type="pct"/>
            <w:tcBorders>
              <w:top w:val="nil"/>
              <w:left w:val="nil"/>
              <w:bottom w:val="single" w:sz="4" w:space="0" w:color="auto"/>
              <w:right w:val="single" w:sz="4" w:space="0" w:color="auto"/>
            </w:tcBorders>
          </w:tcPr>
          <w:p w14:paraId="7607F078" w14:textId="77777777" w:rsidR="006D7333" w:rsidRDefault="006D7333" w:rsidP="00B006A9">
            <w:pPr>
              <w:ind w:right="248"/>
              <w:jc w:val="right"/>
              <w:rPr>
                <w:b/>
                <w:color w:val="000000"/>
                <w:sz w:val="20"/>
                <w:szCs w:val="20"/>
              </w:rPr>
            </w:pPr>
            <w:r>
              <w:rPr>
                <w:color w:val="000000"/>
                <w:sz w:val="20"/>
              </w:rPr>
              <w:t>6,05</w:t>
            </w:r>
          </w:p>
        </w:tc>
      </w:tr>
      <w:tr w:rsidR="006D7333" w:rsidRPr="00767941" w14:paraId="47DE8CE0" w14:textId="77777777" w:rsidTr="00B006A9">
        <w:tc>
          <w:tcPr>
            <w:tcW w:w="3499" w:type="pct"/>
            <w:gridSpan w:val="4"/>
            <w:tcBorders>
              <w:top w:val="nil"/>
              <w:left w:val="single" w:sz="4" w:space="0" w:color="auto"/>
              <w:bottom w:val="single" w:sz="4" w:space="0" w:color="auto"/>
              <w:right w:val="single" w:sz="4" w:space="0" w:color="auto"/>
            </w:tcBorders>
            <w:shd w:val="clear" w:color="auto" w:fill="auto"/>
            <w:tcMar>
              <w:left w:w="58" w:type="dxa"/>
              <w:right w:w="0" w:type="dxa"/>
            </w:tcMar>
            <w:vAlign w:val="center"/>
          </w:tcPr>
          <w:p w14:paraId="273C814E" w14:textId="77777777" w:rsidR="006D7333" w:rsidRPr="00767941" w:rsidRDefault="006D7333" w:rsidP="00B006A9">
            <w:pPr>
              <w:ind w:right="364"/>
              <w:jc w:val="left"/>
              <w:rPr>
                <w:b/>
                <w:color w:val="000000"/>
                <w:sz w:val="20"/>
                <w:szCs w:val="20"/>
              </w:rPr>
            </w:pPr>
            <w:r>
              <w:rPr>
                <w:b/>
                <w:color w:val="000000"/>
                <w:sz w:val="20"/>
              </w:rPr>
              <w:t xml:space="preserve">Total </w:t>
            </w:r>
          </w:p>
        </w:tc>
        <w:tc>
          <w:tcPr>
            <w:tcW w:w="750" w:type="pct"/>
            <w:tcBorders>
              <w:top w:val="nil"/>
              <w:left w:val="nil"/>
              <w:bottom w:val="single" w:sz="4" w:space="0" w:color="auto"/>
              <w:right w:val="single" w:sz="4" w:space="0" w:color="auto"/>
            </w:tcBorders>
            <w:tcMar>
              <w:left w:w="115" w:type="dxa"/>
              <w:right w:w="216" w:type="dxa"/>
            </w:tcMar>
          </w:tcPr>
          <w:p w14:paraId="5739629A" w14:textId="77777777" w:rsidR="006D7333" w:rsidRDefault="006D7333" w:rsidP="00B006A9">
            <w:pPr>
              <w:ind w:right="252"/>
              <w:jc w:val="right"/>
              <w:rPr>
                <w:b/>
                <w:color w:val="000000"/>
                <w:sz w:val="20"/>
                <w:szCs w:val="20"/>
              </w:rPr>
            </w:pPr>
            <w:r>
              <w:rPr>
                <w:b/>
                <w:color w:val="000000"/>
                <w:sz w:val="20"/>
              </w:rPr>
              <w:t>62,61</w:t>
            </w:r>
          </w:p>
        </w:tc>
        <w:tc>
          <w:tcPr>
            <w:tcW w:w="750" w:type="pct"/>
            <w:tcBorders>
              <w:top w:val="nil"/>
              <w:left w:val="nil"/>
              <w:bottom w:val="single" w:sz="4" w:space="0" w:color="auto"/>
              <w:right w:val="single" w:sz="4" w:space="0" w:color="auto"/>
            </w:tcBorders>
          </w:tcPr>
          <w:p w14:paraId="4F88A2E8" w14:textId="77777777" w:rsidR="006D7333" w:rsidRDefault="006D7333" w:rsidP="00B006A9">
            <w:pPr>
              <w:ind w:right="248"/>
              <w:jc w:val="right"/>
              <w:rPr>
                <w:b/>
                <w:color w:val="000000"/>
                <w:sz w:val="20"/>
                <w:szCs w:val="20"/>
              </w:rPr>
            </w:pPr>
            <w:r>
              <w:rPr>
                <w:b/>
                <w:color w:val="000000"/>
                <w:sz w:val="20"/>
              </w:rPr>
              <w:t>100,00</w:t>
            </w:r>
          </w:p>
        </w:tc>
      </w:tr>
    </w:tbl>
    <w:p w14:paraId="3FCF4B1C" w14:textId="77777777" w:rsidR="006D7333" w:rsidRPr="00767941" w:rsidRDefault="006D7333" w:rsidP="006D7333">
      <w:pPr>
        <w:rPr>
          <w:b/>
          <w:lang w:val="en-CA"/>
        </w:rPr>
      </w:pPr>
    </w:p>
    <w:p w14:paraId="0E8153EE" w14:textId="1AFFC035" w:rsidR="006D7333" w:rsidRPr="00D60B52" w:rsidRDefault="006D7333" w:rsidP="006D7333">
      <w:pPr>
        <w:pStyle w:val="Heading1"/>
      </w:pPr>
      <w:r>
        <w:t>Le HCFC-22 représente 15,77 </w:t>
      </w:r>
      <w:r w:rsidR="00EB3D24">
        <w:t>pour cent</w:t>
      </w:r>
      <w:r>
        <w:t xml:space="preserve"> des frigorigènes utilisés dans le secteur de l</w:t>
      </w:r>
      <w:r w:rsidR="00687D1A">
        <w:t>’</w:t>
      </w:r>
      <w:r>
        <w:t>entretien, les principales alternatives au HCFC-22 étant le HFC-134a (58,60 </w:t>
      </w:r>
      <w:r w:rsidR="00EB3D24">
        <w:t>pour cent</w:t>
      </w:r>
      <w:r>
        <w:t>), le R-410A (12,72 </w:t>
      </w:r>
      <w:r w:rsidR="00EB3D24">
        <w:t>pour cent</w:t>
      </w:r>
      <w:r>
        <w:t>), le R-404A (6,53 </w:t>
      </w:r>
      <w:r w:rsidR="00EB3D24">
        <w:t>pour cent</w:t>
      </w:r>
      <w:r>
        <w:t>), le R-507 (4,09 </w:t>
      </w:r>
      <w:r w:rsidR="00EB3D24">
        <w:t>pour cent</w:t>
      </w:r>
      <w:r>
        <w:t>), d</w:t>
      </w:r>
      <w:r w:rsidR="00687D1A">
        <w:t>’</w:t>
      </w:r>
      <w:r>
        <w:t>autres HFC (2,15 </w:t>
      </w:r>
      <w:r w:rsidR="00EB3D24">
        <w:t>pour cent</w:t>
      </w:r>
      <w:r>
        <w:t>), les HFO (0,01 </w:t>
      </w:r>
      <w:r w:rsidR="00EB3D24">
        <w:t>pour cent</w:t>
      </w:r>
      <w:r>
        <w:t>) et les HC (0,17 </w:t>
      </w:r>
      <w:r w:rsidR="00EB3D24">
        <w:t>pour cent</w:t>
      </w:r>
      <w:r>
        <w:t>).</w:t>
      </w:r>
    </w:p>
    <w:p w14:paraId="127D9460" w14:textId="4520337E" w:rsidR="006D7333" w:rsidRPr="0000000F" w:rsidRDefault="006D7333" w:rsidP="006D7333">
      <w:pPr>
        <w:spacing w:after="240"/>
        <w:rPr>
          <w:b/>
        </w:rPr>
      </w:pPr>
      <w:r>
        <w:rPr>
          <w:u w:val="single"/>
        </w:rPr>
        <w:t>Stratégie d</w:t>
      </w:r>
      <w:r w:rsidR="00687D1A">
        <w:rPr>
          <w:u w:val="single"/>
        </w:rPr>
        <w:t>’</w:t>
      </w:r>
      <w:r>
        <w:rPr>
          <w:u w:val="single"/>
        </w:rPr>
        <w:t>élimination de la phase II du PGEH</w:t>
      </w:r>
    </w:p>
    <w:p w14:paraId="76B1E237" w14:textId="1417C87C" w:rsidR="006D7333" w:rsidRPr="00243B2C" w:rsidRDefault="006D7333" w:rsidP="006D7333">
      <w:pPr>
        <w:pStyle w:val="Heading1"/>
      </w:pPr>
      <w:r>
        <w:t>Co</w:t>
      </w:r>
      <w:r w:rsidR="001E7A34">
        <w:t xml:space="preserve">nformément à la </w:t>
      </w:r>
      <w:r w:rsidR="0011550C">
        <w:t>proposition</w:t>
      </w:r>
      <w:r w:rsidR="001E7A34">
        <w:t xml:space="preserve"> initiale</w:t>
      </w:r>
      <w:r>
        <w:t xml:space="preserve">, la phase II du PGEH </w:t>
      </w:r>
      <w:r w:rsidR="0013380A">
        <w:t>suggère</w:t>
      </w:r>
      <w:r>
        <w:t xml:space="preserve"> de réduire respectivement de 80 </w:t>
      </w:r>
      <w:r w:rsidR="00EB3D24">
        <w:t>pour cent</w:t>
      </w:r>
      <w:r>
        <w:t xml:space="preserve"> et 100 </w:t>
      </w:r>
      <w:r w:rsidR="00EB3D24">
        <w:t>pour cent</w:t>
      </w:r>
      <w:r>
        <w:t xml:space="preserve"> la consommation de HCFC d</w:t>
      </w:r>
      <w:r w:rsidR="00687D1A">
        <w:t>’</w:t>
      </w:r>
      <w:r>
        <w:t xml:space="preserve">ici 2026 et 2028, </w:t>
      </w:r>
      <w:r w:rsidR="00CD451F">
        <w:t>à la condition que</w:t>
      </w:r>
      <w:r>
        <w:t xml:space="preserve"> la consommation en El Salvador entre 2029 et 2040 </w:t>
      </w:r>
      <w:r w:rsidR="00CD451F">
        <w:t>soit</w:t>
      </w:r>
      <w:r>
        <w:t xml:space="preserve"> conforme au reliquat aux fins d</w:t>
      </w:r>
      <w:r w:rsidR="00687D1A">
        <w:t>’</w:t>
      </w:r>
      <w:r>
        <w:t>entretien prévu par le Protocole de Montréal. La phase II a été élaborée d</w:t>
      </w:r>
      <w:r w:rsidR="00687D1A">
        <w:t>’</w:t>
      </w:r>
      <w:r>
        <w:t>après l</w:t>
      </w:r>
      <w:r w:rsidR="00687D1A">
        <w:t>’</w:t>
      </w:r>
      <w:r>
        <w:t>expérience acquise durant la mise en œuvre de la phase I. La phase II continuera à se focaliser sur l</w:t>
      </w:r>
      <w:r w:rsidR="00687D1A">
        <w:t>’</w:t>
      </w:r>
      <w:r>
        <w:t>amélioration des contrôles des importations de HCFC, la réduction de la demande de HCFC via la formation et la certification des techniciens aux bonnes pratiques d</w:t>
      </w:r>
      <w:r w:rsidR="00687D1A">
        <w:t>’</w:t>
      </w:r>
      <w:r>
        <w:t>entretien, l</w:t>
      </w:r>
      <w:r w:rsidR="00687D1A">
        <w:t>’</w:t>
      </w:r>
      <w:r>
        <w:t>introduction et la mise en application d</w:t>
      </w:r>
      <w:r w:rsidR="00687D1A">
        <w:t>’</w:t>
      </w:r>
      <w:r>
        <w:t>une interdiction d</w:t>
      </w:r>
      <w:r w:rsidR="00687D1A">
        <w:t>’</w:t>
      </w:r>
      <w:r>
        <w:t>importer des équipements de réfrigération et de climatisation à base de HCFC à compter du 1er janvier 2025, et le renforcement du réseau de récupération et de recyclage.</w:t>
      </w:r>
    </w:p>
    <w:p w14:paraId="214052CA" w14:textId="75E992A2" w:rsidR="006D7333" w:rsidRPr="00243B2C" w:rsidRDefault="006D7333" w:rsidP="006D7333">
      <w:pPr>
        <w:pStyle w:val="Heading1"/>
      </w:pPr>
      <w:r>
        <w:t>Contrairement à la phase I, le gouvernement de El Salvador a décidé de présenter un projet de renforcement des institutions séparé de la demande de la phase II du PGEH ; de ce fait, la demande de renouvellement du projet de renforcement des institutions sera présentée à la 86</w:t>
      </w:r>
      <w:r>
        <w:rPr>
          <w:vertAlign w:val="superscript"/>
        </w:rPr>
        <w:t>e</w:t>
      </w:r>
      <w:r>
        <w:t xml:space="preserve"> réunion. </w:t>
      </w:r>
      <w:r w:rsidR="00232EDE" w:rsidRPr="00232EDE">
        <w:t>Le projet de renforcement des institutions continuera à mettre en place un cadre permettant de renforcer la législation pour soutenir la phase</w:t>
      </w:r>
      <w:r w:rsidR="00232EDE">
        <w:t> </w:t>
      </w:r>
      <w:r w:rsidR="00232EDE" w:rsidRPr="00232EDE">
        <w:t>II du PGEH, en plus d</w:t>
      </w:r>
      <w:r w:rsidR="00687D1A">
        <w:t>’</w:t>
      </w:r>
      <w:r w:rsidR="00232EDE" w:rsidRPr="00232EDE">
        <w:t>autres activités comme l</w:t>
      </w:r>
      <w:r w:rsidR="00687D1A">
        <w:t>’</w:t>
      </w:r>
      <w:r w:rsidR="00232EDE" w:rsidRPr="00232EDE">
        <w:t>octroi de permis et de quotas d</w:t>
      </w:r>
      <w:r w:rsidR="00687D1A">
        <w:t>’</w:t>
      </w:r>
      <w:r w:rsidR="00232EDE" w:rsidRPr="00232EDE">
        <w:t>importation, la communication des données, la sensibilisation et la coordination avec les principales parties prenantes</w:t>
      </w:r>
      <w:r>
        <w:t>.</w:t>
      </w:r>
    </w:p>
    <w:p w14:paraId="3BB4DE22" w14:textId="77777777" w:rsidR="006D7333" w:rsidRPr="00844DD4" w:rsidRDefault="006D7333" w:rsidP="006D7333">
      <w:pPr>
        <w:rPr>
          <w:u w:val="single"/>
        </w:rPr>
      </w:pPr>
      <w:r>
        <w:rPr>
          <w:u w:val="single"/>
        </w:rPr>
        <w:t>Activités proposées dans la phase II du PGEH</w:t>
      </w:r>
    </w:p>
    <w:p w14:paraId="24BA9485" w14:textId="77777777" w:rsidR="006D7333" w:rsidRPr="00B434E2" w:rsidRDefault="006D7333" w:rsidP="006D7333">
      <w:pPr>
        <w:rPr>
          <w:lang w:val="fr-CA"/>
        </w:rPr>
      </w:pPr>
    </w:p>
    <w:p w14:paraId="24E087D0" w14:textId="6A2E8C60" w:rsidR="006D7333" w:rsidRDefault="006D7333" w:rsidP="006D7333">
      <w:pPr>
        <w:pStyle w:val="Heading1"/>
      </w:pPr>
      <w:r>
        <w:t>L</w:t>
      </w:r>
      <w:r w:rsidR="0014550C">
        <w:t>es activités suivantes sont proposées dans l</w:t>
      </w:r>
      <w:r>
        <w:t>a phase II</w:t>
      </w:r>
      <w:r w:rsidR="0014550C">
        <w:t> </w:t>
      </w:r>
      <w:r>
        <w:t>:</w:t>
      </w:r>
    </w:p>
    <w:p w14:paraId="54C6F3B4" w14:textId="6C990A02" w:rsidR="006D7333" w:rsidRPr="00EA6791" w:rsidRDefault="006D7333" w:rsidP="00EB3D24">
      <w:pPr>
        <w:pStyle w:val="Heading2"/>
        <w:numPr>
          <w:ilvl w:val="1"/>
          <w:numId w:val="24"/>
        </w:numPr>
        <w:tabs>
          <w:tab w:val="num" w:pos="1440"/>
        </w:tabs>
      </w:pPr>
      <w:r>
        <w:rPr>
          <w:i/>
        </w:rPr>
        <w:t>Cadre juridique des SAO</w:t>
      </w:r>
      <w:r>
        <w:t> : Élaboration d</w:t>
      </w:r>
      <w:r w:rsidR="00687D1A">
        <w:t>’</w:t>
      </w:r>
      <w:r>
        <w:t>une nouvelle réglementation interdisant l</w:t>
      </w:r>
      <w:r w:rsidR="00687D1A">
        <w:t>’</w:t>
      </w:r>
      <w:r>
        <w:t>importation d</w:t>
      </w:r>
      <w:r w:rsidR="00687D1A">
        <w:t>’</w:t>
      </w:r>
      <w:r>
        <w:t>équipements à base de HCFC ; tenue de six réunions de consultation avec les parties prenantes (importateurs, utilisateurs finaux, organisations de consommateurs et associations de centres commerciaux) sur le projet de réglementation et sur les conditions nécessaires à l</w:t>
      </w:r>
      <w:r w:rsidR="00687D1A">
        <w:t>’</w:t>
      </w:r>
      <w:r>
        <w:t>importation de nouvelles technologies efficaces (PNUE) (11 000 $ US) ;</w:t>
      </w:r>
    </w:p>
    <w:p w14:paraId="6F80229E" w14:textId="3E654ED7" w:rsidR="006D7333" w:rsidRPr="005D4558" w:rsidRDefault="006D7333" w:rsidP="006D7333">
      <w:pPr>
        <w:pStyle w:val="Heading3"/>
        <w:numPr>
          <w:ilvl w:val="2"/>
          <w:numId w:val="1"/>
        </w:numPr>
      </w:pPr>
      <w:r>
        <w:rPr>
          <w:i/>
        </w:rPr>
        <w:lastRenderedPageBreak/>
        <w:t>Renforcement des compétences des douanes et de l</w:t>
      </w:r>
      <w:r w:rsidR="00687D1A">
        <w:rPr>
          <w:i/>
        </w:rPr>
        <w:t>’</w:t>
      </w:r>
      <w:r>
        <w:rPr>
          <w:i/>
        </w:rPr>
        <w:t>application des règlements douaniers</w:t>
      </w:r>
      <w:r>
        <w:t xml:space="preserve"> : Quatre cours de formation destinés à un total de 200 agents des douanes et autres parties prenantes </w:t>
      </w:r>
      <w:r>
        <w:rPr>
          <w:color w:val="000000" w:themeColor="text1"/>
        </w:rPr>
        <w:t>(autorités gouvernementales, agents d</w:t>
      </w:r>
      <w:r w:rsidR="00687D1A">
        <w:rPr>
          <w:color w:val="000000" w:themeColor="text1"/>
        </w:rPr>
        <w:t>’</w:t>
      </w:r>
      <w:r>
        <w:rPr>
          <w:color w:val="000000" w:themeColor="text1"/>
        </w:rPr>
        <w:t>exécution de la loi, garde-frontières, agents des douanes, commissionnaires en douane et importateurs</w:t>
      </w:r>
      <w:r>
        <w:t>) sur l</w:t>
      </w:r>
      <w:r w:rsidR="00687D1A">
        <w:t>’</w:t>
      </w:r>
      <w:r>
        <w:t>utilisation d</w:t>
      </w:r>
      <w:r w:rsidR="00687D1A">
        <w:t>’</w:t>
      </w:r>
      <w:r>
        <w:t>outils tels que « </w:t>
      </w:r>
      <w:proofErr w:type="spellStart"/>
      <w:r>
        <w:t>WhatGas</w:t>
      </w:r>
      <w:proofErr w:type="spellEnd"/>
      <w:r>
        <w:t>? », de dispositifs d</w:t>
      </w:r>
      <w:r w:rsidR="00687D1A">
        <w:t>’</w:t>
      </w:r>
      <w:r>
        <w:t>identification de</w:t>
      </w:r>
      <w:r w:rsidR="0014550C">
        <w:t>s</w:t>
      </w:r>
      <w:r>
        <w:t xml:space="preserve"> frigorigène</w:t>
      </w:r>
      <w:r w:rsidR="0014550C">
        <w:t>s</w:t>
      </w:r>
      <w:r>
        <w:t xml:space="preserve"> et de tests mécaniques pour les agents à faible potentiel de réchauffement de la planète (PRP) contenus dans les polyols </w:t>
      </w:r>
      <w:proofErr w:type="spellStart"/>
      <w:r>
        <w:t>prémélangés</w:t>
      </w:r>
      <w:proofErr w:type="spellEnd"/>
      <w:r>
        <w:t>, sur les mesures de renforcement et d</w:t>
      </w:r>
      <w:r w:rsidR="00687D1A">
        <w:t>’</w:t>
      </w:r>
      <w:r>
        <w:t>application des règlements douaniers pour le suivi des importations de SAO, sur les codes douaniers nationaux applicables aux alternatives aux HCFC et à la prévention du commerce illicite de substances réglementées ; fourniture de deux dispositifs d</w:t>
      </w:r>
      <w:r w:rsidR="00687D1A">
        <w:t>’</w:t>
      </w:r>
      <w:r>
        <w:t>identification de</w:t>
      </w:r>
      <w:r w:rsidR="0014550C">
        <w:t>s</w:t>
      </w:r>
      <w:r>
        <w:t xml:space="preserve"> frigorigène</w:t>
      </w:r>
      <w:r w:rsidR="0014550C">
        <w:t>s</w:t>
      </w:r>
      <w:r>
        <w:t> ; et trois cours de formation dispensés à 150 commissionnaires en douane et importateurs sur la mise en conformité avec le Protocole de Montréal et les nouvelles réglementations (PNUE) (36 000 $ US) ;</w:t>
      </w:r>
    </w:p>
    <w:p w14:paraId="21BD0CA0" w14:textId="0971D3AF" w:rsidR="006D7333" w:rsidRPr="00EA6791" w:rsidRDefault="006D7333" w:rsidP="00EB3D24">
      <w:pPr>
        <w:pStyle w:val="Heading2"/>
        <w:numPr>
          <w:ilvl w:val="1"/>
          <w:numId w:val="24"/>
        </w:numPr>
        <w:tabs>
          <w:tab w:val="num" w:pos="1440"/>
        </w:tabs>
      </w:pPr>
      <w:r>
        <w:rPr>
          <w:i/>
        </w:rPr>
        <w:t>Formation des techniciens en réfrigération et climatisation</w:t>
      </w:r>
      <w:r>
        <w:t> : Un cours de formation pour formateurs et 39 cours de formation pour un total de 780 techniciens en réfrigération et climatisation sur les bonnes pratiques de l</w:t>
      </w:r>
      <w:r w:rsidR="00687D1A">
        <w:t>’</w:t>
      </w:r>
      <w:r>
        <w:t>entretien des équipements de réfrigération, la récupération et le recyclage des frigorigènes et l</w:t>
      </w:r>
      <w:r w:rsidR="00687D1A">
        <w:t>’</w:t>
      </w:r>
      <w:r>
        <w:t>utilisation sans danger des frigorigènes à base de HC ; fourniture de 31 trousses d</w:t>
      </w:r>
      <w:r w:rsidR="00687D1A">
        <w:t>’</w:t>
      </w:r>
      <w:r>
        <w:t>outils de base aux techniciens (incluant deux bouteilles, station de rechargement et de vide, kit de soudure, flexibles, robinets, détecteurs de fuites, manomètre et balance de précision pour HC) ; fourniture de six trousses de formation à deux centres de formation (trois trousses par centre) comprenant : bouteilles de 30 lb et 100 lb, machine de récupération, dispositif d</w:t>
      </w:r>
      <w:r w:rsidR="00687D1A">
        <w:t>’</w:t>
      </w:r>
      <w:r>
        <w:t>identification de</w:t>
      </w:r>
      <w:r w:rsidR="00FA0D80">
        <w:t>s</w:t>
      </w:r>
      <w:r>
        <w:t xml:space="preserve"> frigorigène</w:t>
      </w:r>
      <w:r w:rsidR="00FA0D80">
        <w:t>s</w:t>
      </w:r>
      <w:r>
        <w:t>, pompe à vide, modules de réfrigération et climatisation, kit de soudure et autres outils) ; conception et impression de 1</w:t>
      </w:r>
      <w:r w:rsidR="00FA0D80">
        <w:t> </w:t>
      </w:r>
      <w:r>
        <w:t>000 manuels techniques sur les meilleures pratiques de la réfrigération dans le cadre de l</w:t>
      </w:r>
      <w:r w:rsidR="00687D1A">
        <w:t>’</w:t>
      </w:r>
      <w:r>
        <w:t>entretien des équipements de réfrigération et climatisation ; achat et installation de 40 climatiseurs individuels et trois systèmes de climatisation à enveloppe utilisant des alternatives à faible potentiel de réchauffement de la planète (le R-290 et le HFC-32) destinés à être installés et entretenus dans des bâtiments publics à des fins de formation et 14 dispositifs d</w:t>
      </w:r>
      <w:r w:rsidR="00687D1A">
        <w:t>’</w:t>
      </w:r>
      <w:r>
        <w:t>analyse des performances énergétiques permettant d</w:t>
      </w:r>
      <w:r w:rsidR="00687D1A">
        <w:t>’</w:t>
      </w:r>
      <w:r>
        <w:t>évaluer les gains d</w:t>
      </w:r>
      <w:r w:rsidR="00687D1A">
        <w:t>’</w:t>
      </w:r>
      <w:r>
        <w:t>efficacité énergétique et de promouvoir l</w:t>
      </w:r>
      <w:r w:rsidR="00687D1A">
        <w:t>’</w:t>
      </w:r>
      <w:r>
        <w:t>acceptabilité par le marché (PNUD) (352 046 $ US) ;</w:t>
      </w:r>
    </w:p>
    <w:p w14:paraId="6C9A081A" w14:textId="3458834B" w:rsidR="006D7333" w:rsidRPr="00EB3D24" w:rsidRDefault="006D7333" w:rsidP="00EB3D24">
      <w:pPr>
        <w:pStyle w:val="Heading2"/>
        <w:numPr>
          <w:ilvl w:val="1"/>
          <w:numId w:val="24"/>
        </w:numPr>
        <w:tabs>
          <w:tab w:val="num" w:pos="1440"/>
        </w:tabs>
      </w:pPr>
      <w:r>
        <w:rPr>
          <w:i/>
        </w:rPr>
        <w:t>Certification des techniciens en réfrigération et climatisation</w:t>
      </w:r>
      <w:r>
        <w:t xml:space="preserve"> : </w:t>
      </w:r>
      <w:r w:rsidRPr="00EB3D24">
        <w:t>Poursuite du développement et de la mise en œuvre de normes sur les compétences professionnelles dans le cadre des bonnes pratiques d</w:t>
      </w:r>
      <w:r w:rsidR="00687D1A" w:rsidRPr="00EB3D24">
        <w:t>’</w:t>
      </w:r>
      <w:r w:rsidRPr="00EB3D24">
        <w:t>entretien des équipements de réfrigération, notamment sur la manipulation des frigorigènes à base de HC ; mise en place d</w:t>
      </w:r>
      <w:r w:rsidR="00687D1A" w:rsidRPr="00EB3D24">
        <w:t>’</w:t>
      </w:r>
      <w:r w:rsidRPr="00EB3D24">
        <w:t xml:space="preserve">un programme de certification national </w:t>
      </w:r>
      <w:r w:rsidR="00711A74" w:rsidRPr="00EB3D24">
        <w:t xml:space="preserve">permettant de certifier </w:t>
      </w:r>
      <w:r w:rsidRPr="00EB3D24">
        <w:t>au moins 150 techniciens en réfrigération et climatisation vis-à-vis des nouvelles normes ; et élaboration d</w:t>
      </w:r>
      <w:r w:rsidR="00687D1A" w:rsidRPr="00EB3D24">
        <w:t>’</w:t>
      </w:r>
      <w:r w:rsidRPr="00EB3D24">
        <w:t>un registre des techniciens certifiés (PNUD) (78 500 $ US) ;</w:t>
      </w:r>
    </w:p>
    <w:p w14:paraId="6C35AD34" w14:textId="369468DD" w:rsidR="006D7333" w:rsidRPr="00EB3D24" w:rsidRDefault="006D7333" w:rsidP="00EB3D24">
      <w:pPr>
        <w:pStyle w:val="Heading2"/>
        <w:numPr>
          <w:ilvl w:val="1"/>
          <w:numId w:val="24"/>
        </w:numPr>
        <w:tabs>
          <w:tab w:val="num" w:pos="1440"/>
        </w:tabs>
        <w:rPr>
          <w:i/>
        </w:rPr>
      </w:pPr>
      <w:r>
        <w:rPr>
          <w:i/>
        </w:rPr>
        <w:t>Récupération, recyclage et programme</w:t>
      </w:r>
      <w:r w:rsidRPr="00EB3D24">
        <w:rPr>
          <w:i/>
        </w:rPr>
        <w:t xml:space="preserve"> : </w:t>
      </w:r>
      <w:r w:rsidRPr="00EB3D24">
        <w:t>Mise en place d</w:t>
      </w:r>
      <w:r w:rsidR="00687D1A" w:rsidRPr="00EB3D24">
        <w:t>’</w:t>
      </w:r>
      <w:r w:rsidRPr="00EB3D24">
        <w:t>un centre de récupération, de stockage et de recyclage et création d</w:t>
      </w:r>
      <w:r w:rsidR="00687D1A" w:rsidRPr="00EB3D24">
        <w:t>’</w:t>
      </w:r>
      <w:r w:rsidRPr="00EB3D24">
        <w:t>un réseau de recyclage par la fourniture d</w:t>
      </w:r>
      <w:r w:rsidR="00687D1A" w:rsidRPr="00EB3D24">
        <w:t>’</w:t>
      </w:r>
      <w:r w:rsidRPr="00EB3D24">
        <w:t>équipements et d</w:t>
      </w:r>
      <w:r w:rsidR="00687D1A" w:rsidRPr="00EB3D24">
        <w:t>’</w:t>
      </w:r>
      <w:r w:rsidRPr="00EB3D24">
        <w:t>outils de base (par exemple dispositifs d</w:t>
      </w:r>
      <w:r w:rsidR="00687D1A" w:rsidRPr="00EB3D24">
        <w:t>’</w:t>
      </w:r>
      <w:r w:rsidRPr="00EB3D24">
        <w:t>identification de</w:t>
      </w:r>
      <w:r w:rsidR="00711A74" w:rsidRPr="00EB3D24">
        <w:t>s</w:t>
      </w:r>
      <w:r w:rsidRPr="00EB3D24">
        <w:t xml:space="preserve"> frigorigène</w:t>
      </w:r>
      <w:r w:rsidR="00711A74" w:rsidRPr="00EB3D24">
        <w:t>s</w:t>
      </w:r>
      <w:r w:rsidRPr="00EB3D24">
        <w:t>, bouteilles de différentes tailles, matériel de séparation des huiles, tests de filtration et de qualité, pompes à vide et autres outils) ; et trois ateliers de formation à la récupération et au recyclage pour jusqu</w:t>
      </w:r>
      <w:r w:rsidR="00687D1A" w:rsidRPr="00EB3D24">
        <w:t>’</w:t>
      </w:r>
      <w:r w:rsidRPr="00EB3D24">
        <w:t>à 90 techniciens en réfrigération et climatisation (PNUD) (66 464 $ US) ; et</w:t>
      </w:r>
    </w:p>
    <w:p w14:paraId="6242831F" w14:textId="3F2D04B3" w:rsidR="006D7333" w:rsidRPr="00EA6791" w:rsidRDefault="006D7333" w:rsidP="00EB3D24">
      <w:pPr>
        <w:pStyle w:val="Heading2"/>
        <w:numPr>
          <w:ilvl w:val="1"/>
          <w:numId w:val="24"/>
        </w:numPr>
        <w:tabs>
          <w:tab w:val="num" w:pos="1440"/>
        </w:tabs>
      </w:pPr>
      <w:r>
        <w:rPr>
          <w:i/>
        </w:rPr>
        <w:t>Sensibilisation et éducation du public</w:t>
      </w:r>
      <w:r w:rsidRPr="00EB3D24">
        <w:rPr>
          <w:i/>
        </w:rPr>
        <w:t xml:space="preserve"> : </w:t>
      </w:r>
      <w:r w:rsidRPr="00EB3D24">
        <w:t>Campagne de sensibilisation à destination du grand public sur le registre et le programme de certification des techniciens en réfrigération et climatisation, sur les meilleures pratiques dans la gestion des frigorigènes lors de l</w:t>
      </w:r>
      <w:r w:rsidR="00687D1A" w:rsidRPr="00EB3D24">
        <w:t>’</w:t>
      </w:r>
      <w:r w:rsidRPr="00EB3D24">
        <w:t xml:space="preserve">entretien </w:t>
      </w:r>
      <w:r w:rsidRPr="00EB3D24">
        <w:lastRenderedPageBreak/>
        <w:t xml:space="preserve">des équipements, </w:t>
      </w:r>
      <w:r w:rsidR="00C925BD" w:rsidRPr="00EB3D24">
        <w:t>notamment la promotion de la récupération des frigorigènes auprès des écoles</w:t>
      </w:r>
      <w:r w:rsidRPr="00EB3D24">
        <w:t>, sur internet, dans les médias sociaux, à la radio et dans les journaux ; campagne de sensibilisation ciblant les techniciens en réfrigération et climatisation et visant à promouvoir le programme de certification ; mise en place de cinq séminaires et distribution de brochures sur les différentes technologies de réfrigération et de climatisation, couvrant notamment le coût d</w:t>
      </w:r>
      <w:r w:rsidR="00687D1A" w:rsidRPr="00EB3D24">
        <w:t>’</w:t>
      </w:r>
      <w:r w:rsidRPr="00EB3D24">
        <w:t>installation et d</w:t>
      </w:r>
      <w:r w:rsidR="00687D1A" w:rsidRPr="00EB3D24">
        <w:t>’</w:t>
      </w:r>
      <w:r w:rsidRPr="00EB3D24">
        <w:t xml:space="preserve">entretien, la disponibilité et les prérequis techniques, </w:t>
      </w:r>
      <w:r w:rsidR="005C2565" w:rsidRPr="00EB3D24">
        <w:t xml:space="preserve">et </w:t>
      </w:r>
      <w:r w:rsidRPr="00EB3D24">
        <w:t>ciblant les utilisateurs finaux tels que les installations commerciales et les supermarchés (PNUD) (40 990 $ US).</w:t>
      </w:r>
    </w:p>
    <w:p w14:paraId="2CAD375F" w14:textId="22EE5EE7" w:rsidR="006D7333" w:rsidRPr="00844DD4" w:rsidRDefault="006D7333" w:rsidP="006D7333">
      <w:pPr>
        <w:keepNext/>
        <w:keepLines/>
      </w:pPr>
      <w:r>
        <w:rPr>
          <w:i/>
        </w:rPr>
        <w:t>Mise en œuvre et suivi du projet</w:t>
      </w:r>
    </w:p>
    <w:p w14:paraId="0C31FBB3" w14:textId="77777777" w:rsidR="006D7333" w:rsidRPr="00B434E2" w:rsidRDefault="006D7333" w:rsidP="006D7333">
      <w:pPr>
        <w:keepNext/>
        <w:keepLines/>
        <w:rPr>
          <w:i/>
          <w:lang w:val="fr-CA"/>
        </w:rPr>
      </w:pPr>
    </w:p>
    <w:p w14:paraId="7491C0BD" w14:textId="4FFC65D1" w:rsidR="006D7333" w:rsidRPr="00EE5B08" w:rsidRDefault="006D7333" w:rsidP="006D7333">
      <w:pPr>
        <w:pStyle w:val="Heading1"/>
        <w:keepLines/>
      </w:pPr>
      <w:r>
        <w:t xml:space="preserve">Le mécanisme de suivi établi durant la phase I du PGEH se poursuivra dans la phase II ; </w:t>
      </w:r>
      <w:r w:rsidR="005C2565" w:rsidRPr="005C2565">
        <w:t>selon ce mécanisme, le BNO surveille la mise en œuvre des activités, communique l</w:t>
      </w:r>
      <w:r w:rsidR="00687D1A">
        <w:t>’</w:t>
      </w:r>
      <w:r w:rsidR="005C2565" w:rsidRPr="005C2565">
        <w:t>avancement, recueille les données et travaille avec les parties prenantes pour éliminer les HCFC</w:t>
      </w:r>
      <w:r>
        <w:t>. Le coût de ces activités pour le PNUD s</w:t>
      </w:r>
      <w:r w:rsidR="00687D1A">
        <w:t>’</w:t>
      </w:r>
      <w:r>
        <w:t>élève à 65 000 $ US (engagement de consultants).</w:t>
      </w:r>
    </w:p>
    <w:p w14:paraId="169C1424" w14:textId="072BDEB0" w:rsidR="006D7333" w:rsidRPr="00EE5B08" w:rsidRDefault="006D7333" w:rsidP="006D7333">
      <w:pPr>
        <w:rPr>
          <w:i/>
        </w:rPr>
      </w:pPr>
      <w:r>
        <w:rPr>
          <w:i/>
        </w:rPr>
        <w:t>Mise en œuvre de la politique d</w:t>
      </w:r>
      <w:r w:rsidR="00687D1A">
        <w:rPr>
          <w:i/>
        </w:rPr>
        <w:t>’</w:t>
      </w:r>
      <w:r>
        <w:rPr>
          <w:i/>
        </w:rPr>
        <w:t>égalité hommes-femmes</w:t>
      </w:r>
    </w:p>
    <w:p w14:paraId="7CBD57C1" w14:textId="77777777" w:rsidR="006D7333" w:rsidRPr="00B434E2" w:rsidRDefault="006D7333" w:rsidP="006D7333">
      <w:pPr>
        <w:pStyle w:val="Default"/>
        <w:jc w:val="both"/>
        <w:rPr>
          <w:color w:val="auto"/>
          <w:lang w:val="fr-CA"/>
        </w:rPr>
      </w:pPr>
    </w:p>
    <w:p w14:paraId="06DC8D8A" w14:textId="7D09F0CB" w:rsidR="006D7333" w:rsidRPr="00AC1D63" w:rsidRDefault="006D7333" w:rsidP="006D7333">
      <w:pPr>
        <w:pStyle w:val="Heading1"/>
      </w:pPr>
      <w:r>
        <w:t>Conformément à la décision 84/92(d)</w:t>
      </w:r>
      <w:r w:rsidRPr="003C4B69">
        <w:rPr>
          <w:rStyle w:val="FootnoteReference"/>
          <w:lang w:val="en-CA"/>
        </w:rPr>
        <w:footnoteReference w:id="7"/>
      </w:r>
      <w:r>
        <w:t>, la phase II du PGEH favorisera l</w:t>
      </w:r>
      <w:r w:rsidR="00687D1A">
        <w:t>’</w:t>
      </w:r>
      <w:r>
        <w:t>embauche de personnel féminin et encouragera la participation des femmes à tous les niveaux du projet, en mettant particulièrement l</w:t>
      </w:r>
      <w:r w:rsidR="00687D1A">
        <w:t>’</w:t>
      </w:r>
      <w:r>
        <w:t>accent sur la formation des techniciens, y compris la formation des formateurs. L</w:t>
      </w:r>
      <w:r w:rsidR="00687D1A">
        <w:t>’</w:t>
      </w:r>
      <w:r>
        <w:t>intégration des questions relatives à l</w:t>
      </w:r>
      <w:r w:rsidR="00687D1A">
        <w:t>’</w:t>
      </w:r>
      <w:r>
        <w:t>égalité hommes-femmes sera évaluée dans tous les aspects du programme et le BNO recueillera des données pour générer des indicateurs ventilés par sexe ; établira une référence pour les techniciennes dans le secteur de la réfrigération et de la climatisation ; inclura des indicateurs d</w:t>
      </w:r>
      <w:r w:rsidR="00687D1A">
        <w:t>’</w:t>
      </w:r>
      <w:r>
        <w:t>égalité hommes-femmes dans ses rapports ; introduira le langage épicène dans ses communications ; et encouragera les femmes à postuler lors des recrutements grâce à l</w:t>
      </w:r>
      <w:r w:rsidR="00687D1A">
        <w:t>’</w:t>
      </w:r>
      <w:r>
        <w:t>utilisation de l</w:t>
      </w:r>
      <w:r w:rsidR="00687D1A">
        <w:t>’</w:t>
      </w:r>
      <w:r>
        <w:t xml:space="preserve">écriture inclusive dans les descriptions de poste et </w:t>
      </w:r>
      <w:r w:rsidR="005C2565">
        <w:t xml:space="preserve">à </w:t>
      </w:r>
      <w:r>
        <w:t>l</w:t>
      </w:r>
      <w:r w:rsidR="00687D1A">
        <w:t>’</w:t>
      </w:r>
      <w:r>
        <w:t>emploi d</w:t>
      </w:r>
      <w:r w:rsidR="00687D1A">
        <w:t>’</w:t>
      </w:r>
      <w:r>
        <w:t>un langage non sexiste dans les sessions de formation.</w:t>
      </w:r>
    </w:p>
    <w:p w14:paraId="562E9583" w14:textId="77777777" w:rsidR="006D7333" w:rsidRDefault="006D7333" w:rsidP="006D7333">
      <w:pPr>
        <w:pStyle w:val="Heading1"/>
        <w:keepNext/>
        <w:keepLines/>
        <w:numPr>
          <w:ilvl w:val="0"/>
          <w:numId w:val="0"/>
        </w:numPr>
        <w:rPr>
          <w:u w:val="single"/>
        </w:rPr>
      </w:pPr>
      <w:r>
        <w:rPr>
          <w:u w:val="single"/>
        </w:rPr>
        <w:t>Coût total de la phase II du PGEH</w:t>
      </w:r>
    </w:p>
    <w:p w14:paraId="542AAD23" w14:textId="3F321A57" w:rsidR="006D7333" w:rsidRPr="00B54AAA" w:rsidRDefault="00CD451F" w:rsidP="006D7333">
      <w:pPr>
        <w:pStyle w:val="Heading1"/>
        <w:keepNext/>
        <w:keepLines/>
      </w:pPr>
      <w:r w:rsidRPr="00CD451F">
        <w:t xml:space="preserve">Conformément à la </w:t>
      </w:r>
      <w:r w:rsidR="00060BC4">
        <w:t>proposition</w:t>
      </w:r>
      <w:r w:rsidRPr="00CD451F">
        <w:t xml:space="preserve"> initiale (qui est conforme à la </w:t>
      </w:r>
      <w:r w:rsidR="006D7333">
        <w:t>décision 74/50(c)(xii)), le coût total de la phase II du PGEH pour El Salvador s</w:t>
      </w:r>
      <w:r w:rsidR="00687D1A">
        <w:t>’</w:t>
      </w:r>
      <w:r w:rsidR="006D7333">
        <w:t>élève à 650 000 $ US (plus des coûts d</w:t>
      </w:r>
      <w:r w:rsidR="00687D1A">
        <w:t>’</w:t>
      </w:r>
      <w:r w:rsidR="006D7333">
        <w:t>appui d</w:t>
      </w:r>
      <w:r w:rsidR="00687D1A">
        <w:t>’</w:t>
      </w:r>
      <w:r w:rsidR="006D7333">
        <w:t>agence) et vise une réduction de 80 </w:t>
      </w:r>
      <w:r w:rsidR="00EB3D24">
        <w:t>pour cent</w:t>
      </w:r>
      <w:r w:rsidR="006D7333">
        <w:t xml:space="preserve"> de </w:t>
      </w:r>
      <w:r w:rsidR="0069463C">
        <w:t>l</w:t>
      </w:r>
      <w:r w:rsidR="006D7333">
        <w:t>a consommation de base de HCFC d</w:t>
      </w:r>
      <w:r w:rsidR="00687D1A">
        <w:t>’</w:t>
      </w:r>
      <w:r w:rsidR="006D7333">
        <w:t>ici 2026 et de 100 </w:t>
      </w:r>
      <w:r w:rsidR="00EB3D24">
        <w:t>pour cent</w:t>
      </w:r>
      <w:r w:rsidR="006D7333">
        <w:t xml:space="preserve"> d</w:t>
      </w:r>
      <w:r w:rsidR="00687D1A">
        <w:t>’</w:t>
      </w:r>
      <w:r w:rsidR="006D7333">
        <w:t>ici 2028.</w:t>
      </w:r>
    </w:p>
    <w:p w14:paraId="0440FCCC" w14:textId="0D1F4103" w:rsidR="006D7333" w:rsidRPr="004433A2" w:rsidRDefault="006D7333" w:rsidP="006D7333">
      <w:pPr>
        <w:pStyle w:val="Heading1"/>
        <w:widowControl w:val="0"/>
        <w:numPr>
          <w:ilvl w:val="0"/>
          <w:numId w:val="0"/>
        </w:numPr>
        <w:rPr>
          <w:u w:val="single"/>
        </w:rPr>
      </w:pPr>
      <w:r>
        <w:rPr>
          <w:u w:val="single"/>
        </w:rPr>
        <w:t>Activités prévues pour la première tranche de la phase II</w:t>
      </w:r>
    </w:p>
    <w:p w14:paraId="4C2ED2DC" w14:textId="15E6376C" w:rsidR="006D7333" w:rsidRPr="004433A2" w:rsidRDefault="006D7333" w:rsidP="006D7333">
      <w:pPr>
        <w:pStyle w:val="Heading1"/>
        <w:widowControl w:val="0"/>
        <w:tabs>
          <w:tab w:val="clear" w:pos="0"/>
        </w:tabs>
      </w:pPr>
      <w:r>
        <w:t>La première tranche de financement de la phase II du PGEH, d</w:t>
      </w:r>
      <w:r w:rsidR="00687D1A">
        <w:t>’</w:t>
      </w:r>
      <w:r>
        <w:t>un montant total de 195 000 $ US, sera mise en œuvre de juillet 2021 à décembre 2323 et inclura les activités suivantes :</w:t>
      </w:r>
    </w:p>
    <w:p w14:paraId="3B5C16F7" w14:textId="0F8FDE88" w:rsidR="006D7333" w:rsidRDefault="006D7333" w:rsidP="006D7333">
      <w:pPr>
        <w:pStyle w:val="Heading2"/>
        <w:numPr>
          <w:ilvl w:val="1"/>
          <w:numId w:val="1"/>
        </w:numPr>
      </w:pPr>
      <w:r>
        <w:rPr>
          <w:i/>
        </w:rPr>
        <w:t>Cadre juridique des SAO</w:t>
      </w:r>
      <w:r>
        <w:t> : Mise en place d</w:t>
      </w:r>
      <w:r w:rsidR="00687D1A">
        <w:t>’</w:t>
      </w:r>
      <w:r>
        <w:t>une nouvelle réglementation interdisant l</w:t>
      </w:r>
      <w:r w:rsidR="00687D1A">
        <w:t>’</w:t>
      </w:r>
      <w:r>
        <w:t>importation des équipements à base de HCFC, impliquant l</w:t>
      </w:r>
      <w:r w:rsidR="00687D1A">
        <w:t>’</w:t>
      </w:r>
      <w:r>
        <w:t>écriture d</w:t>
      </w:r>
      <w:r w:rsidR="00687D1A">
        <w:t>’</w:t>
      </w:r>
      <w:r>
        <w:t>un projet de réglementation et la tenue de deux réunions de consultation avec diverses parties prenantes ; mise en œuvre de codes douaniers harmonisés et mise à jour du système d</w:t>
      </w:r>
      <w:r w:rsidR="00687D1A">
        <w:t>’</w:t>
      </w:r>
      <w:r>
        <w:t>octroi de permis et de quotas (PNUE) (5 000 $ US) ;</w:t>
      </w:r>
    </w:p>
    <w:p w14:paraId="56E9E1CA" w14:textId="2480E185" w:rsidR="006D7333" w:rsidRPr="001A6241" w:rsidRDefault="006D7333" w:rsidP="006D7333">
      <w:pPr>
        <w:pStyle w:val="Heading2"/>
        <w:numPr>
          <w:ilvl w:val="1"/>
          <w:numId w:val="1"/>
        </w:numPr>
      </w:pPr>
      <w:r>
        <w:rPr>
          <w:i/>
        </w:rPr>
        <w:t>Renforcement des compétences des douanes et de l</w:t>
      </w:r>
      <w:r w:rsidR="00687D1A">
        <w:rPr>
          <w:i/>
        </w:rPr>
        <w:t>’</w:t>
      </w:r>
      <w:r>
        <w:rPr>
          <w:i/>
        </w:rPr>
        <w:t>application des règlements douaniers</w:t>
      </w:r>
      <w:r>
        <w:t> : Deux cours de formation destinés à un total de 100 agents des douanes et autres parties prenantes sur l</w:t>
      </w:r>
      <w:r w:rsidR="00687D1A">
        <w:t>’</w:t>
      </w:r>
      <w:r>
        <w:t>utilisation d</w:t>
      </w:r>
      <w:r w:rsidR="00687D1A">
        <w:t>’</w:t>
      </w:r>
      <w:r>
        <w:t>outils tels que « </w:t>
      </w:r>
      <w:proofErr w:type="spellStart"/>
      <w:r>
        <w:t>WhatGas</w:t>
      </w:r>
      <w:proofErr w:type="spellEnd"/>
      <w:r>
        <w:t>? », de dispositifs d</w:t>
      </w:r>
      <w:r w:rsidR="00687D1A">
        <w:t>’</w:t>
      </w:r>
      <w:r>
        <w:t>identification de</w:t>
      </w:r>
      <w:r w:rsidR="0069463C">
        <w:t>s</w:t>
      </w:r>
      <w:r>
        <w:t xml:space="preserve"> frigorigène</w:t>
      </w:r>
      <w:r w:rsidR="0069463C">
        <w:t>s</w:t>
      </w:r>
      <w:r>
        <w:t xml:space="preserve"> et de tests mécaniques pour les agents à faible potentiel de réchauffement de </w:t>
      </w:r>
      <w:r>
        <w:lastRenderedPageBreak/>
        <w:t xml:space="preserve">la planète (PRP) contenus dans les polyols </w:t>
      </w:r>
      <w:proofErr w:type="spellStart"/>
      <w:r>
        <w:t>prémélangés</w:t>
      </w:r>
      <w:proofErr w:type="spellEnd"/>
      <w:r>
        <w:t xml:space="preserve"> importés, sur les mesures de renforcement et d</w:t>
      </w:r>
      <w:r w:rsidR="00687D1A">
        <w:t>’</w:t>
      </w:r>
      <w:r>
        <w:t>application des règlements douaniers pour les SAO, sur les codes douaniers nationaux applicables aux alternatives aux HCFC et à la prévention du commerce illicite ; fourniture de deux dispositifs d</w:t>
      </w:r>
      <w:r w:rsidR="00687D1A">
        <w:t>’</w:t>
      </w:r>
      <w:r>
        <w:t>identification de</w:t>
      </w:r>
      <w:r w:rsidR="00D667AF">
        <w:t>s</w:t>
      </w:r>
      <w:r>
        <w:t xml:space="preserve"> frigorigène</w:t>
      </w:r>
      <w:r w:rsidR="00D667AF">
        <w:t>s</w:t>
      </w:r>
      <w:r>
        <w:t> ; et un cours de formation dispensé à 50 commissionnaires en douane et importateurs sur la mise en conformité avec le Protocole de Montréal et les nouvelles réglementations (PNUE) (21 000 $ US) ;</w:t>
      </w:r>
    </w:p>
    <w:p w14:paraId="6587D6FA" w14:textId="79F46BC3" w:rsidR="006D7333" w:rsidRPr="00456256" w:rsidRDefault="006D7333" w:rsidP="006D7333">
      <w:pPr>
        <w:pStyle w:val="Heading2"/>
        <w:numPr>
          <w:ilvl w:val="1"/>
          <w:numId w:val="1"/>
        </w:numPr>
      </w:pPr>
      <w:r>
        <w:rPr>
          <w:i/>
        </w:rPr>
        <w:t>Formation des techniciens en réfrigération et climatisation</w:t>
      </w:r>
      <w:r>
        <w:t> : Un cours de formation pour formateurs et six cours de formation pour un total de 120 techniciens en réfrigération et climatisation sur les bonnes pratiques de la réfrigération, la récupération et le recyclage des frigorigènes et l</w:t>
      </w:r>
      <w:r w:rsidR="00687D1A">
        <w:t>’</w:t>
      </w:r>
      <w:r>
        <w:t>utilisation sans danger des frigorigènes à base de HC ; fourniture de huit trousses d</w:t>
      </w:r>
      <w:r w:rsidR="00687D1A">
        <w:t>’</w:t>
      </w:r>
      <w:r>
        <w:t>outils de base aux techniciens (incluant deux bouteilles, station de rechargement et de vide, kit de soudure, flexibles, robinets, détecteurs de fuites, manomètre et balance de précision pour HC) ; fourniture de trois trousses de formation à un centre de formation comprenant : bouteilles de 30 lb et 100 lb, machine de récupération, dispositif d</w:t>
      </w:r>
      <w:r w:rsidR="00687D1A">
        <w:t>’</w:t>
      </w:r>
      <w:r>
        <w:t>identification de</w:t>
      </w:r>
      <w:r w:rsidR="00D667AF">
        <w:t>s</w:t>
      </w:r>
      <w:r>
        <w:t xml:space="preserve"> frigorigène</w:t>
      </w:r>
      <w:r w:rsidR="00D667AF">
        <w:t>s</w:t>
      </w:r>
      <w:r>
        <w:t xml:space="preserve">, pompe à vide, modules de réfrigération et climatisation, kit de soudure et autres outils) ; conception et impression de 500 manuels techniques sur les meilleures pratiques </w:t>
      </w:r>
      <w:r w:rsidR="00D667AF">
        <w:t>en matière d</w:t>
      </w:r>
      <w:r w:rsidR="00687D1A">
        <w:t>’</w:t>
      </w:r>
      <w:r>
        <w:t xml:space="preserve">entretien des équipements de réfrigération et de climatisation ; achat et installation de 21 climatiseurs individuels et </w:t>
      </w:r>
      <w:r w:rsidR="00D667AF">
        <w:t xml:space="preserve">de </w:t>
      </w:r>
      <w:r>
        <w:t>deux systèmes de climatisation à enveloppe utilisant des alternatives à faible potentiel de réchauffement de la planète (le R-290 et le HFC</w:t>
      </w:r>
      <w:r>
        <w:noBreakHyphen/>
        <w:t>32) destinés à être installés et entretenus dans des bâtiments publics à des fins d</w:t>
      </w:r>
      <w:r w:rsidR="00687D1A">
        <w:t>’</w:t>
      </w:r>
      <w:r>
        <w:t>essai et de formation</w:t>
      </w:r>
      <w:r w:rsidR="00D667AF">
        <w:t>,</w:t>
      </w:r>
      <w:r>
        <w:t xml:space="preserve"> et </w:t>
      </w:r>
      <w:r w:rsidR="00D667AF">
        <w:t xml:space="preserve">de </w:t>
      </w:r>
      <w:r>
        <w:t>sept dispositifs d</w:t>
      </w:r>
      <w:r w:rsidR="00687D1A">
        <w:t>’</w:t>
      </w:r>
      <w:r>
        <w:t>analyse des performances énergétiques permettant d</w:t>
      </w:r>
      <w:r w:rsidR="00687D1A">
        <w:t>’</w:t>
      </w:r>
      <w:r>
        <w:t>évaluer les gains d</w:t>
      </w:r>
      <w:r w:rsidR="00687D1A">
        <w:t>’</w:t>
      </w:r>
      <w:r>
        <w:t>efficacité énergétique associés (PNUD) (140</w:t>
      </w:r>
      <w:r w:rsidR="00D667AF">
        <w:t> </w:t>
      </w:r>
      <w:r>
        <w:t>615</w:t>
      </w:r>
      <w:r w:rsidR="00D667AF">
        <w:t> </w:t>
      </w:r>
      <w:r>
        <w:t>$ US) ;</w:t>
      </w:r>
    </w:p>
    <w:p w14:paraId="274F116F" w14:textId="77777777" w:rsidR="006D7333" w:rsidRPr="001A6241" w:rsidRDefault="006D7333" w:rsidP="006D7333">
      <w:pPr>
        <w:pStyle w:val="Heading2"/>
        <w:numPr>
          <w:ilvl w:val="1"/>
          <w:numId w:val="1"/>
        </w:numPr>
      </w:pPr>
      <w:r>
        <w:rPr>
          <w:i/>
        </w:rPr>
        <w:t>Certification des techniciens en réfrigération et climatisation</w:t>
      </w:r>
      <w:r>
        <w:t> : Une consultation des parties prenantes sur la poursuite du développement et de la mise en œuvre de normes sur les compétences professionnelles dans le cadre des bonnes pratiques de la réfrigération, notamment sur la manipulation des frigorigènes à base de HC (PNUD) (8 000 $ US) ;</w:t>
      </w:r>
    </w:p>
    <w:p w14:paraId="1F5C9649" w14:textId="48484893" w:rsidR="006D7333" w:rsidRPr="001A6241" w:rsidRDefault="006D7333" w:rsidP="006D7333">
      <w:pPr>
        <w:pStyle w:val="Heading2"/>
        <w:numPr>
          <w:ilvl w:val="1"/>
          <w:numId w:val="1"/>
        </w:numPr>
      </w:pPr>
      <w:r>
        <w:rPr>
          <w:i/>
        </w:rPr>
        <w:t xml:space="preserve">Récupération, recyclage et programme : </w:t>
      </w:r>
      <w:r>
        <w:t>Mise en place d</w:t>
      </w:r>
      <w:r w:rsidR="00687D1A">
        <w:t>’</w:t>
      </w:r>
      <w:r>
        <w:t>un centre de récupération, de stockage et de recyclage par la création d</w:t>
      </w:r>
      <w:r w:rsidR="00687D1A">
        <w:t>’</w:t>
      </w:r>
      <w:r>
        <w:t xml:space="preserve">un réseau de recyclage en collaboration avec </w:t>
      </w:r>
      <w:r w:rsidR="00113D77">
        <w:t>l</w:t>
      </w:r>
      <w:r>
        <w:t xml:space="preserve">es centres de formation et </w:t>
      </w:r>
      <w:r w:rsidR="00113D77">
        <w:t>l</w:t>
      </w:r>
      <w:r>
        <w:t>es techniciens équipés ; un atelier de formation à la récupération et au recyclage pour jusqu</w:t>
      </w:r>
      <w:r w:rsidR="00687D1A">
        <w:t>’</w:t>
      </w:r>
      <w:r>
        <w:t>à 30 techniciens en réfrigération et climatisation (PNUD) (4 750 $ US) ;</w:t>
      </w:r>
    </w:p>
    <w:p w14:paraId="3DFE2285" w14:textId="78B490D7" w:rsidR="006D7333" w:rsidRPr="001A6241" w:rsidRDefault="006D7333" w:rsidP="006D7333">
      <w:pPr>
        <w:pStyle w:val="Heading2"/>
        <w:numPr>
          <w:ilvl w:val="1"/>
          <w:numId w:val="1"/>
        </w:numPr>
      </w:pPr>
      <w:r>
        <w:rPr>
          <w:i/>
        </w:rPr>
        <w:t>Sensibilisation et éducation du public :</w:t>
      </w:r>
      <w:r>
        <w:t xml:space="preserve"> Élaboration de la campagne de sensibilisation à destination du grand public sur le registre et le programme de certification des techniciens, et sur les meilleures pratiques dans la gestion des frigorigènes lors de l</w:t>
      </w:r>
      <w:r w:rsidR="00687D1A">
        <w:t>’</w:t>
      </w:r>
      <w:r>
        <w:t>entretien des équipements (PNUD) (2 500 $ US) ; et</w:t>
      </w:r>
    </w:p>
    <w:p w14:paraId="597F2467" w14:textId="590E8A8D" w:rsidR="006D7333" w:rsidRPr="001A6241" w:rsidRDefault="006D7333" w:rsidP="006D7333">
      <w:pPr>
        <w:pStyle w:val="Heading2"/>
        <w:numPr>
          <w:ilvl w:val="1"/>
          <w:numId w:val="1"/>
        </w:numPr>
      </w:pPr>
      <w:r>
        <w:rPr>
          <w:i/>
        </w:rPr>
        <w:t>Mise en œuvre et suivi du projet</w:t>
      </w:r>
      <w:r>
        <w:t xml:space="preserve"> (PNUD) (13 135 $ US) : Engagement de consultants.</w:t>
      </w:r>
    </w:p>
    <w:p w14:paraId="19521233" w14:textId="77777777" w:rsidR="006456AC" w:rsidRDefault="006456AC">
      <w:pPr>
        <w:jc w:val="left"/>
        <w:rPr>
          <w:b/>
        </w:rPr>
      </w:pPr>
      <w:r>
        <w:rPr>
          <w:b/>
        </w:rPr>
        <w:br w:type="page"/>
      </w:r>
    </w:p>
    <w:p w14:paraId="7DA46652" w14:textId="5806D624" w:rsidR="006D7333" w:rsidRPr="00EE5B08" w:rsidRDefault="006D7333" w:rsidP="006D7333">
      <w:pPr>
        <w:keepNext/>
        <w:keepLines/>
        <w:widowControl w:val="0"/>
        <w:spacing w:after="240"/>
        <w:jc w:val="center"/>
        <w:rPr>
          <w:b/>
        </w:rPr>
      </w:pPr>
      <w:r>
        <w:rPr>
          <w:b/>
        </w:rPr>
        <w:lastRenderedPageBreak/>
        <w:t>OBSERVATIONS ET RECOMMANDATION DU SECRÉTARIAT</w:t>
      </w:r>
    </w:p>
    <w:p w14:paraId="26F64F00" w14:textId="77777777" w:rsidR="006D7333" w:rsidRPr="00EE5B08" w:rsidRDefault="006D7333" w:rsidP="006D7333">
      <w:pPr>
        <w:keepNext/>
        <w:keepLines/>
        <w:widowControl w:val="0"/>
        <w:spacing w:after="240"/>
        <w:rPr>
          <w:b/>
        </w:rPr>
      </w:pPr>
      <w:r>
        <w:rPr>
          <w:b/>
        </w:rPr>
        <w:t>OBSERVATIONS</w:t>
      </w:r>
    </w:p>
    <w:p w14:paraId="52418C8A" w14:textId="696D6BB9" w:rsidR="006D7333" w:rsidRDefault="006D7333" w:rsidP="006D7333">
      <w:pPr>
        <w:pStyle w:val="Heading1"/>
        <w:widowControl w:val="0"/>
      </w:pPr>
      <w:r>
        <w:t>Le Secrétariat a examiné la phase II du PGEH à la lumière de la phase I, des politiques et des lignes directrices du Fonds multilatéral, notamment les critères de financement de l</w:t>
      </w:r>
      <w:r w:rsidR="00687D1A">
        <w:t>’</w:t>
      </w:r>
      <w:r>
        <w:t>élimination des HCFC dans le secteur de la consommation pour la phase II des PGEH (décision 74/50), et du plan d</w:t>
      </w:r>
      <w:r w:rsidR="00687D1A">
        <w:t>’</w:t>
      </w:r>
      <w:r>
        <w:t>activités </w:t>
      </w:r>
      <w:r w:rsidR="00284D2C">
        <w:t xml:space="preserve">pour la période </w:t>
      </w:r>
      <w:r>
        <w:t>2021-2023 du Fonds multilatéral.</w:t>
      </w:r>
    </w:p>
    <w:p w14:paraId="37B9664C" w14:textId="77777777" w:rsidR="006D7333" w:rsidRPr="00456256" w:rsidRDefault="006D7333" w:rsidP="006D7333">
      <w:pPr>
        <w:widowControl w:val="0"/>
        <w:spacing w:after="240"/>
        <w:rPr>
          <w:u w:val="single"/>
        </w:rPr>
      </w:pPr>
      <w:r>
        <w:rPr>
          <w:u w:val="single"/>
        </w:rPr>
        <w:t>Stratégie globale pour la phase II</w:t>
      </w:r>
    </w:p>
    <w:p w14:paraId="5E96351E" w14:textId="1BCA571C" w:rsidR="006D7333" w:rsidRPr="00456256" w:rsidRDefault="006D7333" w:rsidP="006D7333">
      <w:pPr>
        <w:pStyle w:val="Heading1"/>
      </w:pPr>
      <w:r>
        <w:t>Le Secrétariat a noté que le calendrier d</w:t>
      </w:r>
      <w:r w:rsidR="00687D1A">
        <w:t>’</w:t>
      </w:r>
      <w:r>
        <w:t>élimination proposé pour atteindre une réduction de 100 </w:t>
      </w:r>
      <w:r w:rsidR="00EB3D24">
        <w:t>pour cent</w:t>
      </w:r>
      <w:r>
        <w:t xml:space="preserve"> d</w:t>
      </w:r>
      <w:r w:rsidR="00687D1A">
        <w:t>’</w:t>
      </w:r>
      <w:r>
        <w:t>ici 2028 et commencer à utiliser le reliquat aux fins d</w:t>
      </w:r>
      <w:r w:rsidR="00687D1A">
        <w:t>’</w:t>
      </w:r>
      <w:r>
        <w:t>entretien en 2029 n</w:t>
      </w:r>
      <w:r w:rsidR="00687D1A">
        <w:t>’</w:t>
      </w:r>
      <w:r>
        <w:t>était pas conforme au calendrier du Protocole de Montréal, dans lequel le reliquat aux fins d</w:t>
      </w:r>
      <w:r w:rsidR="00687D1A">
        <w:t>’</w:t>
      </w:r>
      <w:r>
        <w:t>entretien est prévu pour la période 2030-2040. À l</w:t>
      </w:r>
      <w:r w:rsidR="00687D1A">
        <w:t>’</w:t>
      </w:r>
      <w:r>
        <w:t>issue de nouvelles délibérations avec le PNUD, le gouvernement de El Salvador a accept</w:t>
      </w:r>
      <w:r w:rsidR="00FA2DBE">
        <w:t>é</w:t>
      </w:r>
      <w:r>
        <w:t xml:space="preserve"> de rectifier le calendrier d</w:t>
      </w:r>
      <w:r w:rsidR="00687D1A">
        <w:t>’</w:t>
      </w:r>
      <w:r>
        <w:t>élimination conformément au Protocole, en fixant des étapes de réduction intermédiaires de 80 </w:t>
      </w:r>
      <w:r w:rsidR="00EB3D24">
        <w:t>pour cent</w:t>
      </w:r>
      <w:r>
        <w:t xml:space="preserve"> en 2026 et 97,5 </w:t>
      </w:r>
      <w:r w:rsidR="00EB3D24">
        <w:t>pour cent</w:t>
      </w:r>
      <w:r>
        <w:t xml:space="preserve"> en 2028 et 2029, </w:t>
      </w:r>
      <w:r w:rsidR="00005500">
        <w:t xml:space="preserve">à condition </w:t>
      </w:r>
      <w:r>
        <w:t>que la consommation annuelle en El Salvador sur n</w:t>
      </w:r>
      <w:r w:rsidR="00687D1A">
        <w:t>’</w:t>
      </w:r>
      <w:r>
        <w:t>importe quelle année du 1</w:t>
      </w:r>
      <w:r>
        <w:rPr>
          <w:vertAlign w:val="superscript"/>
        </w:rPr>
        <w:t>er</w:t>
      </w:r>
      <w:r>
        <w:t> janvier 2030 au 1</w:t>
      </w:r>
      <w:r>
        <w:rPr>
          <w:vertAlign w:val="superscript"/>
        </w:rPr>
        <w:t>er</w:t>
      </w:r>
      <w:r>
        <w:t xml:space="preserve"> janvier 2040 </w:t>
      </w:r>
      <w:r w:rsidR="00005500">
        <w:t>puisse</w:t>
      </w:r>
      <w:r>
        <w:t xml:space="preserve"> être non nulle aussi longtemps que la somme </w:t>
      </w:r>
      <w:r w:rsidR="00005500">
        <w:t>d</w:t>
      </w:r>
      <w:r>
        <w:t>es niveaux de consommation calculés sur cette période de dix ans divisée par 10 ne dépasse pas 2,5 </w:t>
      </w:r>
      <w:r w:rsidR="00EB3D24">
        <w:t>pour cent</w:t>
      </w:r>
      <w:r>
        <w:t xml:space="preserve"> de la valeur de référence pour El Salvador, et à condition que cette consommation soit limitée à l</w:t>
      </w:r>
      <w:r w:rsidR="00687D1A">
        <w:t>’</w:t>
      </w:r>
      <w:r>
        <w:t>entretien des équipements de réfrigération et de climatisation existants au 1</w:t>
      </w:r>
      <w:r>
        <w:rPr>
          <w:vertAlign w:val="superscript"/>
        </w:rPr>
        <w:t>er</w:t>
      </w:r>
      <w:r>
        <w:t> janvier 2030, comme prévu par le Protocole de Montréal</w:t>
      </w:r>
      <w:r w:rsidRPr="00456256">
        <w:rPr>
          <w:rStyle w:val="FootnoteReference"/>
          <w:lang w:val="en-CA"/>
        </w:rPr>
        <w:footnoteReference w:id="8"/>
      </w:r>
      <w:r w:rsidR="00005500">
        <w:t>.</w:t>
      </w:r>
      <w:r>
        <w:t xml:space="preserve"> </w:t>
      </w:r>
    </w:p>
    <w:p w14:paraId="4380B2FD" w14:textId="207745B4" w:rsidR="006D7333" w:rsidRPr="00456256" w:rsidRDefault="006D7333" w:rsidP="006D7333">
      <w:pPr>
        <w:pStyle w:val="Heading1"/>
        <w:rPr>
          <w:u w:val="single"/>
        </w:rPr>
      </w:pPr>
      <w:r>
        <w:t>Conformément à la décision 86/51 visant à permettre l</w:t>
      </w:r>
      <w:r w:rsidR="00687D1A">
        <w:t>’</w:t>
      </w:r>
      <w:r>
        <w:t>examen de la tranche finale du PGEH, le gouvernement de El Salvador a accepté de présenter un descriptif détaillé du cadre réglementaire et des politiques générales en place et de mettre en œuvre des mesures pour s</w:t>
      </w:r>
      <w:r w:rsidR="00687D1A">
        <w:t>’</w:t>
      </w:r>
      <w:r>
        <w:t>assurer que la consommation de HCFC est conforme au paragraphe 8 ter(e)(i) de l</w:t>
      </w:r>
      <w:r w:rsidR="00687D1A">
        <w:t>’</w:t>
      </w:r>
      <w:r>
        <w:t xml:space="preserve">article 5 du Protocole de Montréal pour la période 2030-2040, </w:t>
      </w:r>
      <w:r w:rsidR="004D4EA9">
        <w:t xml:space="preserve">et a accepté </w:t>
      </w:r>
      <w:r w:rsidR="00005500">
        <w:t>de donner</w:t>
      </w:r>
      <w:r>
        <w:t xml:space="preserve"> la consommation annuelle de HCFC prévue en El Salvador pour la période 2030-2040.</w:t>
      </w:r>
    </w:p>
    <w:p w14:paraId="3B5F6DC0" w14:textId="4E8B49B5" w:rsidR="006D7333" w:rsidRPr="00456256" w:rsidRDefault="006D7333" w:rsidP="006D7333">
      <w:pPr>
        <w:pStyle w:val="Heading1"/>
        <w:rPr>
          <w:u w:val="single"/>
        </w:rPr>
      </w:pPr>
      <w:r>
        <w:t>Le PNUD a indiqué que la stratégie mise au point par le gouvernement soutiendra la réduction durable de la consommation de HCFC atteinte dans la phase I, principalement pour le HCFC-22. Cette stratégie d</w:t>
      </w:r>
      <w:r w:rsidR="00687D1A">
        <w:t>’</w:t>
      </w:r>
      <w:r>
        <w:t>élimination des HCFC soutient également la politique nationale d</w:t>
      </w:r>
      <w:r w:rsidR="00687D1A">
        <w:t>’</w:t>
      </w:r>
      <w:r>
        <w:t>efficacité énergétique du gouvernement de El Salvador qui encourage, à travers l</w:t>
      </w:r>
      <w:r w:rsidR="00687D1A">
        <w:t>’</w:t>
      </w:r>
      <w:r>
        <w:t>Office national de l</w:t>
      </w:r>
      <w:r w:rsidR="00687D1A">
        <w:t>’</w:t>
      </w:r>
      <w:r>
        <w:t>énergie, l</w:t>
      </w:r>
      <w:r w:rsidR="00687D1A">
        <w:t>’</w:t>
      </w:r>
      <w:r>
        <w:t>utilisation d</w:t>
      </w:r>
      <w:r w:rsidR="00687D1A">
        <w:t>’</w:t>
      </w:r>
      <w:r>
        <w:t>équipements économes en énergie dans les bâtiments et les marchés publics. Le PNUD a également indiqué que la stratégie de la phase II a été examinée et agréée avec les parties prenantes au niveau national, et qu</w:t>
      </w:r>
      <w:r w:rsidR="00687D1A">
        <w:t>’</w:t>
      </w:r>
      <w:r>
        <w:t>elle aligne l</w:t>
      </w:r>
      <w:r w:rsidR="00687D1A">
        <w:t>’</w:t>
      </w:r>
      <w:r>
        <w:t>élimination des HCFC sur la réduction progressive des HFC. Reconnaissant que l</w:t>
      </w:r>
      <w:r w:rsidR="00687D1A">
        <w:t>’</w:t>
      </w:r>
      <w:r>
        <w:t>alternative au HCFC-22 actuellement disponible à la vente dans le pays et la région repose sur des frigorigènes à fort potentiel de réchauffement de la planète (par ex</w:t>
      </w:r>
      <w:r w:rsidR="00005500">
        <w:t>emple</w:t>
      </w:r>
      <w:r>
        <w:t xml:space="preserve"> le R</w:t>
      </w:r>
      <w:r>
        <w:noBreakHyphen/>
        <w:t>410A), le gouvernement de El Salvador a accepté d</w:t>
      </w:r>
      <w:r w:rsidR="00687D1A">
        <w:t>’</w:t>
      </w:r>
      <w:r>
        <w:t>inclure une activité visant à faire la démonstration de l</w:t>
      </w:r>
      <w:r w:rsidR="00687D1A">
        <w:t>’</w:t>
      </w:r>
      <w:r>
        <w:t>utilisation d</w:t>
      </w:r>
      <w:r w:rsidR="00687D1A">
        <w:t>’</w:t>
      </w:r>
      <w:r>
        <w:t>équipements de réfrigération et de climatisation à plus faible potentiel de réchauffement de la planète, afin de déterminer leur efficacité énergétique et éventuellement d</w:t>
      </w:r>
      <w:r w:rsidR="00687D1A">
        <w:t>’</w:t>
      </w:r>
      <w:r>
        <w:t xml:space="preserve">influer sur leur acceptabilité </w:t>
      </w:r>
      <w:r w:rsidR="00A33534">
        <w:t>par</w:t>
      </w:r>
      <w:r>
        <w:t xml:space="preserve"> le marché, puisque le pays ne produit aucun équipement de ce type et est obligé de les importer.</w:t>
      </w:r>
    </w:p>
    <w:p w14:paraId="5702306C" w14:textId="77777777" w:rsidR="006D7333" w:rsidRPr="00456256" w:rsidRDefault="006D7333" w:rsidP="006D7333">
      <w:pPr>
        <w:spacing w:after="240"/>
        <w:rPr>
          <w:u w:val="single"/>
        </w:rPr>
      </w:pPr>
      <w:r>
        <w:rPr>
          <w:u w:val="single"/>
        </w:rPr>
        <w:t>Rapport sur la consommation de HCFC</w:t>
      </w:r>
    </w:p>
    <w:p w14:paraId="0A0878A1" w14:textId="144BA7D8" w:rsidR="006D7333" w:rsidRPr="00456256" w:rsidRDefault="006D7333" w:rsidP="006D7333">
      <w:pPr>
        <w:pStyle w:val="Heading1"/>
      </w:pPr>
      <w:r>
        <w:t>Le Secrétariat a examiné les cibles d</w:t>
      </w:r>
      <w:r w:rsidR="00687D1A">
        <w:t>’</w:t>
      </w:r>
      <w:r>
        <w:t>élimination pour les années 2021 à 2025, en gardant à l</w:t>
      </w:r>
      <w:r w:rsidR="00687D1A">
        <w:t>’</w:t>
      </w:r>
      <w:r>
        <w:t>esprit les faibles niveaux de consommation de HCFC-22 signalés de 2017 à 2020, et le quota de 5,42 tonnes PAO défini pour 2021. Le PNUD a expliqué que le quota d</w:t>
      </w:r>
      <w:r w:rsidR="00687D1A">
        <w:t>’</w:t>
      </w:r>
      <w:r>
        <w:t xml:space="preserve">importation pour 2021 avait été fixé par décret et </w:t>
      </w:r>
      <w:r>
        <w:lastRenderedPageBreak/>
        <w:t>qu</w:t>
      </w:r>
      <w:r w:rsidR="00687D1A">
        <w:t>’</w:t>
      </w:r>
      <w:r>
        <w:t>il était déjà entré en application. Le gouvernement a toutefois accepté de revoir les cibles pour les années 2022 à 2025 en se basant sur une valeur maximale autorisée de 3,44 tonnes PAO, correspondant à la consommation de 2019</w:t>
      </w:r>
      <w:r w:rsidRPr="00456256">
        <w:rPr>
          <w:rStyle w:val="FootnoteReference"/>
          <w:lang w:val="en-US"/>
        </w:rPr>
        <w:footnoteReference w:id="9"/>
      </w:r>
      <w:r>
        <w:t> ; de conserver les cibles pour 2026-2029 ; et d</w:t>
      </w:r>
      <w:r w:rsidR="00687D1A">
        <w:t>’</w:t>
      </w:r>
      <w:r>
        <w:t>avoir une consommation nulle à partir de 2030, hors consommation liée au reliquat aux fins d</w:t>
      </w:r>
      <w:r w:rsidR="00687D1A">
        <w:t>’</w:t>
      </w:r>
      <w:r>
        <w:t>entretien approuvé par la Réunion des Parties.</w:t>
      </w:r>
    </w:p>
    <w:p w14:paraId="0208605B" w14:textId="6D02F6E9" w:rsidR="006D7333" w:rsidRPr="00456256" w:rsidRDefault="006D7333" w:rsidP="006D7333">
      <w:pPr>
        <w:pStyle w:val="Heading1"/>
      </w:pPr>
      <w:r>
        <w:t>Les activités du PGEH pour la phase II sont axées sur l</w:t>
      </w:r>
      <w:r w:rsidR="00687D1A">
        <w:t>’</w:t>
      </w:r>
      <w:r>
        <w:t>élimination de la consommation restante de HCFC et l</w:t>
      </w:r>
      <w:r w:rsidR="00687D1A">
        <w:t>’</w:t>
      </w:r>
      <w:r>
        <w:t>atteinte des cibles agréées par la formation des techniciens en réfrigération et climatisation aux bonnes pratiques de la réfrigération, à la récupération et au recyclage des frigorigènes, à l</w:t>
      </w:r>
      <w:r w:rsidR="00687D1A">
        <w:t>’</w:t>
      </w:r>
      <w:r>
        <w:t>utilisation sans danger des frigorigènes à base de HC, et à la démonstration des performances ainsi qu</w:t>
      </w:r>
      <w:r w:rsidR="00687D1A">
        <w:t>’</w:t>
      </w:r>
      <w:r>
        <w:t>à l</w:t>
      </w:r>
      <w:r w:rsidR="00687D1A">
        <w:t>’</w:t>
      </w:r>
      <w:r>
        <w:t>entretien des équipements à base de R-290 et HFC-32</w:t>
      </w:r>
      <w:r w:rsidR="003201D2">
        <w:t> ;</w:t>
      </w:r>
      <w:r>
        <w:t xml:space="preserve"> par l</w:t>
      </w:r>
      <w:r w:rsidR="00687D1A">
        <w:t>’</w:t>
      </w:r>
      <w:r>
        <w:t>introduction d</w:t>
      </w:r>
      <w:r w:rsidR="00687D1A">
        <w:t>’</w:t>
      </w:r>
      <w:r>
        <w:t>un programme de certification des techniciens ; par l</w:t>
      </w:r>
      <w:r w:rsidR="00687D1A">
        <w:t>’</w:t>
      </w:r>
      <w:r>
        <w:t>installation d</w:t>
      </w:r>
      <w:r w:rsidR="00687D1A">
        <w:t>’</w:t>
      </w:r>
      <w:r>
        <w:t>un réseau de récupération et de recyclage ; par le renforcement de la formation des douanes et de l</w:t>
      </w:r>
      <w:r w:rsidR="00687D1A">
        <w:t>’</w:t>
      </w:r>
      <w:r>
        <w:t>application des règlements douaniers ; et par l</w:t>
      </w:r>
      <w:r w:rsidR="00687D1A">
        <w:t>’</w:t>
      </w:r>
      <w:r>
        <w:t>augmentation de la sensibilisation du public aux processus de récupération et de certification.</w:t>
      </w:r>
    </w:p>
    <w:p w14:paraId="16652873" w14:textId="67769345" w:rsidR="006D7333" w:rsidRPr="00456256" w:rsidRDefault="006D7333" w:rsidP="006D7333">
      <w:pPr>
        <w:pStyle w:val="Heading1"/>
        <w:widowControl w:val="0"/>
        <w:numPr>
          <w:ilvl w:val="0"/>
          <w:numId w:val="0"/>
        </w:numPr>
        <w:rPr>
          <w:u w:val="single"/>
        </w:rPr>
      </w:pPr>
      <w:r>
        <w:rPr>
          <w:u w:val="single"/>
        </w:rPr>
        <w:t>Réglementations appuyant l</w:t>
      </w:r>
      <w:r w:rsidR="00687D1A">
        <w:rPr>
          <w:u w:val="single"/>
        </w:rPr>
        <w:t>’</w:t>
      </w:r>
      <w:r>
        <w:rPr>
          <w:u w:val="single"/>
        </w:rPr>
        <w:t>élimination des HCFC</w:t>
      </w:r>
    </w:p>
    <w:p w14:paraId="41CD8FC2" w14:textId="0E0E6905" w:rsidR="006D7333" w:rsidRDefault="006D7333" w:rsidP="006D7333">
      <w:pPr>
        <w:pStyle w:val="Heading1"/>
      </w:pPr>
      <w:r>
        <w:t>Une réglementation interdisant l</w:t>
      </w:r>
      <w:r w:rsidR="00687D1A">
        <w:t>’</w:t>
      </w:r>
      <w:r>
        <w:t>importation d</w:t>
      </w:r>
      <w:r w:rsidR="003201D2">
        <w:t xml:space="preserve">es </w:t>
      </w:r>
      <w:r>
        <w:t>équipements de réfrigération et de climatisation à base de HCFC, aussi bien neufs qu</w:t>
      </w:r>
      <w:r w:rsidR="00687D1A">
        <w:t>’</w:t>
      </w:r>
      <w:r>
        <w:t>usagés, entrera en vigueur à compter du 1</w:t>
      </w:r>
      <w:r>
        <w:rPr>
          <w:vertAlign w:val="superscript"/>
        </w:rPr>
        <w:t>er</w:t>
      </w:r>
      <w:r>
        <w:t> janvier 2025. D</w:t>
      </w:r>
      <w:r w:rsidR="00687D1A">
        <w:t>’</w:t>
      </w:r>
      <w:r>
        <w:t>autres réglementations portant sur des pénalités pour le rejet de HCFC dans l</w:t>
      </w:r>
      <w:r w:rsidR="00687D1A">
        <w:t>’</w:t>
      </w:r>
      <w:r>
        <w:t>atmosphère, l</w:t>
      </w:r>
      <w:r w:rsidR="00687D1A">
        <w:t>’</w:t>
      </w:r>
      <w:r>
        <w:t>interdiction de l</w:t>
      </w:r>
      <w:r w:rsidR="00687D1A">
        <w:t>’</w:t>
      </w:r>
      <w:r>
        <w:t>utilisation de bouteilles jetables pour les frigorigènes, et la mise en place d</w:t>
      </w:r>
      <w:r w:rsidR="00687D1A">
        <w:t>’</w:t>
      </w:r>
      <w:r>
        <w:t>un système de certification obligatoire à destination des techniciens d</w:t>
      </w:r>
      <w:r w:rsidR="00687D1A">
        <w:t>’</w:t>
      </w:r>
      <w:r>
        <w:t>entretien sont également envisagées dans la phase II.</w:t>
      </w:r>
    </w:p>
    <w:p w14:paraId="0610D701" w14:textId="70ABD4E2" w:rsidR="006D7333" w:rsidRDefault="006D7333" w:rsidP="006D7333">
      <w:pPr>
        <w:pStyle w:val="Heading1"/>
      </w:pPr>
      <w:r>
        <w:t>El Salvador devrait également ratifier l</w:t>
      </w:r>
      <w:r w:rsidR="00687D1A">
        <w:t>’</w:t>
      </w:r>
      <w:r>
        <w:t>Amendement de Kigali en 2021.</w:t>
      </w:r>
    </w:p>
    <w:p w14:paraId="4F14E674" w14:textId="77777777" w:rsidR="006D7333" w:rsidRPr="009E45A3" w:rsidRDefault="006D7333" w:rsidP="006D7333">
      <w:pPr>
        <w:pStyle w:val="Heading1"/>
        <w:numPr>
          <w:ilvl w:val="0"/>
          <w:numId w:val="0"/>
        </w:numPr>
        <w:rPr>
          <w:i/>
          <w:iCs/>
        </w:rPr>
      </w:pPr>
      <w:r>
        <w:rPr>
          <w:i/>
        </w:rPr>
        <w:t>Cadre juridique</w:t>
      </w:r>
    </w:p>
    <w:p w14:paraId="6FD9C69B" w14:textId="6C24F73D" w:rsidR="006D7333" w:rsidRPr="00E3726C" w:rsidRDefault="006D7333" w:rsidP="006D7333">
      <w:pPr>
        <w:pStyle w:val="Heading1"/>
        <w:widowControl w:val="0"/>
        <w:rPr>
          <w:u w:val="single"/>
        </w:rPr>
      </w:pPr>
      <w:r>
        <w:t>Le gouvernement de El Salvador a déjà établi des quotas d</w:t>
      </w:r>
      <w:r w:rsidR="00687D1A">
        <w:t>’</w:t>
      </w:r>
      <w:r>
        <w:t>importation des HCFC pour 2021, fixés à 5,42 tonnes PAO (101,45 </w:t>
      </w:r>
      <w:proofErr w:type="spellStart"/>
      <w:r>
        <w:t>tm</w:t>
      </w:r>
      <w:proofErr w:type="spellEnd"/>
      <w:r>
        <w:t>), qui sont inférieurs aux cibles du Protocole de Montréal.</w:t>
      </w:r>
    </w:p>
    <w:p w14:paraId="10A519AE" w14:textId="77777777" w:rsidR="006D7333" w:rsidRPr="00E3726C" w:rsidRDefault="006D7333" w:rsidP="006D7333">
      <w:pPr>
        <w:pStyle w:val="Heading1"/>
        <w:widowControl w:val="0"/>
        <w:numPr>
          <w:ilvl w:val="0"/>
          <w:numId w:val="0"/>
        </w:numPr>
        <w:rPr>
          <w:u w:val="single"/>
        </w:rPr>
      </w:pPr>
      <w:r>
        <w:rPr>
          <w:u w:val="single"/>
        </w:rPr>
        <w:t>Questions techniques et financières</w:t>
      </w:r>
    </w:p>
    <w:p w14:paraId="28D6D4F2" w14:textId="2512873D" w:rsidR="006D7333" w:rsidRPr="00456256" w:rsidRDefault="006D7333" w:rsidP="006D7333">
      <w:pPr>
        <w:pStyle w:val="Heading1"/>
      </w:pPr>
      <w:r>
        <w:t>En réponse à l</w:t>
      </w:r>
      <w:r w:rsidR="00687D1A">
        <w:t>’</w:t>
      </w:r>
      <w:r>
        <w:t>observation du Secrétariat quant à l</w:t>
      </w:r>
      <w:r w:rsidR="00687D1A">
        <w:t>’</w:t>
      </w:r>
      <w:r>
        <w:t>introduction croissante dans le pays d</w:t>
      </w:r>
      <w:r w:rsidR="00687D1A">
        <w:t>’</w:t>
      </w:r>
      <w:r>
        <w:t>équipements de réfrigération et de climatisation à fort potentiel de réchauffement de la planète (à base de HFC-134a, R-404A et R-410A) et quant au fait qu</w:t>
      </w:r>
      <w:r w:rsidR="00687D1A">
        <w:t>’</w:t>
      </w:r>
      <w:r>
        <w:t>une grande proportion des équipements de réfrigération et de climatisation actuellement importés sont principalement à base de R-410A, inondant le marché de ce type de produit à des prix compétitifs, le PNUD a expliqué que cet état de fait résulte de la politique d</w:t>
      </w:r>
      <w:r w:rsidR="00687D1A">
        <w:t>’</w:t>
      </w:r>
      <w:r>
        <w:t>efficacité énergétique du gouvernement qui décourage le recours aux équipements peu efficaces d</w:t>
      </w:r>
      <w:r w:rsidR="00687D1A">
        <w:t>’</w:t>
      </w:r>
      <w:r>
        <w:t>un point de vue énergétique, réduisant ainsi la demande pour les systèmes à base de HCFC. Comme les équipements de réfrigération et de climatisation contenant du R-410A sont actuellement largement diffusés sur le marché latino-américain et dans le pays, l</w:t>
      </w:r>
      <w:r w:rsidR="00687D1A">
        <w:t>’</w:t>
      </w:r>
      <w:r>
        <w:t>adoption de ce type de matériel a augmenté. Suite aux délibérations avec le Secrétariat et en accord avec le gouvernement de El Salvador, la phase II du PGEH envisagera de faire tester d</w:t>
      </w:r>
      <w:r w:rsidR="00687D1A">
        <w:t>’</w:t>
      </w:r>
      <w:r>
        <w:t>autres types d</w:t>
      </w:r>
      <w:r w:rsidR="00687D1A">
        <w:t>’</w:t>
      </w:r>
      <w:r>
        <w:t>équipements à faible potentiel de réchauffement de la planète disponibles (c</w:t>
      </w:r>
      <w:r w:rsidR="00687D1A">
        <w:t>’</w:t>
      </w:r>
      <w:r>
        <w:t>est-à-dire fonctionnant avec du R-290 ou du HFC-32) par les techniciens en réfrigération et climatisation lors de leur formation, afin d</w:t>
      </w:r>
      <w:r w:rsidR="00687D1A">
        <w:t>’</w:t>
      </w:r>
      <w:r>
        <w:t>évaluer les gains d</w:t>
      </w:r>
      <w:r w:rsidR="00687D1A">
        <w:t>’</w:t>
      </w:r>
      <w:r>
        <w:t>efficacité énergétique associés à leur utilisation dans le but de faciliter leur adoption sur le marché local.</w:t>
      </w:r>
    </w:p>
    <w:p w14:paraId="54B40C3F" w14:textId="6EC859E3" w:rsidR="006D7333" w:rsidRPr="00B1372E" w:rsidRDefault="006D7333" w:rsidP="006D7333">
      <w:pPr>
        <w:pStyle w:val="Heading1"/>
        <w:rPr>
          <w:color w:val="000000" w:themeColor="text1"/>
        </w:rPr>
      </w:pPr>
      <w:r>
        <w:t xml:space="preserve">Le Secrétariat a noté que durant la mise en œuvre de la phase I du PGEH, </w:t>
      </w:r>
      <w:r w:rsidR="00614259" w:rsidRPr="00614259">
        <w:t xml:space="preserve">une composante </w:t>
      </w:r>
      <w:r>
        <w:t>d</w:t>
      </w:r>
      <w:r w:rsidR="00687D1A">
        <w:t>’</w:t>
      </w:r>
      <w:r>
        <w:t xml:space="preserve">un plan de récupération et de recyclage était déjà incluse et que, durant la troisième tranche, la récupération et la réutilisation de 366 kg de frigorigènes ont été signalées ; des quantités supplémentaires ont été récupérées et </w:t>
      </w:r>
      <w:proofErr w:type="spellStart"/>
      <w:r>
        <w:t>ré-utilisées</w:t>
      </w:r>
      <w:proofErr w:type="spellEnd"/>
      <w:r>
        <w:t xml:space="preserve"> mais n</w:t>
      </w:r>
      <w:r w:rsidR="00687D1A">
        <w:t>’</w:t>
      </w:r>
      <w:r>
        <w:t>ont pas été consignées dans les registres, car leur déclaration n</w:t>
      </w:r>
      <w:r w:rsidR="00687D1A">
        <w:t>’</w:t>
      </w:r>
      <w:r>
        <w:t xml:space="preserve">est pas obligatoire. Le </w:t>
      </w:r>
      <w:r>
        <w:lastRenderedPageBreak/>
        <w:t>Secrétariat s</w:t>
      </w:r>
      <w:r w:rsidR="00687D1A">
        <w:t>’</w:t>
      </w:r>
      <w:r>
        <w:t>est renseigné sur le modèle opérationnel qui permettrait et encouragerait la vente et l</w:t>
      </w:r>
      <w:r w:rsidR="00687D1A">
        <w:t>’</w:t>
      </w:r>
      <w:r>
        <w:t>utilisation de frigorigènes récupérés, et sur la communication de ces utilisations. En réponse, le PNUD a expliqué que le gouvernement prévoit de lancer un système obligatoire de communication et d</w:t>
      </w:r>
      <w:r w:rsidR="00687D1A">
        <w:t>’</w:t>
      </w:r>
      <w:r>
        <w:t>enregistrement, pour que ces substances récupérées puissent être suivies grâce à un registre en ligne. Le réseau national des centres de récupération mis en place lors de la phase I continuera à coordonner avec les petits ateliers la récupération des frigorigènes usagés qui ont été recueillis et stockés par les techniciens, pour qu</w:t>
      </w:r>
      <w:r w:rsidR="00687D1A">
        <w:t>’</w:t>
      </w:r>
      <w:r>
        <w:t>ils soient amenés jusqu</w:t>
      </w:r>
      <w:r w:rsidR="00687D1A">
        <w:t>’</w:t>
      </w:r>
      <w:r>
        <w:t>au centre de récupération et de recyclage en vue de leur réutilisation. Le PNUD a mentionné que durant la première tranche de la phase II, le gouvernement identifiera l</w:t>
      </w:r>
      <w:r w:rsidR="00687D1A">
        <w:t>’</w:t>
      </w:r>
      <w:r>
        <w:t>opérateur du centre, éventuellement l</w:t>
      </w:r>
      <w:r w:rsidR="00687D1A">
        <w:t>’</w:t>
      </w:r>
      <w:r>
        <w:t>une des grandes sociétés d</w:t>
      </w:r>
      <w:r w:rsidR="00687D1A">
        <w:t>’</w:t>
      </w:r>
      <w:r>
        <w:t xml:space="preserve">entretien, et </w:t>
      </w:r>
      <w:r>
        <w:rPr>
          <w:color w:val="000000" w:themeColor="text1"/>
        </w:rPr>
        <w:t>mettra en place des actions pour définir la façon dont le centre collaborera avec les gros utilisateurs (supermarchés, hôtels et organismes publics)</w:t>
      </w:r>
      <w:r w:rsidR="004F1B92">
        <w:rPr>
          <w:color w:val="000000" w:themeColor="text1"/>
        </w:rPr>
        <w:t>,</w:t>
      </w:r>
      <w:r>
        <w:rPr>
          <w:color w:val="000000" w:themeColor="text1"/>
        </w:rPr>
        <w:t xml:space="preserve"> susceptibles d</w:t>
      </w:r>
      <w:r w:rsidR="00687D1A">
        <w:rPr>
          <w:color w:val="000000" w:themeColor="text1"/>
        </w:rPr>
        <w:t>’</w:t>
      </w:r>
      <w:r>
        <w:rPr>
          <w:color w:val="000000" w:themeColor="text1"/>
        </w:rPr>
        <w:t xml:space="preserve">occasionner </w:t>
      </w:r>
      <w:r w:rsidR="004F1B92">
        <w:rPr>
          <w:color w:val="000000" w:themeColor="text1"/>
        </w:rPr>
        <w:t>d</w:t>
      </w:r>
      <w:r>
        <w:rPr>
          <w:color w:val="000000" w:themeColor="text1"/>
        </w:rPr>
        <w:t xml:space="preserve">es récupérations de </w:t>
      </w:r>
      <w:r w:rsidR="004F1B92">
        <w:rPr>
          <w:color w:val="000000" w:themeColor="text1"/>
        </w:rPr>
        <w:t xml:space="preserve">gros volumes de </w:t>
      </w:r>
      <w:r>
        <w:rPr>
          <w:color w:val="000000" w:themeColor="text1"/>
        </w:rPr>
        <w:t>frigorigènes. Le centre devrait également travailler en étroite collaboration avec les sociétés d</w:t>
      </w:r>
      <w:r w:rsidR="00687D1A">
        <w:rPr>
          <w:color w:val="000000" w:themeColor="text1"/>
        </w:rPr>
        <w:t>’</w:t>
      </w:r>
      <w:r>
        <w:rPr>
          <w:color w:val="000000" w:themeColor="text1"/>
        </w:rPr>
        <w:t>entretien de ces gros utilisateurs et veiller à ce que leurs contrats d</w:t>
      </w:r>
      <w:r w:rsidR="00687D1A">
        <w:rPr>
          <w:color w:val="000000" w:themeColor="text1"/>
        </w:rPr>
        <w:t>’</w:t>
      </w:r>
      <w:r>
        <w:rPr>
          <w:color w:val="000000" w:themeColor="text1"/>
        </w:rPr>
        <w:t>entretien précisent que les frigorigènes doivent être récupérés, et que les quantités récupérées soient communiquées au BNO. Le PNUD a néanmoins mis l</w:t>
      </w:r>
      <w:r w:rsidR="00687D1A">
        <w:rPr>
          <w:color w:val="000000" w:themeColor="text1"/>
        </w:rPr>
        <w:t>’</w:t>
      </w:r>
      <w:r>
        <w:rPr>
          <w:color w:val="000000" w:themeColor="text1"/>
        </w:rPr>
        <w:t>accent sur le fait qu</w:t>
      </w:r>
      <w:r w:rsidR="00687D1A">
        <w:rPr>
          <w:color w:val="000000" w:themeColor="text1"/>
        </w:rPr>
        <w:t>’</w:t>
      </w:r>
      <w:r>
        <w:rPr>
          <w:color w:val="000000" w:themeColor="text1"/>
        </w:rPr>
        <w:t xml:space="preserve">il sera difficile de rendre obligatoires la récupération et la réutilisation des frigorigènes dans le pays, car le BNO ne dispose ni des ressources, ni </w:t>
      </w:r>
      <w:r w:rsidR="00EB3D24">
        <w:rPr>
          <w:color w:val="000000" w:themeColor="text1"/>
        </w:rPr>
        <w:t>de la capacité nécessaire</w:t>
      </w:r>
      <w:r>
        <w:rPr>
          <w:color w:val="000000" w:themeColor="text1"/>
        </w:rPr>
        <w:t xml:space="preserve"> pour faire appliquer cette politique. Le </w:t>
      </w:r>
      <w:r>
        <w:t>ministère de l</w:t>
      </w:r>
      <w:r w:rsidR="00687D1A">
        <w:t>’</w:t>
      </w:r>
      <w:r>
        <w:t>Environnement et des Ressources naturelles</w:t>
      </w:r>
      <w:r>
        <w:rPr>
          <w:color w:val="000000" w:themeColor="text1"/>
        </w:rPr>
        <w:t> (MARN), par l</w:t>
      </w:r>
      <w:r w:rsidR="00687D1A">
        <w:rPr>
          <w:color w:val="000000" w:themeColor="text1"/>
        </w:rPr>
        <w:t>’</w:t>
      </w:r>
      <w:r>
        <w:rPr>
          <w:color w:val="000000" w:themeColor="text1"/>
        </w:rPr>
        <w:t>intermédiaire du BNO, renforcera les avantages liés aux pratiques de récupération et de réutilisation, tels que les économies d</w:t>
      </w:r>
      <w:r w:rsidR="00687D1A">
        <w:rPr>
          <w:color w:val="000000" w:themeColor="text1"/>
        </w:rPr>
        <w:t>’</w:t>
      </w:r>
      <w:r>
        <w:rPr>
          <w:color w:val="000000" w:themeColor="text1"/>
        </w:rPr>
        <w:t>exploitation et l</w:t>
      </w:r>
      <w:r w:rsidR="00687D1A">
        <w:rPr>
          <w:color w:val="000000" w:themeColor="text1"/>
        </w:rPr>
        <w:t>’</w:t>
      </w:r>
      <w:r>
        <w:rPr>
          <w:color w:val="000000" w:themeColor="text1"/>
        </w:rPr>
        <w:t>impact positif sur l</w:t>
      </w:r>
      <w:r w:rsidR="00687D1A">
        <w:rPr>
          <w:color w:val="000000" w:themeColor="text1"/>
        </w:rPr>
        <w:t>’</w:t>
      </w:r>
      <w:r>
        <w:rPr>
          <w:color w:val="000000" w:themeColor="text1"/>
        </w:rPr>
        <w:t>environnement.</w:t>
      </w:r>
    </w:p>
    <w:p w14:paraId="1A46BFE7" w14:textId="5F2930E2" w:rsidR="006D7333" w:rsidRPr="00456256" w:rsidRDefault="006D7333" w:rsidP="006D7333">
      <w:pPr>
        <w:pStyle w:val="Heading1"/>
      </w:pPr>
      <w:r>
        <w:t>Le Secrétariat a également souligné l</w:t>
      </w:r>
      <w:r w:rsidR="00687D1A">
        <w:t>’</w:t>
      </w:r>
      <w:r>
        <w:t>importance de la mise en œuvre de mesures de réglementation sur les émissions de frigorigènes pour appuyer la stratégie d</w:t>
      </w:r>
      <w:r w:rsidR="00687D1A">
        <w:t>’</w:t>
      </w:r>
      <w:r>
        <w:t>élimination dans le secteur de l</w:t>
      </w:r>
      <w:r w:rsidR="00687D1A">
        <w:t>’</w:t>
      </w:r>
      <w:r>
        <w:t>entretien ; ces mesures seront mises en place dans le pays par le gouvernement en parallèle des activités de récupération et de recyclage.</w:t>
      </w:r>
    </w:p>
    <w:p w14:paraId="273CD3CA" w14:textId="77777777" w:rsidR="006D7333" w:rsidRPr="00620397" w:rsidRDefault="006D7333" w:rsidP="006D7333">
      <w:pPr>
        <w:pStyle w:val="Heading1"/>
        <w:numPr>
          <w:ilvl w:val="0"/>
          <w:numId w:val="0"/>
        </w:numPr>
        <w:tabs>
          <w:tab w:val="left" w:pos="720"/>
        </w:tabs>
        <w:rPr>
          <w:color w:val="000000" w:themeColor="text1"/>
          <w:kern w:val="36"/>
          <w:u w:val="single"/>
        </w:rPr>
      </w:pPr>
      <w:r>
        <w:rPr>
          <w:color w:val="000000" w:themeColor="text1"/>
          <w:u w:val="single"/>
        </w:rPr>
        <w:t>Répercussions de la pandémie de COVID-19 sur la mise en œuvre du PGEH</w:t>
      </w:r>
    </w:p>
    <w:p w14:paraId="6395C22D" w14:textId="14084031" w:rsidR="006D7333" w:rsidRDefault="006D7333" w:rsidP="006D7333">
      <w:pPr>
        <w:pStyle w:val="Heading1"/>
      </w:pPr>
      <w:r>
        <w:t>Le gouvernement de El Salvador a été confronté à un certain nombre de difficultés durant la pandémie de COVID-19, du fait de la politique de confinement et des restrictions de déplacement. Même s</w:t>
      </w:r>
      <w:r w:rsidR="00687D1A">
        <w:t>’</w:t>
      </w:r>
      <w:r>
        <w:t xml:space="preserve">il y a eu des conséquences sur la mise en œuvre de la phase I du PGEH, le gouvernement a pu poursuivre ses activités de mise en œuvre à distance et via </w:t>
      </w:r>
      <w:r w:rsidR="00EB3D24">
        <w:t>des réunions virtuelles</w:t>
      </w:r>
      <w:r>
        <w:t xml:space="preserve">. La mise en œuvre de la phase I du PGEH, associée aux répercussions économiques de la pandémie de COVID-19 en 2020 et pendant une partie de 2021, a entraîné une réduction de la consommation de HCFC dans le secteur de la réfrigération et </w:t>
      </w:r>
      <w:proofErr w:type="spellStart"/>
      <w:r>
        <w:t>et</w:t>
      </w:r>
      <w:proofErr w:type="spellEnd"/>
      <w:r>
        <w:t xml:space="preserve"> de climatisation, </w:t>
      </w:r>
      <w:r w:rsidR="004F1B92" w:rsidRPr="004F1B92">
        <w:t>et a permis au pays de maintenir la tendance baissière de la consommation de HCFC</w:t>
      </w:r>
      <w:r>
        <w:t>. Pour cette raison, El Salvador a proposé de mettre en œuvre la phase II du PGEH selon un calendrier accéléré, afin de profiter de cette dynamique pour confirmer l</w:t>
      </w:r>
      <w:r w:rsidR="00687D1A">
        <w:t>’</w:t>
      </w:r>
      <w:r>
        <w:t>élimination déjà réalisée et réduire davantage la consommation de HCFC en avance sur le calendrier du Protocole de Montréal.</w:t>
      </w:r>
    </w:p>
    <w:p w14:paraId="0347115E" w14:textId="77777777" w:rsidR="006D7333" w:rsidRPr="00EC4F45" w:rsidRDefault="006D7333" w:rsidP="006D7333">
      <w:pPr>
        <w:keepNext/>
        <w:spacing w:after="240"/>
        <w:rPr>
          <w:u w:val="single"/>
        </w:rPr>
      </w:pPr>
      <w:r>
        <w:rPr>
          <w:u w:val="single"/>
        </w:rPr>
        <w:t>Coûts de projet totaux</w:t>
      </w:r>
    </w:p>
    <w:p w14:paraId="5871EE88" w14:textId="28E3BB87" w:rsidR="006D7333" w:rsidRDefault="006D7333" w:rsidP="006D7333">
      <w:pPr>
        <w:pStyle w:val="Heading1"/>
      </w:pPr>
      <w:r>
        <w:t>Les coûts de projet totaux de la phase II du PGEH ainsi que le financement de la première tranche ont été agréés tels qu</w:t>
      </w:r>
      <w:r w:rsidR="00687D1A">
        <w:t>’</w:t>
      </w:r>
      <w:r>
        <w:t>ils ont été présentés.</w:t>
      </w:r>
    </w:p>
    <w:p w14:paraId="25D8B7C5" w14:textId="77777777" w:rsidR="006D7333" w:rsidRPr="00EE5B08" w:rsidRDefault="006D7333" w:rsidP="006D7333">
      <w:pPr>
        <w:keepNext/>
        <w:spacing w:after="240"/>
        <w:rPr>
          <w:u w:val="single"/>
        </w:rPr>
      </w:pPr>
      <w:r>
        <w:rPr>
          <w:u w:val="single"/>
        </w:rPr>
        <w:t>Répercussions sur le climat</w:t>
      </w:r>
    </w:p>
    <w:p w14:paraId="060EBB50" w14:textId="5C152679" w:rsidR="006D7333" w:rsidRDefault="006D7333" w:rsidP="006D7333">
      <w:pPr>
        <w:pStyle w:val="Heading1"/>
        <w:tabs>
          <w:tab w:val="clear" w:pos="0"/>
        </w:tabs>
      </w:pPr>
      <w:r>
        <w:t>Les activités proposées dans le secteur de l</w:t>
      </w:r>
      <w:r w:rsidR="00687D1A">
        <w:t>’</w:t>
      </w:r>
      <w:r>
        <w:t>entretien, notamment un meilleur confinement des frigorigènes grâce à la formation et à la fourniture de matériel, permettront de réduire la quantité de HCFC-22 utilisée dans l</w:t>
      </w:r>
      <w:r w:rsidR="00687D1A">
        <w:t>’</w:t>
      </w:r>
      <w:r>
        <w:t>entretien des équipements de réfrigération et de climatisation. Chaque kilogramme de HCFC-22 non rejeté du fait de l</w:t>
      </w:r>
      <w:r w:rsidR="00687D1A">
        <w:t>’</w:t>
      </w:r>
      <w:r>
        <w:t>amélioration des pratiques en matière de réfrigération génère une économie d</w:t>
      </w:r>
      <w:r w:rsidR="00687D1A">
        <w:t>’</w:t>
      </w:r>
      <w:r>
        <w:t>environ 1,8 tonne d</w:t>
      </w:r>
      <w:r w:rsidR="00687D1A">
        <w:t>’</w:t>
      </w:r>
      <w:r>
        <w:t>équivalent CO</w:t>
      </w:r>
      <w:r>
        <w:rPr>
          <w:vertAlign w:val="subscript"/>
        </w:rPr>
        <w:t>2</w:t>
      </w:r>
      <w:r>
        <w:t>. Bien que le calcul des répercussions sur le climat n</w:t>
      </w:r>
      <w:r w:rsidR="00687D1A">
        <w:t>’</w:t>
      </w:r>
      <w:r>
        <w:t xml:space="preserve">ait pas été inclus dans le PGEH, les activités prévues par El Salvador, en particulier ses efforts pour promouvoir la récupération et la réutilisation des frigorigènes, ainsi que les bonnes pratiques en réfrigération, et </w:t>
      </w:r>
      <w:r w:rsidR="00F55E8F">
        <w:t xml:space="preserve">ses efforts </w:t>
      </w:r>
      <w:r>
        <w:lastRenderedPageBreak/>
        <w:t xml:space="preserve">pour renforcer le système de contrôle des importations de HCFC, </w:t>
      </w:r>
      <w:r w:rsidR="00F55E8F">
        <w:t>impliquent</w:t>
      </w:r>
      <w:r>
        <w:t xml:space="preserve"> que la mise en œuvre du PGEH réduira les émissions de frigorigènes dans l</w:t>
      </w:r>
      <w:r w:rsidR="00687D1A">
        <w:t>’</w:t>
      </w:r>
      <w:r>
        <w:t>atmosphère, ce qui profitera au climat.</w:t>
      </w:r>
    </w:p>
    <w:p w14:paraId="7E34AF1F" w14:textId="77777777" w:rsidR="006D7333" w:rsidRDefault="006D7333" w:rsidP="006D7333">
      <w:pPr>
        <w:pStyle w:val="Heading1"/>
        <w:keepNext/>
        <w:numPr>
          <w:ilvl w:val="0"/>
          <w:numId w:val="0"/>
        </w:numPr>
        <w:rPr>
          <w:b/>
        </w:rPr>
      </w:pPr>
      <w:r>
        <w:rPr>
          <w:b/>
        </w:rPr>
        <w:t>Cofinancement</w:t>
      </w:r>
    </w:p>
    <w:p w14:paraId="462F27E8" w14:textId="72240A30" w:rsidR="006D7333" w:rsidRPr="00976827" w:rsidRDefault="006D7333" w:rsidP="006D7333">
      <w:pPr>
        <w:pStyle w:val="Heading1"/>
      </w:pPr>
      <w:r>
        <w:t>Le gouvernement de El Salvador, par l</w:t>
      </w:r>
      <w:r w:rsidR="00687D1A">
        <w:t>’</w:t>
      </w:r>
      <w:r>
        <w:t>intermédiaire du MARN, apportera sa contribution en nature en fournissant par exemple un espace de bureau, un accès internet et des communications, des moyens de transport, du soutien de la part du département juridique et du département de la communication, pour faciliter le développement des activités du projet. De plus, le coût de la mise en œuvre complète du PGEH devrait être supérieur au financement sollicité, car le pays s</w:t>
      </w:r>
      <w:r w:rsidR="00687D1A">
        <w:t>’</w:t>
      </w:r>
      <w:r>
        <w:t>est engagé à poursuivre les contrôles en cours sur les importations de HCFC et à fournir une formation et une certification à tous les techniciens en réfrigération et climatisation (environ 4 000), alors que le financement demandé pour les phases I et II du PGEH ne couvre la formation que d</w:t>
      </w:r>
      <w:r w:rsidR="00687D1A">
        <w:t>’</w:t>
      </w:r>
      <w:r>
        <w:t>environ 2 500 techniciens.</w:t>
      </w:r>
    </w:p>
    <w:p w14:paraId="1A1ABBA3" w14:textId="1C9238D1" w:rsidR="006D7333" w:rsidRPr="00EE5B08" w:rsidRDefault="006D7333" w:rsidP="006D7333">
      <w:pPr>
        <w:pStyle w:val="Heading1"/>
        <w:keepNext/>
        <w:widowControl w:val="0"/>
        <w:numPr>
          <w:ilvl w:val="0"/>
          <w:numId w:val="0"/>
        </w:numPr>
        <w:rPr>
          <w:b/>
        </w:rPr>
      </w:pPr>
      <w:r>
        <w:rPr>
          <w:b/>
        </w:rPr>
        <w:t>Projet de plan d</w:t>
      </w:r>
      <w:r w:rsidR="00687D1A">
        <w:rPr>
          <w:b/>
        </w:rPr>
        <w:t>’</w:t>
      </w:r>
      <w:r>
        <w:rPr>
          <w:b/>
        </w:rPr>
        <w:t>activités du Fonds multilatéral pour 2021-2023</w:t>
      </w:r>
    </w:p>
    <w:p w14:paraId="0E9D1337" w14:textId="1A52C194" w:rsidR="006D7333" w:rsidRPr="00F53EC6" w:rsidRDefault="006D7333" w:rsidP="006D7333">
      <w:pPr>
        <w:pStyle w:val="Heading1"/>
        <w:widowControl w:val="0"/>
      </w:pPr>
      <w:r>
        <w:t xml:space="preserve">Le PNUD et le PNUE demandent 650 000 $ US, plus </w:t>
      </w:r>
      <w:r w:rsidR="003230BA">
        <w:t>l</w:t>
      </w:r>
      <w:r>
        <w:t>es coûts d</w:t>
      </w:r>
      <w:r w:rsidR="00687D1A">
        <w:t>’</w:t>
      </w:r>
      <w:r>
        <w:t>appui d</w:t>
      </w:r>
      <w:r w:rsidR="00687D1A">
        <w:t>’</w:t>
      </w:r>
      <w:r>
        <w:t>agence, pour la mise en œuvre de la phase II du PGEH pour El Salvador. Le montant total sollicité de 210 210 $ US, coûts d</w:t>
      </w:r>
      <w:r w:rsidR="00687D1A">
        <w:t>’</w:t>
      </w:r>
      <w:r>
        <w:t>appui d</w:t>
      </w:r>
      <w:r w:rsidR="00687D1A">
        <w:t>’</w:t>
      </w:r>
      <w:r>
        <w:t>agence pour la période 2021-2023 inclus, est supérieur de 168 237 $ US à la valeur figurant dans le plan d</w:t>
      </w:r>
      <w:r w:rsidR="00687D1A">
        <w:t>’</w:t>
      </w:r>
      <w:r>
        <w:t>activités, car le PNUD n</w:t>
      </w:r>
      <w:r w:rsidR="00687D1A">
        <w:t>’</w:t>
      </w:r>
      <w:r>
        <w:t>a prévu aucun montant dans son plan d</w:t>
      </w:r>
      <w:r w:rsidR="00687D1A">
        <w:t>’</w:t>
      </w:r>
      <w:r>
        <w:t>activités pour ce projet durant cette période.</w:t>
      </w:r>
    </w:p>
    <w:p w14:paraId="3AF6E4E5" w14:textId="6764B945" w:rsidR="006D7333" w:rsidRPr="00EE5B08" w:rsidRDefault="006D7333" w:rsidP="006D7333">
      <w:pPr>
        <w:pStyle w:val="Heading1"/>
        <w:keepNext/>
        <w:keepLines/>
        <w:numPr>
          <w:ilvl w:val="0"/>
          <w:numId w:val="0"/>
        </w:numPr>
        <w:rPr>
          <w:b/>
        </w:rPr>
      </w:pPr>
      <w:r>
        <w:rPr>
          <w:b/>
        </w:rPr>
        <w:t>Projet d</w:t>
      </w:r>
      <w:r w:rsidR="00687D1A">
        <w:rPr>
          <w:b/>
        </w:rPr>
        <w:t>’</w:t>
      </w:r>
      <w:r>
        <w:rPr>
          <w:b/>
        </w:rPr>
        <w:t>accord</w:t>
      </w:r>
    </w:p>
    <w:p w14:paraId="2CB7FCB6" w14:textId="501B52DA" w:rsidR="006D7333" w:rsidRPr="00AC3C04" w:rsidRDefault="006D7333" w:rsidP="006D7333">
      <w:pPr>
        <w:pStyle w:val="Heading1"/>
        <w:keepNext/>
        <w:keepLines/>
        <w:tabs>
          <w:tab w:val="clear" w:pos="0"/>
        </w:tabs>
      </w:pPr>
      <w:r>
        <w:t>Un projet d</w:t>
      </w:r>
      <w:r w:rsidR="00687D1A">
        <w:t>’</w:t>
      </w:r>
      <w:r>
        <w:t xml:space="preserve">accord entre le gouvernement de El Salvador et le Comité exécutif </w:t>
      </w:r>
      <w:r w:rsidR="003230BA" w:rsidRPr="003230BA">
        <w:t>sur l</w:t>
      </w:r>
      <w:r w:rsidR="00687D1A">
        <w:t>’</w:t>
      </w:r>
      <w:r w:rsidR="003230BA" w:rsidRPr="003230BA">
        <w:t xml:space="preserve">élimination des HCFC </w:t>
      </w:r>
      <w:r>
        <w:t xml:space="preserve">dans le cadre de la phase II du PGEH </w:t>
      </w:r>
      <w:r w:rsidR="003230BA">
        <w:t>est présenté</w:t>
      </w:r>
      <w:r>
        <w:t xml:space="preserve"> à l</w:t>
      </w:r>
      <w:r w:rsidR="00687D1A">
        <w:t>’</w:t>
      </w:r>
      <w:r>
        <w:t>annexe I du présent document.</w:t>
      </w:r>
    </w:p>
    <w:p w14:paraId="29668B97" w14:textId="77777777" w:rsidR="006D7333" w:rsidRPr="00F53EC6" w:rsidRDefault="006D7333" w:rsidP="006D7333">
      <w:pPr>
        <w:pStyle w:val="Heading1"/>
        <w:keepNext/>
        <w:numPr>
          <w:ilvl w:val="0"/>
          <w:numId w:val="0"/>
        </w:numPr>
        <w:autoSpaceDE w:val="0"/>
        <w:autoSpaceDN w:val="0"/>
        <w:adjustRightInd w:val="0"/>
        <w:rPr>
          <w:b/>
        </w:rPr>
      </w:pPr>
      <w:r>
        <w:rPr>
          <w:b/>
        </w:rPr>
        <w:t>RECOMMANDATION</w:t>
      </w:r>
    </w:p>
    <w:p w14:paraId="5E05DF8B" w14:textId="77777777" w:rsidR="006D7333" w:rsidRPr="009A49AC" w:rsidRDefault="006D7333" w:rsidP="006D7333">
      <w:pPr>
        <w:pStyle w:val="Heading1"/>
        <w:tabs>
          <w:tab w:val="clear" w:pos="0"/>
        </w:tabs>
      </w:pPr>
      <w:r>
        <w:t>Le Comité exécutif pourrait souhaiter :</w:t>
      </w:r>
    </w:p>
    <w:p w14:paraId="225DC079" w14:textId="4D10EC04" w:rsidR="006D7333" w:rsidRPr="00EA6791" w:rsidRDefault="006D7333" w:rsidP="006D7333">
      <w:pPr>
        <w:pStyle w:val="Heading2"/>
        <w:numPr>
          <w:ilvl w:val="1"/>
          <w:numId w:val="1"/>
        </w:numPr>
        <w:rPr>
          <w:iCs/>
        </w:rPr>
      </w:pPr>
      <w:r>
        <w:t>Approuver, sur le principe, la phase II du plan de gestion de l</w:t>
      </w:r>
      <w:r w:rsidR="00687D1A">
        <w:t>’</w:t>
      </w:r>
      <w:r>
        <w:t xml:space="preserve">élimination des HCFC (PGEH) pour El Salvador pour la période de 2021 à 2030 </w:t>
      </w:r>
      <w:r w:rsidR="00106D32">
        <w:t xml:space="preserve">visant à </w:t>
      </w:r>
      <w:r>
        <w:t>éliminer complètement la consommation de HCFC, pour un montant de 698 320 $ US, dont 603 000 $ US plus42 210 $ US de coûts d</w:t>
      </w:r>
      <w:r w:rsidR="00687D1A">
        <w:t>’</w:t>
      </w:r>
      <w:r>
        <w:t>appui d</w:t>
      </w:r>
      <w:r w:rsidR="00687D1A">
        <w:t>’</w:t>
      </w:r>
      <w:r>
        <w:t>agence pour le PNUD, et 47 000 $ US plus 6 110 $ US de coûts d</w:t>
      </w:r>
      <w:r w:rsidR="00687D1A">
        <w:t>’</w:t>
      </w:r>
      <w:r>
        <w:t>appui d</w:t>
      </w:r>
      <w:r w:rsidR="00687D1A">
        <w:t>’</w:t>
      </w:r>
      <w:r>
        <w:t>agence pour le PNUE, étant entendu que le Fonds multilatéral ne fournira aucun autre financement pour l</w:t>
      </w:r>
      <w:r w:rsidR="00687D1A">
        <w:t>’</w:t>
      </w:r>
      <w:r>
        <w:t>élimination des HCFC ;</w:t>
      </w:r>
    </w:p>
    <w:p w14:paraId="01ADA7CB" w14:textId="022D8673" w:rsidR="006D7333" w:rsidRDefault="006D7333" w:rsidP="006D7333">
      <w:pPr>
        <w:pStyle w:val="Heading2"/>
        <w:numPr>
          <w:ilvl w:val="1"/>
          <w:numId w:val="1"/>
        </w:numPr>
        <w:rPr>
          <w:iCs/>
        </w:rPr>
      </w:pPr>
      <w:r>
        <w:t>Prendre note de l</w:t>
      </w:r>
      <w:r w:rsidR="00687D1A">
        <w:t>’</w:t>
      </w:r>
      <w:r>
        <w:t>engagement du gouvernement de El Salvador à :</w:t>
      </w:r>
    </w:p>
    <w:p w14:paraId="7E0AD54F" w14:textId="45F96B34" w:rsidR="006D7333" w:rsidRPr="00EA6791" w:rsidRDefault="006D7333" w:rsidP="00EB3D24">
      <w:pPr>
        <w:pStyle w:val="Heading3"/>
        <w:numPr>
          <w:ilvl w:val="2"/>
          <w:numId w:val="24"/>
        </w:numPr>
        <w:tabs>
          <w:tab w:val="num" w:pos="1080"/>
        </w:tabs>
      </w:pPr>
      <w:r>
        <w:t>Réduire la consommation de HCFC de 54 </w:t>
      </w:r>
      <w:r w:rsidR="00EB3D24">
        <w:t>pour cent</w:t>
      </w:r>
      <w:r>
        <w:t xml:space="preserve"> par rapport à la valeur référence du pays d</w:t>
      </w:r>
      <w:r w:rsidR="00687D1A">
        <w:t>’</w:t>
      </w:r>
      <w:r>
        <w:t>ici 2021, de 71 </w:t>
      </w:r>
      <w:r w:rsidR="00EB3D24">
        <w:t>pour cent</w:t>
      </w:r>
      <w:r>
        <w:t xml:space="preserve"> d</w:t>
      </w:r>
      <w:r w:rsidR="00687D1A">
        <w:t>’</w:t>
      </w:r>
      <w:r>
        <w:t>ici 2022, de 75 </w:t>
      </w:r>
      <w:r w:rsidR="00EB3D24">
        <w:t>pour cent</w:t>
      </w:r>
      <w:r>
        <w:t xml:space="preserve"> d</w:t>
      </w:r>
      <w:r w:rsidR="00687D1A">
        <w:t>’</w:t>
      </w:r>
      <w:r>
        <w:t>ici 2025, de 80 </w:t>
      </w:r>
      <w:r w:rsidR="00EB3D24">
        <w:t>pour cent</w:t>
      </w:r>
      <w:r>
        <w:t xml:space="preserve"> d</w:t>
      </w:r>
      <w:r w:rsidR="00687D1A">
        <w:t>’</w:t>
      </w:r>
      <w:r>
        <w:t>ici 2026 et de 97,5 </w:t>
      </w:r>
      <w:r w:rsidR="00EB3D24">
        <w:t>pour cent</w:t>
      </w:r>
      <w:r>
        <w:t xml:space="preserve"> d</w:t>
      </w:r>
      <w:r w:rsidR="00687D1A">
        <w:t>’</w:t>
      </w:r>
      <w:r>
        <w:t>ici 2028, avec une élimination complète des HCFC au 1</w:t>
      </w:r>
      <w:r>
        <w:rPr>
          <w:vertAlign w:val="superscript"/>
        </w:rPr>
        <w:t>er</w:t>
      </w:r>
      <w:r>
        <w:t> janvier 2030, et ne plus importer de HCFC après cette date, hormis le cas échéant dans les cas autorisés dans le cadre du reliquat aux fins d</w:t>
      </w:r>
      <w:r w:rsidR="00687D1A">
        <w:t>’</w:t>
      </w:r>
      <w:r>
        <w:t>entretien entre 2030 et 2040, conformément aux disposition</w:t>
      </w:r>
      <w:r w:rsidR="006B2038">
        <w:t>s</w:t>
      </w:r>
      <w:r>
        <w:t xml:space="preserve"> du Protocole de Montréal ;</w:t>
      </w:r>
    </w:p>
    <w:p w14:paraId="00A62B3F" w14:textId="2EB34E9B" w:rsidR="006D7333" w:rsidRPr="00EA6791" w:rsidRDefault="006D7333" w:rsidP="00EB3D24">
      <w:pPr>
        <w:pStyle w:val="Heading3"/>
        <w:numPr>
          <w:ilvl w:val="2"/>
          <w:numId w:val="24"/>
        </w:numPr>
        <w:tabs>
          <w:tab w:val="num" w:pos="1080"/>
        </w:tabs>
      </w:pPr>
      <w:r>
        <w:t>Interdire l</w:t>
      </w:r>
      <w:r w:rsidR="00687D1A">
        <w:t>’</w:t>
      </w:r>
      <w:r>
        <w:t>importation d</w:t>
      </w:r>
      <w:r w:rsidR="00687D1A">
        <w:t>’</w:t>
      </w:r>
      <w:r>
        <w:t>équipements à base de HCFC à compter du 1</w:t>
      </w:r>
      <w:r>
        <w:rPr>
          <w:vertAlign w:val="superscript"/>
        </w:rPr>
        <w:t>er</w:t>
      </w:r>
      <w:r>
        <w:t> janvier 2025 ;</w:t>
      </w:r>
    </w:p>
    <w:p w14:paraId="01D5B787" w14:textId="77777777" w:rsidR="006D7333" w:rsidRPr="00EA6791" w:rsidRDefault="006D7333" w:rsidP="006D7333">
      <w:pPr>
        <w:pStyle w:val="Heading2"/>
        <w:numPr>
          <w:ilvl w:val="1"/>
          <w:numId w:val="1"/>
        </w:numPr>
        <w:rPr>
          <w:iCs/>
        </w:rPr>
      </w:pPr>
      <w:r>
        <w:t>Déduire 7,59 tonnes PAO de HCFC de la consommation restante de HCFC admissible au financement ;</w:t>
      </w:r>
    </w:p>
    <w:p w14:paraId="7EEE6CE3" w14:textId="5D8A95C5" w:rsidR="006D7333" w:rsidRPr="00EA6791" w:rsidRDefault="006D7333" w:rsidP="006D7333">
      <w:pPr>
        <w:pStyle w:val="Heading2"/>
        <w:numPr>
          <w:ilvl w:val="1"/>
          <w:numId w:val="1"/>
        </w:numPr>
        <w:rPr>
          <w:iCs/>
        </w:rPr>
      </w:pPr>
      <w:r>
        <w:lastRenderedPageBreak/>
        <w:t>Approuver le projet d</w:t>
      </w:r>
      <w:r w:rsidR="00687D1A">
        <w:t>’</w:t>
      </w:r>
      <w:r>
        <w:t xml:space="preserve">accord entre le gouvernement de El Salvador et le </w:t>
      </w:r>
      <w:r w:rsidR="006B2038" w:rsidRPr="006B2038">
        <w:t>Comité exécutif, figurant à l</w:t>
      </w:r>
      <w:r w:rsidR="00687D1A">
        <w:t>’</w:t>
      </w:r>
      <w:r w:rsidR="006B2038" w:rsidRPr="006B2038">
        <w:t>annexe</w:t>
      </w:r>
      <w:r w:rsidR="006B2038">
        <w:t> </w:t>
      </w:r>
      <w:r w:rsidR="006B2038" w:rsidRPr="006B2038">
        <w:t>I du présent document, concernant la réduction de la consommation de HCFC, conformément à la phase</w:t>
      </w:r>
      <w:r w:rsidR="006B2038">
        <w:t> </w:t>
      </w:r>
      <w:r w:rsidR="006B2038" w:rsidRPr="006B2038">
        <w:t>II du PGEH</w:t>
      </w:r>
      <w:r>
        <w:t> ;</w:t>
      </w:r>
    </w:p>
    <w:p w14:paraId="1BD44AAC" w14:textId="31D2374A" w:rsidR="006D7333" w:rsidRPr="00EA6791" w:rsidRDefault="006D7333" w:rsidP="006D7333">
      <w:pPr>
        <w:pStyle w:val="Heading2"/>
        <w:numPr>
          <w:ilvl w:val="1"/>
          <w:numId w:val="1"/>
        </w:numPr>
        <w:rPr>
          <w:iCs/>
        </w:rPr>
      </w:pPr>
      <w:r>
        <w:t>Que, pour permettre l</w:t>
      </w:r>
      <w:r w:rsidR="00687D1A">
        <w:t>’</w:t>
      </w:r>
      <w:r>
        <w:t>examen de la tranche finale de son PGEH, le gouvernement de El Salvador doi</w:t>
      </w:r>
      <w:r w:rsidR="00CB417F">
        <w:t>ve</w:t>
      </w:r>
      <w:r>
        <w:t xml:space="preserve"> présenter :</w:t>
      </w:r>
    </w:p>
    <w:p w14:paraId="3A415990" w14:textId="60DDE097" w:rsidR="006D7333" w:rsidRPr="00EA6791" w:rsidRDefault="006D7333" w:rsidP="00EB3D24">
      <w:pPr>
        <w:pStyle w:val="Heading3"/>
        <w:numPr>
          <w:ilvl w:val="2"/>
          <w:numId w:val="24"/>
        </w:numPr>
        <w:tabs>
          <w:tab w:val="num" w:pos="1080"/>
        </w:tabs>
      </w:pPr>
      <w:r>
        <w:t>Un descriptif détaillé du cadre réglementaire et des politiques générales en place pour mettre en œuvre des mesures permettant de s</w:t>
      </w:r>
      <w:r w:rsidR="00687D1A">
        <w:t>’</w:t>
      </w:r>
      <w:r>
        <w:t>assurer que la consommation de HCFC est conforme au paragraphe 8 ter(e)(i) de l</w:t>
      </w:r>
      <w:r w:rsidR="00687D1A">
        <w:t>’</w:t>
      </w:r>
      <w:r>
        <w:t>article 5 du Protocole de Montréal pour la période 2030</w:t>
      </w:r>
      <w:r>
        <w:noBreakHyphen/>
        <w:t>2040 ;</w:t>
      </w:r>
    </w:p>
    <w:p w14:paraId="7815C22D" w14:textId="77777777" w:rsidR="006D7333" w:rsidRPr="00EA6791" w:rsidRDefault="006D7333" w:rsidP="00EB3D24">
      <w:pPr>
        <w:pStyle w:val="Heading3"/>
        <w:numPr>
          <w:ilvl w:val="2"/>
          <w:numId w:val="24"/>
        </w:numPr>
        <w:tabs>
          <w:tab w:val="num" w:pos="1080"/>
        </w:tabs>
      </w:pPr>
      <w:r>
        <w:t>La consommation annuelle de HCFC prévue en El Salvador pour la période 2030-2040 ; et</w:t>
      </w:r>
    </w:p>
    <w:p w14:paraId="75C72285" w14:textId="7C4057B3" w:rsidR="006D7333" w:rsidRPr="00EE5B08" w:rsidRDefault="006D7333" w:rsidP="006D7333">
      <w:pPr>
        <w:pStyle w:val="Heading2"/>
        <w:numPr>
          <w:ilvl w:val="1"/>
          <w:numId w:val="1"/>
        </w:numPr>
      </w:pPr>
      <w:r>
        <w:t>Approuver la première tranche de la phase II du PGEH pour El Salvador, ainsi que les plans de mise en œuvre de tranche correspondants, pour un montant de 210 210 $ US, soit 169 000 $ US plus des coûts d</w:t>
      </w:r>
      <w:r w:rsidR="00687D1A">
        <w:t>’</w:t>
      </w:r>
      <w:r>
        <w:t>appui d</w:t>
      </w:r>
      <w:r w:rsidR="00687D1A">
        <w:t>’</w:t>
      </w:r>
      <w:r>
        <w:t>agence de 11 830 $ US pour le PNUD, et 26 000 $ US plus des coûts d</w:t>
      </w:r>
      <w:r w:rsidR="00687D1A">
        <w:t>’</w:t>
      </w:r>
      <w:r>
        <w:t>appui d</w:t>
      </w:r>
      <w:r w:rsidR="00687D1A">
        <w:t>’</w:t>
      </w:r>
      <w:r>
        <w:t>agence de 3 380 $ US pour le PNUE.</w:t>
      </w:r>
    </w:p>
    <w:p w14:paraId="1CC037CC" w14:textId="77777777" w:rsidR="006D7333" w:rsidRDefault="006D7333">
      <w:pPr>
        <w:pStyle w:val="StyleHeader4Para4Left0Firstline0"/>
        <w:numPr>
          <w:ilvl w:val="0"/>
          <w:numId w:val="0"/>
        </w:numPr>
      </w:pPr>
    </w:p>
    <w:p w14:paraId="3494A201" w14:textId="7CD710E4" w:rsidR="00441083" w:rsidRDefault="00441083">
      <w:pPr>
        <w:pStyle w:val="StyleHeader4Para4Left0Firstline0"/>
        <w:numPr>
          <w:ilvl w:val="0"/>
          <w:numId w:val="0"/>
        </w:numPr>
      </w:pPr>
    </w:p>
    <w:p w14:paraId="4517D555" w14:textId="77777777" w:rsidR="00441083" w:rsidRDefault="00441083">
      <w:pPr>
        <w:sectPr w:rsidR="00441083" w:rsidSect="0065461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67DEB3FF" w14:textId="77777777" w:rsidR="006456AC" w:rsidRDefault="006456AC" w:rsidP="00B006A9">
      <w:pPr>
        <w:jc w:val="center"/>
        <w:rPr>
          <w:b/>
          <w:bCs/>
        </w:rPr>
      </w:pPr>
    </w:p>
    <w:p w14:paraId="00001575" w14:textId="1AFFF174" w:rsidR="00B006A9" w:rsidRPr="00ED6AA0" w:rsidRDefault="00B006A9" w:rsidP="00B006A9">
      <w:pPr>
        <w:jc w:val="center"/>
        <w:rPr>
          <w:b/>
          <w:bCs/>
        </w:rPr>
      </w:pPr>
      <w:bookmarkStart w:id="0" w:name="_GoBack"/>
      <w:bookmarkEnd w:id="0"/>
      <w:r w:rsidRPr="00ED6AA0">
        <w:rPr>
          <w:b/>
          <w:bCs/>
        </w:rPr>
        <w:t>Annexe I</w:t>
      </w:r>
    </w:p>
    <w:p w14:paraId="1E43E526" w14:textId="77777777" w:rsidR="00B006A9" w:rsidRPr="00ED6AA0" w:rsidRDefault="00B006A9" w:rsidP="00B006A9">
      <w:pPr>
        <w:jc w:val="center"/>
        <w:rPr>
          <w:b/>
        </w:rPr>
      </w:pPr>
    </w:p>
    <w:p w14:paraId="2DBAACC3" w14:textId="77777777" w:rsidR="00B006A9" w:rsidRPr="00ED6AA0" w:rsidRDefault="00B006A9" w:rsidP="00B006A9">
      <w:pPr>
        <w:jc w:val="center"/>
      </w:pPr>
      <w:r w:rsidRPr="00ED6AA0">
        <w:rPr>
          <w:b/>
        </w:rPr>
        <w:t xml:space="preserve">PROJET D’ACCORD ENTRE LE GOUVERNEMENT D’EL SALVADOR ET LE COMITÉ EXÉCUTIF DU FONDS MULTILATÉRAL POUR LA RÉDUCTION DE LA CONSOMMATION DES HYDROFLUOROCARBURES CONFORMÉMENT À LA DEUXIÈME PHASE DU PLAN DE GESTION DE L'ÉLIMINATION DES HCFC </w:t>
      </w:r>
    </w:p>
    <w:p w14:paraId="6D8280D1" w14:textId="77777777" w:rsidR="00B006A9" w:rsidRPr="00ED6AA0" w:rsidRDefault="00B006A9" w:rsidP="00B006A9">
      <w:pPr>
        <w:jc w:val="center"/>
      </w:pPr>
    </w:p>
    <w:p w14:paraId="4294B2CF" w14:textId="77777777" w:rsidR="00B006A9" w:rsidRPr="00ED6AA0" w:rsidRDefault="00B006A9" w:rsidP="00B006A9">
      <w:pPr>
        <w:jc w:val="left"/>
        <w:rPr>
          <w:b/>
        </w:rPr>
      </w:pPr>
      <w:r w:rsidRPr="00ED6AA0">
        <w:rPr>
          <w:b/>
        </w:rPr>
        <w:t>Objet</w:t>
      </w:r>
    </w:p>
    <w:p w14:paraId="5D9C83CB" w14:textId="77777777" w:rsidR="00B006A9" w:rsidRPr="00ED6AA0" w:rsidRDefault="00B006A9" w:rsidP="00B006A9">
      <w:pPr>
        <w:jc w:val="left"/>
      </w:pPr>
    </w:p>
    <w:p w14:paraId="5878DF5B" w14:textId="77777777" w:rsidR="00B006A9" w:rsidRPr="00ED6AA0" w:rsidRDefault="00B006A9" w:rsidP="00B006A9">
      <w:pPr>
        <w:pStyle w:val="Heading1"/>
        <w:numPr>
          <w:ilvl w:val="0"/>
          <w:numId w:val="38"/>
        </w:numPr>
      </w:pPr>
      <w:r w:rsidRPr="00ED6AA0">
        <w:t>Le présent Accord représente l’entente conclue entre le gouvernement d’El Salvador (le « Pays ») et le Comité exécutif concernant la réduction de l’usage réglementé des substances appauvrissant la couche d’ozone (SAO) indiquées à l’appendice 1-A (les « Substances ») à un niveau durable de zéro tonne PAO d’ici au 1</w:t>
      </w:r>
      <w:r w:rsidRPr="00B006A9">
        <w:rPr>
          <w:vertAlign w:val="superscript"/>
        </w:rPr>
        <w:t>er</w:t>
      </w:r>
      <w:r w:rsidRPr="00ED6AA0">
        <w:t> janvier 2030, conformément au calendrier de réduction du Protocole Montréal.</w:t>
      </w:r>
    </w:p>
    <w:p w14:paraId="301D9361" w14:textId="77777777" w:rsidR="00B006A9" w:rsidRPr="00ED6AA0" w:rsidRDefault="00B006A9" w:rsidP="00B006A9">
      <w:pPr>
        <w:pStyle w:val="Heading1"/>
      </w:pPr>
      <w:r w:rsidRPr="00ED6AA0">
        <w:t>Le Pays convient de respecter les limites de consommation annuelle des Substances définies à la ligne 1.2 de l’Appendice 2-A (« Objectifs et financement ») du présent Accord, ainsi que les limites de consommation annuelle du Protocole de Montréal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niveau indiqué à la ligne 1.2 de l’Appendice 2-A, constituant la phase finale de réduction en vertu du présent Accord pour toutes les substances spécifiées à l’Appendice 1-A, et pour toute consommation de chacune des substances dépassant le niveau défini aux lignes 4.1.3, 4.2.3, 4.3.3, 4.4.3, 4.5.3 et 4.6.3  (consommation restante admissible au financement).</w:t>
      </w:r>
    </w:p>
    <w:p w14:paraId="79ABCA99" w14:textId="77777777" w:rsidR="00B006A9" w:rsidRPr="00ED6AA0" w:rsidRDefault="00B006A9" w:rsidP="00B006A9">
      <w:pPr>
        <w:pStyle w:val="Heading1"/>
      </w:pPr>
      <w:r w:rsidRPr="00ED6AA0">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 »).</w:t>
      </w:r>
    </w:p>
    <w:p w14:paraId="4E885208" w14:textId="77777777" w:rsidR="00B006A9" w:rsidRPr="00ED6AA0" w:rsidRDefault="00B006A9" w:rsidP="00B006A9">
      <w:pPr>
        <w:pStyle w:val="Heading1"/>
      </w:pPr>
      <w:r w:rsidRPr="00ED6AA0">
        <w:t xml:space="preserve">Le Pays accepte de mettre en œuvre cet Accord conformément à la deuxième phase du plan de gestion de l'élimination des HCFC (PGEH) approuvé (le « Plan »). Conformément au paragraphe </w:t>
      </w:r>
      <w:proofErr w:type="gramStart"/>
      <w:r w:rsidRPr="00ED6AA0">
        <w:t>5  b</w:t>
      </w:r>
      <w:proofErr w:type="gramEnd"/>
      <w:r w:rsidRPr="00ED6AA0">
        <w:t>)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14:paraId="5EBFDFE3" w14:textId="77777777" w:rsidR="00B006A9" w:rsidRPr="00ED6AA0" w:rsidRDefault="00B006A9" w:rsidP="00B006A9">
      <w:pPr>
        <w:rPr>
          <w:b/>
        </w:rPr>
      </w:pPr>
      <w:r w:rsidRPr="00ED6AA0">
        <w:rPr>
          <w:b/>
          <w:lang w:eastAsia="en-CA"/>
        </w:rPr>
        <w:t>Conditions de décaissement des sommes</w:t>
      </w:r>
    </w:p>
    <w:p w14:paraId="01FCDF49" w14:textId="77777777" w:rsidR="00B006A9" w:rsidRPr="00ED6AA0" w:rsidRDefault="00B006A9" w:rsidP="00B006A9">
      <w:pPr>
        <w:rPr>
          <w:lang w:eastAsia="en-CA"/>
        </w:rPr>
      </w:pPr>
    </w:p>
    <w:p w14:paraId="5D0EA280" w14:textId="77777777" w:rsidR="00B006A9" w:rsidRPr="00ED6AA0" w:rsidRDefault="00B006A9" w:rsidP="00B006A9">
      <w:pPr>
        <w:pStyle w:val="Heading1"/>
      </w:pPr>
      <w:r w:rsidRPr="00ED6AA0">
        <w:t xml:space="preserve">Le Comité exécutif n’accordera le financement prévu au calendrier de financement approuvé que lorsque le Pays aura satisfait aux conditions suivantes au moins huit semaines avant la réunion du Comité exécutif indiquée dans le calendrier de financement </w:t>
      </w:r>
      <w:proofErr w:type="gramStart"/>
      <w:r w:rsidRPr="00ED6AA0">
        <w:t>approuvé:</w:t>
      </w:r>
      <w:proofErr w:type="gramEnd"/>
    </w:p>
    <w:p w14:paraId="157CDE13" w14:textId="77777777" w:rsidR="00B006A9" w:rsidRPr="00ED6AA0" w:rsidRDefault="00B006A9" w:rsidP="00B006A9">
      <w:pPr>
        <w:pStyle w:val="Heading2"/>
        <w:numPr>
          <w:ilvl w:val="1"/>
          <w:numId w:val="1"/>
        </w:numPr>
      </w:pPr>
      <w:r w:rsidRPr="00ED6AA0">
        <w:t xml:space="preserve">Le Pays a respecté les objectifs fixés à la ligne 1.2 de l’Appendice 2-A pour toutes les années concernées. Les années concernées sont toutes celles qui se sont écoulées depuis l’année d’approbation du présent Accord. Les années auxquelles aucun rapport sur la mise en œuvre du programme de pays n’est dû à la date de la réunion du Comité à laquelle la demande de financement est soumise, font </w:t>
      </w:r>
      <w:proofErr w:type="gramStart"/>
      <w:r w:rsidRPr="00ED6AA0">
        <w:t>exception;</w:t>
      </w:r>
      <w:proofErr w:type="gramEnd"/>
      <w:r w:rsidRPr="00ED6AA0">
        <w:t xml:space="preserve"> </w:t>
      </w:r>
    </w:p>
    <w:p w14:paraId="726033A6" w14:textId="77777777" w:rsidR="00B006A9" w:rsidRPr="00ED6AA0" w:rsidRDefault="00B006A9" w:rsidP="00B006A9">
      <w:pPr>
        <w:pStyle w:val="Heading2"/>
        <w:keepNext/>
        <w:keepLines/>
        <w:numPr>
          <w:ilvl w:val="1"/>
          <w:numId w:val="1"/>
        </w:numPr>
      </w:pPr>
      <w:r w:rsidRPr="00ED6AA0">
        <w:lastRenderedPageBreak/>
        <w:t xml:space="preserve">Le respect de ces objectifs a été vérifié de manière indépendante pour toutes les années concernées, à moins que le Comité exécutif n’ait décidé que cette vérification n’était pas </w:t>
      </w:r>
      <w:proofErr w:type="gramStart"/>
      <w:r w:rsidRPr="00ED6AA0">
        <w:t>nécessaire;</w:t>
      </w:r>
      <w:proofErr w:type="gramEnd"/>
    </w:p>
    <w:p w14:paraId="6FAA62B6" w14:textId="77777777" w:rsidR="00B006A9" w:rsidRPr="00ED6AA0" w:rsidRDefault="00B006A9" w:rsidP="00B006A9">
      <w:pPr>
        <w:pStyle w:val="Heading2"/>
        <w:keepNext/>
        <w:keepLines/>
        <w:numPr>
          <w:ilvl w:val="1"/>
          <w:numId w:val="1"/>
        </w:numPr>
      </w:pPr>
      <w:r w:rsidRPr="00ED6AA0">
        <w:t xml:space="preserve">Le Pays a soumis des rapports annuels de mise en œuvre de la tranche sous la forme décrite à l’Appendice 4-A (« Format de rapports et de plans de mise en œuvre de la tranche ») pour chaque année civile précédente indiquant qu’il avait achevé une part importante de la mise en œuvre des activités amorcées lors de tranches précédentes approuvées et que le taux de décaissement du financement disponible associé à la tranche précédente approuvée était de plus de 20 pour </w:t>
      </w:r>
      <w:proofErr w:type="gramStart"/>
      <w:r w:rsidRPr="00ED6AA0">
        <w:t>cent;</w:t>
      </w:r>
      <w:proofErr w:type="gramEnd"/>
      <w:r w:rsidRPr="00ED6AA0">
        <w:t xml:space="preserve"> et</w:t>
      </w:r>
    </w:p>
    <w:p w14:paraId="7699C03F" w14:textId="77777777" w:rsidR="00B006A9" w:rsidRPr="00ED6AA0" w:rsidRDefault="00B006A9" w:rsidP="00B006A9">
      <w:pPr>
        <w:pStyle w:val="Heading2"/>
        <w:keepNext/>
        <w:keepLines/>
        <w:numPr>
          <w:ilvl w:val="1"/>
          <w:numId w:val="1"/>
        </w:numPr>
      </w:pPr>
      <w:r w:rsidRPr="00ED6AA0">
        <w:t>Le Pays a soumis un plan annuel de mise en œuvre de la tranche et a reçu l’approbation du Comité exécutif, sous la forme indiquée à l’Appendice 4-A, pour chaque année civile, y compris l’année au cours de laquelle le calendrier de financement prévoit la soumission de la tranche suivante, ou, dans le cas de la tranche finale, jusqu’à l’achèvement de toutes les activités prévues.</w:t>
      </w:r>
    </w:p>
    <w:p w14:paraId="037132E4" w14:textId="77777777" w:rsidR="00B006A9" w:rsidRPr="00ED6AA0" w:rsidRDefault="00B006A9" w:rsidP="00B006A9">
      <w:pPr>
        <w:rPr>
          <w:b/>
        </w:rPr>
      </w:pPr>
      <w:r w:rsidRPr="00ED6AA0">
        <w:rPr>
          <w:b/>
          <w:lang w:eastAsia="en-CA"/>
        </w:rPr>
        <w:t>Suivi</w:t>
      </w:r>
    </w:p>
    <w:p w14:paraId="28BA0E00" w14:textId="77777777" w:rsidR="00B006A9" w:rsidRPr="00ED6AA0" w:rsidRDefault="00B006A9" w:rsidP="00B006A9">
      <w:pPr>
        <w:rPr>
          <w:lang w:eastAsia="en-CA"/>
        </w:rPr>
      </w:pPr>
    </w:p>
    <w:p w14:paraId="04B7E02F" w14:textId="77777777" w:rsidR="00B006A9" w:rsidRPr="00ED6AA0" w:rsidRDefault="00B006A9" w:rsidP="00B006A9">
      <w:pPr>
        <w:pStyle w:val="Heading1"/>
      </w:pPr>
      <w:r w:rsidRPr="00ED6AA0">
        <w:t>Le Pays veillera à effectuer une surveillance rigoureuse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dans le même appendice.</w:t>
      </w:r>
    </w:p>
    <w:p w14:paraId="1D2017CF" w14:textId="77777777" w:rsidR="00B006A9" w:rsidRPr="00ED6AA0" w:rsidRDefault="00B006A9" w:rsidP="00B006A9">
      <w:pPr>
        <w:rPr>
          <w:b/>
        </w:rPr>
      </w:pPr>
      <w:r w:rsidRPr="00ED6AA0">
        <w:rPr>
          <w:b/>
          <w:lang w:eastAsia="en-CA"/>
        </w:rPr>
        <w:t>Souplesse dans la réaffectation des sommes</w:t>
      </w:r>
    </w:p>
    <w:p w14:paraId="733E2488" w14:textId="77777777" w:rsidR="00B006A9" w:rsidRPr="00ED6AA0" w:rsidRDefault="00B006A9" w:rsidP="00B006A9">
      <w:pPr>
        <w:rPr>
          <w:b/>
          <w:lang w:eastAsia="en-CA"/>
        </w:rPr>
      </w:pPr>
    </w:p>
    <w:p w14:paraId="320C686C" w14:textId="77777777" w:rsidR="00B006A9" w:rsidRPr="00ED6AA0" w:rsidRDefault="00B006A9" w:rsidP="00B006A9">
      <w:pPr>
        <w:pStyle w:val="Heading1"/>
      </w:pPr>
      <w:r w:rsidRPr="00ED6AA0">
        <w:t>Le Comité exécutif accepte que le Pays bénéficie d’une certaine marge de manœuvre lui permettant de réaffecter une partie ou la totalité des fonds approuvés, en fonction de l’évolution de la situation, afin d’assurer une réduction de la consommation et une élimination fluides des substances précisées à l’Appendice 1-A :</w:t>
      </w:r>
    </w:p>
    <w:p w14:paraId="210ECA2F" w14:textId="77777777" w:rsidR="00B006A9" w:rsidRPr="00ED6AA0" w:rsidRDefault="00B006A9" w:rsidP="00B006A9">
      <w:pPr>
        <w:pStyle w:val="Heading2"/>
        <w:numPr>
          <w:ilvl w:val="1"/>
          <w:numId w:val="1"/>
        </w:numPr>
      </w:pPr>
      <w:r w:rsidRPr="00ED6AA0">
        <w:t xml:space="preserve">Les réaffectations classées comme changements importants doivent être documentées à l’avance, dans un plan annuel de mise en œuvre de la tranche, remis tel que prévu au paragraphe 5 d) ci-dessus, ou dans une révision d’un plan annuel de mise en œuvre de la tranche existant, à remettre huit semaines avant toute réunion du Comité exécutif, pour approbation. Une réaffectation est dite importante lorsqu’elle </w:t>
      </w:r>
      <w:proofErr w:type="gramStart"/>
      <w:r w:rsidRPr="00ED6AA0">
        <w:t>vise:</w:t>
      </w:r>
      <w:proofErr w:type="gramEnd"/>
    </w:p>
    <w:p w14:paraId="4F6F2379" w14:textId="77777777" w:rsidR="00B006A9" w:rsidRPr="00ED6AA0" w:rsidRDefault="00B006A9" w:rsidP="00B006A9">
      <w:pPr>
        <w:pStyle w:val="Heading3"/>
        <w:numPr>
          <w:ilvl w:val="2"/>
          <w:numId w:val="1"/>
        </w:numPr>
      </w:pPr>
      <w:r w:rsidRPr="00ED6AA0">
        <w:t xml:space="preserve">Des enjeux qui pourraient concerner les règles et politiques du Fonds </w:t>
      </w:r>
      <w:proofErr w:type="gramStart"/>
      <w:r w:rsidRPr="00ED6AA0">
        <w:t>multilatéral;</w:t>
      </w:r>
      <w:proofErr w:type="gramEnd"/>
      <w:r w:rsidRPr="00ED6AA0">
        <w:t xml:space="preserve"> </w:t>
      </w:r>
    </w:p>
    <w:p w14:paraId="75B0ADD9" w14:textId="77777777" w:rsidR="00B006A9" w:rsidRPr="00ED6AA0" w:rsidRDefault="00B006A9" w:rsidP="00B006A9">
      <w:pPr>
        <w:pStyle w:val="Heading3"/>
        <w:numPr>
          <w:ilvl w:val="2"/>
          <w:numId w:val="1"/>
        </w:numPr>
      </w:pPr>
      <w:r w:rsidRPr="00ED6AA0">
        <w:t xml:space="preserve">Des changements qui pourraient modifier une clause quelconque du présent </w:t>
      </w:r>
      <w:proofErr w:type="gramStart"/>
      <w:r w:rsidRPr="00ED6AA0">
        <w:t>Accord;</w:t>
      </w:r>
      <w:proofErr w:type="gramEnd"/>
      <w:r w:rsidRPr="00ED6AA0">
        <w:t xml:space="preserve"> </w:t>
      </w:r>
    </w:p>
    <w:p w14:paraId="160A5652" w14:textId="77777777" w:rsidR="00B006A9" w:rsidRPr="00ED6AA0" w:rsidRDefault="00B006A9" w:rsidP="00B006A9">
      <w:pPr>
        <w:pStyle w:val="Heading3"/>
        <w:numPr>
          <w:ilvl w:val="2"/>
          <w:numId w:val="1"/>
        </w:numPr>
      </w:pPr>
      <w:r w:rsidRPr="00ED6AA0">
        <w:t xml:space="preserve">Des changements dans les montants annuels de financement alloués aux agences bilatérales individuelles ou d’exécution pour les différentes </w:t>
      </w:r>
      <w:proofErr w:type="gramStart"/>
      <w:r w:rsidRPr="00ED6AA0">
        <w:t>tranches;</w:t>
      </w:r>
      <w:proofErr w:type="gramEnd"/>
      <w:r w:rsidRPr="00ED6AA0">
        <w:t xml:space="preserve"> et</w:t>
      </w:r>
    </w:p>
    <w:p w14:paraId="259E3E44" w14:textId="77777777" w:rsidR="00B006A9" w:rsidRPr="00ED6AA0" w:rsidRDefault="00B006A9" w:rsidP="00B006A9">
      <w:pPr>
        <w:pStyle w:val="Heading3"/>
        <w:numPr>
          <w:ilvl w:val="2"/>
          <w:numId w:val="1"/>
        </w:numPr>
      </w:pPr>
      <w:r w:rsidRPr="00ED6AA0">
        <w:t xml:space="preserve">La fourniture de fonds pour des activités qui ne sont pas incluses dans le plan de mise en œuvre annuel de la tranche courant endossé ou bien le retrait d’une activité du plan annuel de mise en œuvre de la tranche, représentant un coût supérieur à 30 pour cent du coût total de la dernière tranche </w:t>
      </w:r>
      <w:proofErr w:type="gramStart"/>
      <w:r w:rsidRPr="00ED6AA0">
        <w:t>approuvée;</w:t>
      </w:r>
      <w:proofErr w:type="gramEnd"/>
    </w:p>
    <w:p w14:paraId="42C76C34" w14:textId="77777777" w:rsidR="00B006A9" w:rsidRPr="00ED6AA0" w:rsidRDefault="00B006A9" w:rsidP="00B006A9">
      <w:pPr>
        <w:pStyle w:val="Heading3"/>
        <w:keepNext/>
        <w:keepLines/>
        <w:numPr>
          <w:ilvl w:val="2"/>
          <w:numId w:val="1"/>
        </w:numPr>
      </w:pPr>
      <w:r w:rsidRPr="00ED6AA0">
        <w:lastRenderedPageBreak/>
        <w:t xml:space="preserve">Les changements de technologie de remplacement, étant entendu que toute proposition relative à une telle demande précisera les coûts différentiels connexes, les conséquences possibles sur le climat et la différence en tonnes PAO à éliminer, s’il y a lieu, et confirmera que le pays reconnaît que les économies possibles de coûts différentiels liées au changement de technologie réduiraient en conséquence le financement global prévu à cet Accord. </w:t>
      </w:r>
    </w:p>
    <w:p w14:paraId="778ED4E3" w14:textId="77777777" w:rsidR="00B006A9" w:rsidRPr="00ED6AA0" w:rsidRDefault="00B006A9" w:rsidP="00B006A9">
      <w:pPr>
        <w:pStyle w:val="Heading2"/>
        <w:numPr>
          <w:ilvl w:val="1"/>
          <w:numId w:val="1"/>
        </w:numPr>
      </w:pPr>
      <w:r w:rsidRPr="00ED6AA0">
        <w:t xml:space="preserve">Les réaffectations qui ne sont pas classées comme changements importants peuvent être intégrées au plan annuel de mise en œuvre </w:t>
      </w:r>
      <w:proofErr w:type="gramStart"/>
      <w:r w:rsidRPr="00ED6AA0">
        <w:t>de la tranche approuvé</w:t>
      </w:r>
      <w:proofErr w:type="gramEnd"/>
      <w:r w:rsidRPr="00ED6AA0">
        <w:t>, en cours d’application à ce moment, et communiquées au Comité exécutif dans le rapport annuel de mise en œuvre de la tranche suivant ;</w:t>
      </w:r>
    </w:p>
    <w:p w14:paraId="3D8A0C0A" w14:textId="77777777" w:rsidR="00B006A9" w:rsidRPr="00ED6AA0" w:rsidRDefault="00B006A9" w:rsidP="00B006A9">
      <w:pPr>
        <w:pStyle w:val="Heading2"/>
        <w:keepNext/>
        <w:keepLines/>
        <w:numPr>
          <w:ilvl w:val="1"/>
          <w:numId w:val="1"/>
        </w:numPr>
      </w:pPr>
      <w:r w:rsidRPr="00ED6AA0">
        <w:t xml:space="preserve">Tous les fonds restants détenus par les agences bilatérales ou d’exécution en vertu du Plan seront restitués au Fonds multilatéral lors de l’achèvement de la dernière tranche prévue dans le cadre du présent Accord. </w:t>
      </w:r>
    </w:p>
    <w:p w14:paraId="73FCB3F8" w14:textId="77777777" w:rsidR="00B006A9" w:rsidRPr="00ED6AA0" w:rsidRDefault="00B006A9" w:rsidP="00B006A9">
      <w:r w:rsidRPr="00ED6AA0">
        <w:rPr>
          <w:b/>
          <w:lang w:eastAsia="en-CA"/>
        </w:rPr>
        <w:t>Facteurs à prendre en ligne de compte pour le secteur de l’entretien de l’équipement de réfrigération</w:t>
      </w:r>
    </w:p>
    <w:p w14:paraId="40913737" w14:textId="77777777" w:rsidR="00B006A9" w:rsidRPr="00ED6AA0" w:rsidRDefault="00B006A9" w:rsidP="00B006A9">
      <w:pPr>
        <w:rPr>
          <w:lang w:eastAsia="en-CA"/>
        </w:rPr>
      </w:pPr>
    </w:p>
    <w:p w14:paraId="1E001837" w14:textId="77777777" w:rsidR="00B006A9" w:rsidRPr="00ED6AA0" w:rsidRDefault="00B006A9" w:rsidP="00B006A9">
      <w:pPr>
        <w:pStyle w:val="Heading1"/>
      </w:pPr>
      <w:r w:rsidRPr="00ED6AA0">
        <w:t xml:space="preserve">La réalisation des activités dans le sous-secteur de l’entretien des appareils de réfrigération fera l’objet d’une attention particulière, notamment sur les points </w:t>
      </w:r>
      <w:proofErr w:type="gramStart"/>
      <w:r w:rsidRPr="00ED6AA0">
        <w:t>suivants:</w:t>
      </w:r>
      <w:proofErr w:type="gramEnd"/>
      <w:r w:rsidRPr="00ED6AA0">
        <w:t> </w:t>
      </w:r>
    </w:p>
    <w:p w14:paraId="04ADCAA7" w14:textId="77777777" w:rsidR="00B006A9" w:rsidRPr="00ED6AA0" w:rsidRDefault="00B006A9" w:rsidP="00B006A9">
      <w:pPr>
        <w:pStyle w:val="Heading2"/>
        <w:numPr>
          <w:ilvl w:val="1"/>
          <w:numId w:val="1"/>
        </w:numPr>
      </w:pPr>
      <w:r w:rsidRPr="00ED6AA0">
        <w:t xml:space="preserve">Le Pays utilisera la marge de manœuvre offerte en vertu du présent Accord pour répondre aux besoins spécifiques qui pourraient survenir lors de la mise en œuvre du </w:t>
      </w:r>
      <w:proofErr w:type="gramStart"/>
      <w:r w:rsidRPr="00ED6AA0">
        <w:t>projet;</w:t>
      </w:r>
      <w:proofErr w:type="gramEnd"/>
      <w:r w:rsidRPr="00ED6AA0">
        <w:t xml:space="preserve"> et</w:t>
      </w:r>
    </w:p>
    <w:p w14:paraId="1A4425E3" w14:textId="77777777" w:rsidR="00B006A9" w:rsidRPr="00ED6AA0" w:rsidRDefault="00B006A9" w:rsidP="00B006A9">
      <w:pPr>
        <w:pStyle w:val="Heading2"/>
        <w:numPr>
          <w:ilvl w:val="1"/>
          <w:numId w:val="1"/>
        </w:numPr>
      </w:pPr>
      <w:r w:rsidRPr="00ED6AA0">
        <w:t xml:space="preserve">Le Pays et les agences bilatérales et d’exécution concernées tiendront compte des décisions pertinentes concernant le secteur de l’entretien de l’équipement de réfrigération pendant la mise en œuvre du </w:t>
      </w:r>
      <w:proofErr w:type="gramStart"/>
      <w:r w:rsidRPr="00ED6AA0">
        <w:t>plan;</w:t>
      </w:r>
      <w:proofErr w:type="gramEnd"/>
    </w:p>
    <w:p w14:paraId="436E384D" w14:textId="77777777" w:rsidR="00B006A9" w:rsidRPr="00ED6AA0" w:rsidRDefault="00B006A9" w:rsidP="00B006A9">
      <w:pPr>
        <w:keepNext/>
        <w:keepLines/>
      </w:pPr>
      <w:r w:rsidRPr="00ED6AA0">
        <w:rPr>
          <w:b/>
          <w:lang w:eastAsia="en-CA"/>
        </w:rPr>
        <w:t>Agences bilatérales et d’exécution</w:t>
      </w:r>
    </w:p>
    <w:p w14:paraId="7672BCB5" w14:textId="77777777" w:rsidR="00B006A9" w:rsidRPr="00ED6AA0" w:rsidRDefault="00B006A9" w:rsidP="00B006A9">
      <w:pPr>
        <w:keepNext/>
        <w:keepLines/>
        <w:rPr>
          <w:lang w:eastAsia="en-CA"/>
        </w:rPr>
      </w:pPr>
    </w:p>
    <w:p w14:paraId="2ABE6AAF" w14:textId="77777777" w:rsidR="00B006A9" w:rsidRPr="00ED6AA0" w:rsidRDefault="00B006A9" w:rsidP="00B006A9">
      <w:pPr>
        <w:pStyle w:val="Heading1"/>
        <w:keepNext/>
        <w:keepLines/>
      </w:pPr>
      <w:r w:rsidRPr="00ED6AA0">
        <w:t>Le Pays convient d’assumer la responsabilité générale de la gestion et de la mise en œuvre du présent Accord et de toutes les activités entreprises dans le cadre de ce dernier ou en son nom afin de s’acquitter de ses obligations en vertu du présent Accord. Le PNUD a convenu d’agir en qualité d’agence d’exécution principale (« l’Agence principale ») et le PNUE a convenu d’agir en qualité d’agence de coopération (« l’Agence de coopération »), sous la gouverne de l’Agence principale, en ce qui concerne les activités du Pays prévues en vertu du présent Accord. Le Pays accepte les évaluations périodiques qui pourront être effectuées dans le cadre des programmes de travail de surveillance et d’évaluation du Fonds multilatéral ou du programme d’évaluation de l’Agence principale et/ou de l’Agence de coopération partie au présent Accord.</w:t>
      </w:r>
    </w:p>
    <w:p w14:paraId="660F8A06" w14:textId="77777777" w:rsidR="00B006A9" w:rsidRPr="00ED6AA0" w:rsidRDefault="00B006A9" w:rsidP="00B006A9">
      <w:pPr>
        <w:pStyle w:val="Heading1"/>
      </w:pPr>
      <w:r w:rsidRPr="00ED6AA0">
        <w:t>L’Agence principale sera responsable de la coordination de la planification, de la mise en œuvre et des rapports pour toutes les activités dans le cadre du présent Accord, comprenant entre autres la vérification indépendante indiquée au paragraphe 5 b). L’Agence de coopération soutiendra l’Agence principale en mettant en œuvre le Plan sous la coordination générale de l’Agence principale. Les rôles de l’Agence principale et de l’Agence de coopération sont indiqués respectivement aux Appendices 6-A et 6</w:t>
      </w:r>
      <w:r w:rsidRPr="00ED6AA0">
        <w:noBreakHyphen/>
        <w:t>B. Le Comité exécutif consent, en principe, à verser à l’Agence principale et à l’Agence de coopération les honoraires indiqués aux lignes 2.2 et 2.4 de l’Appendice 2-A.</w:t>
      </w:r>
    </w:p>
    <w:p w14:paraId="7D2EE8D5" w14:textId="77777777" w:rsidR="00B006A9" w:rsidRPr="00ED6AA0" w:rsidRDefault="00B006A9" w:rsidP="00B006A9">
      <w:pPr>
        <w:jc w:val="left"/>
        <w:rPr>
          <w:b/>
        </w:rPr>
      </w:pPr>
      <w:r w:rsidRPr="00ED6AA0">
        <w:rPr>
          <w:b/>
          <w:lang w:eastAsia="en-CA"/>
        </w:rPr>
        <w:br w:type="page"/>
      </w:r>
    </w:p>
    <w:p w14:paraId="0BA73FB9" w14:textId="77777777" w:rsidR="00B006A9" w:rsidRPr="00ED6AA0" w:rsidRDefault="00B006A9" w:rsidP="00B006A9">
      <w:pPr>
        <w:rPr>
          <w:b/>
        </w:rPr>
      </w:pPr>
      <w:r w:rsidRPr="00ED6AA0">
        <w:rPr>
          <w:b/>
          <w:lang w:eastAsia="en-CA"/>
        </w:rPr>
        <w:lastRenderedPageBreak/>
        <w:t>Non-respect de l’Accord</w:t>
      </w:r>
    </w:p>
    <w:p w14:paraId="2A4457ED" w14:textId="77777777" w:rsidR="00B006A9" w:rsidRPr="00ED6AA0" w:rsidRDefault="00B006A9" w:rsidP="00B006A9">
      <w:pPr>
        <w:rPr>
          <w:b/>
          <w:lang w:eastAsia="en-CA"/>
        </w:rPr>
      </w:pPr>
    </w:p>
    <w:p w14:paraId="1AEDF006" w14:textId="77777777" w:rsidR="00B006A9" w:rsidRPr="00ED6AA0" w:rsidRDefault="00B006A9" w:rsidP="00B006A9">
      <w:pPr>
        <w:pStyle w:val="Heading1"/>
      </w:pPr>
      <w:r w:rsidRPr="00ED6AA0">
        <w:t xml:space="preserve">Si, pour quelque raison que ce soit, le Pays ne respecte pas les Objectifs d’élimination des substances indiquées à la ligne 1.2. </w:t>
      </w:r>
      <w:proofErr w:type="gramStart"/>
      <w:r w:rsidRPr="00ED6AA0">
        <w:t>de</w:t>
      </w:r>
      <w:proofErr w:type="gramEnd"/>
      <w:r w:rsidRPr="00ED6AA0">
        <w:t xml:space="preserve"> l’Appendice 2-A ou bien ne se conforme pas au présent Accord, il accepte alors de ne plus être en droit de prétendre au financement conformément au calendrier de financement approuvé. Il appartient au Comité exécutif de rétablir ce financement, conformément à un calendrier de financement révisé établi par ses soins, une fois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de PAO dont la consommation n’aura pas été réduite au cours d’une même année. Le Comité exécutif étudiera chaque cas spécifique de non-conformité du Pays au présent Accord et prendra des décisions en conséquence. Une fois les décisions prises, ce cas spécifique de non-conformité ne constituera plus un obstacle au financement des tranches futures indiquées au paragraphe 5 précédent.</w:t>
      </w:r>
    </w:p>
    <w:p w14:paraId="351DD040" w14:textId="77777777" w:rsidR="00B006A9" w:rsidRPr="00ED6AA0" w:rsidRDefault="00B006A9" w:rsidP="00B006A9">
      <w:pPr>
        <w:pStyle w:val="Heading1"/>
      </w:pPr>
      <w:r w:rsidRPr="00ED6AA0">
        <w:t>Le financement du présent Accord ne sera pas modifié en raison de toute décision future du Comité exécutif qui pourrait avoir une incidence sur le financement de tout autre projet de consommation sectorielle ou sur toute autre activité connexe dans le Pays.</w:t>
      </w:r>
    </w:p>
    <w:p w14:paraId="53CAF852" w14:textId="77777777" w:rsidR="00B006A9" w:rsidRPr="00ED6AA0" w:rsidRDefault="00B006A9" w:rsidP="00B006A9">
      <w:pPr>
        <w:pStyle w:val="Heading1"/>
      </w:pPr>
      <w:r w:rsidRPr="00ED6AA0">
        <w:t>Le Pays se conformera à toute demande raisonnable du Comité exécutif, de l’Agence principale et de l’Agence de coopération en vue de faciliter la mise en œuvre du présent Accord. En particulier, il permettra à l’Agence principale et à l’Agence de coopération d’accéder aux renseignements nécessaires pour vérifier la conformité à cet Accord.</w:t>
      </w:r>
    </w:p>
    <w:p w14:paraId="2CA55029" w14:textId="77777777" w:rsidR="00B006A9" w:rsidRPr="00ED6AA0" w:rsidRDefault="00B006A9" w:rsidP="00B006A9">
      <w:r w:rsidRPr="00ED6AA0">
        <w:rPr>
          <w:b/>
          <w:lang w:eastAsia="en-CA"/>
        </w:rPr>
        <w:t>Date d’achèvement</w:t>
      </w:r>
    </w:p>
    <w:p w14:paraId="5D00FDB9" w14:textId="77777777" w:rsidR="00B006A9" w:rsidRPr="00ED6AA0" w:rsidRDefault="00B006A9" w:rsidP="00B006A9">
      <w:pPr>
        <w:rPr>
          <w:lang w:eastAsia="en-CA"/>
        </w:rPr>
      </w:pPr>
    </w:p>
    <w:p w14:paraId="0A129154" w14:textId="77777777" w:rsidR="00B006A9" w:rsidRPr="00ED6AA0" w:rsidRDefault="00B006A9" w:rsidP="00B006A9">
      <w:pPr>
        <w:pStyle w:val="Heading1"/>
      </w:pPr>
      <w:r w:rsidRPr="00ED6AA0">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 d) et 7 se trouvaient encore en souffrance à ce moment-là, l’achèvement du Plan serait reporté à la fin de l’année suivant la mise en œuvre des activités restantes. Les exigences de remise de rapport selon les paragraphes 1 a), 1 b), 1 d) et 1 e) de l’Appendice 4-A continueront jusqu’à l’achèvement du Plan à moins d’indication contraire de la part du Comité exécutif.</w:t>
      </w:r>
    </w:p>
    <w:p w14:paraId="055E054E" w14:textId="77777777" w:rsidR="00B006A9" w:rsidRPr="00ED6AA0" w:rsidRDefault="00B006A9" w:rsidP="00B006A9">
      <w:pPr>
        <w:rPr>
          <w:b/>
        </w:rPr>
      </w:pPr>
      <w:r w:rsidRPr="00ED6AA0">
        <w:rPr>
          <w:b/>
          <w:lang w:eastAsia="en-CA"/>
        </w:rPr>
        <w:t>Validité</w:t>
      </w:r>
    </w:p>
    <w:p w14:paraId="02FE4740" w14:textId="77777777" w:rsidR="00B006A9" w:rsidRPr="00ED6AA0" w:rsidRDefault="00B006A9" w:rsidP="00B006A9">
      <w:pPr>
        <w:rPr>
          <w:b/>
          <w:lang w:eastAsia="en-CA"/>
        </w:rPr>
      </w:pPr>
    </w:p>
    <w:p w14:paraId="7000016B" w14:textId="77777777" w:rsidR="00B006A9" w:rsidRPr="00ED6AA0" w:rsidRDefault="00B006A9" w:rsidP="00B006A9">
      <w:pPr>
        <w:pStyle w:val="StyleHeading1Para1Heading1CharHeading1Char3CharHeadin"/>
        <w:numPr>
          <w:ilvl w:val="0"/>
          <w:numId w:val="1"/>
        </w:numPr>
        <w:tabs>
          <w:tab w:val="clear" w:pos="0"/>
        </w:tabs>
      </w:pPr>
      <w:r w:rsidRPr="00ED6AA0">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14:paraId="4B43554B" w14:textId="77777777" w:rsidR="00B006A9" w:rsidRPr="00ED6AA0" w:rsidRDefault="00B006A9" w:rsidP="00B006A9">
      <w:pPr>
        <w:pStyle w:val="StyleHeading1Para1Heading1CharHeading1Char3CharHeadin"/>
        <w:numPr>
          <w:ilvl w:val="0"/>
          <w:numId w:val="1"/>
        </w:numPr>
        <w:tabs>
          <w:tab w:val="clear" w:pos="0"/>
        </w:tabs>
      </w:pPr>
      <w:r w:rsidRPr="00ED6AA0">
        <w:t>Cet Accord ne peut être modifié ou résilié que par consentement mutuel écrit du Pays et du Comité exécutif du Fonds multilatéral.</w:t>
      </w:r>
    </w:p>
    <w:p w14:paraId="712BEC8B" w14:textId="77777777" w:rsidR="00B006A9" w:rsidRPr="00ED6AA0" w:rsidRDefault="00B006A9" w:rsidP="00B006A9">
      <w:pPr>
        <w:keepNext/>
        <w:keepLines/>
        <w:rPr>
          <w:b/>
        </w:rPr>
      </w:pPr>
      <w:r w:rsidRPr="00ED6AA0">
        <w:rPr>
          <w:b/>
        </w:rPr>
        <w:br w:type="page"/>
      </w:r>
      <w:r w:rsidRPr="00ED6AA0">
        <w:rPr>
          <w:b/>
        </w:rPr>
        <w:lastRenderedPageBreak/>
        <w:t xml:space="preserve">APPENDICES </w:t>
      </w:r>
    </w:p>
    <w:p w14:paraId="3D1E8995" w14:textId="77777777" w:rsidR="00B006A9" w:rsidRPr="00ED6AA0" w:rsidRDefault="00B006A9" w:rsidP="00B006A9">
      <w:pPr>
        <w:keepNext/>
        <w:keepLines/>
        <w:rPr>
          <w:b/>
        </w:rPr>
      </w:pPr>
    </w:p>
    <w:p w14:paraId="5790E0FC" w14:textId="77777777" w:rsidR="00B006A9" w:rsidRPr="00ED6AA0" w:rsidRDefault="00B006A9" w:rsidP="00B006A9">
      <w:pPr>
        <w:rPr>
          <w:b/>
        </w:rPr>
      </w:pPr>
      <w:r w:rsidRPr="00ED6AA0">
        <w:rPr>
          <w:b/>
        </w:rPr>
        <w:t>APPENDICE 1-</w:t>
      </w:r>
      <w:proofErr w:type="gramStart"/>
      <w:r w:rsidRPr="00ED6AA0">
        <w:rPr>
          <w:b/>
        </w:rPr>
        <w:t>A:</w:t>
      </w:r>
      <w:proofErr w:type="gramEnd"/>
      <w:r w:rsidRPr="00ED6AA0">
        <w:rPr>
          <w:b/>
        </w:rPr>
        <w:t xml:space="preserve"> LES SUBSTANCES</w:t>
      </w:r>
    </w:p>
    <w:p w14:paraId="6C1404CD" w14:textId="77777777" w:rsidR="00B006A9" w:rsidRPr="00ED6AA0" w:rsidRDefault="00B006A9" w:rsidP="00B006A9">
      <w:pPr>
        <w:rPr>
          <w:b/>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861"/>
        <w:gridCol w:w="872"/>
        <w:gridCol w:w="3291"/>
      </w:tblGrid>
      <w:tr w:rsidR="00B006A9" w:rsidRPr="00ED6AA0" w14:paraId="79146D98" w14:textId="77777777" w:rsidTr="00B006A9">
        <w:trPr>
          <w:trHeight w:val="442"/>
        </w:trPr>
        <w:tc>
          <w:tcPr>
            <w:tcW w:w="2308" w:type="pct"/>
            <w:shd w:val="clear" w:color="auto" w:fill="auto"/>
            <w:vAlign w:val="center"/>
          </w:tcPr>
          <w:p w14:paraId="570923D5" w14:textId="77777777" w:rsidR="00B006A9" w:rsidRPr="00ED6AA0" w:rsidRDefault="00B006A9" w:rsidP="00B006A9">
            <w:pPr>
              <w:jc w:val="center"/>
              <w:rPr>
                <w:b/>
                <w:sz w:val="20"/>
                <w:szCs w:val="20"/>
              </w:rPr>
            </w:pPr>
            <w:r w:rsidRPr="00ED6AA0">
              <w:rPr>
                <w:b/>
                <w:sz w:val="20"/>
                <w:szCs w:val="20"/>
                <w:lang w:eastAsia="en-CA"/>
              </w:rPr>
              <w:t>Substances</w:t>
            </w:r>
          </w:p>
        </w:tc>
        <w:tc>
          <w:tcPr>
            <w:tcW w:w="456" w:type="pct"/>
            <w:shd w:val="clear" w:color="auto" w:fill="auto"/>
            <w:vAlign w:val="center"/>
          </w:tcPr>
          <w:p w14:paraId="14B089DC" w14:textId="77777777" w:rsidR="00B006A9" w:rsidRPr="00ED6AA0" w:rsidRDefault="00B006A9" w:rsidP="00B006A9">
            <w:pPr>
              <w:jc w:val="center"/>
              <w:rPr>
                <w:b/>
                <w:sz w:val="20"/>
                <w:szCs w:val="20"/>
              </w:rPr>
            </w:pPr>
            <w:r w:rsidRPr="00ED6AA0">
              <w:rPr>
                <w:b/>
                <w:sz w:val="20"/>
                <w:szCs w:val="20"/>
                <w:lang w:eastAsia="en-CA"/>
              </w:rPr>
              <w:t>Annexe</w:t>
            </w:r>
          </w:p>
        </w:tc>
        <w:tc>
          <w:tcPr>
            <w:tcW w:w="456" w:type="pct"/>
            <w:shd w:val="clear" w:color="auto" w:fill="auto"/>
            <w:vAlign w:val="center"/>
          </w:tcPr>
          <w:p w14:paraId="53A56A7A" w14:textId="77777777" w:rsidR="00B006A9" w:rsidRPr="00ED6AA0" w:rsidRDefault="00B006A9" w:rsidP="00B006A9">
            <w:pPr>
              <w:jc w:val="center"/>
              <w:rPr>
                <w:b/>
                <w:sz w:val="20"/>
                <w:szCs w:val="20"/>
              </w:rPr>
            </w:pPr>
            <w:r w:rsidRPr="00ED6AA0">
              <w:rPr>
                <w:b/>
                <w:sz w:val="20"/>
                <w:szCs w:val="20"/>
                <w:lang w:eastAsia="en-CA"/>
              </w:rPr>
              <w:t>Groupe</w:t>
            </w:r>
          </w:p>
        </w:tc>
        <w:tc>
          <w:tcPr>
            <w:tcW w:w="1780" w:type="pct"/>
            <w:shd w:val="clear" w:color="auto" w:fill="auto"/>
            <w:vAlign w:val="center"/>
          </w:tcPr>
          <w:p w14:paraId="0BF2B4F2" w14:textId="77777777" w:rsidR="00B006A9" w:rsidRPr="00ED6AA0" w:rsidRDefault="00B006A9" w:rsidP="00B006A9">
            <w:pPr>
              <w:jc w:val="center"/>
              <w:rPr>
                <w:b/>
                <w:sz w:val="20"/>
                <w:szCs w:val="20"/>
              </w:rPr>
            </w:pPr>
            <w:r w:rsidRPr="00ED6AA0">
              <w:rPr>
                <w:b/>
                <w:sz w:val="20"/>
                <w:szCs w:val="20"/>
                <w:lang w:eastAsia="en-CA"/>
              </w:rPr>
              <w:t>Point de départ des réductions globales de consommation (tonnes PAO)</w:t>
            </w:r>
          </w:p>
        </w:tc>
      </w:tr>
      <w:tr w:rsidR="00B006A9" w:rsidRPr="00ED6AA0" w14:paraId="26A7D30D" w14:textId="77777777" w:rsidTr="00B006A9">
        <w:trPr>
          <w:trHeight w:val="246"/>
        </w:trPr>
        <w:tc>
          <w:tcPr>
            <w:tcW w:w="2308" w:type="pct"/>
            <w:shd w:val="clear" w:color="auto" w:fill="auto"/>
          </w:tcPr>
          <w:p w14:paraId="1FBD5D93" w14:textId="77777777" w:rsidR="00B006A9" w:rsidRPr="00ED6AA0" w:rsidRDefault="00B006A9" w:rsidP="00B006A9">
            <w:pPr>
              <w:keepNext/>
              <w:rPr>
                <w:sz w:val="20"/>
                <w:szCs w:val="20"/>
              </w:rPr>
            </w:pPr>
            <w:r w:rsidRPr="00ED6AA0">
              <w:rPr>
                <w:sz w:val="20"/>
                <w:szCs w:val="20"/>
              </w:rPr>
              <w:t>HCFC-22</w:t>
            </w:r>
          </w:p>
        </w:tc>
        <w:tc>
          <w:tcPr>
            <w:tcW w:w="456" w:type="pct"/>
            <w:shd w:val="clear" w:color="auto" w:fill="auto"/>
            <w:vAlign w:val="center"/>
          </w:tcPr>
          <w:p w14:paraId="3EBBA5E5" w14:textId="77777777" w:rsidR="00B006A9" w:rsidRPr="00ED6AA0" w:rsidRDefault="00B006A9" w:rsidP="00B006A9">
            <w:pPr>
              <w:keepNext/>
              <w:jc w:val="center"/>
              <w:rPr>
                <w:sz w:val="20"/>
                <w:szCs w:val="20"/>
              </w:rPr>
            </w:pPr>
            <w:r w:rsidRPr="00ED6AA0">
              <w:rPr>
                <w:sz w:val="20"/>
                <w:szCs w:val="20"/>
              </w:rPr>
              <w:t>C</w:t>
            </w:r>
          </w:p>
        </w:tc>
        <w:tc>
          <w:tcPr>
            <w:tcW w:w="456" w:type="pct"/>
            <w:shd w:val="clear" w:color="auto" w:fill="auto"/>
            <w:vAlign w:val="center"/>
          </w:tcPr>
          <w:p w14:paraId="3FD825B2" w14:textId="77777777" w:rsidR="00B006A9" w:rsidRPr="00ED6AA0" w:rsidRDefault="00B006A9" w:rsidP="00B006A9">
            <w:pPr>
              <w:keepNext/>
              <w:jc w:val="center"/>
              <w:rPr>
                <w:sz w:val="20"/>
                <w:szCs w:val="20"/>
              </w:rPr>
            </w:pPr>
            <w:r w:rsidRPr="00ED6AA0">
              <w:rPr>
                <w:sz w:val="20"/>
                <w:szCs w:val="20"/>
              </w:rPr>
              <w:t>I</w:t>
            </w:r>
          </w:p>
        </w:tc>
        <w:tc>
          <w:tcPr>
            <w:tcW w:w="1780" w:type="pct"/>
            <w:shd w:val="clear" w:color="auto" w:fill="auto"/>
          </w:tcPr>
          <w:p w14:paraId="622AFFE5" w14:textId="77777777" w:rsidR="00B006A9" w:rsidRPr="00ED6AA0" w:rsidRDefault="00B006A9" w:rsidP="00B006A9">
            <w:pPr>
              <w:keepNext/>
              <w:ind w:right="1328"/>
              <w:jc w:val="right"/>
              <w:rPr>
                <w:sz w:val="20"/>
                <w:szCs w:val="20"/>
              </w:rPr>
            </w:pPr>
            <w:r w:rsidRPr="00ED6AA0">
              <w:rPr>
                <w:sz w:val="20"/>
                <w:szCs w:val="20"/>
              </w:rPr>
              <w:t>8,15</w:t>
            </w:r>
          </w:p>
        </w:tc>
      </w:tr>
      <w:tr w:rsidR="00B006A9" w:rsidRPr="00ED6AA0" w14:paraId="66371524" w14:textId="77777777" w:rsidTr="00B006A9">
        <w:tblPrEx>
          <w:tblLook w:val="0000" w:firstRow="0" w:lastRow="0" w:firstColumn="0" w:lastColumn="0" w:noHBand="0" w:noVBand="0"/>
        </w:tblPrEx>
        <w:trPr>
          <w:trHeight w:val="246"/>
        </w:trPr>
        <w:tc>
          <w:tcPr>
            <w:tcW w:w="2308" w:type="pct"/>
            <w:shd w:val="clear" w:color="auto" w:fill="auto"/>
          </w:tcPr>
          <w:p w14:paraId="0F5871EB" w14:textId="77777777" w:rsidR="00B006A9" w:rsidRPr="00ED6AA0" w:rsidRDefault="00B006A9" w:rsidP="00B006A9">
            <w:pPr>
              <w:keepNext/>
              <w:rPr>
                <w:sz w:val="20"/>
                <w:szCs w:val="20"/>
              </w:rPr>
            </w:pPr>
            <w:r w:rsidRPr="00ED6AA0">
              <w:rPr>
                <w:sz w:val="20"/>
                <w:szCs w:val="20"/>
              </w:rPr>
              <w:t>HCFC-123</w:t>
            </w:r>
          </w:p>
        </w:tc>
        <w:tc>
          <w:tcPr>
            <w:tcW w:w="456" w:type="pct"/>
            <w:shd w:val="clear" w:color="auto" w:fill="auto"/>
            <w:vAlign w:val="center"/>
          </w:tcPr>
          <w:p w14:paraId="4F16EFD4" w14:textId="77777777" w:rsidR="00B006A9" w:rsidRPr="00ED6AA0" w:rsidRDefault="00B006A9" w:rsidP="00B006A9">
            <w:pPr>
              <w:keepNext/>
              <w:jc w:val="center"/>
              <w:rPr>
                <w:sz w:val="20"/>
                <w:szCs w:val="20"/>
              </w:rPr>
            </w:pPr>
            <w:r w:rsidRPr="00ED6AA0">
              <w:rPr>
                <w:sz w:val="20"/>
                <w:szCs w:val="20"/>
              </w:rPr>
              <w:t>C</w:t>
            </w:r>
          </w:p>
        </w:tc>
        <w:tc>
          <w:tcPr>
            <w:tcW w:w="456" w:type="pct"/>
            <w:shd w:val="clear" w:color="auto" w:fill="auto"/>
            <w:vAlign w:val="center"/>
          </w:tcPr>
          <w:p w14:paraId="3DFB7F58" w14:textId="77777777" w:rsidR="00B006A9" w:rsidRPr="00ED6AA0" w:rsidRDefault="00B006A9" w:rsidP="00B006A9">
            <w:pPr>
              <w:keepNext/>
              <w:jc w:val="center"/>
              <w:rPr>
                <w:sz w:val="20"/>
                <w:szCs w:val="20"/>
              </w:rPr>
            </w:pPr>
            <w:r w:rsidRPr="00ED6AA0">
              <w:rPr>
                <w:sz w:val="20"/>
                <w:szCs w:val="20"/>
              </w:rPr>
              <w:t>I</w:t>
            </w:r>
          </w:p>
        </w:tc>
        <w:tc>
          <w:tcPr>
            <w:tcW w:w="1780" w:type="pct"/>
            <w:shd w:val="clear" w:color="auto" w:fill="auto"/>
          </w:tcPr>
          <w:p w14:paraId="745118F3" w14:textId="77777777" w:rsidR="00B006A9" w:rsidRPr="00ED6AA0" w:rsidRDefault="00B006A9" w:rsidP="00B006A9">
            <w:pPr>
              <w:keepNext/>
              <w:ind w:right="1328"/>
              <w:jc w:val="right"/>
              <w:rPr>
                <w:sz w:val="20"/>
                <w:szCs w:val="20"/>
              </w:rPr>
            </w:pPr>
            <w:r w:rsidRPr="00ED6AA0">
              <w:rPr>
                <w:sz w:val="20"/>
                <w:szCs w:val="20"/>
              </w:rPr>
              <w:t>0,05</w:t>
            </w:r>
          </w:p>
        </w:tc>
      </w:tr>
      <w:tr w:rsidR="00B006A9" w:rsidRPr="00ED6AA0" w14:paraId="55D986E6" w14:textId="77777777" w:rsidTr="00B006A9">
        <w:tblPrEx>
          <w:tblLook w:val="0000" w:firstRow="0" w:lastRow="0" w:firstColumn="0" w:lastColumn="0" w:noHBand="0" w:noVBand="0"/>
        </w:tblPrEx>
        <w:trPr>
          <w:trHeight w:val="246"/>
        </w:trPr>
        <w:tc>
          <w:tcPr>
            <w:tcW w:w="2308" w:type="pct"/>
            <w:shd w:val="clear" w:color="auto" w:fill="auto"/>
          </w:tcPr>
          <w:p w14:paraId="6A32F173" w14:textId="77777777" w:rsidR="00B006A9" w:rsidRPr="00ED6AA0" w:rsidRDefault="00B006A9" w:rsidP="00B006A9">
            <w:pPr>
              <w:keepNext/>
              <w:rPr>
                <w:sz w:val="20"/>
                <w:szCs w:val="20"/>
              </w:rPr>
            </w:pPr>
            <w:r w:rsidRPr="00ED6AA0">
              <w:rPr>
                <w:sz w:val="20"/>
                <w:szCs w:val="20"/>
              </w:rPr>
              <w:t>HCFC-124</w:t>
            </w:r>
          </w:p>
        </w:tc>
        <w:tc>
          <w:tcPr>
            <w:tcW w:w="456" w:type="pct"/>
            <w:shd w:val="clear" w:color="auto" w:fill="auto"/>
            <w:vAlign w:val="center"/>
          </w:tcPr>
          <w:p w14:paraId="3F65ADC8" w14:textId="77777777" w:rsidR="00B006A9" w:rsidRPr="00ED6AA0" w:rsidRDefault="00B006A9" w:rsidP="00B006A9">
            <w:pPr>
              <w:keepNext/>
              <w:jc w:val="center"/>
              <w:rPr>
                <w:sz w:val="20"/>
                <w:szCs w:val="20"/>
              </w:rPr>
            </w:pPr>
            <w:r w:rsidRPr="00ED6AA0">
              <w:rPr>
                <w:sz w:val="20"/>
                <w:szCs w:val="20"/>
              </w:rPr>
              <w:t>C</w:t>
            </w:r>
          </w:p>
        </w:tc>
        <w:tc>
          <w:tcPr>
            <w:tcW w:w="456" w:type="pct"/>
            <w:shd w:val="clear" w:color="auto" w:fill="auto"/>
            <w:vAlign w:val="center"/>
          </w:tcPr>
          <w:p w14:paraId="3AC8A5CD" w14:textId="77777777" w:rsidR="00B006A9" w:rsidRPr="00ED6AA0" w:rsidRDefault="00B006A9" w:rsidP="00B006A9">
            <w:pPr>
              <w:keepNext/>
              <w:jc w:val="center"/>
              <w:rPr>
                <w:sz w:val="20"/>
                <w:szCs w:val="20"/>
              </w:rPr>
            </w:pPr>
            <w:r w:rsidRPr="00ED6AA0">
              <w:rPr>
                <w:sz w:val="20"/>
                <w:szCs w:val="20"/>
              </w:rPr>
              <w:t>I</w:t>
            </w:r>
          </w:p>
        </w:tc>
        <w:tc>
          <w:tcPr>
            <w:tcW w:w="1780" w:type="pct"/>
            <w:shd w:val="clear" w:color="auto" w:fill="auto"/>
          </w:tcPr>
          <w:p w14:paraId="3E8D82A3" w14:textId="77777777" w:rsidR="00B006A9" w:rsidRPr="00ED6AA0" w:rsidRDefault="00B006A9" w:rsidP="00B006A9">
            <w:pPr>
              <w:keepNext/>
              <w:ind w:right="1328"/>
              <w:jc w:val="right"/>
              <w:rPr>
                <w:sz w:val="20"/>
                <w:szCs w:val="20"/>
              </w:rPr>
            </w:pPr>
            <w:r w:rsidRPr="00ED6AA0">
              <w:rPr>
                <w:sz w:val="20"/>
                <w:szCs w:val="20"/>
              </w:rPr>
              <w:t>0,11</w:t>
            </w:r>
          </w:p>
        </w:tc>
      </w:tr>
      <w:tr w:rsidR="00B006A9" w:rsidRPr="00ED6AA0" w14:paraId="6730D97B" w14:textId="77777777" w:rsidTr="00B006A9">
        <w:tblPrEx>
          <w:tblLook w:val="0000" w:firstRow="0" w:lastRow="0" w:firstColumn="0" w:lastColumn="0" w:noHBand="0" w:noVBand="0"/>
        </w:tblPrEx>
        <w:trPr>
          <w:trHeight w:val="246"/>
        </w:trPr>
        <w:tc>
          <w:tcPr>
            <w:tcW w:w="2308" w:type="pct"/>
            <w:shd w:val="clear" w:color="auto" w:fill="auto"/>
          </w:tcPr>
          <w:p w14:paraId="1518FDAC" w14:textId="77777777" w:rsidR="00B006A9" w:rsidRPr="00ED6AA0" w:rsidRDefault="00B006A9" w:rsidP="00B006A9">
            <w:pPr>
              <w:keepNext/>
              <w:rPr>
                <w:sz w:val="20"/>
                <w:szCs w:val="20"/>
              </w:rPr>
            </w:pPr>
            <w:r w:rsidRPr="00ED6AA0">
              <w:rPr>
                <w:sz w:val="20"/>
                <w:szCs w:val="20"/>
              </w:rPr>
              <w:t>HCFC-141b</w:t>
            </w:r>
          </w:p>
        </w:tc>
        <w:tc>
          <w:tcPr>
            <w:tcW w:w="456" w:type="pct"/>
            <w:shd w:val="clear" w:color="auto" w:fill="auto"/>
            <w:vAlign w:val="center"/>
          </w:tcPr>
          <w:p w14:paraId="7AC87A56" w14:textId="77777777" w:rsidR="00B006A9" w:rsidRPr="00ED6AA0" w:rsidRDefault="00B006A9" w:rsidP="00B006A9">
            <w:pPr>
              <w:keepNext/>
              <w:jc w:val="center"/>
              <w:rPr>
                <w:sz w:val="20"/>
                <w:szCs w:val="20"/>
              </w:rPr>
            </w:pPr>
            <w:r w:rsidRPr="00ED6AA0">
              <w:rPr>
                <w:sz w:val="20"/>
                <w:szCs w:val="20"/>
              </w:rPr>
              <w:t>C</w:t>
            </w:r>
          </w:p>
        </w:tc>
        <w:tc>
          <w:tcPr>
            <w:tcW w:w="456" w:type="pct"/>
            <w:shd w:val="clear" w:color="auto" w:fill="auto"/>
            <w:vAlign w:val="center"/>
          </w:tcPr>
          <w:p w14:paraId="780A20B0" w14:textId="77777777" w:rsidR="00B006A9" w:rsidRPr="00ED6AA0" w:rsidRDefault="00B006A9" w:rsidP="00B006A9">
            <w:pPr>
              <w:keepNext/>
              <w:jc w:val="center"/>
              <w:rPr>
                <w:sz w:val="20"/>
                <w:szCs w:val="20"/>
              </w:rPr>
            </w:pPr>
            <w:r w:rsidRPr="00ED6AA0">
              <w:rPr>
                <w:sz w:val="20"/>
                <w:szCs w:val="20"/>
              </w:rPr>
              <w:t>I</w:t>
            </w:r>
          </w:p>
        </w:tc>
        <w:tc>
          <w:tcPr>
            <w:tcW w:w="1780" w:type="pct"/>
            <w:shd w:val="clear" w:color="auto" w:fill="auto"/>
          </w:tcPr>
          <w:p w14:paraId="3794EC0F" w14:textId="77777777" w:rsidR="00B006A9" w:rsidRPr="00ED6AA0" w:rsidRDefault="00B006A9" w:rsidP="00B006A9">
            <w:pPr>
              <w:keepNext/>
              <w:ind w:right="1328"/>
              <w:jc w:val="right"/>
              <w:rPr>
                <w:sz w:val="20"/>
                <w:szCs w:val="20"/>
              </w:rPr>
            </w:pPr>
            <w:r w:rsidRPr="00ED6AA0">
              <w:rPr>
                <w:sz w:val="20"/>
                <w:szCs w:val="20"/>
              </w:rPr>
              <w:t>3,34</w:t>
            </w:r>
          </w:p>
        </w:tc>
      </w:tr>
      <w:tr w:rsidR="00B006A9" w:rsidRPr="00ED6AA0" w14:paraId="5ADE6559" w14:textId="77777777" w:rsidTr="00B006A9">
        <w:tblPrEx>
          <w:tblLook w:val="0000" w:firstRow="0" w:lastRow="0" w:firstColumn="0" w:lastColumn="0" w:noHBand="0" w:noVBand="0"/>
        </w:tblPrEx>
        <w:trPr>
          <w:trHeight w:val="246"/>
        </w:trPr>
        <w:tc>
          <w:tcPr>
            <w:tcW w:w="2308" w:type="pct"/>
            <w:shd w:val="clear" w:color="auto" w:fill="auto"/>
          </w:tcPr>
          <w:p w14:paraId="58144250" w14:textId="77777777" w:rsidR="00B006A9" w:rsidRPr="00ED6AA0" w:rsidRDefault="00B006A9" w:rsidP="00B006A9">
            <w:pPr>
              <w:keepNext/>
              <w:rPr>
                <w:sz w:val="20"/>
                <w:szCs w:val="20"/>
              </w:rPr>
            </w:pPr>
            <w:r w:rsidRPr="00ED6AA0">
              <w:rPr>
                <w:sz w:val="20"/>
                <w:szCs w:val="20"/>
              </w:rPr>
              <w:t>HCFC-142b</w:t>
            </w:r>
          </w:p>
        </w:tc>
        <w:tc>
          <w:tcPr>
            <w:tcW w:w="456" w:type="pct"/>
            <w:shd w:val="clear" w:color="auto" w:fill="auto"/>
            <w:vAlign w:val="center"/>
          </w:tcPr>
          <w:p w14:paraId="1C40CFDB" w14:textId="77777777" w:rsidR="00B006A9" w:rsidRPr="00ED6AA0" w:rsidRDefault="00B006A9" w:rsidP="00B006A9">
            <w:pPr>
              <w:keepNext/>
              <w:jc w:val="center"/>
              <w:rPr>
                <w:sz w:val="20"/>
                <w:szCs w:val="20"/>
              </w:rPr>
            </w:pPr>
            <w:r w:rsidRPr="00ED6AA0">
              <w:rPr>
                <w:sz w:val="20"/>
                <w:szCs w:val="20"/>
              </w:rPr>
              <w:t>C</w:t>
            </w:r>
          </w:p>
        </w:tc>
        <w:tc>
          <w:tcPr>
            <w:tcW w:w="456" w:type="pct"/>
            <w:shd w:val="clear" w:color="auto" w:fill="auto"/>
            <w:vAlign w:val="center"/>
          </w:tcPr>
          <w:p w14:paraId="7D72C166" w14:textId="77777777" w:rsidR="00B006A9" w:rsidRPr="00ED6AA0" w:rsidRDefault="00B006A9" w:rsidP="00B006A9">
            <w:pPr>
              <w:keepNext/>
              <w:jc w:val="center"/>
              <w:rPr>
                <w:sz w:val="20"/>
                <w:szCs w:val="20"/>
              </w:rPr>
            </w:pPr>
            <w:r w:rsidRPr="00ED6AA0">
              <w:rPr>
                <w:sz w:val="20"/>
                <w:szCs w:val="20"/>
              </w:rPr>
              <w:t>I</w:t>
            </w:r>
          </w:p>
        </w:tc>
        <w:tc>
          <w:tcPr>
            <w:tcW w:w="1780" w:type="pct"/>
            <w:shd w:val="clear" w:color="auto" w:fill="auto"/>
          </w:tcPr>
          <w:p w14:paraId="367252C7" w14:textId="77777777" w:rsidR="00B006A9" w:rsidRPr="00ED6AA0" w:rsidRDefault="00B006A9" w:rsidP="00B006A9">
            <w:pPr>
              <w:keepNext/>
              <w:ind w:right="1328"/>
              <w:jc w:val="right"/>
              <w:rPr>
                <w:sz w:val="20"/>
                <w:szCs w:val="20"/>
              </w:rPr>
            </w:pPr>
            <w:r w:rsidRPr="00ED6AA0">
              <w:rPr>
                <w:sz w:val="20"/>
                <w:szCs w:val="20"/>
              </w:rPr>
              <w:t>0,03</w:t>
            </w:r>
          </w:p>
        </w:tc>
      </w:tr>
      <w:tr w:rsidR="00B006A9" w:rsidRPr="00ED6AA0" w14:paraId="6FB1BF83" w14:textId="77777777" w:rsidTr="00B006A9">
        <w:tblPrEx>
          <w:tblLook w:val="0000" w:firstRow="0" w:lastRow="0" w:firstColumn="0" w:lastColumn="0" w:noHBand="0" w:noVBand="0"/>
        </w:tblPrEx>
        <w:trPr>
          <w:trHeight w:val="246"/>
        </w:trPr>
        <w:tc>
          <w:tcPr>
            <w:tcW w:w="2308" w:type="pct"/>
            <w:shd w:val="clear" w:color="auto" w:fill="auto"/>
          </w:tcPr>
          <w:p w14:paraId="20E2E4FF" w14:textId="77777777" w:rsidR="00B006A9" w:rsidRPr="00ED6AA0" w:rsidRDefault="00B006A9" w:rsidP="00B006A9">
            <w:pPr>
              <w:keepNext/>
              <w:rPr>
                <w:sz w:val="20"/>
                <w:szCs w:val="20"/>
              </w:rPr>
            </w:pPr>
            <w:r w:rsidRPr="00ED6AA0">
              <w:rPr>
                <w:sz w:val="20"/>
                <w:szCs w:val="20"/>
              </w:rPr>
              <w:t>Total</w:t>
            </w:r>
          </w:p>
        </w:tc>
        <w:tc>
          <w:tcPr>
            <w:tcW w:w="456" w:type="pct"/>
            <w:shd w:val="clear" w:color="auto" w:fill="auto"/>
            <w:vAlign w:val="center"/>
          </w:tcPr>
          <w:p w14:paraId="3B77C010" w14:textId="77777777" w:rsidR="00B006A9" w:rsidRPr="00ED6AA0" w:rsidRDefault="00B006A9" w:rsidP="00B006A9">
            <w:pPr>
              <w:keepNext/>
              <w:jc w:val="center"/>
              <w:rPr>
                <w:sz w:val="20"/>
                <w:szCs w:val="20"/>
              </w:rPr>
            </w:pPr>
          </w:p>
        </w:tc>
        <w:tc>
          <w:tcPr>
            <w:tcW w:w="456" w:type="pct"/>
            <w:shd w:val="clear" w:color="auto" w:fill="auto"/>
            <w:vAlign w:val="center"/>
          </w:tcPr>
          <w:p w14:paraId="7C0FECD7" w14:textId="77777777" w:rsidR="00B006A9" w:rsidRPr="00ED6AA0" w:rsidRDefault="00B006A9" w:rsidP="00B006A9">
            <w:pPr>
              <w:keepNext/>
              <w:jc w:val="center"/>
              <w:rPr>
                <w:sz w:val="20"/>
                <w:szCs w:val="20"/>
              </w:rPr>
            </w:pPr>
          </w:p>
        </w:tc>
        <w:tc>
          <w:tcPr>
            <w:tcW w:w="1780" w:type="pct"/>
            <w:shd w:val="clear" w:color="auto" w:fill="auto"/>
          </w:tcPr>
          <w:p w14:paraId="09FDFBCE" w14:textId="77777777" w:rsidR="00B006A9" w:rsidRPr="00ED6AA0" w:rsidRDefault="00B006A9" w:rsidP="00B006A9">
            <w:pPr>
              <w:keepNext/>
              <w:ind w:right="1328"/>
              <w:jc w:val="right"/>
              <w:rPr>
                <w:sz w:val="20"/>
                <w:szCs w:val="20"/>
              </w:rPr>
            </w:pPr>
            <w:r w:rsidRPr="00ED6AA0">
              <w:rPr>
                <w:sz w:val="20"/>
                <w:szCs w:val="20"/>
              </w:rPr>
              <w:t>11,68</w:t>
            </w:r>
          </w:p>
        </w:tc>
      </w:tr>
      <w:tr w:rsidR="00B006A9" w:rsidRPr="00ED6AA0" w14:paraId="404506B8" w14:textId="77777777" w:rsidTr="00B006A9">
        <w:tblPrEx>
          <w:tblLook w:val="0000" w:firstRow="0" w:lastRow="0" w:firstColumn="0" w:lastColumn="0" w:noHBand="0" w:noVBand="0"/>
        </w:tblPrEx>
        <w:trPr>
          <w:trHeight w:val="492"/>
        </w:trPr>
        <w:tc>
          <w:tcPr>
            <w:tcW w:w="2308" w:type="pct"/>
            <w:shd w:val="clear" w:color="auto" w:fill="auto"/>
          </w:tcPr>
          <w:p w14:paraId="110CEED7" w14:textId="77777777" w:rsidR="00B006A9" w:rsidRPr="00ED6AA0" w:rsidRDefault="00B006A9" w:rsidP="00B006A9">
            <w:pPr>
              <w:keepNext/>
              <w:rPr>
                <w:sz w:val="20"/>
                <w:szCs w:val="20"/>
              </w:rPr>
            </w:pPr>
            <w:r w:rsidRPr="00ED6AA0">
              <w:rPr>
                <w:sz w:val="20"/>
                <w:szCs w:val="20"/>
              </w:rPr>
              <w:t xml:space="preserve">HCFC-141b contenu dans les polyols </w:t>
            </w:r>
            <w:proofErr w:type="spellStart"/>
            <w:r w:rsidRPr="00ED6AA0">
              <w:rPr>
                <w:sz w:val="20"/>
                <w:szCs w:val="20"/>
              </w:rPr>
              <w:t>prémélangés</w:t>
            </w:r>
            <w:proofErr w:type="spellEnd"/>
            <w:r w:rsidRPr="00ED6AA0">
              <w:rPr>
                <w:sz w:val="20"/>
                <w:szCs w:val="20"/>
              </w:rPr>
              <w:t xml:space="preserve"> importés</w:t>
            </w:r>
          </w:p>
        </w:tc>
        <w:tc>
          <w:tcPr>
            <w:tcW w:w="456" w:type="pct"/>
            <w:shd w:val="clear" w:color="auto" w:fill="auto"/>
            <w:vAlign w:val="center"/>
          </w:tcPr>
          <w:p w14:paraId="38337776" w14:textId="77777777" w:rsidR="00B006A9" w:rsidRPr="00ED6AA0" w:rsidRDefault="00B006A9" w:rsidP="00B006A9">
            <w:pPr>
              <w:keepNext/>
              <w:jc w:val="center"/>
              <w:rPr>
                <w:sz w:val="20"/>
                <w:szCs w:val="20"/>
              </w:rPr>
            </w:pPr>
            <w:r w:rsidRPr="00ED6AA0">
              <w:rPr>
                <w:sz w:val="20"/>
                <w:szCs w:val="20"/>
              </w:rPr>
              <w:t>C</w:t>
            </w:r>
          </w:p>
        </w:tc>
        <w:tc>
          <w:tcPr>
            <w:tcW w:w="456" w:type="pct"/>
            <w:shd w:val="clear" w:color="auto" w:fill="auto"/>
            <w:vAlign w:val="center"/>
          </w:tcPr>
          <w:p w14:paraId="297ABD0A" w14:textId="77777777" w:rsidR="00B006A9" w:rsidRPr="00ED6AA0" w:rsidRDefault="00B006A9" w:rsidP="00B006A9">
            <w:pPr>
              <w:keepNext/>
              <w:jc w:val="center"/>
              <w:rPr>
                <w:sz w:val="20"/>
                <w:szCs w:val="20"/>
              </w:rPr>
            </w:pPr>
            <w:r w:rsidRPr="00ED6AA0">
              <w:rPr>
                <w:sz w:val="20"/>
                <w:szCs w:val="20"/>
              </w:rPr>
              <w:t>I</w:t>
            </w:r>
          </w:p>
        </w:tc>
        <w:tc>
          <w:tcPr>
            <w:tcW w:w="1780" w:type="pct"/>
            <w:shd w:val="clear" w:color="auto" w:fill="auto"/>
          </w:tcPr>
          <w:p w14:paraId="64B2F3EF" w14:textId="77777777" w:rsidR="00B006A9" w:rsidRPr="00ED6AA0" w:rsidRDefault="00B006A9" w:rsidP="00B006A9">
            <w:pPr>
              <w:keepNext/>
              <w:ind w:right="1328"/>
              <w:jc w:val="right"/>
              <w:rPr>
                <w:sz w:val="20"/>
                <w:szCs w:val="20"/>
              </w:rPr>
            </w:pPr>
            <w:r w:rsidRPr="00ED6AA0">
              <w:rPr>
                <w:sz w:val="20"/>
                <w:szCs w:val="20"/>
              </w:rPr>
              <w:t>4,94</w:t>
            </w:r>
          </w:p>
        </w:tc>
      </w:tr>
    </w:tbl>
    <w:p w14:paraId="331F9417" w14:textId="77777777" w:rsidR="00B006A9" w:rsidRPr="00ED6AA0" w:rsidRDefault="00B006A9" w:rsidP="00B006A9">
      <w:pPr>
        <w:pStyle w:val="Heading1"/>
        <w:numPr>
          <w:ilvl w:val="0"/>
          <w:numId w:val="0"/>
        </w:numPr>
        <w:spacing w:after="0"/>
      </w:pPr>
    </w:p>
    <w:p w14:paraId="5D8108A0" w14:textId="77777777" w:rsidR="00B006A9" w:rsidRPr="00ED6AA0" w:rsidRDefault="00B006A9" w:rsidP="00B006A9">
      <w:pPr>
        <w:jc w:val="left"/>
        <w:rPr>
          <w:b/>
        </w:rPr>
      </w:pPr>
      <w:r w:rsidRPr="00ED6AA0">
        <w:rPr>
          <w:b/>
        </w:rPr>
        <w:br w:type="page"/>
      </w:r>
    </w:p>
    <w:p w14:paraId="3A34CCE6" w14:textId="77777777" w:rsidR="00B006A9" w:rsidRPr="00ED6AA0" w:rsidRDefault="00B006A9" w:rsidP="00B006A9">
      <w:pPr>
        <w:keepNext/>
        <w:jc w:val="left"/>
        <w:rPr>
          <w:b/>
        </w:rPr>
      </w:pPr>
      <w:r w:rsidRPr="00ED6AA0">
        <w:rPr>
          <w:b/>
        </w:rPr>
        <w:lastRenderedPageBreak/>
        <w:t>APPENDICE 2-</w:t>
      </w:r>
      <w:proofErr w:type="gramStart"/>
      <w:r w:rsidRPr="00ED6AA0">
        <w:rPr>
          <w:b/>
        </w:rPr>
        <w:t>A:</w:t>
      </w:r>
      <w:proofErr w:type="gramEnd"/>
      <w:r w:rsidRPr="00ED6AA0">
        <w:rPr>
          <w:b/>
        </w:rPr>
        <w:t xml:space="preserve"> LES OBJECTIFS ET LE FINANCEMENT</w:t>
      </w:r>
    </w:p>
    <w:p w14:paraId="16A5672D" w14:textId="77777777" w:rsidR="00B006A9" w:rsidRPr="00ED6AA0" w:rsidRDefault="00B006A9" w:rsidP="00B006A9">
      <w:pPr>
        <w:keepNext/>
        <w:jc w:val="left"/>
        <w:rPr>
          <w:b/>
          <w:highlight w:val="cyan"/>
        </w:rPr>
      </w:pPr>
    </w:p>
    <w:tbl>
      <w:tblPr>
        <w:tblW w:w="9540" w:type="dxa"/>
        <w:jc w:val="center"/>
        <w:tblLayout w:type="fixed"/>
        <w:tblCellMar>
          <w:left w:w="43" w:type="dxa"/>
          <w:right w:w="43" w:type="dxa"/>
        </w:tblCellMar>
        <w:tblLook w:val="04A0" w:firstRow="1" w:lastRow="0" w:firstColumn="1" w:lastColumn="0" w:noHBand="0" w:noVBand="1"/>
      </w:tblPr>
      <w:tblGrid>
        <w:gridCol w:w="535"/>
        <w:gridCol w:w="2160"/>
        <w:gridCol w:w="719"/>
        <w:gridCol w:w="632"/>
        <w:gridCol w:w="719"/>
        <w:gridCol w:w="723"/>
        <w:gridCol w:w="717"/>
        <w:gridCol w:w="633"/>
        <w:gridCol w:w="590"/>
        <w:gridCol w:w="788"/>
        <w:gridCol w:w="605"/>
        <w:gridCol w:w="719"/>
      </w:tblGrid>
      <w:tr w:rsidR="00B006A9" w:rsidRPr="00ED6AA0" w14:paraId="787B58E9" w14:textId="77777777" w:rsidTr="00B006A9">
        <w:trPr>
          <w:cantSplit/>
          <w:trHeight w:val="98"/>
          <w:tblHeader/>
          <w:jc w:val="center"/>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14:paraId="6273F818" w14:textId="77777777" w:rsidR="00B006A9" w:rsidRPr="00ED6AA0" w:rsidRDefault="00B006A9" w:rsidP="00B006A9">
            <w:pPr>
              <w:keepNext/>
              <w:keepLines/>
              <w:jc w:val="center"/>
              <w:rPr>
                <w:b/>
                <w:bCs/>
                <w:color w:val="000000"/>
                <w:sz w:val="20"/>
                <w:szCs w:val="20"/>
              </w:rPr>
            </w:pPr>
            <w:r w:rsidRPr="00ED6AA0">
              <w:rPr>
                <w:b/>
                <w:bCs/>
                <w:color w:val="000000"/>
                <w:sz w:val="20"/>
                <w:szCs w:val="20"/>
                <w:lang w:eastAsia="en-CA"/>
              </w:rPr>
              <w:t>Ligne</w:t>
            </w:r>
          </w:p>
        </w:tc>
        <w:tc>
          <w:tcPr>
            <w:tcW w:w="1132" w:type="pct"/>
            <w:tcBorders>
              <w:top w:val="single" w:sz="4" w:space="0" w:color="auto"/>
              <w:left w:val="nil"/>
              <w:bottom w:val="single" w:sz="4" w:space="0" w:color="auto"/>
              <w:right w:val="single" w:sz="4" w:space="0" w:color="auto"/>
            </w:tcBorders>
            <w:shd w:val="clear" w:color="auto" w:fill="auto"/>
            <w:hideMark/>
          </w:tcPr>
          <w:p w14:paraId="1601AD41" w14:textId="77777777" w:rsidR="00B006A9" w:rsidRPr="00ED6AA0" w:rsidRDefault="00B006A9" w:rsidP="00B006A9">
            <w:pPr>
              <w:keepNext/>
              <w:keepLines/>
              <w:jc w:val="center"/>
              <w:rPr>
                <w:b/>
                <w:bCs/>
                <w:color w:val="000000"/>
                <w:sz w:val="20"/>
                <w:szCs w:val="20"/>
              </w:rPr>
            </w:pPr>
            <w:r w:rsidRPr="00ED6AA0">
              <w:rPr>
                <w:b/>
                <w:bCs/>
                <w:color w:val="000000"/>
                <w:sz w:val="20"/>
                <w:szCs w:val="20"/>
                <w:lang w:eastAsia="en-CA"/>
              </w:rPr>
              <w:t>Rubrique</w:t>
            </w:r>
          </w:p>
        </w:tc>
        <w:tc>
          <w:tcPr>
            <w:tcW w:w="377" w:type="pct"/>
            <w:tcBorders>
              <w:top w:val="single" w:sz="4" w:space="0" w:color="auto"/>
              <w:left w:val="nil"/>
              <w:bottom w:val="single" w:sz="4" w:space="0" w:color="auto"/>
              <w:right w:val="single" w:sz="4" w:space="0" w:color="auto"/>
            </w:tcBorders>
            <w:shd w:val="clear" w:color="auto" w:fill="auto"/>
            <w:hideMark/>
          </w:tcPr>
          <w:p w14:paraId="596045BE"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2021</w:t>
            </w:r>
          </w:p>
        </w:tc>
        <w:tc>
          <w:tcPr>
            <w:tcW w:w="331" w:type="pct"/>
            <w:tcBorders>
              <w:top w:val="single" w:sz="4" w:space="0" w:color="auto"/>
              <w:left w:val="single" w:sz="4" w:space="0" w:color="auto"/>
              <w:bottom w:val="single" w:sz="4" w:space="0" w:color="auto"/>
              <w:right w:val="single" w:sz="4" w:space="0" w:color="auto"/>
            </w:tcBorders>
          </w:tcPr>
          <w:p w14:paraId="5D606D87"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2022-2023</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14:paraId="5756B646"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2024</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349B7A4A"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2025</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4BAF4113"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2026</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1D6047BA"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2027</w:t>
            </w:r>
          </w:p>
        </w:tc>
        <w:tc>
          <w:tcPr>
            <w:tcW w:w="309" w:type="pct"/>
            <w:tcBorders>
              <w:top w:val="single" w:sz="4" w:space="0" w:color="auto"/>
              <w:left w:val="single" w:sz="4" w:space="0" w:color="auto"/>
              <w:bottom w:val="single" w:sz="4" w:space="0" w:color="auto"/>
              <w:right w:val="single" w:sz="4" w:space="0" w:color="auto"/>
            </w:tcBorders>
          </w:tcPr>
          <w:p w14:paraId="11AC6B89"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2028</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EA62CC1"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2029</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80FB49D"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2030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14:paraId="3D90D655" w14:textId="77777777" w:rsidR="00B006A9" w:rsidRPr="00ED6AA0" w:rsidRDefault="00B006A9" w:rsidP="00B006A9">
            <w:pPr>
              <w:keepNext/>
              <w:keepLines/>
              <w:jc w:val="center"/>
              <w:rPr>
                <w:b/>
                <w:bCs/>
                <w:color w:val="000000"/>
                <w:sz w:val="18"/>
                <w:szCs w:val="18"/>
              </w:rPr>
            </w:pPr>
            <w:r w:rsidRPr="00ED6AA0">
              <w:rPr>
                <w:b/>
                <w:bCs/>
                <w:color w:val="000000"/>
                <w:sz w:val="18"/>
                <w:szCs w:val="18"/>
                <w:lang w:eastAsia="en-CA"/>
              </w:rPr>
              <w:t>Total</w:t>
            </w:r>
          </w:p>
        </w:tc>
      </w:tr>
      <w:tr w:rsidR="00B006A9" w:rsidRPr="00ED6AA0" w14:paraId="13708043" w14:textId="77777777" w:rsidTr="00B006A9">
        <w:trPr>
          <w:trHeight w:val="408"/>
          <w:jc w:val="center"/>
        </w:trPr>
        <w:tc>
          <w:tcPr>
            <w:tcW w:w="280" w:type="pct"/>
            <w:tcBorders>
              <w:top w:val="nil"/>
              <w:left w:val="single" w:sz="4" w:space="0" w:color="auto"/>
              <w:bottom w:val="single" w:sz="4" w:space="0" w:color="auto"/>
              <w:right w:val="single" w:sz="4" w:space="0" w:color="auto"/>
            </w:tcBorders>
            <w:shd w:val="clear" w:color="auto" w:fill="auto"/>
            <w:hideMark/>
          </w:tcPr>
          <w:p w14:paraId="2F0EE146" w14:textId="77777777" w:rsidR="00B006A9" w:rsidRPr="00ED6AA0" w:rsidRDefault="00B006A9" w:rsidP="00B006A9">
            <w:pPr>
              <w:keepNext/>
              <w:keepLines/>
              <w:jc w:val="left"/>
              <w:rPr>
                <w:color w:val="000000"/>
                <w:sz w:val="18"/>
                <w:szCs w:val="18"/>
              </w:rPr>
            </w:pPr>
            <w:r w:rsidRPr="00ED6AA0">
              <w:rPr>
                <w:color w:val="000000"/>
                <w:sz w:val="18"/>
                <w:szCs w:val="18"/>
                <w:lang w:eastAsia="en-CA"/>
              </w:rPr>
              <w:t>1.1</w:t>
            </w:r>
          </w:p>
        </w:tc>
        <w:tc>
          <w:tcPr>
            <w:tcW w:w="1132" w:type="pct"/>
            <w:tcBorders>
              <w:top w:val="nil"/>
              <w:left w:val="nil"/>
              <w:bottom w:val="single" w:sz="4" w:space="0" w:color="auto"/>
              <w:right w:val="single" w:sz="4" w:space="0" w:color="auto"/>
            </w:tcBorders>
            <w:shd w:val="clear" w:color="auto" w:fill="auto"/>
            <w:hideMark/>
          </w:tcPr>
          <w:p w14:paraId="68E5135E" w14:textId="77777777" w:rsidR="00B006A9" w:rsidRPr="00ED6AA0" w:rsidRDefault="00B006A9" w:rsidP="00B006A9">
            <w:pPr>
              <w:keepNext/>
              <w:jc w:val="left"/>
              <w:rPr>
                <w:sz w:val="18"/>
                <w:szCs w:val="20"/>
              </w:rPr>
            </w:pPr>
            <w:r w:rsidRPr="00ED6AA0">
              <w:rPr>
                <w:sz w:val="18"/>
                <w:szCs w:val="20"/>
                <w:lang w:eastAsia="en-CA"/>
              </w:rPr>
              <w:t>Calendrier de réduction des substances du groupe I de l’annexe C du Protocole de Montréal (tonnes PAO)</w:t>
            </w:r>
          </w:p>
        </w:tc>
        <w:tc>
          <w:tcPr>
            <w:tcW w:w="377" w:type="pct"/>
            <w:tcBorders>
              <w:top w:val="single" w:sz="4" w:space="0" w:color="auto"/>
              <w:left w:val="nil"/>
              <w:bottom w:val="single" w:sz="4" w:space="0" w:color="auto"/>
              <w:right w:val="single" w:sz="4" w:space="0" w:color="auto"/>
            </w:tcBorders>
            <w:shd w:val="clear" w:color="auto" w:fill="auto"/>
          </w:tcPr>
          <w:p w14:paraId="3724EE4B" w14:textId="77777777" w:rsidR="00B006A9" w:rsidRPr="00ED6AA0" w:rsidRDefault="00B006A9" w:rsidP="00B006A9">
            <w:pPr>
              <w:tabs>
                <w:tab w:val="left" w:pos="8280"/>
              </w:tabs>
              <w:spacing w:after="60"/>
              <w:jc w:val="right"/>
              <w:rPr>
                <w:sz w:val="18"/>
                <w:szCs w:val="18"/>
              </w:rPr>
            </w:pPr>
            <w:r w:rsidRPr="00ED6AA0">
              <w:rPr>
                <w:sz w:val="18"/>
                <w:szCs w:val="18"/>
                <w:lang w:val="en-CA"/>
              </w:rPr>
              <w:t>7,59</w:t>
            </w:r>
          </w:p>
        </w:tc>
        <w:tc>
          <w:tcPr>
            <w:tcW w:w="331" w:type="pct"/>
            <w:tcBorders>
              <w:top w:val="single" w:sz="4" w:space="0" w:color="auto"/>
              <w:left w:val="single" w:sz="4" w:space="0" w:color="auto"/>
              <w:bottom w:val="single" w:sz="4" w:space="0" w:color="auto"/>
              <w:right w:val="single" w:sz="4" w:space="0" w:color="auto"/>
            </w:tcBorders>
          </w:tcPr>
          <w:p w14:paraId="1ED6715D" w14:textId="77777777" w:rsidR="00B006A9" w:rsidRPr="00ED6AA0" w:rsidRDefault="00B006A9" w:rsidP="00B006A9">
            <w:pPr>
              <w:tabs>
                <w:tab w:val="left" w:pos="8280"/>
              </w:tabs>
              <w:spacing w:after="60"/>
              <w:jc w:val="right"/>
              <w:rPr>
                <w:sz w:val="18"/>
                <w:szCs w:val="18"/>
              </w:rPr>
            </w:pPr>
            <w:r w:rsidRPr="00ED6AA0">
              <w:rPr>
                <w:sz w:val="18"/>
                <w:szCs w:val="18"/>
                <w:lang w:val="en-CA"/>
              </w:rPr>
              <w:t>7,59</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3C7C684" w14:textId="77777777" w:rsidR="00B006A9" w:rsidRPr="00ED6AA0" w:rsidRDefault="00B006A9" w:rsidP="00B006A9">
            <w:pPr>
              <w:tabs>
                <w:tab w:val="left" w:pos="8280"/>
              </w:tabs>
              <w:spacing w:after="60"/>
              <w:jc w:val="right"/>
              <w:rPr>
                <w:sz w:val="18"/>
                <w:szCs w:val="18"/>
              </w:rPr>
            </w:pPr>
            <w:r w:rsidRPr="00ED6AA0">
              <w:rPr>
                <w:sz w:val="18"/>
                <w:szCs w:val="18"/>
                <w:lang w:val="en-CA"/>
              </w:rPr>
              <w:t>7,59</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217859A" w14:textId="77777777" w:rsidR="00B006A9" w:rsidRPr="00ED6AA0" w:rsidRDefault="00B006A9" w:rsidP="00B006A9">
            <w:pPr>
              <w:tabs>
                <w:tab w:val="left" w:pos="8280"/>
              </w:tabs>
              <w:spacing w:after="60"/>
              <w:jc w:val="right"/>
              <w:rPr>
                <w:sz w:val="18"/>
                <w:szCs w:val="18"/>
              </w:rPr>
            </w:pPr>
            <w:r w:rsidRPr="00ED6AA0">
              <w:rPr>
                <w:sz w:val="18"/>
                <w:szCs w:val="18"/>
                <w:lang w:val="en-CA"/>
              </w:rPr>
              <w:t>3,80</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B6D4202" w14:textId="77777777" w:rsidR="00B006A9" w:rsidRPr="00ED6AA0" w:rsidRDefault="00B006A9" w:rsidP="00B006A9">
            <w:pPr>
              <w:tabs>
                <w:tab w:val="left" w:pos="8280"/>
              </w:tabs>
              <w:spacing w:after="60"/>
              <w:jc w:val="right"/>
              <w:rPr>
                <w:sz w:val="18"/>
                <w:szCs w:val="18"/>
              </w:rPr>
            </w:pPr>
            <w:r w:rsidRPr="00ED6AA0">
              <w:rPr>
                <w:sz w:val="18"/>
                <w:szCs w:val="18"/>
                <w:lang w:val="en-CA"/>
              </w:rPr>
              <w:t>3,80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498A1121" w14:textId="77777777" w:rsidR="00B006A9" w:rsidRPr="00ED6AA0" w:rsidRDefault="00B006A9" w:rsidP="00B006A9">
            <w:pPr>
              <w:tabs>
                <w:tab w:val="left" w:pos="8280"/>
              </w:tabs>
              <w:spacing w:after="60"/>
              <w:jc w:val="right"/>
              <w:rPr>
                <w:sz w:val="18"/>
                <w:szCs w:val="18"/>
              </w:rPr>
            </w:pPr>
            <w:r w:rsidRPr="00ED6AA0">
              <w:rPr>
                <w:sz w:val="18"/>
                <w:szCs w:val="18"/>
                <w:lang w:val="en-CA"/>
              </w:rPr>
              <w:t>3,80</w:t>
            </w:r>
          </w:p>
        </w:tc>
        <w:tc>
          <w:tcPr>
            <w:tcW w:w="309" w:type="pct"/>
            <w:tcBorders>
              <w:top w:val="single" w:sz="4" w:space="0" w:color="auto"/>
              <w:left w:val="single" w:sz="4" w:space="0" w:color="auto"/>
              <w:bottom w:val="single" w:sz="4" w:space="0" w:color="auto"/>
              <w:right w:val="single" w:sz="4" w:space="0" w:color="auto"/>
            </w:tcBorders>
          </w:tcPr>
          <w:p w14:paraId="50C006FD" w14:textId="77777777" w:rsidR="00B006A9" w:rsidRPr="00ED6AA0" w:rsidRDefault="00B006A9" w:rsidP="00B006A9">
            <w:pPr>
              <w:tabs>
                <w:tab w:val="left" w:pos="8280"/>
              </w:tabs>
              <w:spacing w:after="60"/>
              <w:jc w:val="right"/>
              <w:rPr>
                <w:sz w:val="18"/>
                <w:szCs w:val="18"/>
              </w:rPr>
            </w:pPr>
            <w:r w:rsidRPr="00ED6AA0">
              <w:rPr>
                <w:sz w:val="18"/>
                <w:szCs w:val="18"/>
                <w:lang w:val="en-CA"/>
              </w:rPr>
              <w:t>3,80</w:t>
            </w:r>
          </w:p>
        </w:tc>
        <w:tc>
          <w:tcPr>
            <w:tcW w:w="413" w:type="pct"/>
            <w:tcBorders>
              <w:top w:val="single" w:sz="4" w:space="0" w:color="auto"/>
              <w:left w:val="single" w:sz="4" w:space="0" w:color="auto"/>
              <w:bottom w:val="single" w:sz="4" w:space="0" w:color="auto"/>
              <w:right w:val="single" w:sz="4" w:space="0" w:color="auto"/>
            </w:tcBorders>
          </w:tcPr>
          <w:p w14:paraId="71D8F63E" w14:textId="77777777" w:rsidR="00B006A9" w:rsidRPr="00ED6AA0" w:rsidRDefault="00B006A9" w:rsidP="00B006A9">
            <w:pPr>
              <w:tabs>
                <w:tab w:val="left" w:pos="8280"/>
              </w:tabs>
              <w:spacing w:after="60"/>
              <w:jc w:val="right"/>
              <w:rPr>
                <w:sz w:val="18"/>
                <w:szCs w:val="18"/>
              </w:rPr>
            </w:pPr>
            <w:r w:rsidRPr="00ED6AA0">
              <w:rPr>
                <w:sz w:val="18"/>
                <w:szCs w:val="18"/>
                <w:lang w:val="en-CA"/>
              </w:rPr>
              <w:t>3,80</w:t>
            </w:r>
          </w:p>
        </w:tc>
        <w:tc>
          <w:tcPr>
            <w:tcW w:w="317" w:type="pct"/>
            <w:tcBorders>
              <w:top w:val="single" w:sz="4" w:space="0" w:color="auto"/>
              <w:left w:val="single" w:sz="4" w:space="0" w:color="auto"/>
              <w:bottom w:val="single" w:sz="4" w:space="0" w:color="auto"/>
              <w:right w:val="single" w:sz="4" w:space="0" w:color="auto"/>
            </w:tcBorders>
          </w:tcPr>
          <w:p w14:paraId="2B6B9CAA"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A65EE36" w14:textId="77777777" w:rsidR="00B006A9" w:rsidRPr="00ED6AA0" w:rsidRDefault="00B006A9" w:rsidP="00B006A9">
            <w:pPr>
              <w:tabs>
                <w:tab w:val="left" w:pos="8280"/>
              </w:tabs>
              <w:spacing w:after="60"/>
              <w:jc w:val="right"/>
              <w:rPr>
                <w:sz w:val="18"/>
                <w:szCs w:val="18"/>
              </w:rPr>
            </w:pPr>
            <w:proofErr w:type="spellStart"/>
            <w:r w:rsidRPr="00ED6AA0">
              <w:rPr>
                <w:sz w:val="18"/>
                <w:szCs w:val="18"/>
                <w:lang w:val="en-CA"/>
              </w:rPr>
              <w:t>n.d.</w:t>
            </w:r>
            <w:proofErr w:type="spellEnd"/>
          </w:p>
        </w:tc>
      </w:tr>
      <w:tr w:rsidR="00B006A9" w:rsidRPr="00ED6AA0" w14:paraId="396233F5" w14:textId="77777777" w:rsidTr="00B006A9">
        <w:trPr>
          <w:trHeight w:val="408"/>
          <w:jc w:val="center"/>
        </w:trPr>
        <w:tc>
          <w:tcPr>
            <w:tcW w:w="280" w:type="pct"/>
            <w:tcBorders>
              <w:top w:val="nil"/>
              <w:left w:val="single" w:sz="4" w:space="0" w:color="auto"/>
              <w:bottom w:val="single" w:sz="4" w:space="0" w:color="auto"/>
              <w:right w:val="single" w:sz="4" w:space="0" w:color="auto"/>
            </w:tcBorders>
            <w:shd w:val="clear" w:color="auto" w:fill="auto"/>
            <w:hideMark/>
          </w:tcPr>
          <w:p w14:paraId="5DF53A5E" w14:textId="77777777" w:rsidR="00B006A9" w:rsidRPr="00ED6AA0" w:rsidRDefault="00B006A9" w:rsidP="00B006A9">
            <w:pPr>
              <w:jc w:val="left"/>
              <w:rPr>
                <w:color w:val="000000"/>
                <w:sz w:val="18"/>
                <w:szCs w:val="18"/>
              </w:rPr>
            </w:pPr>
            <w:r w:rsidRPr="00ED6AA0">
              <w:rPr>
                <w:color w:val="000000"/>
                <w:sz w:val="18"/>
                <w:szCs w:val="18"/>
                <w:lang w:eastAsia="en-CA"/>
              </w:rPr>
              <w:t>1.2</w:t>
            </w:r>
          </w:p>
        </w:tc>
        <w:tc>
          <w:tcPr>
            <w:tcW w:w="1132" w:type="pct"/>
            <w:tcBorders>
              <w:top w:val="nil"/>
              <w:left w:val="nil"/>
              <w:bottom w:val="single" w:sz="4" w:space="0" w:color="auto"/>
              <w:right w:val="single" w:sz="4" w:space="0" w:color="auto"/>
            </w:tcBorders>
            <w:shd w:val="clear" w:color="auto" w:fill="auto"/>
            <w:hideMark/>
          </w:tcPr>
          <w:p w14:paraId="23CD128C" w14:textId="77777777" w:rsidR="00B006A9" w:rsidRPr="00ED6AA0" w:rsidRDefault="00B006A9" w:rsidP="00B006A9">
            <w:pPr>
              <w:jc w:val="left"/>
              <w:rPr>
                <w:sz w:val="18"/>
                <w:szCs w:val="20"/>
              </w:rPr>
            </w:pPr>
            <w:r w:rsidRPr="00ED6AA0">
              <w:rPr>
                <w:sz w:val="18"/>
                <w:szCs w:val="20"/>
                <w:lang w:eastAsia="en-CA"/>
              </w:rPr>
              <w:t>Consommation totale maximum autorisée des substances du groupe I de l’annexe C (tonnes PAO)</w:t>
            </w:r>
          </w:p>
        </w:tc>
        <w:tc>
          <w:tcPr>
            <w:tcW w:w="377" w:type="pct"/>
            <w:tcBorders>
              <w:top w:val="single" w:sz="4" w:space="0" w:color="auto"/>
              <w:left w:val="nil"/>
              <w:bottom w:val="single" w:sz="4" w:space="0" w:color="auto"/>
              <w:right w:val="single" w:sz="4" w:space="0" w:color="auto"/>
            </w:tcBorders>
            <w:shd w:val="clear" w:color="auto" w:fill="auto"/>
          </w:tcPr>
          <w:p w14:paraId="0D4D5C01" w14:textId="77777777" w:rsidR="00B006A9" w:rsidRPr="00ED6AA0" w:rsidRDefault="00B006A9" w:rsidP="00B006A9">
            <w:pPr>
              <w:tabs>
                <w:tab w:val="left" w:pos="8280"/>
              </w:tabs>
              <w:spacing w:after="60"/>
              <w:jc w:val="right"/>
              <w:rPr>
                <w:sz w:val="18"/>
                <w:szCs w:val="18"/>
              </w:rPr>
            </w:pPr>
            <w:r w:rsidRPr="00ED6AA0">
              <w:rPr>
                <w:sz w:val="18"/>
                <w:szCs w:val="18"/>
                <w:lang w:val="en-CA"/>
              </w:rPr>
              <w:t>5,42</w:t>
            </w:r>
          </w:p>
        </w:tc>
        <w:tc>
          <w:tcPr>
            <w:tcW w:w="331" w:type="pct"/>
            <w:tcBorders>
              <w:top w:val="single" w:sz="4" w:space="0" w:color="auto"/>
              <w:left w:val="single" w:sz="4" w:space="0" w:color="auto"/>
              <w:bottom w:val="single" w:sz="4" w:space="0" w:color="auto"/>
              <w:right w:val="single" w:sz="4" w:space="0" w:color="auto"/>
            </w:tcBorders>
          </w:tcPr>
          <w:p w14:paraId="6BCF4F5A" w14:textId="77777777" w:rsidR="00B006A9" w:rsidRPr="00ED6AA0" w:rsidRDefault="00B006A9" w:rsidP="00B006A9">
            <w:pPr>
              <w:tabs>
                <w:tab w:val="left" w:pos="8280"/>
              </w:tabs>
              <w:spacing w:after="60"/>
              <w:jc w:val="right"/>
              <w:rPr>
                <w:sz w:val="18"/>
                <w:szCs w:val="18"/>
              </w:rPr>
            </w:pPr>
            <w:r w:rsidRPr="00ED6AA0">
              <w:rPr>
                <w:sz w:val="18"/>
                <w:szCs w:val="18"/>
                <w:lang w:val="en-CA"/>
              </w:rPr>
              <w:t>3,44</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B242A5B" w14:textId="77777777" w:rsidR="00B006A9" w:rsidRPr="00ED6AA0" w:rsidRDefault="00B006A9" w:rsidP="00B006A9">
            <w:pPr>
              <w:tabs>
                <w:tab w:val="left" w:pos="8280"/>
              </w:tabs>
              <w:spacing w:after="60"/>
              <w:jc w:val="right"/>
              <w:rPr>
                <w:sz w:val="18"/>
                <w:szCs w:val="18"/>
              </w:rPr>
            </w:pPr>
            <w:r w:rsidRPr="00ED6AA0">
              <w:rPr>
                <w:sz w:val="18"/>
                <w:szCs w:val="18"/>
                <w:lang w:val="en-CA"/>
              </w:rPr>
              <w:t>3,44</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579A5E0" w14:textId="77777777" w:rsidR="00B006A9" w:rsidRPr="00ED6AA0" w:rsidRDefault="00B006A9" w:rsidP="00B006A9">
            <w:pPr>
              <w:tabs>
                <w:tab w:val="left" w:pos="8280"/>
              </w:tabs>
              <w:spacing w:after="60"/>
              <w:jc w:val="right"/>
              <w:rPr>
                <w:sz w:val="18"/>
                <w:szCs w:val="18"/>
              </w:rPr>
            </w:pPr>
            <w:r w:rsidRPr="00ED6AA0">
              <w:rPr>
                <w:sz w:val="18"/>
                <w:szCs w:val="18"/>
                <w:lang w:val="en-CA"/>
              </w:rPr>
              <w:t>2,88</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6DD3A6C" w14:textId="77777777" w:rsidR="00B006A9" w:rsidRPr="00ED6AA0" w:rsidRDefault="00B006A9" w:rsidP="00B006A9">
            <w:pPr>
              <w:tabs>
                <w:tab w:val="left" w:pos="8280"/>
              </w:tabs>
              <w:spacing w:after="60"/>
              <w:jc w:val="right"/>
              <w:rPr>
                <w:sz w:val="18"/>
                <w:szCs w:val="18"/>
              </w:rPr>
            </w:pPr>
            <w:r w:rsidRPr="00ED6AA0">
              <w:rPr>
                <w:sz w:val="18"/>
                <w:szCs w:val="18"/>
                <w:lang w:val="en-CA"/>
              </w:rPr>
              <w:t>2,32</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101715FB" w14:textId="77777777" w:rsidR="00B006A9" w:rsidRPr="00ED6AA0" w:rsidRDefault="00B006A9" w:rsidP="00B006A9">
            <w:pPr>
              <w:tabs>
                <w:tab w:val="left" w:pos="8280"/>
              </w:tabs>
              <w:spacing w:after="60"/>
              <w:jc w:val="right"/>
              <w:rPr>
                <w:sz w:val="18"/>
                <w:szCs w:val="18"/>
              </w:rPr>
            </w:pPr>
            <w:r w:rsidRPr="00ED6AA0">
              <w:rPr>
                <w:sz w:val="18"/>
                <w:szCs w:val="18"/>
                <w:lang w:val="en-CA"/>
              </w:rPr>
              <w:t>2,32</w:t>
            </w:r>
          </w:p>
        </w:tc>
        <w:tc>
          <w:tcPr>
            <w:tcW w:w="309" w:type="pct"/>
            <w:tcBorders>
              <w:top w:val="single" w:sz="4" w:space="0" w:color="auto"/>
              <w:left w:val="single" w:sz="4" w:space="0" w:color="auto"/>
              <w:bottom w:val="single" w:sz="4" w:space="0" w:color="auto"/>
              <w:right w:val="single" w:sz="4" w:space="0" w:color="auto"/>
            </w:tcBorders>
          </w:tcPr>
          <w:p w14:paraId="60B3025E" w14:textId="77777777" w:rsidR="00B006A9" w:rsidRPr="00ED6AA0" w:rsidRDefault="00B006A9" w:rsidP="00B006A9">
            <w:pPr>
              <w:tabs>
                <w:tab w:val="left" w:pos="8280"/>
              </w:tabs>
              <w:spacing w:after="60"/>
              <w:jc w:val="right"/>
              <w:rPr>
                <w:sz w:val="18"/>
                <w:szCs w:val="18"/>
              </w:rPr>
            </w:pPr>
            <w:r w:rsidRPr="00ED6AA0">
              <w:rPr>
                <w:sz w:val="18"/>
                <w:szCs w:val="18"/>
                <w:lang w:val="en-CA"/>
              </w:rPr>
              <w:t>0,29</w:t>
            </w:r>
          </w:p>
        </w:tc>
        <w:tc>
          <w:tcPr>
            <w:tcW w:w="413" w:type="pct"/>
            <w:tcBorders>
              <w:top w:val="single" w:sz="4" w:space="0" w:color="auto"/>
              <w:left w:val="single" w:sz="4" w:space="0" w:color="auto"/>
              <w:bottom w:val="single" w:sz="4" w:space="0" w:color="auto"/>
              <w:right w:val="single" w:sz="4" w:space="0" w:color="auto"/>
            </w:tcBorders>
          </w:tcPr>
          <w:p w14:paraId="4E6EB53A" w14:textId="77777777" w:rsidR="00B006A9" w:rsidRPr="00ED6AA0" w:rsidRDefault="00B006A9" w:rsidP="00B006A9">
            <w:pPr>
              <w:tabs>
                <w:tab w:val="left" w:pos="8280"/>
              </w:tabs>
              <w:spacing w:after="60"/>
              <w:jc w:val="right"/>
              <w:rPr>
                <w:sz w:val="18"/>
                <w:szCs w:val="18"/>
              </w:rPr>
            </w:pPr>
            <w:r w:rsidRPr="00ED6AA0">
              <w:rPr>
                <w:sz w:val="18"/>
                <w:szCs w:val="18"/>
                <w:lang w:val="en-CA"/>
              </w:rPr>
              <w:t>0,29</w:t>
            </w:r>
          </w:p>
        </w:tc>
        <w:tc>
          <w:tcPr>
            <w:tcW w:w="317" w:type="pct"/>
            <w:tcBorders>
              <w:top w:val="single" w:sz="4" w:space="0" w:color="auto"/>
              <w:left w:val="single" w:sz="4" w:space="0" w:color="auto"/>
              <w:bottom w:val="single" w:sz="4" w:space="0" w:color="auto"/>
              <w:right w:val="single" w:sz="4" w:space="0" w:color="auto"/>
            </w:tcBorders>
          </w:tcPr>
          <w:p w14:paraId="082B4D30"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03CD91F" w14:textId="77777777" w:rsidR="00B006A9" w:rsidRPr="00ED6AA0" w:rsidRDefault="00B006A9" w:rsidP="00B006A9">
            <w:pPr>
              <w:tabs>
                <w:tab w:val="left" w:pos="8280"/>
              </w:tabs>
              <w:spacing w:after="60"/>
              <w:jc w:val="right"/>
              <w:rPr>
                <w:sz w:val="18"/>
                <w:szCs w:val="18"/>
              </w:rPr>
            </w:pPr>
            <w:proofErr w:type="spellStart"/>
            <w:r w:rsidRPr="00ED6AA0">
              <w:rPr>
                <w:sz w:val="18"/>
                <w:szCs w:val="18"/>
                <w:lang w:val="en-CA"/>
              </w:rPr>
              <w:t>n.d.</w:t>
            </w:r>
            <w:proofErr w:type="spellEnd"/>
          </w:p>
        </w:tc>
      </w:tr>
      <w:tr w:rsidR="00B006A9" w:rsidRPr="00ED6AA0" w14:paraId="55FFA617" w14:textId="77777777" w:rsidTr="00B006A9">
        <w:trPr>
          <w:trHeight w:val="116"/>
          <w:jc w:val="center"/>
        </w:trPr>
        <w:tc>
          <w:tcPr>
            <w:tcW w:w="280" w:type="pct"/>
            <w:tcBorders>
              <w:top w:val="nil"/>
              <w:left w:val="single" w:sz="4" w:space="0" w:color="auto"/>
              <w:bottom w:val="single" w:sz="4" w:space="0" w:color="auto"/>
              <w:right w:val="single" w:sz="4" w:space="0" w:color="auto"/>
            </w:tcBorders>
            <w:shd w:val="clear" w:color="auto" w:fill="auto"/>
            <w:hideMark/>
          </w:tcPr>
          <w:p w14:paraId="0770129A" w14:textId="77777777" w:rsidR="00B006A9" w:rsidRPr="00ED6AA0" w:rsidRDefault="00B006A9" w:rsidP="00B006A9">
            <w:pPr>
              <w:jc w:val="left"/>
              <w:rPr>
                <w:color w:val="000000"/>
                <w:sz w:val="18"/>
                <w:szCs w:val="18"/>
              </w:rPr>
            </w:pPr>
            <w:r w:rsidRPr="00ED6AA0">
              <w:rPr>
                <w:color w:val="000000"/>
                <w:sz w:val="18"/>
                <w:szCs w:val="18"/>
                <w:lang w:eastAsia="en-CA"/>
              </w:rPr>
              <w:t>2.1</w:t>
            </w:r>
          </w:p>
        </w:tc>
        <w:tc>
          <w:tcPr>
            <w:tcW w:w="1132" w:type="pct"/>
            <w:tcBorders>
              <w:top w:val="nil"/>
              <w:left w:val="nil"/>
              <w:bottom w:val="single" w:sz="4" w:space="0" w:color="auto"/>
              <w:right w:val="single" w:sz="4" w:space="0" w:color="auto"/>
            </w:tcBorders>
            <w:shd w:val="clear" w:color="auto" w:fill="auto"/>
            <w:hideMark/>
          </w:tcPr>
          <w:p w14:paraId="71866294" w14:textId="77777777" w:rsidR="00B006A9" w:rsidRPr="00ED6AA0" w:rsidRDefault="00B006A9" w:rsidP="00B006A9">
            <w:pPr>
              <w:jc w:val="left"/>
              <w:rPr>
                <w:sz w:val="18"/>
                <w:szCs w:val="20"/>
              </w:rPr>
            </w:pPr>
            <w:r w:rsidRPr="00ED6AA0">
              <w:rPr>
                <w:sz w:val="18"/>
                <w:szCs w:val="20"/>
                <w:lang w:eastAsia="en-CA"/>
              </w:rPr>
              <w:t>Financement convenu pour l’Agence principale (PNUD) ($US)</w:t>
            </w:r>
          </w:p>
        </w:tc>
        <w:tc>
          <w:tcPr>
            <w:tcW w:w="377" w:type="pct"/>
            <w:tcBorders>
              <w:top w:val="single" w:sz="4" w:space="0" w:color="auto"/>
              <w:left w:val="nil"/>
              <w:bottom w:val="single" w:sz="4" w:space="0" w:color="auto"/>
              <w:right w:val="single" w:sz="4" w:space="0" w:color="auto"/>
            </w:tcBorders>
            <w:shd w:val="clear" w:color="auto" w:fill="auto"/>
          </w:tcPr>
          <w:p w14:paraId="4B80B04A" w14:textId="77777777" w:rsidR="00B006A9" w:rsidRPr="00ED6AA0" w:rsidRDefault="00B006A9" w:rsidP="00B006A9">
            <w:pPr>
              <w:tabs>
                <w:tab w:val="left" w:pos="8280"/>
              </w:tabs>
              <w:spacing w:after="60"/>
              <w:jc w:val="right"/>
              <w:rPr>
                <w:sz w:val="18"/>
                <w:szCs w:val="18"/>
              </w:rPr>
            </w:pPr>
            <w:r w:rsidRPr="00ED6AA0">
              <w:rPr>
                <w:sz w:val="18"/>
                <w:szCs w:val="18"/>
                <w:lang w:val="en-CA"/>
              </w:rPr>
              <w:t>169.000</w:t>
            </w:r>
          </w:p>
        </w:tc>
        <w:tc>
          <w:tcPr>
            <w:tcW w:w="331" w:type="pct"/>
            <w:tcBorders>
              <w:top w:val="single" w:sz="4" w:space="0" w:color="auto"/>
              <w:left w:val="single" w:sz="4" w:space="0" w:color="auto"/>
              <w:bottom w:val="single" w:sz="4" w:space="0" w:color="auto"/>
              <w:right w:val="single" w:sz="4" w:space="0" w:color="auto"/>
            </w:tcBorders>
          </w:tcPr>
          <w:p w14:paraId="22F7EFB6"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CB3D104" w14:textId="77777777" w:rsidR="00B006A9" w:rsidRPr="00ED6AA0" w:rsidRDefault="00B006A9" w:rsidP="00B006A9">
            <w:pPr>
              <w:tabs>
                <w:tab w:val="left" w:pos="8280"/>
              </w:tabs>
              <w:spacing w:after="60"/>
              <w:jc w:val="right"/>
              <w:rPr>
                <w:sz w:val="18"/>
                <w:szCs w:val="18"/>
              </w:rPr>
            </w:pPr>
            <w:r w:rsidRPr="00ED6AA0">
              <w:rPr>
                <w:sz w:val="18"/>
                <w:szCs w:val="18"/>
                <w:lang w:val="en-CA"/>
              </w:rPr>
              <w:t>244.255</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39664D43"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4AECFC5" w14:textId="77777777" w:rsidR="00B006A9" w:rsidRPr="00ED6AA0" w:rsidRDefault="00B006A9" w:rsidP="00B006A9">
            <w:pPr>
              <w:tabs>
                <w:tab w:val="left" w:pos="8280"/>
              </w:tabs>
              <w:spacing w:after="60"/>
              <w:jc w:val="right"/>
              <w:rPr>
                <w:sz w:val="18"/>
                <w:szCs w:val="18"/>
              </w:rPr>
            </w:pPr>
            <w:r w:rsidRPr="00ED6AA0">
              <w:rPr>
                <w:sz w:val="18"/>
                <w:szCs w:val="18"/>
                <w:lang w:val="en-CA"/>
              </w:rPr>
              <w:t>124.745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1657688"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09" w:type="pct"/>
            <w:tcBorders>
              <w:top w:val="single" w:sz="4" w:space="0" w:color="auto"/>
              <w:left w:val="single" w:sz="4" w:space="0" w:color="auto"/>
              <w:bottom w:val="single" w:sz="4" w:space="0" w:color="auto"/>
              <w:right w:val="single" w:sz="4" w:space="0" w:color="auto"/>
            </w:tcBorders>
          </w:tcPr>
          <w:p w14:paraId="0C812191"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413" w:type="pct"/>
            <w:tcBorders>
              <w:top w:val="single" w:sz="4" w:space="0" w:color="auto"/>
              <w:left w:val="single" w:sz="4" w:space="0" w:color="auto"/>
              <w:bottom w:val="single" w:sz="4" w:space="0" w:color="auto"/>
              <w:right w:val="single" w:sz="4" w:space="0" w:color="auto"/>
            </w:tcBorders>
          </w:tcPr>
          <w:p w14:paraId="50F16934" w14:textId="77777777" w:rsidR="00B006A9" w:rsidRPr="00ED6AA0" w:rsidRDefault="00B006A9" w:rsidP="00B006A9">
            <w:pPr>
              <w:tabs>
                <w:tab w:val="left" w:pos="8280"/>
              </w:tabs>
              <w:spacing w:after="60"/>
              <w:jc w:val="right"/>
              <w:rPr>
                <w:sz w:val="18"/>
                <w:szCs w:val="18"/>
              </w:rPr>
            </w:pPr>
            <w:r w:rsidRPr="00ED6AA0">
              <w:rPr>
                <w:sz w:val="18"/>
                <w:szCs w:val="18"/>
                <w:lang w:val="en-CA"/>
              </w:rPr>
              <w:t>65.000</w:t>
            </w:r>
          </w:p>
        </w:tc>
        <w:tc>
          <w:tcPr>
            <w:tcW w:w="317" w:type="pct"/>
            <w:tcBorders>
              <w:top w:val="single" w:sz="4" w:space="0" w:color="auto"/>
              <w:left w:val="single" w:sz="4" w:space="0" w:color="auto"/>
              <w:bottom w:val="single" w:sz="4" w:space="0" w:color="auto"/>
              <w:right w:val="single" w:sz="4" w:space="0" w:color="auto"/>
            </w:tcBorders>
          </w:tcPr>
          <w:p w14:paraId="585DCC33"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16FB857" w14:textId="77777777" w:rsidR="00B006A9" w:rsidRPr="00ED6AA0" w:rsidRDefault="00B006A9" w:rsidP="00B006A9">
            <w:pPr>
              <w:tabs>
                <w:tab w:val="left" w:pos="8280"/>
              </w:tabs>
              <w:spacing w:after="60"/>
              <w:jc w:val="right"/>
              <w:rPr>
                <w:sz w:val="18"/>
                <w:szCs w:val="18"/>
              </w:rPr>
            </w:pPr>
            <w:r w:rsidRPr="00ED6AA0">
              <w:rPr>
                <w:sz w:val="18"/>
                <w:szCs w:val="18"/>
                <w:lang w:val="en-CA"/>
              </w:rPr>
              <w:t>603.000</w:t>
            </w:r>
          </w:p>
        </w:tc>
      </w:tr>
      <w:tr w:rsidR="00B006A9" w:rsidRPr="00ED6AA0" w14:paraId="1DED80EA" w14:textId="77777777" w:rsidTr="00B006A9">
        <w:trPr>
          <w:trHeight w:val="56"/>
          <w:jc w:val="center"/>
        </w:trPr>
        <w:tc>
          <w:tcPr>
            <w:tcW w:w="280" w:type="pct"/>
            <w:tcBorders>
              <w:top w:val="nil"/>
              <w:left w:val="single" w:sz="4" w:space="0" w:color="auto"/>
              <w:bottom w:val="single" w:sz="4" w:space="0" w:color="auto"/>
              <w:right w:val="single" w:sz="4" w:space="0" w:color="auto"/>
            </w:tcBorders>
            <w:shd w:val="clear" w:color="auto" w:fill="auto"/>
            <w:hideMark/>
          </w:tcPr>
          <w:p w14:paraId="4B939AF2" w14:textId="77777777" w:rsidR="00B006A9" w:rsidRPr="00ED6AA0" w:rsidRDefault="00B006A9" w:rsidP="00B006A9">
            <w:pPr>
              <w:jc w:val="left"/>
              <w:rPr>
                <w:color w:val="000000"/>
                <w:sz w:val="18"/>
                <w:szCs w:val="18"/>
              </w:rPr>
            </w:pPr>
            <w:r w:rsidRPr="00ED6AA0">
              <w:rPr>
                <w:color w:val="000000"/>
                <w:sz w:val="18"/>
                <w:szCs w:val="18"/>
                <w:lang w:eastAsia="en-CA"/>
              </w:rPr>
              <w:t>2.2</w:t>
            </w:r>
          </w:p>
        </w:tc>
        <w:tc>
          <w:tcPr>
            <w:tcW w:w="1132" w:type="pct"/>
            <w:tcBorders>
              <w:top w:val="nil"/>
              <w:left w:val="nil"/>
              <w:bottom w:val="single" w:sz="4" w:space="0" w:color="auto"/>
              <w:right w:val="single" w:sz="4" w:space="0" w:color="auto"/>
            </w:tcBorders>
            <w:shd w:val="clear" w:color="auto" w:fill="auto"/>
            <w:hideMark/>
          </w:tcPr>
          <w:p w14:paraId="78AC008A" w14:textId="77777777" w:rsidR="00B006A9" w:rsidRPr="00ED6AA0" w:rsidRDefault="00B006A9" w:rsidP="00B006A9">
            <w:pPr>
              <w:jc w:val="left"/>
              <w:rPr>
                <w:sz w:val="18"/>
                <w:szCs w:val="20"/>
              </w:rPr>
            </w:pPr>
            <w:r w:rsidRPr="00ED6AA0">
              <w:rPr>
                <w:sz w:val="18"/>
                <w:szCs w:val="20"/>
                <w:lang w:eastAsia="en-CA"/>
              </w:rPr>
              <w:t>Coûts d’appui pour l’Agence principale ($US)</w:t>
            </w:r>
          </w:p>
        </w:tc>
        <w:tc>
          <w:tcPr>
            <w:tcW w:w="377" w:type="pct"/>
            <w:tcBorders>
              <w:top w:val="single" w:sz="4" w:space="0" w:color="auto"/>
              <w:left w:val="nil"/>
              <w:bottom w:val="single" w:sz="4" w:space="0" w:color="auto"/>
              <w:right w:val="single" w:sz="4" w:space="0" w:color="auto"/>
            </w:tcBorders>
            <w:shd w:val="clear" w:color="auto" w:fill="auto"/>
          </w:tcPr>
          <w:p w14:paraId="799DAB09" w14:textId="77777777" w:rsidR="00B006A9" w:rsidRPr="00ED6AA0" w:rsidRDefault="00B006A9" w:rsidP="00B006A9">
            <w:pPr>
              <w:tabs>
                <w:tab w:val="left" w:pos="8280"/>
              </w:tabs>
              <w:spacing w:after="60"/>
              <w:jc w:val="right"/>
              <w:rPr>
                <w:sz w:val="18"/>
                <w:szCs w:val="18"/>
              </w:rPr>
            </w:pPr>
            <w:r w:rsidRPr="00ED6AA0">
              <w:rPr>
                <w:sz w:val="18"/>
                <w:szCs w:val="18"/>
                <w:lang w:val="en-CA"/>
              </w:rPr>
              <w:t>11.830</w:t>
            </w:r>
          </w:p>
        </w:tc>
        <w:tc>
          <w:tcPr>
            <w:tcW w:w="331" w:type="pct"/>
            <w:tcBorders>
              <w:top w:val="single" w:sz="4" w:space="0" w:color="auto"/>
              <w:left w:val="single" w:sz="4" w:space="0" w:color="auto"/>
              <w:bottom w:val="single" w:sz="4" w:space="0" w:color="auto"/>
              <w:right w:val="single" w:sz="4" w:space="0" w:color="auto"/>
            </w:tcBorders>
          </w:tcPr>
          <w:p w14:paraId="30B770AE"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86A9928" w14:textId="77777777" w:rsidR="00B006A9" w:rsidRPr="00ED6AA0" w:rsidRDefault="00B006A9" w:rsidP="00B006A9">
            <w:pPr>
              <w:tabs>
                <w:tab w:val="left" w:pos="8280"/>
              </w:tabs>
              <w:spacing w:after="60"/>
              <w:jc w:val="right"/>
              <w:rPr>
                <w:sz w:val="18"/>
                <w:szCs w:val="18"/>
              </w:rPr>
            </w:pPr>
            <w:r w:rsidRPr="00ED6AA0">
              <w:rPr>
                <w:sz w:val="18"/>
                <w:szCs w:val="18"/>
                <w:lang w:val="en-CA"/>
              </w:rPr>
              <w:t>17.098</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C82541E"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EE1F2C5" w14:textId="77777777" w:rsidR="00B006A9" w:rsidRPr="00ED6AA0" w:rsidRDefault="00B006A9" w:rsidP="00B006A9">
            <w:pPr>
              <w:tabs>
                <w:tab w:val="left" w:pos="8280"/>
              </w:tabs>
              <w:spacing w:after="60"/>
              <w:jc w:val="right"/>
              <w:rPr>
                <w:sz w:val="18"/>
                <w:szCs w:val="18"/>
              </w:rPr>
            </w:pPr>
            <w:r w:rsidRPr="00ED6AA0">
              <w:rPr>
                <w:sz w:val="18"/>
                <w:szCs w:val="18"/>
                <w:lang w:val="en-CA"/>
              </w:rPr>
              <w:t>8.732</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D2B2A63"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09" w:type="pct"/>
            <w:tcBorders>
              <w:top w:val="single" w:sz="4" w:space="0" w:color="auto"/>
              <w:left w:val="single" w:sz="4" w:space="0" w:color="auto"/>
              <w:bottom w:val="single" w:sz="4" w:space="0" w:color="auto"/>
              <w:right w:val="single" w:sz="4" w:space="0" w:color="auto"/>
            </w:tcBorders>
          </w:tcPr>
          <w:p w14:paraId="6C05E1FE"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413" w:type="pct"/>
            <w:tcBorders>
              <w:top w:val="single" w:sz="4" w:space="0" w:color="auto"/>
              <w:left w:val="single" w:sz="4" w:space="0" w:color="auto"/>
              <w:bottom w:val="single" w:sz="4" w:space="0" w:color="auto"/>
              <w:right w:val="single" w:sz="4" w:space="0" w:color="auto"/>
            </w:tcBorders>
          </w:tcPr>
          <w:p w14:paraId="38BBB8CC" w14:textId="77777777" w:rsidR="00B006A9" w:rsidRPr="00ED6AA0" w:rsidRDefault="00B006A9" w:rsidP="00B006A9">
            <w:pPr>
              <w:tabs>
                <w:tab w:val="left" w:pos="8280"/>
              </w:tabs>
              <w:spacing w:after="60"/>
              <w:jc w:val="right"/>
              <w:rPr>
                <w:sz w:val="18"/>
                <w:szCs w:val="18"/>
              </w:rPr>
            </w:pPr>
            <w:r w:rsidRPr="00ED6AA0">
              <w:rPr>
                <w:sz w:val="18"/>
                <w:szCs w:val="18"/>
                <w:lang w:val="en-CA"/>
              </w:rPr>
              <w:t>4.550</w:t>
            </w:r>
          </w:p>
        </w:tc>
        <w:tc>
          <w:tcPr>
            <w:tcW w:w="317" w:type="pct"/>
            <w:tcBorders>
              <w:top w:val="single" w:sz="4" w:space="0" w:color="auto"/>
              <w:left w:val="single" w:sz="4" w:space="0" w:color="auto"/>
              <w:bottom w:val="single" w:sz="4" w:space="0" w:color="auto"/>
              <w:right w:val="single" w:sz="4" w:space="0" w:color="auto"/>
            </w:tcBorders>
          </w:tcPr>
          <w:p w14:paraId="14AD36C4"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41AA9B6" w14:textId="77777777" w:rsidR="00B006A9" w:rsidRPr="00ED6AA0" w:rsidRDefault="00B006A9" w:rsidP="00B006A9">
            <w:pPr>
              <w:tabs>
                <w:tab w:val="left" w:pos="8280"/>
              </w:tabs>
              <w:spacing w:after="60"/>
              <w:jc w:val="right"/>
              <w:rPr>
                <w:sz w:val="18"/>
                <w:szCs w:val="18"/>
              </w:rPr>
            </w:pPr>
            <w:r w:rsidRPr="00ED6AA0">
              <w:rPr>
                <w:sz w:val="18"/>
                <w:szCs w:val="18"/>
                <w:lang w:val="en-CA"/>
              </w:rPr>
              <w:t>42.210</w:t>
            </w:r>
          </w:p>
        </w:tc>
      </w:tr>
      <w:tr w:rsidR="00B006A9" w:rsidRPr="00ED6AA0" w14:paraId="423DB2F1" w14:textId="77777777" w:rsidTr="00B006A9">
        <w:trPr>
          <w:trHeight w:val="161"/>
          <w:jc w:val="center"/>
        </w:trPr>
        <w:tc>
          <w:tcPr>
            <w:tcW w:w="280" w:type="pct"/>
            <w:tcBorders>
              <w:top w:val="nil"/>
              <w:left w:val="single" w:sz="4" w:space="0" w:color="auto"/>
              <w:bottom w:val="single" w:sz="4" w:space="0" w:color="auto"/>
              <w:right w:val="single" w:sz="4" w:space="0" w:color="auto"/>
            </w:tcBorders>
            <w:shd w:val="clear" w:color="auto" w:fill="auto"/>
            <w:hideMark/>
          </w:tcPr>
          <w:p w14:paraId="3B7743A9" w14:textId="77777777" w:rsidR="00B006A9" w:rsidRPr="00ED6AA0" w:rsidRDefault="00B006A9" w:rsidP="00B006A9">
            <w:pPr>
              <w:jc w:val="left"/>
              <w:rPr>
                <w:color w:val="000000"/>
                <w:sz w:val="18"/>
                <w:szCs w:val="18"/>
              </w:rPr>
            </w:pPr>
            <w:r w:rsidRPr="00ED6AA0">
              <w:rPr>
                <w:color w:val="000000"/>
                <w:sz w:val="18"/>
                <w:szCs w:val="18"/>
                <w:lang w:eastAsia="en-CA"/>
              </w:rPr>
              <w:t>2.3</w:t>
            </w:r>
          </w:p>
        </w:tc>
        <w:tc>
          <w:tcPr>
            <w:tcW w:w="1132" w:type="pct"/>
            <w:tcBorders>
              <w:top w:val="nil"/>
              <w:left w:val="nil"/>
              <w:bottom w:val="single" w:sz="4" w:space="0" w:color="auto"/>
              <w:right w:val="single" w:sz="4" w:space="0" w:color="auto"/>
            </w:tcBorders>
            <w:shd w:val="clear" w:color="auto" w:fill="auto"/>
            <w:vAlign w:val="center"/>
            <w:hideMark/>
          </w:tcPr>
          <w:p w14:paraId="696B7C24" w14:textId="77777777" w:rsidR="00B006A9" w:rsidRPr="00ED6AA0" w:rsidRDefault="00B006A9" w:rsidP="00B006A9">
            <w:pPr>
              <w:jc w:val="left"/>
              <w:rPr>
                <w:sz w:val="18"/>
                <w:szCs w:val="20"/>
              </w:rPr>
            </w:pPr>
            <w:r w:rsidRPr="00ED6AA0">
              <w:rPr>
                <w:sz w:val="18"/>
                <w:szCs w:val="20"/>
                <w:lang w:eastAsia="en-CA"/>
              </w:rPr>
              <w:t>Financement convenu pour l’Agence de coopération (PNUE) l’Agence de coopération) ($US)</w:t>
            </w:r>
          </w:p>
        </w:tc>
        <w:tc>
          <w:tcPr>
            <w:tcW w:w="377" w:type="pct"/>
            <w:tcBorders>
              <w:top w:val="single" w:sz="4" w:space="0" w:color="auto"/>
              <w:left w:val="nil"/>
              <w:bottom w:val="single" w:sz="4" w:space="0" w:color="auto"/>
              <w:right w:val="single" w:sz="4" w:space="0" w:color="auto"/>
            </w:tcBorders>
            <w:shd w:val="clear" w:color="auto" w:fill="auto"/>
          </w:tcPr>
          <w:p w14:paraId="5B86516F" w14:textId="77777777" w:rsidR="00B006A9" w:rsidRPr="00ED6AA0" w:rsidRDefault="00B006A9" w:rsidP="00B006A9">
            <w:pPr>
              <w:tabs>
                <w:tab w:val="left" w:pos="8280"/>
              </w:tabs>
              <w:spacing w:after="60"/>
              <w:jc w:val="right"/>
              <w:rPr>
                <w:sz w:val="18"/>
                <w:szCs w:val="18"/>
              </w:rPr>
            </w:pPr>
            <w:r w:rsidRPr="00ED6AA0">
              <w:rPr>
                <w:sz w:val="18"/>
                <w:szCs w:val="18"/>
                <w:lang w:val="en-CA"/>
              </w:rPr>
              <w:t>26.000</w:t>
            </w:r>
          </w:p>
        </w:tc>
        <w:tc>
          <w:tcPr>
            <w:tcW w:w="331" w:type="pct"/>
            <w:tcBorders>
              <w:top w:val="single" w:sz="4" w:space="0" w:color="auto"/>
              <w:left w:val="single" w:sz="4" w:space="0" w:color="auto"/>
              <w:bottom w:val="single" w:sz="4" w:space="0" w:color="auto"/>
              <w:right w:val="single" w:sz="4" w:space="0" w:color="auto"/>
            </w:tcBorders>
          </w:tcPr>
          <w:p w14:paraId="4AEEFFCB"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DD7DADF" w14:textId="77777777" w:rsidR="00B006A9" w:rsidRPr="00ED6AA0" w:rsidRDefault="00B006A9" w:rsidP="00B006A9">
            <w:pPr>
              <w:tabs>
                <w:tab w:val="left" w:pos="8280"/>
              </w:tabs>
              <w:spacing w:after="60"/>
              <w:jc w:val="right"/>
              <w:rPr>
                <w:sz w:val="18"/>
                <w:szCs w:val="18"/>
              </w:rPr>
            </w:pPr>
            <w:r w:rsidRPr="00ED6AA0">
              <w:rPr>
                <w:sz w:val="18"/>
                <w:szCs w:val="18"/>
                <w:lang w:val="en-CA"/>
              </w:rPr>
              <w:t>17.000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CF48BD4"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CA536A7" w14:textId="77777777" w:rsidR="00B006A9" w:rsidRPr="00ED6AA0" w:rsidRDefault="00B006A9" w:rsidP="00B006A9">
            <w:pPr>
              <w:tabs>
                <w:tab w:val="left" w:pos="8280"/>
              </w:tabs>
              <w:spacing w:after="60"/>
              <w:jc w:val="right"/>
              <w:rPr>
                <w:sz w:val="18"/>
                <w:szCs w:val="18"/>
              </w:rPr>
            </w:pPr>
            <w:r w:rsidRPr="00ED6AA0">
              <w:rPr>
                <w:sz w:val="18"/>
                <w:szCs w:val="18"/>
                <w:lang w:val="en-CA"/>
              </w:rPr>
              <w:t>4.000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92EA192"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09" w:type="pct"/>
            <w:tcBorders>
              <w:top w:val="single" w:sz="4" w:space="0" w:color="auto"/>
              <w:left w:val="single" w:sz="4" w:space="0" w:color="auto"/>
              <w:bottom w:val="single" w:sz="4" w:space="0" w:color="auto"/>
              <w:right w:val="single" w:sz="4" w:space="0" w:color="auto"/>
            </w:tcBorders>
          </w:tcPr>
          <w:p w14:paraId="3CF95673"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413" w:type="pct"/>
            <w:tcBorders>
              <w:top w:val="single" w:sz="4" w:space="0" w:color="auto"/>
              <w:left w:val="single" w:sz="4" w:space="0" w:color="auto"/>
              <w:bottom w:val="single" w:sz="4" w:space="0" w:color="auto"/>
              <w:right w:val="single" w:sz="4" w:space="0" w:color="auto"/>
            </w:tcBorders>
          </w:tcPr>
          <w:p w14:paraId="44764FA5"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17" w:type="pct"/>
            <w:tcBorders>
              <w:top w:val="single" w:sz="4" w:space="0" w:color="auto"/>
              <w:left w:val="single" w:sz="4" w:space="0" w:color="auto"/>
              <w:bottom w:val="single" w:sz="4" w:space="0" w:color="auto"/>
              <w:right w:val="single" w:sz="4" w:space="0" w:color="auto"/>
            </w:tcBorders>
          </w:tcPr>
          <w:p w14:paraId="09DA4CEE"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6C5EDBA" w14:textId="77777777" w:rsidR="00B006A9" w:rsidRPr="00ED6AA0" w:rsidRDefault="00B006A9" w:rsidP="00B006A9">
            <w:pPr>
              <w:tabs>
                <w:tab w:val="left" w:pos="8280"/>
              </w:tabs>
              <w:spacing w:after="60"/>
              <w:jc w:val="right"/>
              <w:rPr>
                <w:sz w:val="18"/>
                <w:szCs w:val="18"/>
              </w:rPr>
            </w:pPr>
            <w:r w:rsidRPr="00ED6AA0">
              <w:rPr>
                <w:sz w:val="18"/>
                <w:szCs w:val="18"/>
                <w:lang w:val="en-CA"/>
              </w:rPr>
              <w:t>47.000</w:t>
            </w:r>
          </w:p>
        </w:tc>
      </w:tr>
      <w:tr w:rsidR="00B006A9" w:rsidRPr="00ED6AA0" w14:paraId="7DF3BF9F" w14:textId="77777777" w:rsidTr="00B006A9">
        <w:trPr>
          <w:trHeight w:val="60"/>
          <w:jc w:val="center"/>
        </w:trPr>
        <w:tc>
          <w:tcPr>
            <w:tcW w:w="280" w:type="pct"/>
            <w:tcBorders>
              <w:top w:val="nil"/>
              <w:left w:val="single" w:sz="4" w:space="0" w:color="auto"/>
              <w:bottom w:val="single" w:sz="4" w:space="0" w:color="auto"/>
              <w:right w:val="single" w:sz="4" w:space="0" w:color="auto"/>
            </w:tcBorders>
            <w:shd w:val="clear" w:color="auto" w:fill="auto"/>
            <w:hideMark/>
          </w:tcPr>
          <w:p w14:paraId="54068E22" w14:textId="77777777" w:rsidR="00B006A9" w:rsidRPr="00ED6AA0" w:rsidRDefault="00B006A9" w:rsidP="00B006A9">
            <w:pPr>
              <w:jc w:val="left"/>
              <w:rPr>
                <w:color w:val="000000"/>
                <w:sz w:val="18"/>
                <w:szCs w:val="18"/>
              </w:rPr>
            </w:pPr>
            <w:r w:rsidRPr="00ED6AA0">
              <w:rPr>
                <w:color w:val="000000"/>
                <w:sz w:val="18"/>
                <w:szCs w:val="18"/>
                <w:lang w:eastAsia="en-CA"/>
              </w:rPr>
              <w:t>2.4</w:t>
            </w:r>
          </w:p>
        </w:tc>
        <w:tc>
          <w:tcPr>
            <w:tcW w:w="1132" w:type="pct"/>
            <w:tcBorders>
              <w:top w:val="nil"/>
              <w:left w:val="nil"/>
              <w:bottom w:val="single" w:sz="4" w:space="0" w:color="auto"/>
              <w:right w:val="single" w:sz="4" w:space="0" w:color="auto"/>
            </w:tcBorders>
            <w:shd w:val="clear" w:color="auto" w:fill="auto"/>
            <w:vAlign w:val="center"/>
            <w:hideMark/>
          </w:tcPr>
          <w:p w14:paraId="1A878C3D" w14:textId="77777777" w:rsidR="00B006A9" w:rsidRPr="00ED6AA0" w:rsidRDefault="00B006A9" w:rsidP="00B006A9">
            <w:pPr>
              <w:jc w:val="left"/>
              <w:rPr>
                <w:sz w:val="18"/>
                <w:szCs w:val="20"/>
              </w:rPr>
            </w:pPr>
            <w:r w:rsidRPr="00ED6AA0">
              <w:rPr>
                <w:sz w:val="18"/>
                <w:szCs w:val="20"/>
                <w:lang w:eastAsia="en-CA"/>
              </w:rPr>
              <w:t>Coûts d’appui pour l’Agence de coopération ($US)</w:t>
            </w:r>
          </w:p>
        </w:tc>
        <w:tc>
          <w:tcPr>
            <w:tcW w:w="377" w:type="pct"/>
            <w:tcBorders>
              <w:top w:val="single" w:sz="4" w:space="0" w:color="auto"/>
              <w:left w:val="nil"/>
              <w:bottom w:val="single" w:sz="4" w:space="0" w:color="auto"/>
              <w:right w:val="single" w:sz="4" w:space="0" w:color="auto"/>
            </w:tcBorders>
            <w:shd w:val="clear" w:color="auto" w:fill="auto"/>
          </w:tcPr>
          <w:p w14:paraId="5D1BCA7D" w14:textId="77777777" w:rsidR="00B006A9" w:rsidRPr="00ED6AA0" w:rsidRDefault="00B006A9" w:rsidP="00B006A9">
            <w:pPr>
              <w:tabs>
                <w:tab w:val="left" w:pos="8280"/>
              </w:tabs>
              <w:spacing w:after="60"/>
              <w:jc w:val="right"/>
              <w:rPr>
                <w:sz w:val="18"/>
                <w:szCs w:val="18"/>
              </w:rPr>
            </w:pPr>
            <w:r w:rsidRPr="00ED6AA0">
              <w:rPr>
                <w:sz w:val="18"/>
                <w:szCs w:val="18"/>
                <w:lang w:val="en-CA"/>
              </w:rPr>
              <w:t>3.380</w:t>
            </w:r>
          </w:p>
        </w:tc>
        <w:tc>
          <w:tcPr>
            <w:tcW w:w="331" w:type="pct"/>
            <w:tcBorders>
              <w:top w:val="single" w:sz="4" w:space="0" w:color="auto"/>
              <w:left w:val="single" w:sz="4" w:space="0" w:color="auto"/>
              <w:bottom w:val="single" w:sz="4" w:space="0" w:color="auto"/>
              <w:right w:val="single" w:sz="4" w:space="0" w:color="auto"/>
            </w:tcBorders>
          </w:tcPr>
          <w:p w14:paraId="0E33FE72"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BB51781" w14:textId="77777777" w:rsidR="00B006A9" w:rsidRPr="00ED6AA0" w:rsidRDefault="00B006A9" w:rsidP="00B006A9">
            <w:pPr>
              <w:tabs>
                <w:tab w:val="left" w:pos="8280"/>
              </w:tabs>
              <w:spacing w:after="60"/>
              <w:jc w:val="right"/>
              <w:rPr>
                <w:sz w:val="18"/>
                <w:szCs w:val="18"/>
              </w:rPr>
            </w:pPr>
            <w:r w:rsidRPr="00ED6AA0">
              <w:rPr>
                <w:sz w:val="18"/>
                <w:szCs w:val="18"/>
                <w:lang w:val="en-CA"/>
              </w:rPr>
              <w:t>2.210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D53A3A0"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3CB92364" w14:textId="77777777" w:rsidR="00B006A9" w:rsidRPr="00ED6AA0" w:rsidRDefault="00B006A9" w:rsidP="00B006A9">
            <w:pPr>
              <w:tabs>
                <w:tab w:val="left" w:pos="8280"/>
              </w:tabs>
              <w:spacing w:after="60"/>
              <w:jc w:val="right"/>
              <w:rPr>
                <w:sz w:val="18"/>
                <w:szCs w:val="18"/>
              </w:rPr>
            </w:pPr>
            <w:r w:rsidRPr="00ED6AA0">
              <w:rPr>
                <w:sz w:val="18"/>
                <w:szCs w:val="18"/>
                <w:lang w:val="en-CA"/>
              </w:rPr>
              <w:t>520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58F8D52"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09" w:type="pct"/>
            <w:tcBorders>
              <w:top w:val="single" w:sz="4" w:space="0" w:color="auto"/>
              <w:left w:val="single" w:sz="4" w:space="0" w:color="auto"/>
              <w:bottom w:val="single" w:sz="4" w:space="0" w:color="auto"/>
              <w:right w:val="single" w:sz="4" w:space="0" w:color="auto"/>
            </w:tcBorders>
          </w:tcPr>
          <w:p w14:paraId="0F2D3C0A"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413" w:type="pct"/>
            <w:tcBorders>
              <w:top w:val="single" w:sz="4" w:space="0" w:color="auto"/>
              <w:left w:val="single" w:sz="4" w:space="0" w:color="auto"/>
              <w:bottom w:val="single" w:sz="4" w:space="0" w:color="auto"/>
              <w:right w:val="single" w:sz="4" w:space="0" w:color="auto"/>
            </w:tcBorders>
          </w:tcPr>
          <w:p w14:paraId="5564F66A"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17" w:type="pct"/>
            <w:tcBorders>
              <w:top w:val="single" w:sz="4" w:space="0" w:color="auto"/>
              <w:left w:val="single" w:sz="4" w:space="0" w:color="auto"/>
              <w:bottom w:val="single" w:sz="4" w:space="0" w:color="auto"/>
              <w:right w:val="single" w:sz="4" w:space="0" w:color="auto"/>
            </w:tcBorders>
          </w:tcPr>
          <w:p w14:paraId="1D4E35D9"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C748A8A" w14:textId="77777777" w:rsidR="00B006A9" w:rsidRPr="00ED6AA0" w:rsidRDefault="00B006A9" w:rsidP="00B006A9">
            <w:pPr>
              <w:tabs>
                <w:tab w:val="left" w:pos="8280"/>
              </w:tabs>
              <w:spacing w:after="60"/>
              <w:jc w:val="right"/>
              <w:rPr>
                <w:sz w:val="18"/>
                <w:szCs w:val="18"/>
              </w:rPr>
            </w:pPr>
            <w:r w:rsidRPr="00ED6AA0">
              <w:rPr>
                <w:sz w:val="18"/>
                <w:szCs w:val="18"/>
                <w:lang w:val="en-CA"/>
              </w:rPr>
              <w:t>6.110</w:t>
            </w:r>
          </w:p>
        </w:tc>
      </w:tr>
      <w:tr w:rsidR="00B006A9" w:rsidRPr="00ED6AA0" w14:paraId="3E5C17CF" w14:textId="77777777" w:rsidTr="00B006A9">
        <w:trPr>
          <w:trHeight w:val="62"/>
          <w:jc w:val="center"/>
        </w:trPr>
        <w:tc>
          <w:tcPr>
            <w:tcW w:w="280" w:type="pct"/>
            <w:tcBorders>
              <w:top w:val="nil"/>
              <w:left w:val="single" w:sz="4" w:space="0" w:color="auto"/>
              <w:bottom w:val="single" w:sz="4" w:space="0" w:color="auto"/>
              <w:right w:val="single" w:sz="4" w:space="0" w:color="auto"/>
            </w:tcBorders>
            <w:shd w:val="clear" w:color="auto" w:fill="auto"/>
            <w:hideMark/>
          </w:tcPr>
          <w:p w14:paraId="0B0B41C2" w14:textId="77777777" w:rsidR="00B006A9" w:rsidRPr="00ED6AA0" w:rsidRDefault="00B006A9" w:rsidP="00B006A9">
            <w:pPr>
              <w:jc w:val="left"/>
              <w:rPr>
                <w:color w:val="000000"/>
                <w:sz w:val="18"/>
                <w:szCs w:val="18"/>
              </w:rPr>
            </w:pPr>
            <w:r w:rsidRPr="00ED6AA0">
              <w:rPr>
                <w:color w:val="000000"/>
                <w:sz w:val="18"/>
                <w:szCs w:val="18"/>
                <w:lang w:eastAsia="en-CA"/>
              </w:rPr>
              <w:t>3.1</w:t>
            </w:r>
          </w:p>
        </w:tc>
        <w:tc>
          <w:tcPr>
            <w:tcW w:w="1132" w:type="pct"/>
            <w:tcBorders>
              <w:top w:val="nil"/>
              <w:left w:val="nil"/>
              <w:bottom w:val="single" w:sz="4" w:space="0" w:color="auto"/>
              <w:right w:val="single" w:sz="4" w:space="0" w:color="auto"/>
            </w:tcBorders>
            <w:shd w:val="clear" w:color="auto" w:fill="auto"/>
            <w:hideMark/>
          </w:tcPr>
          <w:p w14:paraId="49E660DB" w14:textId="77777777" w:rsidR="00B006A9" w:rsidRPr="00ED6AA0" w:rsidRDefault="00B006A9" w:rsidP="00B006A9">
            <w:pPr>
              <w:jc w:val="left"/>
              <w:rPr>
                <w:sz w:val="18"/>
                <w:szCs w:val="20"/>
              </w:rPr>
            </w:pPr>
            <w:r w:rsidRPr="00ED6AA0">
              <w:rPr>
                <w:sz w:val="18"/>
                <w:szCs w:val="20"/>
                <w:lang w:eastAsia="en-CA"/>
              </w:rPr>
              <w:t>Total du financement convenu ($US)</w:t>
            </w:r>
          </w:p>
        </w:tc>
        <w:tc>
          <w:tcPr>
            <w:tcW w:w="377" w:type="pct"/>
            <w:tcBorders>
              <w:top w:val="single" w:sz="4" w:space="0" w:color="auto"/>
              <w:left w:val="nil"/>
              <w:bottom w:val="single" w:sz="4" w:space="0" w:color="auto"/>
              <w:right w:val="single" w:sz="4" w:space="0" w:color="auto"/>
            </w:tcBorders>
            <w:shd w:val="clear" w:color="auto" w:fill="auto"/>
          </w:tcPr>
          <w:p w14:paraId="261E7FEF" w14:textId="77777777" w:rsidR="00B006A9" w:rsidRPr="00ED6AA0" w:rsidRDefault="00B006A9" w:rsidP="00B006A9">
            <w:pPr>
              <w:tabs>
                <w:tab w:val="left" w:pos="8280"/>
              </w:tabs>
              <w:spacing w:after="60"/>
              <w:jc w:val="right"/>
              <w:rPr>
                <w:sz w:val="18"/>
                <w:szCs w:val="18"/>
              </w:rPr>
            </w:pPr>
            <w:r w:rsidRPr="00ED6AA0">
              <w:rPr>
                <w:sz w:val="18"/>
                <w:szCs w:val="18"/>
                <w:lang w:val="en-CA"/>
              </w:rPr>
              <w:t>195.000</w:t>
            </w:r>
          </w:p>
        </w:tc>
        <w:tc>
          <w:tcPr>
            <w:tcW w:w="331" w:type="pct"/>
            <w:tcBorders>
              <w:top w:val="single" w:sz="4" w:space="0" w:color="auto"/>
              <w:left w:val="single" w:sz="4" w:space="0" w:color="auto"/>
              <w:bottom w:val="single" w:sz="4" w:space="0" w:color="auto"/>
              <w:right w:val="single" w:sz="4" w:space="0" w:color="auto"/>
            </w:tcBorders>
          </w:tcPr>
          <w:p w14:paraId="7B1ECD83"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7BF04B0" w14:textId="77777777" w:rsidR="00B006A9" w:rsidRPr="00ED6AA0" w:rsidRDefault="00B006A9" w:rsidP="00B006A9">
            <w:pPr>
              <w:tabs>
                <w:tab w:val="left" w:pos="8280"/>
              </w:tabs>
              <w:spacing w:after="60"/>
              <w:jc w:val="right"/>
              <w:rPr>
                <w:sz w:val="18"/>
                <w:szCs w:val="18"/>
              </w:rPr>
            </w:pPr>
            <w:r w:rsidRPr="00ED6AA0">
              <w:rPr>
                <w:sz w:val="18"/>
                <w:szCs w:val="18"/>
                <w:lang w:val="en-CA"/>
              </w:rPr>
              <w:t>261.255</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623B592"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2F96F84" w14:textId="77777777" w:rsidR="00B006A9" w:rsidRPr="00ED6AA0" w:rsidRDefault="00B006A9" w:rsidP="00B006A9">
            <w:pPr>
              <w:tabs>
                <w:tab w:val="left" w:pos="8280"/>
              </w:tabs>
              <w:spacing w:after="60"/>
              <w:jc w:val="right"/>
              <w:rPr>
                <w:sz w:val="18"/>
                <w:szCs w:val="18"/>
              </w:rPr>
            </w:pPr>
            <w:r w:rsidRPr="00ED6AA0">
              <w:rPr>
                <w:sz w:val="18"/>
                <w:szCs w:val="18"/>
                <w:lang w:val="en-CA"/>
              </w:rPr>
              <w:t>128.745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637EDBF"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09" w:type="pct"/>
            <w:tcBorders>
              <w:top w:val="single" w:sz="4" w:space="0" w:color="auto"/>
              <w:left w:val="single" w:sz="4" w:space="0" w:color="auto"/>
              <w:bottom w:val="single" w:sz="4" w:space="0" w:color="auto"/>
              <w:right w:val="single" w:sz="4" w:space="0" w:color="auto"/>
            </w:tcBorders>
          </w:tcPr>
          <w:p w14:paraId="5AA8AD93"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413" w:type="pct"/>
            <w:tcBorders>
              <w:top w:val="single" w:sz="4" w:space="0" w:color="auto"/>
              <w:left w:val="single" w:sz="4" w:space="0" w:color="auto"/>
              <w:bottom w:val="single" w:sz="4" w:space="0" w:color="auto"/>
              <w:right w:val="single" w:sz="4" w:space="0" w:color="auto"/>
            </w:tcBorders>
          </w:tcPr>
          <w:p w14:paraId="1417BD8B" w14:textId="77777777" w:rsidR="00B006A9" w:rsidRPr="00ED6AA0" w:rsidRDefault="00B006A9" w:rsidP="00B006A9">
            <w:pPr>
              <w:tabs>
                <w:tab w:val="left" w:pos="8280"/>
              </w:tabs>
              <w:spacing w:after="60"/>
              <w:jc w:val="right"/>
              <w:rPr>
                <w:sz w:val="18"/>
                <w:szCs w:val="18"/>
              </w:rPr>
            </w:pPr>
            <w:r w:rsidRPr="00ED6AA0">
              <w:rPr>
                <w:sz w:val="18"/>
                <w:szCs w:val="18"/>
                <w:lang w:val="en-CA"/>
              </w:rPr>
              <w:t>65.000</w:t>
            </w:r>
          </w:p>
        </w:tc>
        <w:tc>
          <w:tcPr>
            <w:tcW w:w="317" w:type="pct"/>
            <w:tcBorders>
              <w:top w:val="single" w:sz="4" w:space="0" w:color="auto"/>
              <w:left w:val="single" w:sz="4" w:space="0" w:color="auto"/>
              <w:bottom w:val="single" w:sz="4" w:space="0" w:color="auto"/>
              <w:right w:val="single" w:sz="4" w:space="0" w:color="auto"/>
            </w:tcBorders>
          </w:tcPr>
          <w:p w14:paraId="6DCF2881"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F51C0BE" w14:textId="77777777" w:rsidR="00B006A9" w:rsidRPr="00ED6AA0" w:rsidRDefault="00B006A9" w:rsidP="00B006A9">
            <w:pPr>
              <w:tabs>
                <w:tab w:val="left" w:pos="8280"/>
              </w:tabs>
              <w:spacing w:after="60"/>
              <w:jc w:val="right"/>
              <w:rPr>
                <w:sz w:val="18"/>
                <w:szCs w:val="18"/>
              </w:rPr>
            </w:pPr>
            <w:r w:rsidRPr="00ED6AA0">
              <w:rPr>
                <w:sz w:val="18"/>
                <w:szCs w:val="18"/>
                <w:lang w:val="en-CA"/>
              </w:rPr>
              <w:t>650.000</w:t>
            </w:r>
          </w:p>
        </w:tc>
      </w:tr>
      <w:tr w:rsidR="00B006A9" w:rsidRPr="00ED6AA0" w14:paraId="74B4B179" w14:textId="77777777" w:rsidTr="00B006A9">
        <w:trPr>
          <w:trHeight w:val="62"/>
          <w:jc w:val="center"/>
        </w:trPr>
        <w:tc>
          <w:tcPr>
            <w:tcW w:w="280" w:type="pct"/>
            <w:tcBorders>
              <w:top w:val="nil"/>
              <w:left w:val="single" w:sz="4" w:space="0" w:color="auto"/>
              <w:bottom w:val="single" w:sz="4" w:space="0" w:color="auto"/>
              <w:right w:val="single" w:sz="4" w:space="0" w:color="auto"/>
            </w:tcBorders>
            <w:shd w:val="clear" w:color="auto" w:fill="auto"/>
            <w:hideMark/>
          </w:tcPr>
          <w:p w14:paraId="6E0A316B" w14:textId="77777777" w:rsidR="00B006A9" w:rsidRPr="00ED6AA0" w:rsidRDefault="00B006A9" w:rsidP="00B006A9">
            <w:pPr>
              <w:jc w:val="left"/>
              <w:rPr>
                <w:color w:val="000000"/>
                <w:sz w:val="18"/>
                <w:szCs w:val="18"/>
              </w:rPr>
            </w:pPr>
            <w:r w:rsidRPr="00ED6AA0">
              <w:rPr>
                <w:color w:val="000000"/>
                <w:sz w:val="18"/>
                <w:szCs w:val="18"/>
                <w:lang w:eastAsia="en-CA"/>
              </w:rPr>
              <w:t>3.2</w:t>
            </w:r>
          </w:p>
        </w:tc>
        <w:tc>
          <w:tcPr>
            <w:tcW w:w="1132" w:type="pct"/>
            <w:tcBorders>
              <w:top w:val="nil"/>
              <w:left w:val="nil"/>
              <w:bottom w:val="single" w:sz="4" w:space="0" w:color="auto"/>
              <w:right w:val="single" w:sz="4" w:space="0" w:color="auto"/>
            </w:tcBorders>
            <w:shd w:val="clear" w:color="auto" w:fill="auto"/>
            <w:hideMark/>
          </w:tcPr>
          <w:p w14:paraId="1816D22E" w14:textId="77777777" w:rsidR="00B006A9" w:rsidRPr="00ED6AA0" w:rsidRDefault="00B006A9" w:rsidP="00B006A9">
            <w:pPr>
              <w:jc w:val="left"/>
              <w:rPr>
                <w:sz w:val="18"/>
                <w:szCs w:val="20"/>
              </w:rPr>
            </w:pPr>
            <w:r w:rsidRPr="00ED6AA0">
              <w:rPr>
                <w:sz w:val="18"/>
                <w:szCs w:val="20"/>
                <w:lang w:eastAsia="en-CA"/>
              </w:rPr>
              <w:t>Total des coûts d’appui ($US)</w:t>
            </w:r>
          </w:p>
        </w:tc>
        <w:tc>
          <w:tcPr>
            <w:tcW w:w="377" w:type="pct"/>
            <w:tcBorders>
              <w:top w:val="single" w:sz="4" w:space="0" w:color="auto"/>
              <w:left w:val="nil"/>
              <w:bottom w:val="single" w:sz="4" w:space="0" w:color="auto"/>
              <w:right w:val="single" w:sz="4" w:space="0" w:color="auto"/>
            </w:tcBorders>
            <w:shd w:val="clear" w:color="auto" w:fill="auto"/>
          </w:tcPr>
          <w:p w14:paraId="3E89EF60" w14:textId="77777777" w:rsidR="00B006A9" w:rsidRPr="00ED6AA0" w:rsidRDefault="00B006A9" w:rsidP="00B006A9">
            <w:pPr>
              <w:tabs>
                <w:tab w:val="left" w:pos="8280"/>
              </w:tabs>
              <w:spacing w:after="60"/>
              <w:jc w:val="right"/>
              <w:rPr>
                <w:sz w:val="18"/>
                <w:szCs w:val="18"/>
              </w:rPr>
            </w:pPr>
            <w:r w:rsidRPr="00ED6AA0">
              <w:rPr>
                <w:sz w:val="18"/>
                <w:szCs w:val="18"/>
                <w:lang w:val="en-CA"/>
              </w:rPr>
              <w:t>15.210</w:t>
            </w:r>
          </w:p>
        </w:tc>
        <w:tc>
          <w:tcPr>
            <w:tcW w:w="331" w:type="pct"/>
            <w:tcBorders>
              <w:top w:val="single" w:sz="4" w:space="0" w:color="auto"/>
              <w:left w:val="single" w:sz="4" w:space="0" w:color="auto"/>
              <w:bottom w:val="single" w:sz="4" w:space="0" w:color="auto"/>
              <w:right w:val="single" w:sz="4" w:space="0" w:color="auto"/>
            </w:tcBorders>
          </w:tcPr>
          <w:p w14:paraId="4CB10659"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E4D6152" w14:textId="77777777" w:rsidR="00B006A9" w:rsidRPr="00ED6AA0" w:rsidRDefault="00B006A9" w:rsidP="00B006A9">
            <w:pPr>
              <w:tabs>
                <w:tab w:val="left" w:pos="8280"/>
              </w:tabs>
              <w:spacing w:after="60"/>
              <w:jc w:val="right"/>
              <w:rPr>
                <w:sz w:val="18"/>
                <w:szCs w:val="18"/>
              </w:rPr>
            </w:pPr>
            <w:r w:rsidRPr="00ED6AA0">
              <w:rPr>
                <w:sz w:val="18"/>
                <w:szCs w:val="18"/>
                <w:lang w:val="en-CA"/>
              </w:rPr>
              <w:t>19.308</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399B4A3A"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57B58D5" w14:textId="77777777" w:rsidR="00B006A9" w:rsidRPr="00ED6AA0" w:rsidRDefault="00B006A9" w:rsidP="00B006A9">
            <w:pPr>
              <w:tabs>
                <w:tab w:val="left" w:pos="8280"/>
              </w:tabs>
              <w:spacing w:after="60"/>
              <w:jc w:val="right"/>
              <w:rPr>
                <w:sz w:val="18"/>
                <w:szCs w:val="18"/>
              </w:rPr>
            </w:pPr>
            <w:r w:rsidRPr="00ED6AA0">
              <w:rPr>
                <w:sz w:val="18"/>
                <w:szCs w:val="18"/>
                <w:lang w:val="en-CA"/>
              </w:rPr>
              <w:t>9.252</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380B9AFA"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09" w:type="pct"/>
            <w:tcBorders>
              <w:top w:val="single" w:sz="4" w:space="0" w:color="auto"/>
              <w:left w:val="single" w:sz="4" w:space="0" w:color="auto"/>
              <w:bottom w:val="single" w:sz="4" w:space="0" w:color="auto"/>
              <w:right w:val="single" w:sz="4" w:space="0" w:color="auto"/>
            </w:tcBorders>
          </w:tcPr>
          <w:p w14:paraId="30453A1E"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413" w:type="pct"/>
            <w:tcBorders>
              <w:top w:val="single" w:sz="4" w:space="0" w:color="auto"/>
              <w:left w:val="single" w:sz="4" w:space="0" w:color="auto"/>
              <w:bottom w:val="single" w:sz="4" w:space="0" w:color="auto"/>
              <w:right w:val="single" w:sz="4" w:space="0" w:color="auto"/>
            </w:tcBorders>
          </w:tcPr>
          <w:p w14:paraId="6AD36DCF" w14:textId="77777777" w:rsidR="00B006A9" w:rsidRPr="00ED6AA0" w:rsidRDefault="00B006A9" w:rsidP="00B006A9">
            <w:pPr>
              <w:tabs>
                <w:tab w:val="left" w:pos="8280"/>
              </w:tabs>
              <w:spacing w:after="60"/>
              <w:jc w:val="right"/>
              <w:rPr>
                <w:sz w:val="18"/>
                <w:szCs w:val="18"/>
              </w:rPr>
            </w:pPr>
            <w:r w:rsidRPr="00ED6AA0">
              <w:rPr>
                <w:sz w:val="18"/>
                <w:szCs w:val="18"/>
                <w:lang w:val="en-CA"/>
              </w:rPr>
              <w:t>4.550</w:t>
            </w:r>
          </w:p>
        </w:tc>
        <w:tc>
          <w:tcPr>
            <w:tcW w:w="317" w:type="pct"/>
            <w:tcBorders>
              <w:top w:val="single" w:sz="4" w:space="0" w:color="auto"/>
              <w:left w:val="single" w:sz="4" w:space="0" w:color="auto"/>
              <w:bottom w:val="single" w:sz="4" w:space="0" w:color="auto"/>
              <w:right w:val="single" w:sz="4" w:space="0" w:color="auto"/>
            </w:tcBorders>
          </w:tcPr>
          <w:p w14:paraId="4C288107"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8EAD9DC" w14:textId="77777777" w:rsidR="00B006A9" w:rsidRPr="00ED6AA0" w:rsidRDefault="00B006A9" w:rsidP="00B006A9">
            <w:pPr>
              <w:tabs>
                <w:tab w:val="left" w:pos="8280"/>
              </w:tabs>
              <w:spacing w:after="60"/>
              <w:jc w:val="right"/>
              <w:rPr>
                <w:sz w:val="18"/>
                <w:szCs w:val="18"/>
              </w:rPr>
            </w:pPr>
            <w:r w:rsidRPr="00ED6AA0">
              <w:rPr>
                <w:sz w:val="18"/>
                <w:szCs w:val="18"/>
                <w:lang w:val="en-CA"/>
              </w:rPr>
              <w:t>48.320</w:t>
            </w:r>
          </w:p>
        </w:tc>
      </w:tr>
      <w:tr w:rsidR="00B006A9" w:rsidRPr="00ED6AA0" w14:paraId="1B3C53ED" w14:textId="77777777" w:rsidTr="00B006A9">
        <w:trPr>
          <w:trHeight w:val="53"/>
          <w:jc w:val="center"/>
        </w:trPr>
        <w:tc>
          <w:tcPr>
            <w:tcW w:w="280" w:type="pct"/>
            <w:tcBorders>
              <w:top w:val="nil"/>
              <w:left w:val="single" w:sz="4" w:space="0" w:color="auto"/>
              <w:bottom w:val="single" w:sz="4" w:space="0" w:color="auto"/>
              <w:right w:val="single" w:sz="4" w:space="0" w:color="auto"/>
            </w:tcBorders>
            <w:shd w:val="clear" w:color="auto" w:fill="auto"/>
            <w:hideMark/>
          </w:tcPr>
          <w:p w14:paraId="53096604" w14:textId="77777777" w:rsidR="00B006A9" w:rsidRPr="00ED6AA0" w:rsidRDefault="00B006A9" w:rsidP="00B006A9">
            <w:pPr>
              <w:jc w:val="left"/>
              <w:rPr>
                <w:color w:val="000000"/>
                <w:sz w:val="18"/>
                <w:szCs w:val="18"/>
              </w:rPr>
            </w:pPr>
            <w:r w:rsidRPr="00ED6AA0">
              <w:rPr>
                <w:color w:val="000000"/>
                <w:sz w:val="18"/>
                <w:szCs w:val="18"/>
                <w:lang w:eastAsia="en-CA"/>
              </w:rPr>
              <w:t>3.3</w:t>
            </w:r>
          </w:p>
        </w:tc>
        <w:tc>
          <w:tcPr>
            <w:tcW w:w="1132" w:type="pct"/>
            <w:tcBorders>
              <w:top w:val="nil"/>
              <w:left w:val="nil"/>
              <w:bottom w:val="single" w:sz="4" w:space="0" w:color="auto"/>
              <w:right w:val="single" w:sz="4" w:space="0" w:color="auto"/>
            </w:tcBorders>
            <w:shd w:val="clear" w:color="auto" w:fill="auto"/>
            <w:hideMark/>
          </w:tcPr>
          <w:p w14:paraId="2A9B996C" w14:textId="77777777" w:rsidR="00B006A9" w:rsidRPr="00ED6AA0" w:rsidRDefault="00B006A9" w:rsidP="00B006A9">
            <w:pPr>
              <w:jc w:val="left"/>
              <w:rPr>
                <w:sz w:val="18"/>
                <w:szCs w:val="20"/>
              </w:rPr>
            </w:pPr>
            <w:r w:rsidRPr="00ED6AA0">
              <w:rPr>
                <w:sz w:val="18"/>
                <w:szCs w:val="20"/>
                <w:lang w:eastAsia="en-CA"/>
              </w:rPr>
              <w:t>Total des coûts convenus ($US)</w:t>
            </w:r>
          </w:p>
        </w:tc>
        <w:tc>
          <w:tcPr>
            <w:tcW w:w="377" w:type="pct"/>
            <w:tcBorders>
              <w:top w:val="single" w:sz="4" w:space="0" w:color="auto"/>
              <w:left w:val="nil"/>
              <w:bottom w:val="single" w:sz="4" w:space="0" w:color="auto"/>
              <w:right w:val="single" w:sz="4" w:space="0" w:color="auto"/>
            </w:tcBorders>
            <w:shd w:val="clear" w:color="auto" w:fill="auto"/>
          </w:tcPr>
          <w:p w14:paraId="2E598247" w14:textId="77777777" w:rsidR="00B006A9" w:rsidRPr="00ED6AA0" w:rsidRDefault="00B006A9" w:rsidP="00B006A9">
            <w:pPr>
              <w:tabs>
                <w:tab w:val="left" w:pos="8280"/>
              </w:tabs>
              <w:spacing w:after="60"/>
              <w:jc w:val="right"/>
              <w:rPr>
                <w:sz w:val="18"/>
                <w:szCs w:val="18"/>
              </w:rPr>
            </w:pPr>
            <w:r w:rsidRPr="00ED6AA0">
              <w:rPr>
                <w:sz w:val="18"/>
                <w:szCs w:val="18"/>
                <w:lang w:val="en-CA"/>
              </w:rPr>
              <w:t>210.210</w:t>
            </w:r>
          </w:p>
        </w:tc>
        <w:tc>
          <w:tcPr>
            <w:tcW w:w="331" w:type="pct"/>
            <w:tcBorders>
              <w:top w:val="single" w:sz="4" w:space="0" w:color="auto"/>
              <w:left w:val="single" w:sz="4" w:space="0" w:color="auto"/>
              <w:bottom w:val="single" w:sz="4" w:space="0" w:color="auto"/>
              <w:right w:val="single" w:sz="4" w:space="0" w:color="auto"/>
            </w:tcBorders>
          </w:tcPr>
          <w:p w14:paraId="3AE7A08E"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3073B5B" w14:textId="77777777" w:rsidR="00B006A9" w:rsidRPr="00ED6AA0" w:rsidRDefault="00B006A9" w:rsidP="00B006A9">
            <w:pPr>
              <w:tabs>
                <w:tab w:val="left" w:pos="8280"/>
              </w:tabs>
              <w:spacing w:after="60"/>
              <w:jc w:val="right"/>
              <w:rPr>
                <w:sz w:val="18"/>
                <w:szCs w:val="18"/>
              </w:rPr>
            </w:pPr>
            <w:r w:rsidRPr="00ED6AA0">
              <w:rPr>
                <w:sz w:val="18"/>
                <w:szCs w:val="18"/>
                <w:lang w:val="en-CA"/>
              </w:rPr>
              <w:t>280.563</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77CEEBF"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EDFE34F" w14:textId="77777777" w:rsidR="00B006A9" w:rsidRPr="00ED6AA0" w:rsidRDefault="00B006A9" w:rsidP="00B006A9">
            <w:pPr>
              <w:tabs>
                <w:tab w:val="left" w:pos="8280"/>
              </w:tabs>
              <w:spacing w:after="60"/>
              <w:jc w:val="right"/>
              <w:rPr>
                <w:sz w:val="18"/>
                <w:szCs w:val="18"/>
              </w:rPr>
            </w:pPr>
            <w:r w:rsidRPr="00ED6AA0">
              <w:rPr>
                <w:sz w:val="18"/>
                <w:szCs w:val="18"/>
                <w:lang w:val="en-CA"/>
              </w:rPr>
              <w:t>137.997</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E204A4D"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09" w:type="pct"/>
            <w:tcBorders>
              <w:top w:val="single" w:sz="4" w:space="0" w:color="auto"/>
              <w:left w:val="single" w:sz="4" w:space="0" w:color="auto"/>
              <w:bottom w:val="single" w:sz="4" w:space="0" w:color="auto"/>
              <w:right w:val="single" w:sz="4" w:space="0" w:color="auto"/>
            </w:tcBorders>
          </w:tcPr>
          <w:p w14:paraId="67CF6EDF"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413" w:type="pct"/>
            <w:tcBorders>
              <w:top w:val="single" w:sz="4" w:space="0" w:color="auto"/>
              <w:left w:val="single" w:sz="4" w:space="0" w:color="auto"/>
              <w:bottom w:val="single" w:sz="4" w:space="0" w:color="auto"/>
              <w:right w:val="single" w:sz="4" w:space="0" w:color="auto"/>
            </w:tcBorders>
          </w:tcPr>
          <w:p w14:paraId="1BDD4771" w14:textId="77777777" w:rsidR="00B006A9" w:rsidRPr="00ED6AA0" w:rsidRDefault="00B006A9" w:rsidP="00B006A9">
            <w:pPr>
              <w:tabs>
                <w:tab w:val="left" w:pos="8280"/>
              </w:tabs>
              <w:spacing w:after="60"/>
              <w:jc w:val="right"/>
              <w:rPr>
                <w:sz w:val="18"/>
                <w:szCs w:val="18"/>
              </w:rPr>
            </w:pPr>
            <w:r w:rsidRPr="00ED6AA0">
              <w:rPr>
                <w:sz w:val="18"/>
                <w:szCs w:val="18"/>
                <w:lang w:val="en-CA"/>
              </w:rPr>
              <w:t>69.550</w:t>
            </w:r>
          </w:p>
        </w:tc>
        <w:tc>
          <w:tcPr>
            <w:tcW w:w="317" w:type="pct"/>
            <w:tcBorders>
              <w:top w:val="single" w:sz="4" w:space="0" w:color="auto"/>
              <w:left w:val="single" w:sz="4" w:space="0" w:color="auto"/>
              <w:bottom w:val="single" w:sz="4" w:space="0" w:color="auto"/>
              <w:right w:val="single" w:sz="4" w:space="0" w:color="auto"/>
            </w:tcBorders>
          </w:tcPr>
          <w:p w14:paraId="130A7925" w14:textId="77777777" w:rsidR="00B006A9" w:rsidRPr="00ED6AA0" w:rsidRDefault="00B006A9" w:rsidP="00B006A9">
            <w:pPr>
              <w:tabs>
                <w:tab w:val="left" w:pos="8280"/>
              </w:tabs>
              <w:spacing w:after="60"/>
              <w:jc w:val="right"/>
              <w:rPr>
                <w:sz w:val="18"/>
                <w:szCs w:val="18"/>
              </w:rPr>
            </w:pPr>
            <w:r w:rsidRPr="00ED6AA0">
              <w:rPr>
                <w:sz w:val="18"/>
                <w:szCs w:val="18"/>
                <w:lang w:val="en-CA"/>
              </w:rPr>
              <w:t>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3D631AC" w14:textId="77777777" w:rsidR="00B006A9" w:rsidRPr="00ED6AA0" w:rsidRDefault="00B006A9" w:rsidP="00B006A9">
            <w:pPr>
              <w:tabs>
                <w:tab w:val="left" w:pos="8280"/>
              </w:tabs>
              <w:spacing w:after="60"/>
              <w:jc w:val="right"/>
              <w:rPr>
                <w:sz w:val="18"/>
                <w:szCs w:val="18"/>
              </w:rPr>
            </w:pPr>
            <w:r w:rsidRPr="00ED6AA0">
              <w:rPr>
                <w:sz w:val="18"/>
                <w:szCs w:val="18"/>
                <w:lang w:val="en-CA"/>
              </w:rPr>
              <w:t>698.320</w:t>
            </w:r>
          </w:p>
        </w:tc>
      </w:tr>
      <w:tr w:rsidR="00B006A9" w:rsidRPr="00ED6AA0" w14:paraId="018E8231" w14:textId="77777777" w:rsidTr="00B006A9">
        <w:trPr>
          <w:trHeight w:val="53"/>
          <w:jc w:val="center"/>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14:paraId="746C66AA" w14:textId="77777777" w:rsidR="00B006A9" w:rsidRPr="00ED6AA0" w:rsidRDefault="00B006A9" w:rsidP="00B006A9">
            <w:pPr>
              <w:jc w:val="left"/>
              <w:rPr>
                <w:color w:val="000000"/>
                <w:sz w:val="18"/>
                <w:szCs w:val="18"/>
              </w:rPr>
            </w:pPr>
            <w:r w:rsidRPr="00ED6AA0">
              <w:rPr>
                <w:color w:val="000000"/>
                <w:sz w:val="18"/>
                <w:szCs w:val="18"/>
                <w:lang w:eastAsia="en-CA"/>
              </w:rPr>
              <w:t>4.1.1</w:t>
            </w:r>
          </w:p>
        </w:tc>
        <w:tc>
          <w:tcPr>
            <w:tcW w:w="4343" w:type="pct"/>
            <w:gridSpan w:val="10"/>
            <w:tcBorders>
              <w:top w:val="single" w:sz="4" w:space="0" w:color="auto"/>
              <w:left w:val="nil"/>
              <w:bottom w:val="single" w:sz="4" w:space="0" w:color="auto"/>
              <w:right w:val="single" w:sz="4" w:space="0" w:color="auto"/>
            </w:tcBorders>
            <w:vAlign w:val="center"/>
          </w:tcPr>
          <w:p w14:paraId="7DAB711B" w14:textId="77777777" w:rsidR="00B006A9" w:rsidRPr="00ED6AA0" w:rsidRDefault="00B006A9" w:rsidP="00B006A9">
            <w:pPr>
              <w:jc w:val="left"/>
              <w:rPr>
                <w:sz w:val="18"/>
                <w:szCs w:val="18"/>
              </w:rPr>
            </w:pPr>
            <w:r w:rsidRPr="00ED6AA0">
              <w:rPr>
                <w:sz w:val="18"/>
                <w:szCs w:val="18"/>
                <w:lang w:eastAsia="en-CA"/>
              </w:rPr>
              <w:t>Élimination totale du HCFC-22 convenue aux termes du présent Accord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51F01A2" w14:textId="77777777" w:rsidR="00B006A9" w:rsidRPr="00ED6AA0" w:rsidRDefault="00B006A9" w:rsidP="00B006A9">
            <w:pPr>
              <w:jc w:val="right"/>
              <w:rPr>
                <w:color w:val="000000"/>
                <w:sz w:val="18"/>
                <w:szCs w:val="18"/>
              </w:rPr>
            </w:pPr>
            <w:r w:rsidRPr="00ED6AA0">
              <w:rPr>
                <w:color w:val="000000"/>
                <w:sz w:val="18"/>
                <w:szCs w:val="18"/>
                <w:lang w:eastAsia="en-CA"/>
              </w:rPr>
              <w:t>7,59</w:t>
            </w:r>
          </w:p>
        </w:tc>
      </w:tr>
      <w:tr w:rsidR="00B006A9" w:rsidRPr="00ED6AA0" w14:paraId="7045698D" w14:textId="77777777" w:rsidTr="00B006A9">
        <w:trPr>
          <w:trHeight w:val="116"/>
          <w:jc w:val="center"/>
        </w:trPr>
        <w:tc>
          <w:tcPr>
            <w:tcW w:w="280" w:type="pct"/>
            <w:tcBorders>
              <w:top w:val="nil"/>
              <w:left w:val="single" w:sz="4" w:space="0" w:color="auto"/>
              <w:bottom w:val="single" w:sz="4" w:space="0" w:color="auto"/>
              <w:right w:val="single" w:sz="4" w:space="0" w:color="auto"/>
            </w:tcBorders>
            <w:shd w:val="clear" w:color="auto" w:fill="auto"/>
            <w:hideMark/>
          </w:tcPr>
          <w:p w14:paraId="53253936" w14:textId="77777777" w:rsidR="00B006A9" w:rsidRPr="00ED6AA0" w:rsidRDefault="00B006A9" w:rsidP="00B006A9">
            <w:pPr>
              <w:jc w:val="left"/>
              <w:rPr>
                <w:color w:val="000000"/>
                <w:sz w:val="18"/>
                <w:szCs w:val="18"/>
              </w:rPr>
            </w:pPr>
            <w:r w:rsidRPr="00ED6AA0">
              <w:rPr>
                <w:color w:val="000000"/>
                <w:sz w:val="18"/>
                <w:szCs w:val="18"/>
                <w:lang w:eastAsia="en-CA"/>
              </w:rPr>
              <w:t>4.1.2</w:t>
            </w:r>
          </w:p>
        </w:tc>
        <w:tc>
          <w:tcPr>
            <w:tcW w:w="4343" w:type="pct"/>
            <w:gridSpan w:val="10"/>
            <w:tcBorders>
              <w:top w:val="single" w:sz="4" w:space="0" w:color="auto"/>
              <w:left w:val="nil"/>
              <w:bottom w:val="single" w:sz="4" w:space="0" w:color="auto"/>
              <w:right w:val="single" w:sz="4" w:space="0" w:color="auto"/>
            </w:tcBorders>
            <w:vAlign w:val="center"/>
          </w:tcPr>
          <w:p w14:paraId="5610BB49" w14:textId="77777777" w:rsidR="00B006A9" w:rsidRPr="00ED6AA0" w:rsidRDefault="00B006A9" w:rsidP="00B006A9">
            <w:pPr>
              <w:jc w:val="left"/>
              <w:rPr>
                <w:sz w:val="18"/>
                <w:szCs w:val="18"/>
              </w:rPr>
            </w:pPr>
            <w:r w:rsidRPr="00ED6AA0">
              <w:rPr>
                <w:sz w:val="18"/>
                <w:szCs w:val="18"/>
                <w:lang w:eastAsia="en-CA"/>
              </w:rPr>
              <w:t>Élimination du HCFC-22 réalisée lors de la phase précédente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AEDCFB0" w14:textId="77777777" w:rsidR="00B006A9" w:rsidRPr="00ED6AA0" w:rsidRDefault="00B006A9" w:rsidP="00B006A9">
            <w:pPr>
              <w:jc w:val="right"/>
              <w:rPr>
                <w:color w:val="000000"/>
                <w:sz w:val="18"/>
                <w:szCs w:val="18"/>
              </w:rPr>
            </w:pPr>
            <w:r w:rsidRPr="00ED6AA0">
              <w:rPr>
                <w:color w:val="000000"/>
                <w:sz w:val="18"/>
                <w:szCs w:val="18"/>
                <w:lang w:eastAsia="en-CA"/>
              </w:rPr>
              <w:t>0,56</w:t>
            </w:r>
          </w:p>
        </w:tc>
      </w:tr>
      <w:tr w:rsidR="00B006A9" w:rsidRPr="00ED6AA0" w14:paraId="2D686B30" w14:textId="77777777" w:rsidTr="00B006A9">
        <w:trPr>
          <w:trHeight w:val="98"/>
          <w:jc w:val="center"/>
        </w:trPr>
        <w:tc>
          <w:tcPr>
            <w:tcW w:w="280" w:type="pct"/>
            <w:tcBorders>
              <w:top w:val="nil"/>
              <w:left w:val="single" w:sz="4" w:space="0" w:color="auto"/>
              <w:bottom w:val="single" w:sz="4" w:space="0" w:color="auto"/>
              <w:right w:val="single" w:sz="4" w:space="0" w:color="auto"/>
            </w:tcBorders>
            <w:shd w:val="clear" w:color="auto" w:fill="auto"/>
            <w:hideMark/>
          </w:tcPr>
          <w:p w14:paraId="31EF4587" w14:textId="77777777" w:rsidR="00B006A9" w:rsidRPr="00ED6AA0" w:rsidRDefault="00B006A9" w:rsidP="00B006A9">
            <w:pPr>
              <w:jc w:val="left"/>
              <w:rPr>
                <w:color w:val="000000"/>
                <w:sz w:val="18"/>
                <w:szCs w:val="18"/>
              </w:rPr>
            </w:pPr>
            <w:r w:rsidRPr="00ED6AA0">
              <w:rPr>
                <w:color w:val="000000"/>
                <w:sz w:val="18"/>
                <w:szCs w:val="18"/>
                <w:lang w:eastAsia="en-CA"/>
              </w:rPr>
              <w:t>4.1.3</w:t>
            </w:r>
          </w:p>
        </w:tc>
        <w:tc>
          <w:tcPr>
            <w:tcW w:w="4343" w:type="pct"/>
            <w:gridSpan w:val="10"/>
            <w:tcBorders>
              <w:top w:val="single" w:sz="4" w:space="0" w:color="auto"/>
              <w:left w:val="nil"/>
              <w:bottom w:val="single" w:sz="4" w:space="0" w:color="auto"/>
              <w:right w:val="single" w:sz="4" w:space="0" w:color="auto"/>
            </w:tcBorders>
            <w:vAlign w:val="center"/>
          </w:tcPr>
          <w:p w14:paraId="434B16E5" w14:textId="77777777" w:rsidR="00B006A9" w:rsidRPr="00ED6AA0" w:rsidRDefault="00B006A9" w:rsidP="00B006A9">
            <w:pPr>
              <w:jc w:val="left"/>
              <w:rPr>
                <w:sz w:val="18"/>
                <w:szCs w:val="18"/>
              </w:rPr>
            </w:pPr>
            <w:r w:rsidRPr="00ED6AA0">
              <w:rPr>
                <w:sz w:val="18"/>
                <w:szCs w:val="18"/>
                <w:lang w:eastAsia="en-CA"/>
              </w:rPr>
              <w:t>Consommation restante admissible de HCFC-22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2BA3AA4"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6B253C92" w14:textId="77777777" w:rsidTr="00B006A9">
        <w:trPr>
          <w:trHeight w:val="89"/>
          <w:jc w:val="center"/>
        </w:trPr>
        <w:tc>
          <w:tcPr>
            <w:tcW w:w="280" w:type="pct"/>
            <w:tcBorders>
              <w:top w:val="nil"/>
              <w:left w:val="single" w:sz="4" w:space="0" w:color="auto"/>
              <w:bottom w:val="single" w:sz="4" w:space="0" w:color="auto"/>
              <w:right w:val="single" w:sz="4" w:space="0" w:color="auto"/>
            </w:tcBorders>
            <w:shd w:val="clear" w:color="auto" w:fill="auto"/>
            <w:hideMark/>
          </w:tcPr>
          <w:p w14:paraId="19E4E077" w14:textId="77777777" w:rsidR="00B006A9" w:rsidRPr="00ED6AA0" w:rsidRDefault="00B006A9" w:rsidP="00B006A9">
            <w:pPr>
              <w:jc w:val="left"/>
              <w:rPr>
                <w:color w:val="000000"/>
                <w:sz w:val="18"/>
                <w:szCs w:val="18"/>
              </w:rPr>
            </w:pPr>
            <w:r w:rsidRPr="00ED6AA0">
              <w:rPr>
                <w:color w:val="000000"/>
                <w:sz w:val="18"/>
                <w:szCs w:val="18"/>
                <w:lang w:eastAsia="en-CA"/>
              </w:rPr>
              <w:t>4.2.1</w:t>
            </w:r>
          </w:p>
        </w:tc>
        <w:tc>
          <w:tcPr>
            <w:tcW w:w="4343" w:type="pct"/>
            <w:gridSpan w:val="10"/>
            <w:tcBorders>
              <w:top w:val="single" w:sz="4" w:space="0" w:color="auto"/>
              <w:left w:val="nil"/>
              <w:bottom w:val="single" w:sz="4" w:space="0" w:color="auto"/>
              <w:right w:val="single" w:sz="4" w:space="0" w:color="auto"/>
            </w:tcBorders>
            <w:vAlign w:val="center"/>
          </w:tcPr>
          <w:p w14:paraId="7C83E867" w14:textId="77777777" w:rsidR="00B006A9" w:rsidRPr="00ED6AA0" w:rsidRDefault="00B006A9" w:rsidP="00B006A9">
            <w:pPr>
              <w:jc w:val="left"/>
              <w:rPr>
                <w:sz w:val="18"/>
                <w:szCs w:val="18"/>
              </w:rPr>
            </w:pPr>
            <w:r w:rsidRPr="00ED6AA0">
              <w:rPr>
                <w:sz w:val="18"/>
                <w:szCs w:val="18"/>
                <w:lang w:eastAsia="en-CA"/>
              </w:rPr>
              <w:t>Élimination totale du HCFC-123 convenue aux termes du présent Accord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B77B9F1"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36523A23" w14:textId="77777777" w:rsidTr="00B006A9">
        <w:trPr>
          <w:trHeight w:val="71"/>
          <w:jc w:val="center"/>
        </w:trPr>
        <w:tc>
          <w:tcPr>
            <w:tcW w:w="280" w:type="pct"/>
            <w:tcBorders>
              <w:top w:val="nil"/>
              <w:left w:val="single" w:sz="4" w:space="0" w:color="auto"/>
              <w:bottom w:val="single" w:sz="4" w:space="0" w:color="auto"/>
              <w:right w:val="single" w:sz="4" w:space="0" w:color="auto"/>
            </w:tcBorders>
            <w:shd w:val="clear" w:color="auto" w:fill="auto"/>
            <w:hideMark/>
          </w:tcPr>
          <w:p w14:paraId="0E91AE25" w14:textId="77777777" w:rsidR="00B006A9" w:rsidRPr="00ED6AA0" w:rsidRDefault="00B006A9" w:rsidP="00B006A9">
            <w:pPr>
              <w:jc w:val="left"/>
              <w:rPr>
                <w:color w:val="000000"/>
                <w:sz w:val="18"/>
                <w:szCs w:val="18"/>
              </w:rPr>
            </w:pPr>
            <w:r w:rsidRPr="00ED6AA0">
              <w:rPr>
                <w:color w:val="000000"/>
                <w:sz w:val="18"/>
                <w:szCs w:val="18"/>
                <w:lang w:eastAsia="en-CA"/>
              </w:rPr>
              <w:t>4.2.2</w:t>
            </w:r>
          </w:p>
        </w:tc>
        <w:tc>
          <w:tcPr>
            <w:tcW w:w="4343" w:type="pct"/>
            <w:gridSpan w:val="10"/>
            <w:tcBorders>
              <w:top w:val="single" w:sz="4" w:space="0" w:color="auto"/>
              <w:left w:val="nil"/>
              <w:bottom w:val="single" w:sz="4" w:space="0" w:color="auto"/>
              <w:right w:val="single" w:sz="4" w:space="0" w:color="auto"/>
            </w:tcBorders>
            <w:vAlign w:val="center"/>
          </w:tcPr>
          <w:p w14:paraId="05D273B9" w14:textId="77777777" w:rsidR="00B006A9" w:rsidRPr="00ED6AA0" w:rsidRDefault="00B006A9" w:rsidP="00B006A9">
            <w:pPr>
              <w:jc w:val="left"/>
              <w:rPr>
                <w:sz w:val="18"/>
                <w:szCs w:val="18"/>
              </w:rPr>
            </w:pPr>
            <w:r w:rsidRPr="00ED6AA0">
              <w:rPr>
                <w:sz w:val="18"/>
                <w:szCs w:val="18"/>
                <w:lang w:eastAsia="en-CA"/>
              </w:rPr>
              <w:t>Élimination du HCFC-123 réalisée lors de la phase précédente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5AE2F1C" w14:textId="77777777" w:rsidR="00B006A9" w:rsidRPr="00ED6AA0" w:rsidRDefault="00B006A9" w:rsidP="00B006A9">
            <w:pPr>
              <w:jc w:val="right"/>
              <w:rPr>
                <w:color w:val="000000"/>
                <w:sz w:val="18"/>
                <w:szCs w:val="18"/>
              </w:rPr>
            </w:pPr>
            <w:r w:rsidRPr="00ED6AA0">
              <w:rPr>
                <w:color w:val="000000"/>
                <w:sz w:val="18"/>
                <w:szCs w:val="18"/>
                <w:lang w:eastAsia="en-CA"/>
              </w:rPr>
              <w:t>0,05</w:t>
            </w:r>
          </w:p>
        </w:tc>
      </w:tr>
      <w:tr w:rsidR="00B006A9" w:rsidRPr="00ED6AA0" w14:paraId="1076B0EE" w14:textId="77777777" w:rsidTr="00B006A9">
        <w:trPr>
          <w:trHeight w:val="134"/>
          <w:jc w:val="center"/>
        </w:trPr>
        <w:tc>
          <w:tcPr>
            <w:tcW w:w="280" w:type="pct"/>
            <w:tcBorders>
              <w:top w:val="nil"/>
              <w:left w:val="single" w:sz="4" w:space="0" w:color="auto"/>
              <w:bottom w:val="single" w:sz="4" w:space="0" w:color="auto"/>
              <w:right w:val="single" w:sz="4" w:space="0" w:color="auto"/>
            </w:tcBorders>
            <w:shd w:val="clear" w:color="auto" w:fill="auto"/>
            <w:hideMark/>
          </w:tcPr>
          <w:p w14:paraId="0B8D1906" w14:textId="77777777" w:rsidR="00B006A9" w:rsidRPr="00ED6AA0" w:rsidRDefault="00B006A9" w:rsidP="00B006A9">
            <w:pPr>
              <w:jc w:val="left"/>
              <w:rPr>
                <w:color w:val="000000"/>
                <w:sz w:val="18"/>
                <w:szCs w:val="18"/>
              </w:rPr>
            </w:pPr>
            <w:r w:rsidRPr="00ED6AA0">
              <w:rPr>
                <w:color w:val="000000"/>
                <w:sz w:val="18"/>
                <w:szCs w:val="18"/>
                <w:lang w:eastAsia="en-CA"/>
              </w:rPr>
              <w:t>4.2.3</w:t>
            </w:r>
          </w:p>
        </w:tc>
        <w:tc>
          <w:tcPr>
            <w:tcW w:w="4343" w:type="pct"/>
            <w:gridSpan w:val="10"/>
            <w:tcBorders>
              <w:top w:val="single" w:sz="4" w:space="0" w:color="auto"/>
              <w:left w:val="nil"/>
              <w:bottom w:val="single" w:sz="4" w:space="0" w:color="auto"/>
              <w:right w:val="single" w:sz="4" w:space="0" w:color="auto"/>
            </w:tcBorders>
            <w:vAlign w:val="center"/>
          </w:tcPr>
          <w:p w14:paraId="3F05B985" w14:textId="77777777" w:rsidR="00B006A9" w:rsidRPr="00ED6AA0" w:rsidRDefault="00B006A9" w:rsidP="00B006A9">
            <w:pPr>
              <w:jc w:val="left"/>
              <w:rPr>
                <w:sz w:val="18"/>
                <w:szCs w:val="18"/>
              </w:rPr>
            </w:pPr>
            <w:r w:rsidRPr="00ED6AA0">
              <w:rPr>
                <w:sz w:val="18"/>
                <w:szCs w:val="18"/>
                <w:lang w:eastAsia="en-CA"/>
              </w:rPr>
              <w:t>Consommation restante admissible de HCFC-123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9AB01F3"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45526D0C" w14:textId="77777777" w:rsidTr="00B006A9">
        <w:trPr>
          <w:trHeight w:val="53"/>
          <w:jc w:val="center"/>
        </w:trPr>
        <w:tc>
          <w:tcPr>
            <w:tcW w:w="280" w:type="pct"/>
            <w:tcBorders>
              <w:top w:val="nil"/>
              <w:left w:val="single" w:sz="4" w:space="0" w:color="auto"/>
              <w:bottom w:val="single" w:sz="4" w:space="0" w:color="auto"/>
              <w:right w:val="single" w:sz="4" w:space="0" w:color="auto"/>
            </w:tcBorders>
            <w:shd w:val="clear" w:color="auto" w:fill="auto"/>
            <w:hideMark/>
          </w:tcPr>
          <w:p w14:paraId="346E5249" w14:textId="77777777" w:rsidR="00B006A9" w:rsidRPr="00ED6AA0" w:rsidRDefault="00B006A9" w:rsidP="00B006A9">
            <w:pPr>
              <w:jc w:val="left"/>
              <w:rPr>
                <w:color w:val="000000"/>
                <w:sz w:val="18"/>
                <w:szCs w:val="18"/>
              </w:rPr>
            </w:pPr>
            <w:r w:rsidRPr="00ED6AA0">
              <w:rPr>
                <w:color w:val="000000"/>
                <w:sz w:val="18"/>
                <w:szCs w:val="18"/>
                <w:lang w:eastAsia="en-CA"/>
              </w:rPr>
              <w:t>4.3.1</w:t>
            </w:r>
          </w:p>
        </w:tc>
        <w:tc>
          <w:tcPr>
            <w:tcW w:w="4343" w:type="pct"/>
            <w:gridSpan w:val="10"/>
            <w:tcBorders>
              <w:top w:val="single" w:sz="4" w:space="0" w:color="auto"/>
              <w:left w:val="nil"/>
              <w:bottom w:val="single" w:sz="4" w:space="0" w:color="auto"/>
              <w:right w:val="single" w:sz="4" w:space="0" w:color="auto"/>
            </w:tcBorders>
            <w:vAlign w:val="center"/>
          </w:tcPr>
          <w:p w14:paraId="07577A5D" w14:textId="77777777" w:rsidR="00B006A9" w:rsidRPr="00ED6AA0" w:rsidRDefault="00B006A9" w:rsidP="00B006A9">
            <w:pPr>
              <w:jc w:val="left"/>
              <w:rPr>
                <w:sz w:val="18"/>
                <w:szCs w:val="18"/>
              </w:rPr>
            </w:pPr>
            <w:r w:rsidRPr="00ED6AA0">
              <w:rPr>
                <w:sz w:val="18"/>
                <w:szCs w:val="18"/>
                <w:lang w:eastAsia="en-CA"/>
              </w:rPr>
              <w:t>Élimination totale du HCFC-124 convenue aux termes du présent Accord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1FDEBF8"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1A96CFA3" w14:textId="77777777" w:rsidTr="00B006A9">
        <w:trPr>
          <w:trHeight w:val="107"/>
          <w:jc w:val="center"/>
        </w:trPr>
        <w:tc>
          <w:tcPr>
            <w:tcW w:w="280" w:type="pct"/>
            <w:tcBorders>
              <w:top w:val="nil"/>
              <w:left w:val="single" w:sz="4" w:space="0" w:color="auto"/>
              <w:bottom w:val="single" w:sz="4" w:space="0" w:color="auto"/>
              <w:right w:val="single" w:sz="4" w:space="0" w:color="auto"/>
            </w:tcBorders>
            <w:shd w:val="clear" w:color="auto" w:fill="auto"/>
            <w:hideMark/>
          </w:tcPr>
          <w:p w14:paraId="062E4B0A" w14:textId="77777777" w:rsidR="00B006A9" w:rsidRPr="00ED6AA0" w:rsidRDefault="00B006A9" w:rsidP="00B006A9">
            <w:pPr>
              <w:jc w:val="left"/>
              <w:rPr>
                <w:color w:val="000000"/>
                <w:sz w:val="18"/>
                <w:szCs w:val="18"/>
              </w:rPr>
            </w:pPr>
            <w:r w:rsidRPr="00ED6AA0">
              <w:rPr>
                <w:color w:val="000000"/>
                <w:sz w:val="18"/>
                <w:szCs w:val="18"/>
                <w:lang w:eastAsia="en-CA"/>
              </w:rPr>
              <w:t>4.3.2</w:t>
            </w:r>
          </w:p>
        </w:tc>
        <w:tc>
          <w:tcPr>
            <w:tcW w:w="4343" w:type="pct"/>
            <w:gridSpan w:val="10"/>
            <w:tcBorders>
              <w:top w:val="single" w:sz="4" w:space="0" w:color="auto"/>
              <w:left w:val="nil"/>
              <w:bottom w:val="single" w:sz="4" w:space="0" w:color="auto"/>
              <w:right w:val="single" w:sz="4" w:space="0" w:color="auto"/>
            </w:tcBorders>
            <w:vAlign w:val="center"/>
          </w:tcPr>
          <w:p w14:paraId="390184C4" w14:textId="77777777" w:rsidR="00B006A9" w:rsidRPr="00ED6AA0" w:rsidRDefault="00B006A9" w:rsidP="00B006A9">
            <w:pPr>
              <w:jc w:val="left"/>
              <w:rPr>
                <w:sz w:val="18"/>
                <w:szCs w:val="18"/>
              </w:rPr>
            </w:pPr>
            <w:r w:rsidRPr="00ED6AA0">
              <w:rPr>
                <w:sz w:val="18"/>
                <w:szCs w:val="18"/>
                <w:lang w:eastAsia="en-CA"/>
              </w:rPr>
              <w:t>Élimination du HCFC-124 réalisée lors de la phase précédente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A4F2DA5" w14:textId="77777777" w:rsidR="00B006A9" w:rsidRPr="00ED6AA0" w:rsidRDefault="00B006A9" w:rsidP="00B006A9">
            <w:pPr>
              <w:jc w:val="right"/>
              <w:rPr>
                <w:color w:val="000000"/>
                <w:sz w:val="18"/>
                <w:szCs w:val="18"/>
              </w:rPr>
            </w:pPr>
            <w:r w:rsidRPr="00ED6AA0">
              <w:rPr>
                <w:color w:val="000000"/>
                <w:sz w:val="18"/>
                <w:szCs w:val="18"/>
                <w:lang w:eastAsia="en-CA"/>
              </w:rPr>
              <w:t>0,11</w:t>
            </w:r>
          </w:p>
        </w:tc>
      </w:tr>
      <w:tr w:rsidR="00B006A9" w:rsidRPr="00ED6AA0" w14:paraId="3968D371"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14:paraId="26A858A3" w14:textId="77777777" w:rsidR="00B006A9" w:rsidRPr="00ED6AA0" w:rsidRDefault="00B006A9" w:rsidP="00B006A9">
            <w:pPr>
              <w:jc w:val="left"/>
              <w:rPr>
                <w:color w:val="000000"/>
                <w:sz w:val="18"/>
                <w:szCs w:val="18"/>
              </w:rPr>
            </w:pPr>
            <w:r w:rsidRPr="00ED6AA0">
              <w:rPr>
                <w:color w:val="000000"/>
                <w:sz w:val="18"/>
                <w:szCs w:val="18"/>
                <w:lang w:eastAsia="en-CA"/>
              </w:rPr>
              <w:t>4.3.3</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235D3670" w14:textId="77777777" w:rsidR="00B006A9" w:rsidRPr="00ED6AA0" w:rsidRDefault="00B006A9" w:rsidP="00B006A9">
            <w:pPr>
              <w:jc w:val="left"/>
              <w:rPr>
                <w:sz w:val="18"/>
                <w:szCs w:val="18"/>
              </w:rPr>
            </w:pPr>
            <w:r w:rsidRPr="00ED6AA0">
              <w:rPr>
                <w:sz w:val="18"/>
                <w:szCs w:val="18"/>
                <w:lang w:eastAsia="en-CA"/>
              </w:rPr>
              <w:t>Consommation restante admissible de HCFC-124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9FE3CA1"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031D3EDB"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05845F8F" w14:textId="77777777" w:rsidR="00B006A9" w:rsidRPr="00ED6AA0" w:rsidRDefault="00B006A9" w:rsidP="00B006A9">
            <w:pPr>
              <w:jc w:val="left"/>
              <w:rPr>
                <w:color w:val="000000"/>
                <w:sz w:val="18"/>
                <w:szCs w:val="18"/>
              </w:rPr>
            </w:pPr>
            <w:r w:rsidRPr="00ED6AA0">
              <w:rPr>
                <w:color w:val="000000"/>
                <w:sz w:val="18"/>
                <w:szCs w:val="18"/>
                <w:lang w:eastAsia="en-CA"/>
              </w:rPr>
              <w:t>4.4.1</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4252ABB1" w14:textId="77777777" w:rsidR="00B006A9" w:rsidRPr="00ED6AA0" w:rsidRDefault="00B006A9" w:rsidP="00B006A9">
            <w:pPr>
              <w:jc w:val="left"/>
              <w:rPr>
                <w:sz w:val="18"/>
                <w:szCs w:val="18"/>
              </w:rPr>
            </w:pPr>
            <w:r w:rsidRPr="00ED6AA0">
              <w:rPr>
                <w:sz w:val="18"/>
                <w:szCs w:val="18"/>
                <w:lang w:eastAsia="en-CA"/>
              </w:rPr>
              <w:t>Élimination totale du HCFC-141b convenue aux termes du présent Accord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8918EB9"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41068E93"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1400FD8D" w14:textId="77777777" w:rsidR="00B006A9" w:rsidRPr="00ED6AA0" w:rsidRDefault="00B006A9" w:rsidP="00B006A9">
            <w:pPr>
              <w:jc w:val="left"/>
              <w:rPr>
                <w:color w:val="000000"/>
                <w:sz w:val="18"/>
                <w:szCs w:val="18"/>
              </w:rPr>
            </w:pPr>
            <w:r w:rsidRPr="00ED6AA0">
              <w:rPr>
                <w:color w:val="000000"/>
                <w:sz w:val="18"/>
                <w:szCs w:val="18"/>
                <w:lang w:eastAsia="en-CA"/>
              </w:rPr>
              <w:t>4.4.2</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050BC13A" w14:textId="77777777" w:rsidR="00B006A9" w:rsidRPr="00ED6AA0" w:rsidRDefault="00B006A9" w:rsidP="00B006A9">
            <w:pPr>
              <w:jc w:val="left"/>
              <w:rPr>
                <w:sz w:val="18"/>
                <w:szCs w:val="18"/>
              </w:rPr>
            </w:pPr>
            <w:r w:rsidRPr="00ED6AA0">
              <w:rPr>
                <w:sz w:val="18"/>
                <w:szCs w:val="18"/>
                <w:lang w:eastAsia="en-CA"/>
              </w:rPr>
              <w:t>Élimination du HCFC-141b réalisée lors de la phase précédente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F007EA0" w14:textId="77777777" w:rsidR="00B006A9" w:rsidRPr="00ED6AA0" w:rsidRDefault="00B006A9" w:rsidP="00B006A9">
            <w:pPr>
              <w:jc w:val="right"/>
              <w:rPr>
                <w:color w:val="000000"/>
                <w:sz w:val="18"/>
                <w:szCs w:val="18"/>
              </w:rPr>
            </w:pPr>
            <w:r w:rsidRPr="00ED6AA0">
              <w:rPr>
                <w:color w:val="000000"/>
                <w:sz w:val="18"/>
                <w:szCs w:val="18"/>
                <w:lang w:eastAsia="en-CA"/>
              </w:rPr>
              <w:t>3,34</w:t>
            </w:r>
          </w:p>
        </w:tc>
      </w:tr>
      <w:tr w:rsidR="00B006A9" w:rsidRPr="00ED6AA0" w14:paraId="518A8243"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33987E10" w14:textId="77777777" w:rsidR="00B006A9" w:rsidRPr="00ED6AA0" w:rsidRDefault="00B006A9" w:rsidP="00B006A9">
            <w:pPr>
              <w:jc w:val="left"/>
              <w:rPr>
                <w:color w:val="000000"/>
                <w:sz w:val="18"/>
                <w:szCs w:val="18"/>
              </w:rPr>
            </w:pPr>
            <w:r w:rsidRPr="00ED6AA0">
              <w:rPr>
                <w:color w:val="000000"/>
                <w:sz w:val="18"/>
                <w:szCs w:val="18"/>
                <w:lang w:eastAsia="en-CA"/>
              </w:rPr>
              <w:t>4.4.3</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7C28EB6C" w14:textId="77777777" w:rsidR="00B006A9" w:rsidRPr="00ED6AA0" w:rsidRDefault="00B006A9" w:rsidP="00B006A9">
            <w:pPr>
              <w:jc w:val="left"/>
              <w:rPr>
                <w:sz w:val="18"/>
                <w:szCs w:val="18"/>
              </w:rPr>
            </w:pPr>
            <w:r w:rsidRPr="00ED6AA0">
              <w:rPr>
                <w:sz w:val="18"/>
                <w:szCs w:val="18"/>
                <w:lang w:eastAsia="en-CA"/>
              </w:rPr>
              <w:t>Consommation restante admissible de HCFC-141b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8DC969B"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5DD08F7E"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49B428E5" w14:textId="77777777" w:rsidR="00B006A9" w:rsidRPr="00ED6AA0" w:rsidRDefault="00B006A9" w:rsidP="00B006A9">
            <w:pPr>
              <w:jc w:val="left"/>
              <w:rPr>
                <w:color w:val="000000"/>
                <w:sz w:val="18"/>
                <w:szCs w:val="18"/>
              </w:rPr>
            </w:pPr>
            <w:r w:rsidRPr="00ED6AA0">
              <w:rPr>
                <w:color w:val="000000"/>
                <w:sz w:val="18"/>
                <w:szCs w:val="18"/>
                <w:lang w:eastAsia="en-CA"/>
              </w:rPr>
              <w:t>4.5.1</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1F91A9E4" w14:textId="77777777" w:rsidR="00B006A9" w:rsidRPr="00ED6AA0" w:rsidRDefault="00B006A9" w:rsidP="00B006A9">
            <w:pPr>
              <w:jc w:val="left"/>
              <w:rPr>
                <w:sz w:val="18"/>
                <w:szCs w:val="18"/>
              </w:rPr>
            </w:pPr>
            <w:r w:rsidRPr="00ED6AA0">
              <w:rPr>
                <w:sz w:val="18"/>
                <w:szCs w:val="18"/>
                <w:lang w:eastAsia="en-CA"/>
              </w:rPr>
              <w:t>Élimination totale du HCFC-142b convenue aux termes du présent Accord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22F5B5B"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5DC8712F"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251DC205" w14:textId="77777777" w:rsidR="00B006A9" w:rsidRPr="00ED6AA0" w:rsidRDefault="00B006A9" w:rsidP="00B006A9">
            <w:pPr>
              <w:jc w:val="left"/>
              <w:rPr>
                <w:color w:val="000000"/>
                <w:sz w:val="18"/>
                <w:szCs w:val="18"/>
              </w:rPr>
            </w:pPr>
            <w:r w:rsidRPr="00ED6AA0">
              <w:rPr>
                <w:color w:val="000000"/>
                <w:sz w:val="18"/>
                <w:szCs w:val="18"/>
                <w:lang w:eastAsia="en-CA"/>
              </w:rPr>
              <w:t>4.5.2</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01A90D37" w14:textId="77777777" w:rsidR="00B006A9" w:rsidRPr="00ED6AA0" w:rsidRDefault="00B006A9" w:rsidP="00B006A9">
            <w:pPr>
              <w:jc w:val="left"/>
              <w:rPr>
                <w:sz w:val="18"/>
                <w:szCs w:val="18"/>
              </w:rPr>
            </w:pPr>
            <w:r w:rsidRPr="00ED6AA0">
              <w:rPr>
                <w:sz w:val="18"/>
                <w:szCs w:val="18"/>
                <w:lang w:eastAsia="en-CA"/>
              </w:rPr>
              <w:t>Élimination du HCFC-142b réalisée lors de la phase précédente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D6CB0D3" w14:textId="77777777" w:rsidR="00B006A9" w:rsidRPr="00ED6AA0" w:rsidRDefault="00B006A9" w:rsidP="00B006A9">
            <w:pPr>
              <w:jc w:val="right"/>
              <w:rPr>
                <w:color w:val="000000"/>
                <w:sz w:val="18"/>
                <w:szCs w:val="18"/>
              </w:rPr>
            </w:pPr>
            <w:r w:rsidRPr="00ED6AA0">
              <w:rPr>
                <w:color w:val="000000"/>
                <w:sz w:val="18"/>
                <w:szCs w:val="18"/>
                <w:lang w:eastAsia="en-CA"/>
              </w:rPr>
              <w:t>0,03</w:t>
            </w:r>
          </w:p>
        </w:tc>
      </w:tr>
      <w:tr w:rsidR="00B006A9" w:rsidRPr="00ED6AA0" w14:paraId="6B3F9521"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6DAAF7E8" w14:textId="77777777" w:rsidR="00B006A9" w:rsidRPr="00ED6AA0" w:rsidRDefault="00B006A9" w:rsidP="00B006A9">
            <w:pPr>
              <w:jc w:val="left"/>
              <w:rPr>
                <w:color w:val="000000"/>
                <w:sz w:val="18"/>
                <w:szCs w:val="18"/>
              </w:rPr>
            </w:pPr>
            <w:r w:rsidRPr="00ED6AA0">
              <w:rPr>
                <w:color w:val="000000"/>
                <w:sz w:val="18"/>
                <w:szCs w:val="18"/>
                <w:lang w:eastAsia="en-CA"/>
              </w:rPr>
              <w:t>4.5.3</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52F56555" w14:textId="77777777" w:rsidR="00B006A9" w:rsidRPr="00ED6AA0" w:rsidRDefault="00B006A9" w:rsidP="00B006A9">
            <w:pPr>
              <w:jc w:val="left"/>
              <w:rPr>
                <w:sz w:val="18"/>
                <w:szCs w:val="18"/>
              </w:rPr>
            </w:pPr>
            <w:r w:rsidRPr="00ED6AA0">
              <w:rPr>
                <w:sz w:val="18"/>
                <w:szCs w:val="18"/>
                <w:lang w:eastAsia="en-CA"/>
              </w:rPr>
              <w:t>Consommation restante admissible de HCFC-142b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B3D5701"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7C9640B0"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0149160B" w14:textId="77777777" w:rsidR="00B006A9" w:rsidRPr="00ED6AA0" w:rsidRDefault="00B006A9" w:rsidP="00B006A9">
            <w:pPr>
              <w:jc w:val="left"/>
              <w:rPr>
                <w:color w:val="000000"/>
                <w:sz w:val="18"/>
                <w:szCs w:val="18"/>
              </w:rPr>
            </w:pPr>
            <w:r w:rsidRPr="00ED6AA0">
              <w:rPr>
                <w:color w:val="000000"/>
                <w:sz w:val="18"/>
                <w:szCs w:val="18"/>
                <w:lang w:eastAsia="en-CA"/>
              </w:rPr>
              <w:t>4.6.1</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6BDF4BA1" w14:textId="77777777" w:rsidR="00B006A9" w:rsidRPr="00ED6AA0" w:rsidRDefault="00B006A9" w:rsidP="00B006A9">
            <w:pPr>
              <w:jc w:val="left"/>
              <w:rPr>
                <w:sz w:val="18"/>
                <w:szCs w:val="18"/>
              </w:rPr>
            </w:pPr>
            <w:r w:rsidRPr="00ED6AA0">
              <w:rPr>
                <w:sz w:val="18"/>
                <w:szCs w:val="18"/>
                <w:lang w:eastAsia="en-CA"/>
              </w:rPr>
              <w:t xml:space="preserve">Élimination totale du HCFC-141b </w:t>
            </w:r>
            <w:r w:rsidRPr="00ED6AA0">
              <w:rPr>
                <w:sz w:val="18"/>
                <w:szCs w:val="18"/>
              </w:rPr>
              <w:t xml:space="preserve">contenu dans les polyols </w:t>
            </w:r>
            <w:proofErr w:type="spellStart"/>
            <w:r w:rsidRPr="00ED6AA0">
              <w:rPr>
                <w:sz w:val="18"/>
                <w:szCs w:val="18"/>
              </w:rPr>
              <w:t>prémélangés</w:t>
            </w:r>
            <w:proofErr w:type="spellEnd"/>
            <w:r w:rsidRPr="00ED6AA0">
              <w:rPr>
                <w:sz w:val="18"/>
                <w:szCs w:val="18"/>
              </w:rPr>
              <w:t xml:space="preserve"> importés</w:t>
            </w:r>
            <w:r w:rsidRPr="00ED6AA0">
              <w:rPr>
                <w:sz w:val="18"/>
                <w:szCs w:val="18"/>
                <w:lang w:eastAsia="en-CA"/>
              </w:rPr>
              <w:t xml:space="preserve"> convenue aux termes du présent Accord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0656310" w14:textId="77777777" w:rsidR="00B006A9" w:rsidRPr="00ED6AA0" w:rsidRDefault="00B006A9" w:rsidP="00B006A9">
            <w:pPr>
              <w:jc w:val="right"/>
              <w:rPr>
                <w:color w:val="000000"/>
                <w:sz w:val="18"/>
                <w:szCs w:val="18"/>
              </w:rPr>
            </w:pPr>
            <w:r w:rsidRPr="00ED6AA0">
              <w:rPr>
                <w:color w:val="000000"/>
                <w:sz w:val="18"/>
                <w:szCs w:val="18"/>
                <w:lang w:eastAsia="en-CA"/>
              </w:rPr>
              <w:t>0,00</w:t>
            </w:r>
          </w:p>
        </w:tc>
      </w:tr>
      <w:tr w:rsidR="00B006A9" w:rsidRPr="00ED6AA0" w14:paraId="01179395"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2B3CA516" w14:textId="77777777" w:rsidR="00B006A9" w:rsidRPr="00ED6AA0" w:rsidRDefault="00B006A9" w:rsidP="00B006A9">
            <w:pPr>
              <w:jc w:val="left"/>
              <w:rPr>
                <w:color w:val="000000"/>
                <w:sz w:val="18"/>
                <w:szCs w:val="18"/>
              </w:rPr>
            </w:pPr>
            <w:r w:rsidRPr="00ED6AA0">
              <w:rPr>
                <w:color w:val="000000"/>
                <w:sz w:val="18"/>
                <w:szCs w:val="18"/>
                <w:lang w:eastAsia="en-CA"/>
              </w:rPr>
              <w:t>4.6.2</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50960E4A" w14:textId="77777777" w:rsidR="00B006A9" w:rsidRPr="00ED6AA0" w:rsidRDefault="00B006A9" w:rsidP="00B006A9">
            <w:pPr>
              <w:jc w:val="left"/>
              <w:rPr>
                <w:sz w:val="18"/>
                <w:szCs w:val="18"/>
              </w:rPr>
            </w:pPr>
            <w:r w:rsidRPr="00ED6AA0">
              <w:rPr>
                <w:sz w:val="18"/>
                <w:szCs w:val="18"/>
                <w:lang w:eastAsia="en-CA"/>
              </w:rPr>
              <w:t xml:space="preserve">Élimination du HCFC-141b </w:t>
            </w:r>
            <w:r w:rsidRPr="00ED6AA0">
              <w:rPr>
                <w:sz w:val="18"/>
                <w:szCs w:val="18"/>
              </w:rPr>
              <w:t xml:space="preserve">contenu dans les polyols </w:t>
            </w:r>
            <w:proofErr w:type="spellStart"/>
            <w:r w:rsidRPr="00ED6AA0">
              <w:rPr>
                <w:sz w:val="18"/>
                <w:szCs w:val="18"/>
              </w:rPr>
              <w:t>prémélangés</w:t>
            </w:r>
            <w:proofErr w:type="spellEnd"/>
            <w:r w:rsidRPr="00ED6AA0">
              <w:rPr>
                <w:sz w:val="18"/>
                <w:szCs w:val="18"/>
              </w:rPr>
              <w:t xml:space="preserve"> importés</w:t>
            </w:r>
            <w:r w:rsidRPr="00ED6AA0">
              <w:rPr>
                <w:sz w:val="18"/>
                <w:szCs w:val="18"/>
                <w:lang w:eastAsia="en-CA"/>
              </w:rPr>
              <w:t xml:space="preserve"> réalisée lors de la phase précédente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7AF09CC" w14:textId="77777777" w:rsidR="00B006A9" w:rsidRPr="00ED6AA0" w:rsidRDefault="00B006A9" w:rsidP="00B006A9">
            <w:pPr>
              <w:jc w:val="right"/>
              <w:rPr>
                <w:color w:val="000000"/>
                <w:sz w:val="18"/>
                <w:szCs w:val="18"/>
              </w:rPr>
            </w:pPr>
            <w:r w:rsidRPr="00ED6AA0">
              <w:rPr>
                <w:color w:val="000000"/>
                <w:sz w:val="18"/>
                <w:szCs w:val="18"/>
                <w:lang w:eastAsia="en-CA"/>
              </w:rPr>
              <w:t>4,94</w:t>
            </w:r>
          </w:p>
        </w:tc>
      </w:tr>
      <w:tr w:rsidR="00B006A9" w:rsidRPr="00ED6AA0" w14:paraId="482CE695" w14:textId="77777777" w:rsidTr="00B006A9">
        <w:trPr>
          <w:trHeight w:val="9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00855EA6" w14:textId="77777777" w:rsidR="00B006A9" w:rsidRPr="00ED6AA0" w:rsidRDefault="00B006A9" w:rsidP="00B006A9">
            <w:pPr>
              <w:jc w:val="left"/>
              <w:rPr>
                <w:color w:val="000000"/>
                <w:sz w:val="18"/>
                <w:szCs w:val="18"/>
              </w:rPr>
            </w:pPr>
            <w:r w:rsidRPr="00ED6AA0">
              <w:rPr>
                <w:color w:val="000000"/>
                <w:sz w:val="18"/>
                <w:szCs w:val="18"/>
                <w:lang w:eastAsia="en-CA"/>
              </w:rPr>
              <w:t>4.6.3</w:t>
            </w:r>
          </w:p>
        </w:tc>
        <w:tc>
          <w:tcPr>
            <w:tcW w:w="4343" w:type="pct"/>
            <w:gridSpan w:val="10"/>
            <w:tcBorders>
              <w:top w:val="single" w:sz="4" w:space="0" w:color="auto"/>
              <w:left w:val="single" w:sz="4" w:space="0" w:color="auto"/>
              <w:bottom w:val="single" w:sz="4" w:space="0" w:color="auto"/>
              <w:right w:val="single" w:sz="4" w:space="0" w:color="auto"/>
            </w:tcBorders>
            <w:vAlign w:val="center"/>
          </w:tcPr>
          <w:p w14:paraId="178CBD88" w14:textId="77777777" w:rsidR="00B006A9" w:rsidRPr="00ED6AA0" w:rsidRDefault="00B006A9" w:rsidP="00B006A9">
            <w:pPr>
              <w:jc w:val="left"/>
              <w:rPr>
                <w:sz w:val="18"/>
                <w:szCs w:val="18"/>
              </w:rPr>
            </w:pPr>
            <w:r w:rsidRPr="00ED6AA0">
              <w:rPr>
                <w:sz w:val="18"/>
                <w:szCs w:val="18"/>
                <w:lang w:eastAsia="en-CA"/>
              </w:rPr>
              <w:t xml:space="preserve">Consommation restante admissible de HCFC-141b </w:t>
            </w:r>
            <w:r w:rsidRPr="00ED6AA0">
              <w:rPr>
                <w:sz w:val="18"/>
                <w:szCs w:val="18"/>
              </w:rPr>
              <w:t xml:space="preserve">contenu dans les polyols </w:t>
            </w:r>
            <w:proofErr w:type="spellStart"/>
            <w:r w:rsidRPr="00ED6AA0">
              <w:rPr>
                <w:sz w:val="18"/>
                <w:szCs w:val="18"/>
              </w:rPr>
              <w:t>prémélangés</w:t>
            </w:r>
            <w:proofErr w:type="spellEnd"/>
            <w:r w:rsidRPr="00ED6AA0">
              <w:rPr>
                <w:sz w:val="18"/>
                <w:szCs w:val="18"/>
              </w:rPr>
              <w:t xml:space="preserve"> importés</w:t>
            </w:r>
            <w:r w:rsidRPr="00ED6AA0">
              <w:rPr>
                <w:sz w:val="18"/>
                <w:szCs w:val="18"/>
                <w:lang w:eastAsia="en-CA"/>
              </w:rPr>
              <w:t xml:space="preserve"> (tonnes PAO)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D4FC45D" w14:textId="77777777" w:rsidR="00B006A9" w:rsidRPr="00ED6AA0" w:rsidRDefault="00B006A9" w:rsidP="00B006A9">
            <w:pPr>
              <w:jc w:val="right"/>
              <w:rPr>
                <w:color w:val="000000"/>
                <w:sz w:val="18"/>
                <w:szCs w:val="18"/>
              </w:rPr>
            </w:pPr>
            <w:r w:rsidRPr="00ED6AA0">
              <w:rPr>
                <w:color w:val="000000"/>
                <w:sz w:val="18"/>
                <w:szCs w:val="18"/>
                <w:lang w:eastAsia="en-CA"/>
              </w:rPr>
              <w:t>0</w:t>
            </w:r>
          </w:p>
        </w:tc>
      </w:tr>
    </w:tbl>
    <w:p w14:paraId="7D96CC90" w14:textId="77777777" w:rsidR="00B006A9" w:rsidRPr="00ED6AA0" w:rsidRDefault="00B006A9" w:rsidP="00B006A9">
      <w:pPr>
        <w:pStyle w:val="Heading1"/>
        <w:numPr>
          <w:ilvl w:val="0"/>
          <w:numId w:val="0"/>
        </w:numPr>
        <w:rPr>
          <w:sz w:val="18"/>
        </w:rPr>
      </w:pPr>
      <w:r w:rsidRPr="00ED6AA0">
        <w:rPr>
          <w:sz w:val="18"/>
        </w:rPr>
        <w:t>*Date d’achèvement de la phase I selon l’Accord de la phase I : 31 décembre 2021</w:t>
      </w:r>
    </w:p>
    <w:p w14:paraId="1D329E29" w14:textId="77777777" w:rsidR="00B006A9" w:rsidRPr="00ED6AA0" w:rsidRDefault="00B006A9" w:rsidP="00B006A9">
      <w:pPr>
        <w:keepNext/>
        <w:keepLines/>
        <w:rPr>
          <w:b/>
        </w:rPr>
      </w:pPr>
      <w:r w:rsidRPr="00ED6AA0">
        <w:rPr>
          <w:b/>
        </w:rPr>
        <w:lastRenderedPageBreak/>
        <w:t>APPENDICE 3-</w:t>
      </w:r>
      <w:proofErr w:type="gramStart"/>
      <w:r w:rsidRPr="00ED6AA0">
        <w:rPr>
          <w:b/>
        </w:rPr>
        <w:t>A:</w:t>
      </w:r>
      <w:proofErr w:type="gramEnd"/>
      <w:r w:rsidRPr="00ED6AA0">
        <w:rPr>
          <w:b/>
        </w:rPr>
        <w:t xml:space="preserve"> CALENDRIER DE FINANCEMENT APPROUVÉ</w:t>
      </w:r>
    </w:p>
    <w:p w14:paraId="39EA4976" w14:textId="77777777" w:rsidR="00B006A9" w:rsidRPr="00ED6AA0" w:rsidRDefault="00B006A9" w:rsidP="00B006A9">
      <w:pPr>
        <w:keepNext/>
        <w:keepLines/>
      </w:pPr>
    </w:p>
    <w:p w14:paraId="6C11010A" w14:textId="77777777" w:rsidR="00B006A9" w:rsidRPr="00ED6AA0" w:rsidRDefault="00B006A9" w:rsidP="00695C5B">
      <w:pPr>
        <w:pStyle w:val="Heading1"/>
        <w:keepNext/>
        <w:keepLines/>
        <w:numPr>
          <w:ilvl w:val="0"/>
          <w:numId w:val="39"/>
        </w:numPr>
      </w:pPr>
      <w:r w:rsidRPr="00ED6AA0">
        <w:t>Le financement des futures tranches sera examiné pour approbation lors de la deuxième réunion de l’année spécifiée à l’Appendice 2-A.</w:t>
      </w:r>
    </w:p>
    <w:p w14:paraId="6361E048" w14:textId="77777777" w:rsidR="00B006A9" w:rsidRPr="00ED6AA0" w:rsidRDefault="00B006A9" w:rsidP="00695C5B">
      <w:pPr>
        <w:keepNext/>
        <w:keepLines/>
        <w:rPr>
          <w:b/>
        </w:rPr>
      </w:pPr>
      <w:r w:rsidRPr="00ED6AA0">
        <w:rPr>
          <w:b/>
        </w:rPr>
        <w:t>APPENDICE 4-</w:t>
      </w:r>
      <w:proofErr w:type="gramStart"/>
      <w:r w:rsidRPr="00ED6AA0">
        <w:rPr>
          <w:b/>
        </w:rPr>
        <w:t>A:</w:t>
      </w:r>
      <w:proofErr w:type="gramEnd"/>
      <w:r w:rsidRPr="00ED6AA0">
        <w:rPr>
          <w:b/>
        </w:rPr>
        <w:t xml:space="preserve"> FORMAT DES RAPPORTS ET DES PLANS DE MISE EN ŒUVRE DE LA TRANCHE</w:t>
      </w:r>
    </w:p>
    <w:p w14:paraId="3CE6098A" w14:textId="77777777" w:rsidR="00B006A9" w:rsidRPr="00ED6AA0" w:rsidRDefault="00B006A9" w:rsidP="00695C5B">
      <w:pPr>
        <w:keepNext/>
        <w:keepLines/>
      </w:pPr>
    </w:p>
    <w:p w14:paraId="6008D5BD" w14:textId="77777777" w:rsidR="00B006A9" w:rsidRPr="00ED6AA0" w:rsidRDefault="00B006A9" w:rsidP="00695C5B">
      <w:pPr>
        <w:pStyle w:val="Heading1"/>
        <w:keepNext/>
        <w:keepLines/>
        <w:numPr>
          <w:ilvl w:val="0"/>
          <w:numId w:val="24"/>
        </w:numPr>
      </w:pPr>
      <w:r w:rsidRPr="00ED6AA0">
        <w:t xml:space="preserve">La présentation du plan et du rapport de mise en œuvre de la tranche pour chaque demande de tranche comprendra cinq </w:t>
      </w:r>
      <w:proofErr w:type="gramStart"/>
      <w:r w:rsidRPr="00ED6AA0">
        <w:t>parties:</w:t>
      </w:r>
      <w:proofErr w:type="gramEnd"/>
    </w:p>
    <w:p w14:paraId="4DFC8EFF" w14:textId="77777777" w:rsidR="00B006A9" w:rsidRPr="00ED6AA0" w:rsidRDefault="00B006A9" w:rsidP="00B006A9">
      <w:pPr>
        <w:pStyle w:val="Heading2"/>
        <w:numPr>
          <w:ilvl w:val="1"/>
          <w:numId w:val="1"/>
        </w:numPr>
      </w:pPr>
      <w:r w:rsidRPr="00ED6AA0">
        <w:t xml:space="preserve">Un rapport narratif, avec des données fournies par tranche, décrivant </w:t>
      </w:r>
      <w:proofErr w:type="gramStart"/>
      <w:r w:rsidRPr="00ED6AA0">
        <w:t>les  progrès</w:t>
      </w:r>
      <w:proofErr w:type="gramEnd"/>
      <w:r w:rsidRPr="00ED6AA0">
        <w:t xml:space="preserve"> réalisés depuis le précédent rapport, reflétant la situation du pays en matière d’élimination des Substances, la façon dont les différentes activités y contribuent et comment elles sont reliées entre elles. Le rapport inclura la quantité de SAO éliminée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 plan de la tranche soumis précédemment, tels que des retards, l’utilisation de la marge de manœuvre pour la réaffectation des fonds durant la mise en œuvre d’une tranche, tel qu’indiqué au paragraphe 7 du présent Accord, ou autres </w:t>
      </w:r>
      <w:proofErr w:type="gramStart"/>
      <w:r w:rsidRPr="00ED6AA0">
        <w:t>changements;</w:t>
      </w:r>
      <w:proofErr w:type="gramEnd"/>
      <w:r w:rsidRPr="00ED6AA0">
        <w:t xml:space="preserve"> </w:t>
      </w:r>
    </w:p>
    <w:p w14:paraId="6D06B695" w14:textId="77777777" w:rsidR="00B006A9" w:rsidRPr="00ED6AA0" w:rsidRDefault="00B006A9" w:rsidP="00B006A9">
      <w:pPr>
        <w:pStyle w:val="Heading2"/>
        <w:numPr>
          <w:ilvl w:val="1"/>
          <w:numId w:val="1"/>
        </w:numPr>
      </w:pPr>
      <w:r w:rsidRPr="00ED6AA0">
        <w:t xml:space="preserve">Un rapport de vérification indépendant des résultats du plan et de la consommation des substances mentionnées à l’Appendice 1-A, conformément au paragraphe 5 b) de l’Accord. À moins que le Comité exécutif n’en ait décidé autrement, cette vérification doit accompagner chaque demande de tranche et fournir une vérification de la consommation pour toutes les années concernées spécifiées au paragraphe 5 a) de l’Accord pour lesquelles un rapport de vérification n’a pas encore été accepté par le </w:t>
      </w:r>
      <w:proofErr w:type="gramStart"/>
      <w:r w:rsidRPr="00ED6AA0">
        <w:t>Comité;</w:t>
      </w:r>
      <w:proofErr w:type="gramEnd"/>
    </w:p>
    <w:p w14:paraId="35976C30" w14:textId="77777777" w:rsidR="00B006A9" w:rsidRPr="00ED6AA0" w:rsidRDefault="00B006A9" w:rsidP="00B006A9">
      <w:pPr>
        <w:pStyle w:val="Heading2"/>
        <w:numPr>
          <w:ilvl w:val="1"/>
          <w:numId w:val="1"/>
        </w:numPr>
      </w:pPr>
      <w:r w:rsidRPr="00ED6AA0">
        <w:t xml:space="preserve">Une description écrite des activités à entreprendre au cours de la période visée par la demande de tranche, soulignant les étapes de la mise en œuvre, la date de leur achèvement et leur interdépendance et tenant compte des expériences acquises et des progrès réalisés dans la mise en œuvre des tranches </w:t>
      </w:r>
      <w:proofErr w:type="gramStart"/>
      <w:r w:rsidRPr="00ED6AA0">
        <w:t>précédentes;</w:t>
      </w:r>
      <w:proofErr w:type="gramEnd"/>
      <w:r w:rsidRPr="00ED6AA0">
        <w:t xml:space="preserve"> les données du plan seront fournies par année civile. La description doit aussi faire mention du plan d’ensemble et des progrès réalisés ainsi que des changements éventuels prévus au plan d’ensemble. Elle doit également spécifier et expliquer toutes révisions apportées au plan d’ensemble ayant été jugées nécessaires. Cette description des activités futures peut être soumise en tant que partie du même document que le rapport narratif mentionné au paragraphe b) ci-</w:t>
      </w:r>
      <w:proofErr w:type="gramStart"/>
      <w:r w:rsidRPr="00ED6AA0">
        <w:t>dessus;</w:t>
      </w:r>
      <w:proofErr w:type="gramEnd"/>
      <w:r w:rsidRPr="00ED6AA0">
        <w:t xml:space="preserve"> </w:t>
      </w:r>
    </w:p>
    <w:p w14:paraId="0D1E433C" w14:textId="77777777" w:rsidR="00B006A9" w:rsidRPr="00ED6AA0" w:rsidRDefault="00B006A9" w:rsidP="00B006A9">
      <w:pPr>
        <w:pStyle w:val="Heading2"/>
        <w:numPr>
          <w:ilvl w:val="1"/>
          <w:numId w:val="1"/>
        </w:numPr>
      </w:pPr>
      <w:r w:rsidRPr="00ED6AA0">
        <w:t xml:space="preserve">Une série d’informations quantitatives pour tous les rapports et les plans annuels de mise en œuvre de la tranche présentées dans une base de données communiquées en </w:t>
      </w:r>
      <w:proofErr w:type="gramStart"/>
      <w:r w:rsidRPr="00ED6AA0">
        <w:t>ligne;</w:t>
      </w:r>
      <w:proofErr w:type="gramEnd"/>
      <w:r w:rsidRPr="00ED6AA0">
        <w:t xml:space="preserve">  </w:t>
      </w:r>
    </w:p>
    <w:p w14:paraId="5D060772" w14:textId="77777777" w:rsidR="00B006A9" w:rsidRPr="00ED6AA0" w:rsidRDefault="00B006A9" w:rsidP="00B006A9">
      <w:pPr>
        <w:pStyle w:val="Heading2"/>
        <w:numPr>
          <w:ilvl w:val="1"/>
          <w:numId w:val="1"/>
        </w:numPr>
      </w:pPr>
      <w:r w:rsidRPr="00ED6AA0">
        <w:t>Une synthèse comprenant environ cinq paragraphes, résumant les informations des paragraphes 1 a) à 1 d) ci-dessus.</w:t>
      </w:r>
    </w:p>
    <w:p w14:paraId="4B589886" w14:textId="77777777" w:rsidR="00B006A9" w:rsidRPr="00ED6AA0" w:rsidRDefault="00B006A9" w:rsidP="00B006A9">
      <w:pPr>
        <w:pStyle w:val="Heading1"/>
      </w:pPr>
      <w:r w:rsidRPr="00ED6AA0">
        <w:t xml:space="preserve">Si deux phases du PGEH sont mises en œuvre en parallèle au cours d’une année donnée, les considérations ci-dessous doivent entrer en ligne de compte dans la préparation du rapport et du plan de mise en </w:t>
      </w:r>
      <w:proofErr w:type="gramStart"/>
      <w:r w:rsidRPr="00ED6AA0">
        <w:t>œuvre:</w:t>
      </w:r>
      <w:proofErr w:type="gramEnd"/>
    </w:p>
    <w:p w14:paraId="20E02D0A" w14:textId="77777777" w:rsidR="00B006A9" w:rsidRPr="00ED6AA0" w:rsidRDefault="00B006A9" w:rsidP="00B006A9">
      <w:pPr>
        <w:pStyle w:val="Heading2"/>
        <w:numPr>
          <w:ilvl w:val="1"/>
          <w:numId w:val="1"/>
        </w:numPr>
      </w:pPr>
      <w:r w:rsidRPr="00ED6AA0">
        <w:lastRenderedPageBreak/>
        <w:t xml:space="preserve">Les rapports et plans de mise en œuvre de la tranche dont il est question dans le présent Accord ne porteront que sur les activités et les sommes prévues dans cet </w:t>
      </w:r>
      <w:proofErr w:type="gramStart"/>
      <w:r w:rsidRPr="00ED6AA0">
        <w:t>Accord;</w:t>
      </w:r>
      <w:proofErr w:type="gramEnd"/>
      <w:r w:rsidRPr="00ED6AA0">
        <w:t xml:space="preserve"> et</w:t>
      </w:r>
    </w:p>
    <w:p w14:paraId="532CA2BC" w14:textId="77777777" w:rsidR="00B006A9" w:rsidRPr="00ED6AA0" w:rsidRDefault="00B006A9" w:rsidP="00B006A9">
      <w:pPr>
        <w:pStyle w:val="Heading2"/>
        <w:numPr>
          <w:ilvl w:val="1"/>
          <w:numId w:val="1"/>
        </w:numPr>
      </w:pPr>
      <w:r w:rsidRPr="00ED6AA0">
        <w:t>Si les phases mises en œuvre présentent des objectifs de consommation de HCFC différents pour une même année, selon l’Appendice 2-A de chaque accord, l’objectif de consommation de HCFC le plus bas servira de référence aux fins de conformité à ces accords et de base pour les vérifications indépendantes.</w:t>
      </w:r>
    </w:p>
    <w:p w14:paraId="726BF8C9" w14:textId="77777777" w:rsidR="00B006A9" w:rsidRPr="00ED6AA0" w:rsidRDefault="00B006A9" w:rsidP="00B006A9">
      <w:pPr>
        <w:rPr>
          <w:b/>
        </w:rPr>
      </w:pPr>
      <w:r w:rsidRPr="00ED6AA0">
        <w:rPr>
          <w:b/>
        </w:rPr>
        <w:t>APPENDICE 5-</w:t>
      </w:r>
      <w:proofErr w:type="gramStart"/>
      <w:r w:rsidRPr="00ED6AA0">
        <w:rPr>
          <w:b/>
        </w:rPr>
        <w:t>A:</w:t>
      </w:r>
      <w:proofErr w:type="gramEnd"/>
      <w:r w:rsidRPr="00ED6AA0">
        <w:rPr>
          <w:b/>
        </w:rPr>
        <w:t xml:space="preserve"> INSTITUTIONS DE SUIVI ET LEUR RÔLE </w:t>
      </w:r>
    </w:p>
    <w:p w14:paraId="333425D7" w14:textId="77777777" w:rsidR="00B006A9" w:rsidRDefault="00B006A9" w:rsidP="00B006A9"/>
    <w:p w14:paraId="729C7574" w14:textId="77777777" w:rsidR="00B006A9" w:rsidRPr="00695C5B" w:rsidRDefault="00B006A9" w:rsidP="00B006A9">
      <w:pPr>
        <w:pStyle w:val="Heading1"/>
        <w:numPr>
          <w:ilvl w:val="0"/>
          <w:numId w:val="37"/>
        </w:numPr>
        <w:ind w:left="0" w:firstLine="0"/>
      </w:pPr>
      <w:r w:rsidRPr="00695C5B">
        <w:t xml:space="preserve">L’entité responsable de la mise en œuvre du Protocole de Montréal au El </w:t>
      </w:r>
      <w:proofErr w:type="spellStart"/>
      <w:r w:rsidRPr="00695C5B">
        <w:t>Savaldor</w:t>
      </w:r>
      <w:proofErr w:type="spellEnd"/>
      <w:r w:rsidRPr="00695C5B">
        <w:t xml:space="preserve"> est le ministère de l’Environnement et des Ressources naturelles, par le biais de l’Unité nationale de l’ozone (UNO).</w:t>
      </w:r>
    </w:p>
    <w:p w14:paraId="7752E6DD" w14:textId="77777777" w:rsidR="00B006A9" w:rsidRPr="00695C5B" w:rsidRDefault="00B006A9" w:rsidP="00B006A9">
      <w:pPr>
        <w:pStyle w:val="Heading1"/>
        <w:numPr>
          <w:ilvl w:val="0"/>
          <w:numId w:val="37"/>
        </w:numPr>
        <w:ind w:left="0" w:firstLine="0"/>
      </w:pPr>
      <w:r w:rsidRPr="00695C5B">
        <w:t>Les responsabilités de l’UNO sont de concevoir et de proposer toutes les mesures politiques, y compris les modifications des règlements actuels, de coordonner les parties prenantes, les institutions et les secteurs pertinents concernés par la mise en œuvre du Protocole, de faire le suivi de tous les programmes et projets ainsi que de préparer des rapports pour le Ministère et le Secrétariat.</w:t>
      </w:r>
    </w:p>
    <w:p w14:paraId="426F92B6" w14:textId="77777777" w:rsidR="00B006A9" w:rsidRPr="00695C5B" w:rsidRDefault="00B006A9" w:rsidP="00B006A9">
      <w:pPr>
        <w:pStyle w:val="Heading1"/>
        <w:numPr>
          <w:ilvl w:val="0"/>
          <w:numId w:val="24"/>
        </w:numPr>
      </w:pPr>
      <w:r w:rsidRPr="00695C5B">
        <w:t>L’unité de gestion de projet aidera l’UNO pour les activités suivantes :</w:t>
      </w:r>
    </w:p>
    <w:p w14:paraId="4D5C35A5" w14:textId="77777777" w:rsidR="00B006A9" w:rsidRPr="00695C5B" w:rsidRDefault="00B006A9" w:rsidP="00B006A9">
      <w:pPr>
        <w:pStyle w:val="Heading2"/>
        <w:numPr>
          <w:ilvl w:val="1"/>
          <w:numId w:val="1"/>
        </w:numPr>
        <w:tabs>
          <w:tab w:val="clear" w:pos="0"/>
          <w:tab w:val="num" w:pos="-90"/>
        </w:tabs>
        <w:ind w:left="1350"/>
        <w:rPr>
          <w:iCs/>
        </w:rPr>
      </w:pPr>
      <w:r w:rsidRPr="00695C5B">
        <w:rPr>
          <w:iCs/>
        </w:rPr>
        <w:t xml:space="preserve">Suivi des activités décrites dans chacun des projets, y compris les cours de formation, les séminaires, les ateliers et les </w:t>
      </w:r>
      <w:proofErr w:type="gramStart"/>
      <w:r w:rsidRPr="00695C5B">
        <w:rPr>
          <w:iCs/>
        </w:rPr>
        <w:t>présentations;</w:t>
      </w:r>
      <w:proofErr w:type="gramEnd"/>
    </w:p>
    <w:p w14:paraId="6582D980" w14:textId="77777777" w:rsidR="00B006A9" w:rsidRPr="00695C5B" w:rsidRDefault="00B006A9" w:rsidP="00B006A9">
      <w:pPr>
        <w:pStyle w:val="Heading2"/>
        <w:numPr>
          <w:ilvl w:val="1"/>
          <w:numId w:val="1"/>
        </w:numPr>
        <w:tabs>
          <w:tab w:val="clear" w:pos="0"/>
          <w:tab w:val="num" w:pos="-90"/>
        </w:tabs>
        <w:ind w:left="1350"/>
        <w:rPr>
          <w:iCs/>
        </w:rPr>
      </w:pPr>
      <w:r w:rsidRPr="00695C5B">
        <w:rPr>
          <w:iCs/>
        </w:rPr>
        <w:t xml:space="preserve">Surveillance de l’acquisition d’équipements, de matériaux et d’outils ainsi que des contrats pour les services, afin de garantir l’harmonisation avec les projets et la conformité aux règles et règlements des agences qui participent au </w:t>
      </w:r>
      <w:proofErr w:type="gramStart"/>
      <w:r w:rsidRPr="00695C5B">
        <w:rPr>
          <w:iCs/>
        </w:rPr>
        <w:t>Plan;</w:t>
      </w:r>
      <w:proofErr w:type="gramEnd"/>
    </w:p>
    <w:p w14:paraId="67DEE62E" w14:textId="77777777" w:rsidR="00B006A9" w:rsidRPr="00695C5B" w:rsidRDefault="00B006A9" w:rsidP="00B006A9">
      <w:pPr>
        <w:pStyle w:val="Heading2"/>
        <w:numPr>
          <w:ilvl w:val="1"/>
          <w:numId w:val="1"/>
        </w:numPr>
        <w:tabs>
          <w:tab w:val="clear" w:pos="0"/>
          <w:tab w:val="num" w:pos="-90"/>
        </w:tabs>
        <w:ind w:left="1350"/>
        <w:rPr>
          <w:iCs/>
        </w:rPr>
      </w:pPr>
      <w:r w:rsidRPr="00695C5B">
        <w:rPr>
          <w:iCs/>
        </w:rPr>
        <w:t xml:space="preserve">Assistance dans la préparation de rapports sur les activités des projets, en tenant compte des échéanciers définis pour chaque élément, et soutien de l’UNO pour résoudre tout écart et finaliser toutes les </w:t>
      </w:r>
      <w:proofErr w:type="gramStart"/>
      <w:r w:rsidRPr="00695C5B">
        <w:rPr>
          <w:iCs/>
        </w:rPr>
        <w:t>activités;</w:t>
      </w:r>
      <w:proofErr w:type="gramEnd"/>
    </w:p>
    <w:p w14:paraId="6D315504" w14:textId="77777777" w:rsidR="00B006A9" w:rsidRPr="00695C5B" w:rsidRDefault="00B006A9" w:rsidP="00B006A9">
      <w:pPr>
        <w:pStyle w:val="Heading2"/>
        <w:numPr>
          <w:ilvl w:val="1"/>
          <w:numId w:val="1"/>
        </w:numPr>
        <w:tabs>
          <w:tab w:val="clear" w:pos="0"/>
          <w:tab w:val="num" w:pos="-90"/>
        </w:tabs>
        <w:ind w:left="1350"/>
        <w:rPr>
          <w:iCs/>
        </w:rPr>
      </w:pPr>
      <w:r w:rsidRPr="00695C5B">
        <w:rPr>
          <w:iCs/>
        </w:rPr>
        <w:t xml:space="preserve"> Soutien de l’UNO pour définir et sélectionner les bénéficiaires, toujours comme activité de </w:t>
      </w:r>
      <w:proofErr w:type="gramStart"/>
      <w:r w:rsidRPr="00695C5B">
        <w:rPr>
          <w:iCs/>
        </w:rPr>
        <w:t>soutien;</w:t>
      </w:r>
      <w:proofErr w:type="gramEnd"/>
    </w:p>
    <w:p w14:paraId="18976049" w14:textId="77777777" w:rsidR="00B006A9" w:rsidRPr="00695C5B" w:rsidRDefault="00B006A9" w:rsidP="00B006A9">
      <w:pPr>
        <w:pStyle w:val="Heading2"/>
        <w:numPr>
          <w:ilvl w:val="1"/>
          <w:numId w:val="1"/>
        </w:numPr>
        <w:tabs>
          <w:tab w:val="clear" w:pos="0"/>
          <w:tab w:val="num" w:pos="-90"/>
        </w:tabs>
        <w:ind w:left="1350"/>
        <w:rPr>
          <w:iCs/>
        </w:rPr>
      </w:pPr>
      <w:r w:rsidRPr="00695C5B">
        <w:rPr>
          <w:iCs/>
        </w:rPr>
        <w:t xml:space="preserve">Soutien de l’UNO dans la collecte des données pour préparer les rapports requis pour les demandes de tranches adressées au Secrétariat, et pour l’agence d’exécution principale ou de </w:t>
      </w:r>
      <w:proofErr w:type="gramStart"/>
      <w:r w:rsidRPr="00695C5B">
        <w:rPr>
          <w:iCs/>
        </w:rPr>
        <w:t>coopération;</w:t>
      </w:r>
      <w:proofErr w:type="gramEnd"/>
      <w:r w:rsidRPr="00695C5B">
        <w:rPr>
          <w:iCs/>
        </w:rPr>
        <w:t xml:space="preserve"> </w:t>
      </w:r>
    </w:p>
    <w:p w14:paraId="02557E4E" w14:textId="77777777" w:rsidR="00B006A9" w:rsidRPr="00695C5B" w:rsidRDefault="00B006A9" w:rsidP="00B006A9">
      <w:pPr>
        <w:pStyle w:val="Heading2"/>
        <w:numPr>
          <w:ilvl w:val="1"/>
          <w:numId w:val="1"/>
        </w:numPr>
        <w:tabs>
          <w:tab w:val="clear" w:pos="0"/>
          <w:tab w:val="num" w:pos="-90"/>
        </w:tabs>
        <w:ind w:left="1350"/>
        <w:rPr>
          <w:iCs/>
        </w:rPr>
      </w:pPr>
      <w:r w:rsidRPr="00695C5B">
        <w:rPr>
          <w:iCs/>
        </w:rPr>
        <w:t xml:space="preserve">Surveillance et promotion, lorsque nécessaires, des mesures pour la conformité à la politique sur l’égalité entre les </w:t>
      </w:r>
      <w:proofErr w:type="gramStart"/>
      <w:r w:rsidRPr="00695C5B">
        <w:rPr>
          <w:iCs/>
        </w:rPr>
        <w:t>sexes;</w:t>
      </w:r>
      <w:proofErr w:type="gramEnd"/>
    </w:p>
    <w:p w14:paraId="24DB2924" w14:textId="77777777" w:rsidR="00B006A9" w:rsidRPr="00695C5B" w:rsidRDefault="00B006A9" w:rsidP="00B006A9">
      <w:pPr>
        <w:pStyle w:val="Heading2"/>
        <w:numPr>
          <w:ilvl w:val="1"/>
          <w:numId w:val="1"/>
        </w:numPr>
        <w:tabs>
          <w:tab w:val="clear" w:pos="0"/>
          <w:tab w:val="num" w:pos="-90"/>
        </w:tabs>
        <w:ind w:left="1350"/>
        <w:rPr>
          <w:iCs/>
        </w:rPr>
      </w:pPr>
      <w:r w:rsidRPr="00695C5B">
        <w:rPr>
          <w:iCs/>
        </w:rPr>
        <w:t xml:space="preserve">Toute autre activité de surveillance et d’évaluation demandée par l’UNO. </w:t>
      </w:r>
    </w:p>
    <w:p w14:paraId="06C60368" w14:textId="77777777" w:rsidR="00B006A9" w:rsidRPr="00ED6AA0" w:rsidRDefault="00B006A9" w:rsidP="00B006A9"/>
    <w:p w14:paraId="757D4F2C" w14:textId="77777777" w:rsidR="00B006A9" w:rsidRPr="00ED6AA0" w:rsidRDefault="00B006A9" w:rsidP="00B006A9">
      <w:pPr>
        <w:rPr>
          <w:b/>
        </w:rPr>
      </w:pPr>
      <w:r w:rsidRPr="00ED6AA0">
        <w:rPr>
          <w:b/>
        </w:rPr>
        <w:t>APPENDICE 6-</w:t>
      </w:r>
      <w:proofErr w:type="gramStart"/>
      <w:r w:rsidRPr="00ED6AA0">
        <w:rPr>
          <w:b/>
        </w:rPr>
        <w:t>A:</w:t>
      </w:r>
      <w:proofErr w:type="gramEnd"/>
      <w:r w:rsidRPr="00ED6AA0">
        <w:rPr>
          <w:b/>
        </w:rPr>
        <w:t xml:space="preserve"> RÔLE DE L’AGENCE D’EXÉCUTION PRINCIPALE </w:t>
      </w:r>
    </w:p>
    <w:p w14:paraId="63533322" w14:textId="77777777" w:rsidR="00B006A9" w:rsidRPr="00ED6AA0" w:rsidRDefault="00B006A9" w:rsidP="00B006A9"/>
    <w:p w14:paraId="09DD8BC7" w14:textId="77777777" w:rsidR="00B006A9" w:rsidRPr="00ED6AA0" w:rsidRDefault="00B006A9" w:rsidP="00695C5B">
      <w:pPr>
        <w:pStyle w:val="Heading1"/>
        <w:numPr>
          <w:ilvl w:val="0"/>
          <w:numId w:val="40"/>
        </w:numPr>
      </w:pPr>
      <w:r w:rsidRPr="00ED6AA0">
        <w:t xml:space="preserve">L’Agence principale sera responsable </w:t>
      </w:r>
      <w:r w:rsidRPr="00695C5B">
        <w:rPr>
          <w:color w:val="000000"/>
        </w:rPr>
        <w:t xml:space="preserve">d’une série d’activités, incluant au moins les activités </w:t>
      </w:r>
      <w:proofErr w:type="gramStart"/>
      <w:r w:rsidRPr="00695C5B">
        <w:rPr>
          <w:color w:val="000000"/>
        </w:rPr>
        <w:t>suivantes:</w:t>
      </w:r>
      <w:proofErr w:type="gramEnd"/>
    </w:p>
    <w:p w14:paraId="1347FE67" w14:textId="77777777" w:rsidR="00B006A9" w:rsidRPr="00ED6AA0" w:rsidRDefault="00B006A9" w:rsidP="00B006A9">
      <w:pPr>
        <w:pStyle w:val="Heading2"/>
        <w:numPr>
          <w:ilvl w:val="1"/>
          <w:numId w:val="1"/>
        </w:numPr>
      </w:pPr>
      <w:r w:rsidRPr="00ED6AA0">
        <w:t xml:space="preserve">S’assurer du rendement et de la vérification financière conformément au présent Accord et à ses procédures internes et exigences spécifiques définies dans le PGEH du </w:t>
      </w:r>
      <w:proofErr w:type="gramStart"/>
      <w:r w:rsidRPr="00ED6AA0">
        <w:t>Pays;</w:t>
      </w:r>
      <w:proofErr w:type="gramEnd"/>
    </w:p>
    <w:p w14:paraId="4BF7763B" w14:textId="77777777" w:rsidR="00B006A9" w:rsidRPr="00ED6AA0" w:rsidRDefault="00B006A9" w:rsidP="00B006A9">
      <w:pPr>
        <w:pStyle w:val="Heading2"/>
        <w:numPr>
          <w:ilvl w:val="1"/>
          <w:numId w:val="1"/>
        </w:numPr>
      </w:pPr>
      <w:r w:rsidRPr="00ED6AA0">
        <w:t>Aider le Pays à préparer les plans de mise en œuvre de la tranche et les rapports ultérieurs conformément à l’Appendice 4-</w:t>
      </w:r>
      <w:proofErr w:type="gramStart"/>
      <w:r w:rsidRPr="00ED6AA0">
        <w:t>A;</w:t>
      </w:r>
      <w:proofErr w:type="gramEnd"/>
    </w:p>
    <w:p w14:paraId="6F7F93D7" w14:textId="77777777" w:rsidR="00B006A9" w:rsidRPr="00ED6AA0" w:rsidRDefault="00B006A9" w:rsidP="00B006A9">
      <w:pPr>
        <w:pStyle w:val="Heading2"/>
        <w:numPr>
          <w:ilvl w:val="1"/>
          <w:numId w:val="1"/>
        </w:numPr>
      </w:pPr>
      <w:r w:rsidRPr="00ED6AA0">
        <w:lastRenderedPageBreak/>
        <w:t>Remettre au Comité exécutif un rapport de vérification indépendante confirmant que les objectifs ont été atteints et que les activités annuelles correspondantes ont été réalisées conformément au plan de mise en œuvre de la tranche, en accord avec l’Appendice 4-</w:t>
      </w:r>
      <w:proofErr w:type="gramStart"/>
      <w:r w:rsidRPr="00ED6AA0">
        <w:t>A;</w:t>
      </w:r>
      <w:proofErr w:type="gramEnd"/>
      <w:r w:rsidRPr="00ED6AA0">
        <w:t xml:space="preserve"> </w:t>
      </w:r>
    </w:p>
    <w:p w14:paraId="0C579A37" w14:textId="77777777" w:rsidR="00B006A9" w:rsidRPr="00ED6AA0" w:rsidRDefault="00B006A9" w:rsidP="00B006A9">
      <w:pPr>
        <w:pStyle w:val="Heading2"/>
        <w:keepNext/>
        <w:keepLines/>
        <w:numPr>
          <w:ilvl w:val="1"/>
          <w:numId w:val="1"/>
        </w:numPr>
      </w:pPr>
      <w:r w:rsidRPr="00ED6AA0">
        <w:t>Veiller à ce que les expériences et progrès transparaissent dans les mises à jour du plan d’ensemble et les plans annuels de mise en œuvre de la tranche futurs, conformément aux paragraphes 1 c) et 1 d) de l’Appendice 4-</w:t>
      </w:r>
      <w:proofErr w:type="gramStart"/>
      <w:r w:rsidRPr="00ED6AA0">
        <w:t>A;</w:t>
      </w:r>
      <w:proofErr w:type="gramEnd"/>
    </w:p>
    <w:p w14:paraId="17C3F43E" w14:textId="77777777" w:rsidR="00B006A9" w:rsidRPr="00ED6AA0" w:rsidRDefault="00B006A9" w:rsidP="00B006A9">
      <w:pPr>
        <w:pStyle w:val="Heading2"/>
        <w:numPr>
          <w:ilvl w:val="1"/>
          <w:numId w:val="1"/>
        </w:numPr>
      </w:pPr>
      <w:r w:rsidRPr="00ED6AA0">
        <w:t xml:space="preserve">Satisfaire aux exigences de rapport pour les rapports et plans de mise en œuvre de la tranche et le plan d’ensemble selon les spécifications de l’Appendice 4-A aux fins de présentation au Comité exécutif, ce qui doit comprendre les activités entreprises par l’Agence de </w:t>
      </w:r>
      <w:proofErr w:type="gramStart"/>
      <w:r w:rsidRPr="00ED6AA0">
        <w:t>coopération;</w:t>
      </w:r>
      <w:proofErr w:type="gramEnd"/>
    </w:p>
    <w:p w14:paraId="537DB435" w14:textId="77777777" w:rsidR="00B006A9" w:rsidRPr="00ED6AA0" w:rsidRDefault="00B006A9" w:rsidP="00B006A9">
      <w:pPr>
        <w:pStyle w:val="Heading2"/>
        <w:numPr>
          <w:ilvl w:val="1"/>
          <w:numId w:val="1"/>
        </w:numPr>
      </w:pPr>
      <w:r w:rsidRPr="00ED6AA0">
        <w:t xml:space="preserve">Dans l’éventualité où la dernière tranche de financement est demandée une année ou plus avant la dernière année pour laquelle un objectif de consommation a été établi, les rapports de mise en œuvre de la tranche annuelle et, s’il y a lieu, les rapports de vérification du stage actuel du Plan doivent être soumis jusqu’à ce que toutes les activités prévues aient été menées à terme et que les objectifs de consommation aient été </w:t>
      </w:r>
      <w:proofErr w:type="gramStart"/>
      <w:r w:rsidRPr="00ED6AA0">
        <w:t>atteints;</w:t>
      </w:r>
      <w:proofErr w:type="gramEnd"/>
    </w:p>
    <w:p w14:paraId="18772C40" w14:textId="77777777" w:rsidR="00B006A9" w:rsidRPr="00ED6AA0" w:rsidRDefault="00B006A9" w:rsidP="00B006A9">
      <w:pPr>
        <w:pStyle w:val="Heading2"/>
        <w:numPr>
          <w:ilvl w:val="1"/>
          <w:numId w:val="1"/>
        </w:numPr>
      </w:pPr>
      <w:r w:rsidRPr="00ED6AA0">
        <w:t xml:space="preserve">Veiller à ce que des experts techniques indépendants et qualifiés réalisent les examens </w:t>
      </w:r>
      <w:proofErr w:type="gramStart"/>
      <w:r w:rsidRPr="00ED6AA0">
        <w:t>techniques;</w:t>
      </w:r>
      <w:proofErr w:type="gramEnd"/>
    </w:p>
    <w:p w14:paraId="2EE9424E" w14:textId="77777777" w:rsidR="00B006A9" w:rsidRPr="00ED6AA0" w:rsidRDefault="00B006A9" w:rsidP="00B006A9">
      <w:pPr>
        <w:pStyle w:val="Heading2"/>
        <w:numPr>
          <w:ilvl w:val="1"/>
          <w:numId w:val="1"/>
        </w:numPr>
      </w:pPr>
      <w:r w:rsidRPr="00ED6AA0">
        <w:t xml:space="preserve">Exécuter les missions de supervision </w:t>
      </w:r>
      <w:proofErr w:type="gramStart"/>
      <w:r w:rsidRPr="00ED6AA0">
        <w:t>requises;</w:t>
      </w:r>
      <w:proofErr w:type="gramEnd"/>
    </w:p>
    <w:p w14:paraId="45A186DF" w14:textId="77777777" w:rsidR="00B006A9" w:rsidRPr="00ED6AA0" w:rsidRDefault="00B006A9" w:rsidP="00B006A9">
      <w:pPr>
        <w:pStyle w:val="Heading2"/>
        <w:numPr>
          <w:ilvl w:val="1"/>
          <w:numId w:val="1"/>
        </w:numPr>
      </w:pPr>
      <w:r w:rsidRPr="00ED6AA0">
        <w:t xml:space="preserve">S’assurer qu’il existe un mécanisme opérationnel permettant la mise en œuvre efficace et transparente du plan de mise en œuvre de la tranche et la communication de données </w:t>
      </w:r>
      <w:proofErr w:type="gramStart"/>
      <w:r w:rsidRPr="00ED6AA0">
        <w:t>exactes;</w:t>
      </w:r>
      <w:proofErr w:type="gramEnd"/>
    </w:p>
    <w:p w14:paraId="60BFFF5D" w14:textId="77777777" w:rsidR="00B006A9" w:rsidRPr="00ED6AA0" w:rsidRDefault="00B006A9" w:rsidP="00B006A9">
      <w:pPr>
        <w:pStyle w:val="Heading2"/>
        <w:numPr>
          <w:ilvl w:val="1"/>
          <w:numId w:val="1"/>
        </w:numPr>
      </w:pPr>
      <w:r w:rsidRPr="00ED6AA0">
        <w:t xml:space="preserve">Coordonner les activités de l’Agence de coopération et veiller au déroulement des activités dans l’ordre </w:t>
      </w:r>
      <w:proofErr w:type="gramStart"/>
      <w:r w:rsidRPr="00ED6AA0">
        <w:t>établi;</w:t>
      </w:r>
      <w:proofErr w:type="gramEnd"/>
    </w:p>
    <w:p w14:paraId="40B47145" w14:textId="77777777" w:rsidR="00B006A9" w:rsidRPr="00ED6AA0" w:rsidRDefault="00B006A9" w:rsidP="00B006A9">
      <w:pPr>
        <w:pStyle w:val="Heading2"/>
        <w:numPr>
          <w:ilvl w:val="1"/>
          <w:numId w:val="1"/>
        </w:numPr>
      </w:pPr>
      <w:r w:rsidRPr="00ED6AA0">
        <w:t xml:space="preserve">En cas de réduction du soutien financier pour non-conformité au paragraphe 11 de l’Accord, déterminer, en consultation avec le Pays et l’Agence de coopération, la répartition des réductions aux différents postes budgétaires et au financement de l’Agence principale et de chacune des Agences de </w:t>
      </w:r>
      <w:proofErr w:type="gramStart"/>
      <w:r w:rsidRPr="00ED6AA0">
        <w:t>coopération;</w:t>
      </w:r>
      <w:proofErr w:type="gramEnd"/>
      <w:r w:rsidRPr="00ED6AA0">
        <w:t xml:space="preserve"> </w:t>
      </w:r>
    </w:p>
    <w:p w14:paraId="656A3FC7" w14:textId="77777777" w:rsidR="00B006A9" w:rsidRPr="00ED6AA0" w:rsidRDefault="00B006A9" w:rsidP="00B006A9">
      <w:pPr>
        <w:pStyle w:val="Heading2"/>
        <w:numPr>
          <w:ilvl w:val="1"/>
          <w:numId w:val="1"/>
        </w:numPr>
      </w:pPr>
      <w:r w:rsidRPr="00ED6AA0">
        <w:t xml:space="preserve">Veiller à ce que les versements effectués au Pays reposent sur l’utilisation des </w:t>
      </w:r>
      <w:proofErr w:type="gramStart"/>
      <w:r w:rsidRPr="00ED6AA0">
        <w:t>indicateurs;</w:t>
      </w:r>
      <w:proofErr w:type="gramEnd"/>
      <w:r w:rsidRPr="00ED6AA0">
        <w:t xml:space="preserve"> </w:t>
      </w:r>
    </w:p>
    <w:p w14:paraId="381D9BB9" w14:textId="77777777" w:rsidR="00B006A9" w:rsidRPr="00ED6AA0" w:rsidRDefault="00B006A9" w:rsidP="00B006A9">
      <w:pPr>
        <w:pStyle w:val="Heading2"/>
        <w:numPr>
          <w:ilvl w:val="1"/>
          <w:numId w:val="1"/>
        </w:numPr>
      </w:pPr>
      <w:r w:rsidRPr="00ED6AA0">
        <w:t xml:space="preserve">Fournir si nécessaire une assistance en matière de politique, de gestion et de soutien </w:t>
      </w:r>
      <w:proofErr w:type="gramStart"/>
      <w:r w:rsidRPr="00ED6AA0">
        <w:t>technique;</w:t>
      </w:r>
      <w:proofErr w:type="gramEnd"/>
    </w:p>
    <w:p w14:paraId="62EBC74B" w14:textId="77777777" w:rsidR="00B006A9" w:rsidRPr="00ED6AA0" w:rsidRDefault="00B006A9" w:rsidP="00B006A9">
      <w:pPr>
        <w:pStyle w:val="Heading2"/>
        <w:numPr>
          <w:ilvl w:val="1"/>
          <w:numId w:val="1"/>
        </w:numPr>
      </w:pPr>
      <w:r w:rsidRPr="00ED6AA0">
        <w:t xml:space="preserve">Faire consensus avec </w:t>
      </w:r>
      <w:proofErr w:type="gramStart"/>
      <w:r w:rsidRPr="00ED6AA0">
        <w:t>l’ [</w:t>
      </w:r>
      <w:proofErr w:type="gramEnd"/>
      <w:r w:rsidRPr="00ED6AA0">
        <w:t>les] Agence[s] de coopération concernant toute mesure de planification, de coordination et de remise de rapports requise afin de faciliter la mise en œuvre du Plan;</w:t>
      </w:r>
    </w:p>
    <w:p w14:paraId="0A498634" w14:textId="77777777" w:rsidR="00B006A9" w:rsidRPr="00ED6AA0" w:rsidRDefault="00B006A9" w:rsidP="00B006A9">
      <w:pPr>
        <w:pStyle w:val="Heading2"/>
        <w:numPr>
          <w:ilvl w:val="1"/>
          <w:numId w:val="1"/>
        </w:numPr>
      </w:pPr>
      <w:r w:rsidRPr="00ED6AA0">
        <w:t>Décaisser les sommes au pays/aux entreprises participants dans les délais nécessaires pour achever les activités reliées au projet.</w:t>
      </w:r>
    </w:p>
    <w:p w14:paraId="41AE3954" w14:textId="77777777" w:rsidR="00B006A9" w:rsidRPr="00ED6AA0" w:rsidRDefault="00B006A9" w:rsidP="00B006A9">
      <w:pPr>
        <w:pStyle w:val="Heading1"/>
      </w:pPr>
      <w:r w:rsidRPr="00ED6AA0">
        <w:t>Après avoir consulté le Pays et pris en considération les points de vue exprimés, l’Agence principale sélectionnera et chargera une organisation indépendante de réaliser la vérification des résultats du plan de gestion de l’élimination des HCFC et de la consommation des substances mentionnées à l’Appendice 1-A, conformément au paragraphe 5 b) de l’Accord et au paragraphe 1 b) de l’Appendice 4</w:t>
      </w:r>
      <w:r w:rsidRPr="00ED6AA0">
        <w:noBreakHyphen/>
        <w:t>A.</w:t>
      </w:r>
    </w:p>
    <w:p w14:paraId="0E1DFD3B" w14:textId="77777777" w:rsidR="006456AC" w:rsidRDefault="006456AC">
      <w:pPr>
        <w:jc w:val="left"/>
        <w:rPr>
          <w:b/>
        </w:rPr>
      </w:pPr>
      <w:r>
        <w:rPr>
          <w:b/>
        </w:rPr>
        <w:br w:type="page"/>
      </w:r>
    </w:p>
    <w:p w14:paraId="53DA2D72" w14:textId="5618BD2B" w:rsidR="00B006A9" w:rsidRPr="00ED6AA0" w:rsidRDefault="00B006A9" w:rsidP="00B006A9">
      <w:pPr>
        <w:rPr>
          <w:b/>
        </w:rPr>
      </w:pPr>
      <w:r w:rsidRPr="00ED6AA0">
        <w:rPr>
          <w:b/>
        </w:rPr>
        <w:lastRenderedPageBreak/>
        <w:t>APPENDICE 6-</w:t>
      </w:r>
      <w:proofErr w:type="gramStart"/>
      <w:r w:rsidRPr="00ED6AA0">
        <w:rPr>
          <w:b/>
        </w:rPr>
        <w:t>B:</w:t>
      </w:r>
      <w:proofErr w:type="gramEnd"/>
      <w:r w:rsidRPr="00ED6AA0">
        <w:rPr>
          <w:b/>
        </w:rPr>
        <w:t xml:space="preserve"> RÔLE DES AGENCES DE COOPÉRATION</w:t>
      </w:r>
    </w:p>
    <w:p w14:paraId="740E57C3" w14:textId="77777777" w:rsidR="00B006A9" w:rsidRPr="00ED6AA0" w:rsidRDefault="00B006A9" w:rsidP="00B006A9">
      <w:pPr>
        <w:rPr>
          <w:b/>
        </w:rPr>
      </w:pPr>
    </w:p>
    <w:p w14:paraId="6549BC83" w14:textId="77777777" w:rsidR="00B006A9" w:rsidRPr="00ED6AA0" w:rsidRDefault="00B006A9" w:rsidP="00695C5B">
      <w:pPr>
        <w:pStyle w:val="Heading1"/>
        <w:numPr>
          <w:ilvl w:val="0"/>
          <w:numId w:val="41"/>
        </w:numPr>
      </w:pPr>
      <w:r w:rsidRPr="00ED6AA0">
        <w:t xml:space="preserve">L’Agence de coopération sera responsable de diverses activités précisées dans le plan général et comprenant au moins les activités </w:t>
      </w:r>
      <w:proofErr w:type="gramStart"/>
      <w:r w:rsidRPr="00ED6AA0">
        <w:t>suivantes:</w:t>
      </w:r>
      <w:proofErr w:type="gramEnd"/>
    </w:p>
    <w:p w14:paraId="58D1E45A" w14:textId="77777777" w:rsidR="00B006A9" w:rsidRPr="00ED6AA0" w:rsidRDefault="00B006A9" w:rsidP="00B006A9">
      <w:pPr>
        <w:pStyle w:val="ListParagraph"/>
        <w:numPr>
          <w:ilvl w:val="0"/>
          <w:numId w:val="36"/>
        </w:numPr>
        <w:ind w:left="1440" w:hanging="720"/>
      </w:pPr>
      <w:r w:rsidRPr="00ED6AA0">
        <w:t xml:space="preserve">Offrir de l’assistance pour l’élaboration de politiques, au </w:t>
      </w:r>
      <w:proofErr w:type="gramStart"/>
      <w:r w:rsidRPr="00ED6AA0">
        <w:t>besoin;</w:t>
      </w:r>
      <w:proofErr w:type="gramEnd"/>
    </w:p>
    <w:p w14:paraId="073226B7" w14:textId="77777777" w:rsidR="00B006A9" w:rsidRPr="00ED6AA0" w:rsidRDefault="00B006A9" w:rsidP="00B006A9">
      <w:pPr>
        <w:pStyle w:val="Heading4"/>
        <w:numPr>
          <w:ilvl w:val="0"/>
          <w:numId w:val="36"/>
        </w:numPr>
        <w:ind w:left="1440" w:hanging="720"/>
      </w:pPr>
      <w:r w:rsidRPr="00ED6AA0">
        <w:t xml:space="preserve">Aider le Pays à mettre en œuvre et à évaluer les activités financées par l’Agence de coopération et consulter l’Agence principale afin de coordonner le déroulement des activités dans </w:t>
      </w:r>
      <w:proofErr w:type="gramStart"/>
      <w:r w:rsidRPr="00ED6AA0">
        <w:t>l’ordre;</w:t>
      </w:r>
      <w:proofErr w:type="gramEnd"/>
      <w:r w:rsidRPr="00ED6AA0">
        <w:t xml:space="preserve"> et</w:t>
      </w:r>
    </w:p>
    <w:p w14:paraId="2A04020A" w14:textId="77777777" w:rsidR="00B006A9" w:rsidRPr="00ED6AA0" w:rsidRDefault="00B006A9" w:rsidP="00B006A9">
      <w:pPr>
        <w:pStyle w:val="Heading4"/>
        <w:numPr>
          <w:ilvl w:val="0"/>
          <w:numId w:val="36"/>
        </w:numPr>
        <w:ind w:left="1440" w:hanging="720"/>
      </w:pPr>
      <w:r w:rsidRPr="00ED6AA0">
        <w:t>Faire rapport à l’Agence principale sur ces activités, afin de les inclure dans les rapports globaux, conformément à l’Appendice 4-A.</w:t>
      </w:r>
    </w:p>
    <w:p w14:paraId="76CEFF03" w14:textId="77777777" w:rsidR="00B006A9" w:rsidRPr="00ED6AA0" w:rsidRDefault="00B006A9" w:rsidP="00B006A9">
      <w:pPr>
        <w:pStyle w:val="Heading9"/>
        <w:numPr>
          <w:ilvl w:val="0"/>
          <w:numId w:val="36"/>
        </w:numPr>
        <w:ind w:left="1440" w:hanging="720"/>
        <w:rPr>
          <w:rFonts w:ascii="Times New Roman" w:hAnsi="Times New Roman"/>
          <w:i w:val="0"/>
        </w:rPr>
      </w:pPr>
      <w:r w:rsidRPr="00ED6AA0">
        <w:rPr>
          <w:rFonts w:ascii="Times New Roman" w:hAnsi="Times New Roman"/>
          <w:i w:val="0"/>
        </w:rPr>
        <w:t>Faire consensus avec l’Agence principale concernant toute mesure de planification, de coordination et de remise de rapports requise afin de faciliter la mise en œuvre du Plan.</w:t>
      </w:r>
    </w:p>
    <w:p w14:paraId="7E1A1DEE" w14:textId="77777777" w:rsidR="00B006A9" w:rsidRPr="00ED6AA0" w:rsidRDefault="00B006A9" w:rsidP="00B006A9"/>
    <w:p w14:paraId="4AFB3FCD" w14:textId="77777777" w:rsidR="00B006A9" w:rsidRPr="00ED6AA0" w:rsidRDefault="00B006A9" w:rsidP="00B006A9">
      <w:pPr>
        <w:keepNext/>
        <w:keepLines/>
        <w:rPr>
          <w:b/>
        </w:rPr>
      </w:pPr>
      <w:r w:rsidRPr="00ED6AA0">
        <w:rPr>
          <w:b/>
        </w:rPr>
        <w:t>APPENDICE 7-</w:t>
      </w:r>
      <w:proofErr w:type="gramStart"/>
      <w:r w:rsidRPr="00ED6AA0">
        <w:rPr>
          <w:b/>
        </w:rPr>
        <w:t>A:</w:t>
      </w:r>
      <w:proofErr w:type="gramEnd"/>
      <w:r w:rsidRPr="00ED6AA0">
        <w:rPr>
          <w:b/>
        </w:rPr>
        <w:t xml:space="preserve"> RÉDUCTIONS DU FINANCEMENT EN CAS DE NON</w:t>
      </w:r>
      <w:r w:rsidRPr="00ED6AA0">
        <w:rPr>
          <w:b/>
        </w:rPr>
        <w:noBreakHyphen/>
        <w:t>CONFORMITÉ</w:t>
      </w:r>
    </w:p>
    <w:p w14:paraId="23CB7D8E" w14:textId="77777777" w:rsidR="00B006A9" w:rsidRPr="00ED6AA0" w:rsidRDefault="00B006A9" w:rsidP="00B006A9">
      <w:pPr>
        <w:keepNext/>
        <w:keepLines/>
      </w:pPr>
    </w:p>
    <w:p w14:paraId="509C8182" w14:textId="77777777" w:rsidR="00B006A9" w:rsidRPr="00ED6AA0" w:rsidRDefault="00B006A9" w:rsidP="00695C5B">
      <w:pPr>
        <w:pStyle w:val="Heading1"/>
        <w:keepNext/>
        <w:keepLines/>
        <w:numPr>
          <w:ilvl w:val="0"/>
          <w:numId w:val="42"/>
        </w:numPr>
      </w:pPr>
      <w:r w:rsidRPr="00ED6AA0">
        <w:t>Conformément au paragraphe 11 de l’Accord, il pourra être déduit du montant du financement accordé un montant de 180 $US par kg PAO de consommation dépassant la quantité précisée à la ligne 1.2 de l’Appendice 2-A pour chaque année de non-conformité à l’objectif précisé à la ligne 1.2 de l’Appendice 2-A, étant entendu que la réduction maximum du financement ne dépassera pas le niveau de financement de la tranche demandé. Des mesures supplémentaires pourront s’appliquer si la situation de non-conformité atteint deux années consécutives.</w:t>
      </w:r>
    </w:p>
    <w:p w14:paraId="1F2138A9" w14:textId="77777777" w:rsidR="00B006A9" w:rsidRPr="00ED6AA0" w:rsidRDefault="00B006A9" w:rsidP="00B006A9">
      <w:pPr>
        <w:pStyle w:val="Heading1"/>
        <w:numPr>
          <w:ilvl w:val="0"/>
          <w:numId w:val="24"/>
        </w:numPr>
      </w:pPr>
      <w:r w:rsidRPr="00ED6AA0">
        <w:t>Si la pénalité doit être appliquée au cours d’une année où deux accords assortis de pénalités différentes sont en vigueur (mise en œuvre en parallèle de deux phases du PGEH), l’application de la pénalité sera déterminée au cas par cas en tenant compte du secteur en particulier responsable de la non</w:t>
      </w:r>
      <w:r w:rsidRPr="00ED6AA0">
        <w:noBreakHyphen/>
        <w:t>conformité. S’il est impossible de déterminer ce secteur ou que les deux étapes portent sur le même secteur, la pénalité la plus élevée sera appliquée.</w:t>
      </w:r>
    </w:p>
    <w:p w14:paraId="169C10CE" w14:textId="77777777" w:rsidR="006D7333" w:rsidRPr="00B006A9" w:rsidRDefault="006D7333" w:rsidP="006D73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D7333" w:rsidRPr="00B434E2" w14:paraId="793D3DE7" w14:textId="77777777" w:rsidTr="00B006A9">
        <w:tc>
          <w:tcPr>
            <w:tcW w:w="1871" w:type="dxa"/>
          </w:tcPr>
          <w:p w14:paraId="5A44C4FC" w14:textId="77777777" w:rsidR="006D7333" w:rsidRPr="00B006A9" w:rsidRDefault="006D7333" w:rsidP="00B006A9"/>
        </w:tc>
        <w:tc>
          <w:tcPr>
            <w:tcW w:w="1872" w:type="dxa"/>
          </w:tcPr>
          <w:p w14:paraId="1B45CC98" w14:textId="77777777" w:rsidR="006D7333" w:rsidRPr="00B006A9" w:rsidRDefault="006D7333" w:rsidP="00B006A9"/>
        </w:tc>
        <w:tc>
          <w:tcPr>
            <w:tcW w:w="1872" w:type="dxa"/>
            <w:tcBorders>
              <w:bottom w:val="single" w:sz="4" w:space="0" w:color="auto"/>
            </w:tcBorders>
          </w:tcPr>
          <w:p w14:paraId="5FC69CE9" w14:textId="77777777" w:rsidR="006D7333" w:rsidRPr="00B006A9" w:rsidRDefault="006D7333" w:rsidP="00B006A9"/>
        </w:tc>
        <w:tc>
          <w:tcPr>
            <w:tcW w:w="1872" w:type="dxa"/>
          </w:tcPr>
          <w:p w14:paraId="617E919A" w14:textId="77777777" w:rsidR="006D7333" w:rsidRPr="00B006A9" w:rsidRDefault="006D7333" w:rsidP="00B006A9"/>
        </w:tc>
        <w:tc>
          <w:tcPr>
            <w:tcW w:w="1873" w:type="dxa"/>
          </w:tcPr>
          <w:p w14:paraId="4FA49D8E" w14:textId="77777777" w:rsidR="006D7333" w:rsidRPr="00B006A9" w:rsidRDefault="006D7333" w:rsidP="00B006A9"/>
        </w:tc>
      </w:tr>
    </w:tbl>
    <w:p w14:paraId="3D7CC7A5" w14:textId="77777777" w:rsidR="006D7333" w:rsidRPr="00B006A9" w:rsidRDefault="006D7333" w:rsidP="006D7333"/>
    <w:p w14:paraId="5A0E79D3" w14:textId="77777777" w:rsidR="00441083" w:rsidRPr="00B006A9" w:rsidRDefault="00441083"/>
    <w:sectPr w:rsidR="00441083" w:rsidRPr="00B006A9">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6F8D" w14:textId="77777777" w:rsidR="00B006A9" w:rsidRDefault="00B006A9">
      <w:r>
        <w:separator/>
      </w:r>
    </w:p>
  </w:endnote>
  <w:endnote w:type="continuationSeparator" w:id="0">
    <w:p w14:paraId="27537F0F" w14:textId="77777777" w:rsidR="00B006A9" w:rsidRDefault="00B0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DA6E" w14:textId="0C97D98B" w:rsidR="00B006A9" w:rsidRDefault="00B006A9">
    <w:pPr>
      <w:jc w:val="center"/>
    </w:pPr>
    <w:r>
      <w:fldChar w:fldCharType="begin"/>
    </w:r>
    <w:r>
      <w:instrText xml:space="preserve"> PAGE </w:instrText>
    </w:r>
    <w:r>
      <w:fldChar w:fldCharType="separate"/>
    </w:r>
    <w:r w:rsidR="006456AC">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C2AA" w14:textId="1F072AA6" w:rsidR="00B006A9" w:rsidRDefault="00B006A9">
    <w:pPr>
      <w:jc w:val="center"/>
    </w:pPr>
    <w:r>
      <w:fldChar w:fldCharType="begin"/>
    </w:r>
    <w:r>
      <w:instrText xml:space="preserve"> PAGE </w:instrText>
    </w:r>
    <w:r>
      <w:fldChar w:fldCharType="separate"/>
    </w:r>
    <w:r w:rsidR="006456AC">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3AB8" w14:textId="4B3C6034" w:rsidR="00B006A9" w:rsidRDefault="00B006A9">
    <w:pPr>
      <w:pBdr>
        <w:top w:val="single" w:sz="4" w:space="1" w:color="auto"/>
        <w:left w:val="single" w:sz="4" w:space="4" w:color="auto"/>
        <w:bottom w:val="single" w:sz="4" w:space="1" w:color="auto"/>
        <w:right w:val="single" w:sz="4" w:space="4" w:color="auto"/>
      </w:pBdr>
      <w:jc w:val="center"/>
      <w:rPr>
        <w:rFonts w:cs="MS Serif"/>
        <w:sz w:val="20"/>
      </w:rPr>
    </w:pPr>
    <w:r>
      <w:rPr>
        <w:rFonts w:cs="MS Serif"/>
        <w:sz w:val="20"/>
      </w:rPr>
      <w:t xml:space="preserve">Les documents de </w:t>
    </w:r>
    <w:proofErr w:type="spellStart"/>
    <w:r>
      <w:rPr>
        <w:rFonts w:cs="MS Serif"/>
        <w:sz w:val="20"/>
      </w:rPr>
      <w:t>présession</w:t>
    </w:r>
    <w:proofErr w:type="spellEnd"/>
    <w:r>
      <w:rPr>
        <w:rFonts w:cs="MS Serif"/>
        <w:sz w:val="20"/>
      </w:rPr>
      <w:t xml:space="preserve"> du Comité exécutif du Fonds multilatéral aux fins d’application du Protocole de </w:t>
    </w:r>
  </w:p>
  <w:p w14:paraId="0CBFA50D" w14:textId="77777777" w:rsidR="00B006A9" w:rsidRDefault="00B006A9">
    <w:pPr>
      <w:pBdr>
        <w:top w:val="single" w:sz="4" w:space="1" w:color="auto"/>
        <w:left w:val="single" w:sz="4" w:space="4" w:color="auto"/>
        <w:bottom w:val="single" w:sz="4" w:space="1" w:color="auto"/>
        <w:right w:val="single" w:sz="4" w:space="4" w:color="auto"/>
      </w:pBdr>
      <w:jc w:val="center"/>
      <w:rPr>
        <w:rFonts w:cs="MS Serif"/>
        <w:sz w:val="20"/>
      </w:rPr>
    </w:pPr>
    <w:r>
      <w:rPr>
        <w:rFonts w:cs="MS Serif"/>
        <w:sz w:val="20"/>
      </w:rPr>
      <w:t>Montréal sont présentés sous réserve des décisions pouvant être prises par le Comité exécutif après leur publication.</w:t>
    </w:r>
  </w:p>
  <w:p w14:paraId="2F2B8F1C" w14:textId="77777777" w:rsidR="00B006A9" w:rsidRDefault="00B006A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76AF0B6A" w14:textId="487E6E1F" w:rsidR="00B006A9" w:rsidRDefault="00B006A9">
        <w:pPr>
          <w:pStyle w:val="Footer"/>
          <w:jc w:val="center"/>
        </w:pPr>
        <w:r>
          <w:fldChar w:fldCharType="begin"/>
        </w:r>
        <w:r>
          <w:instrText xml:space="preserve"> PAGE   \* MERGEFORMAT </w:instrText>
        </w:r>
        <w:r>
          <w:fldChar w:fldCharType="separate"/>
        </w:r>
        <w:r w:rsidR="006456AC">
          <w:rPr>
            <w:noProof/>
          </w:rPr>
          <w:t>1</w:t>
        </w:r>
        <w:r>
          <w:rPr>
            <w:noProof/>
          </w:rPr>
          <w:fldChar w:fldCharType="end"/>
        </w:r>
      </w:p>
    </w:sdtContent>
  </w:sdt>
  <w:p w14:paraId="3455C7C9" w14:textId="77777777" w:rsidR="00B006A9" w:rsidRDefault="00B006A9">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90BF8" w14:textId="77777777" w:rsidR="00B006A9" w:rsidRDefault="00B006A9">
      <w:r>
        <w:separator/>
      </w:r>
    </w:p>
  </w:footnote>
  <w:footnote w:type="continuationSeparator" w:id="0">
    <w:p w14:paraId="6301A72A" w14:textId="77777777" w:rsidR="00B006A9" w:rsidRDefault="00B006A9">
      <w:r>
        <w:continuationSeparator/>
      </w:r>
    </w:p>
  </w:footnote>
  <w:footnote w:id="1">
    <w:p w14:paraId="47543536" w14:textId="4621F776" w:rsidR="00B006A9" w:rsidRDefault="00B006A9" w:rsidP="00FF3DFD">
      <w:pPr>
        <w:pStyle w:val="FootnoteText"/>
        <w:rPr>
          <w:lang w:val="fr-CA"/>
        </w:rPr>
      </w:pPr>
      <w:r>
        <w:rPr>
          <w:rStyle w:val="FootnoteReference"/>
        </w:rPr>
        <w:footnoteRef/>
      </w:r>
      <w:r w:rsidRPr="0004647F">
        <w:rPr>
          <w:lang w:val="fr-CA"/>
        </w:rPr>
        <w:t xml:space="preserve"> Des réunions en ligne et un processus d</w:t>
      </w:r>
      <w:r>
        <w:rPr>
          <w:lang w:val="fr-CA"/>
        </w:rPr>
        <w:t>’</w:t>
      </w:r>
      <w:r w:rsidRPr="0004647F">
        <w:rPr>
          <w:lang w:val="fr-CA"/>
        </w:rPr>
        <w:t>approbation intersessio</w:t>
      </w:r>
      <w:r>
        <w:rPr>
          <w:lang w:val="fr-CA"/>
        </w:rPr>
        <w:t xml:space="preserve">ns se tiendront </w:t>
      </w:r>
      <w:r w:rsidRPr="0004647F">
        <w:rPr>
          <w:lang w:val="fr-CA"/>
        </w:rPr>
        <w:t>e</w:t>
      </w:r>
      <w:r>
        <w:rPr>
          <w:lang w:val="fr-CA"/>
        </w:rPr>
        <w:t>n juin et juillet 2021 à cause du coronaviru</w:t>
      </w:r>
      <w:r w:rsidRPr="0004647F">
        <w:rPr>
          <w:lang w:val="fr-CA"/>
        </w:rPr>
        <w:t>s</w:t>
      </w:r>
      <w:r>
        <w:rPr>
          <w:lang w:val="fr-CA"/>
        </w:rPr>
        <w:t xml:space="preserve"> (COVID-19)</w:t>
      </w:r>
    </w:p>
    <w:p w14:paraId="201F4AAD" w14:textId="40348A25" w:rsidR="006456AC" w:rsidRDefault="006456AC" w:rsidP="00FF3DFD">
      <w:pPr>
        <w:pStyle w:val="FootnoteText"/>
        <w:rPr>
          <w:lang w:val="fr-CA"/>
        </w:rPr>
      </w:pPr>
    </w:p>
    <w:p w14:paraId="3AA47BAB" w14:textId="77777777" w:rsidR="006456AC" w:rsidRPr="0004647F" w:rsidRDefault="006456AC" w:rsidP="00FF3DFD">
      <w:pPr>
        <w:pStyle w:val="FootnoteText"/>
        <w:rPr>
          <w:lang w:val="fr-CA"/>
        </w:rPr>
      </w:pPr>
    </w:p>
  </w:footnote>
  <w:footnote w:id="2">
    <w:p w14:paraId="738430FD" w14:textId="00A53B90" w:rsidR="00B006A9" w:rsidRPr="00FE3307" w:rsidRDefault="00B006A9" w:rsidP="006D7333">
      <w:pPr>
        <w:pStyle w:val="FootnoteText"/>
      </w:pPr>
      <w:r>
        <w:rPr>
          <w:rStyle w:val="FootnoteReference"/>
        </w:rPr>
        <w:footnoteRef/>
      </w:r>
      <w:r>
        <w:t xml:space="preserve"> Selon la lettre du 8 mars 2021 du </w:t>
      </w:r>
      <w:r>
        <w:rPr>
          <w:color w:val="000000"/>
        </w:rPr>
        <w:t>ministère de l’Environnement et des Ressources naturelles</w:t>
      </w:r>
      <w:r>
        <w:t xml:space="preserve"> (MARN) de El Salvador adressée au PNUD</w:t>
      </w:r>
    </w:p>
  </w:footnote>
  <w:footnote w:id="3">
    <w:p w14:paraId="315850AC" w14:textId="01552F0A" w:rsidR="00B006A9" w:rsidRPr="00DB6950" w:rsidRDefault="00B006A9" w:rsidP="006D7333">
      <w:pPr>
        <w:pStyle w:val="FootnoteText"/>
      </w:pPr>
      <w:r>
        <w:rPr>
          <w:rStyle w:val="FootnoteReference"/>
        </w:rPr>
        <w:footnoteRef/>
      </w:r>
      <w:r>
        <w:t xml:space="preserve"> UNEP/</w:t>
      </w:r>
      <w:proofErr w:type="spellStart"/>
      <w:r>
        <w:t>OzL.Pro</w:t>
      </w:r>
      <w:proofErr w:type="spellEnd"/>
      <w:r>
        <w:t>/</w:t>
      </w:r>
      <w:proofErr w:type="spellStart"/>
      <w:r>
        <w:t>ExCom</w:t>
      </w:r>
      <w:proofErr w:type="spellEnd"/>
      <w:r>
        <w:t>/65/33, annexe XIII du document UNEP/</w:t>
      </w:r>
      <w:proofErr w:type="spellStart"/>
      <w:r>
        <w:t>OzL.Pro</w:t>
      </w:r>
      <w:proofErr w:type="spellEnd"/>
      <w:r>
        <w:t>/</w:t>
      </w:r>
      <w:proofErr w:type="spellStart"/>
      <w:r>
        <w:t>ExCom</w:t>
      </w:r>
      <w:proofErr w:type="spellEnd"/>
      <w:r>
        <w:t>/65/60</w:t>
      </w:r>
    </w:p>
  </w:footnote>
  <w:footnote w:id="4">
    <w:p w14:paraId="241BAC94" w14:textId="77777777" w:rsidR="00B006A9" w:rsidRPr="00DB6950" w:rsidRDefault="00B006A9" w:rsidP="006D7333">
      <w:pPr>
        <w:pStyle w:val="FootnoteText"/>
      </w:pPr>
      <w:r>
        <w:rPr>
          <w:rStyle w:val="FootnoteReference"/>
        </w:rPr>
        <w:footnoteRef/>
      </w:r>
      <w:r>
        <w:t xml:space="preserve"> Annexe XIII du document UNEP/</w:t>
      </w:r>
      <w:proofErr w:type="spellStart"/>
      <w:r>
        <w:t>OzL.Pro</w:t>
      </w:r>
      <w:proofErr w:type="spellEnd"/>
      <w:r>
        <w:t>/</w:t>
      </w:r>
      <w:proofErr w:type="spellStart"/>
      <w:r>
        <w:t>ExCom</w:t>
      </w:r>
      <w:proofErr w:type="spellEnd"/>
      <w:r>
        <w:t>/74/56</w:t>
      </w:r>
    </w:p>
  </w:footnote>
  <w:footnote w:id="5">
    <w:p w14:paraId="54B8784A" w14:textId="77777777" w:rsidR="00B006A9" w:rsidRPr="00DE4EE6" w:rsidRDefault="00B006A9" w:rsidP="006D7333">
      <w:pPr>
        <w:pStyle w:val="FootnoteText"/>
      </w:pPr>
      <w:r>
        <w:rPr>
          <w:rStyle w:val="FootnoteReference"/>
        </w:rPr>
        <w:footnoteRef/>
      </w:r>
      <w:r>
        <w:t xml:space="preserve"> UNEP/</w:t>
      </w:r>
      <w:proofErr w:type="spellStart"/>
      <w:r>
        <w:t>OzL.Pro</w:t>
      </w:r>
      <w:proofErr w:type="spellEnd"/>
      <w:r>
        <w:t>/</w:t>
      </w:r>
      <w:proofErr w:type="spellStart"/>
      <w:r>
        <w:t>ExCom</w:t>
      </w:r>
      <w:proofErr w:type="spellEnd"/>
      <w:r>
        <w:t>/86/48</w:t>
      </w:r>
    </w:p>
  </w:footnote>
  <w:footnote w:id="6">
    <w:p w14:paraId="43EB9682" w14:textId="489493DC" w:rsidR="00B006A9" w:rsidRPr="00CD2447" w:rsidRDefault="00B006A9" w:rsidP="006D7333">
      <w:pPr>
        <w:rPr>
          <w:sz w:val="16"/>
          <w:szCs w:val="16"/>
        </w:rPr>
      </w:pPr>
      <w:r>
        <w:rPr>
          <w:rStyle w:val="FootnoteReference"/>
        </w:rPr>
        <w:footnoteRef/>
      </w:r>
      <w:r>
        <w:t xml:space="preserve"> </w:t>
      </w:r>
      <w:r>
        <w:rPr>
          <w:sz w:val="20"/>
        </w:rPr>
        <w:t>Le rapport périodique de la première tranche présenté à la 74</w:t>
      </w:r>
      <w:r>
        <w:rPr>
          <w:sz w:val="20"/>
          <w:vertAlign w:val="superscript"/>
        </w:rPr>
        <w:t>e</w:t>
      </w:r>
      <w:r>
        <w:rPr>
          <w:sz w:val="20"/>
        </w:rPr>
        <w:t> réunion (UNEP/</w:t>
      </w:r>
      <w:proofErr w:type="spellStart"/>
      <w:r>
        <w:rPr>
          <w:sz w:val="20"/>
        </w:rPr>
        <w:t>OzL.Pro</w:t>
      </w:r>
      <w:proofErr w:type="spellEnd"/>
      <w:r>
        <w:rPr>
          <w:sz w:val="20"/>
        </w:rPr>
        <w:t>/</w:t>
      </w:r>
      <w:proofErr w:type="spellStart"/>
      <w:r>
        <w:rPr>
          <w:sz w:val="20"/>
        </w:rPr>
        <w:t>ExCom</w:t>
      </w:r>
      <w:proofErr w:type="spellEnd"/>
      <w:r>
        <w:rPr>
          <w:sz w:val="20"/>
        </w:rPr>
        <w:t>/74/29) indiquait que l’entreprise de mousse Profil utilisait temporairement du HFC-245ca comme agent de gonflage, car les systèmes au formiate de méthyle n’étaient pas disponibles. Depuis, lesdits systèmes sont produits par une société de formulation au Mexique.</w:t>
      </w:r>
    </w:p>
  </w:footnote>
  <w:footnote w:id="7">
    <w:p w14:paraId="3FF9DB15" w14:textId="0E139B34" w:rsidR="00B006A9" w:rsidRPr="00362B1D" w:rsidRDefault="00B006A9" w:rsidP="006D7333">
      <w:pPr>
        <w:pStyle w:val="FootnoteText"/>
      </w:pPr>
      <w:r>
        <w:rPr>
          <w:rStyle w:val="FootnoteReference"/>
        </w:rPr>
        <w:footnoteRef/>
      </w:r>
      <w:r>
        <w:t xml:space="preserve"> La décision 84/92(d) a invité les agences bilatérales et d’exécution à appliquer la politique opérationnelle concernant l’intégration des questions relatives à l’égalité hommes-femmes tout au long du cycle du projet.</w:t>
      </w:r>
    </w:p>
  </w:footnote>
  <w:footnote w:id="8">
    <w:p w14:paraId="6F569702" w14:textId="4415ABC5" w:rsidR="00B006A9" w:rsidRPr="00AA5239" w:rsidRDefault="00B006A9" w:rsidP="006D7333">
      <w:pPr>
        <w:pStyle w:val="FootnoteText"/>
      </w:pPr>
      <w:r>
        <w:rPr>
          <w:rStyle w:val="FootnoteReference"/>
        </w:rPr>
        <w:footnoteRef/>
      </w:r>
      <w:r>
        <w:t xml:space="preserve"> Article 5, paragraphe 8 ter(e)(i) du Protocole de Montréal. Les autres applications où il est possible d’utiliser des HCFC incluent l’entretien des équipements de lutte et de protection contre l’incendie existants au 1</w:t>
      </w:r>
      <w:r>
        <w:rPr>
          <w:vertAlign w:val="superscript"/>
        </w:rPr>
        <w:t>er</w:t>
      </w:r>
      <w:r>
        <w:t xml:space="preserve"> janvier 2030 ; les applications impliquant des solvants dans la fabrication de </w:t>
      </w:r>
      <w:proofErr w:type="spellStart"/>
      <w:r>
        <w:t>moteurs-fusées</w:t>
      </w:r>
      <w:proofErr w:type="spellEnd"/>
      <w:r>
        <w:t> ; et les applications médicales avec un aérosol à usage topique pour le traitement spécialisé des brûlures.</w:t>
      </w:r>
    </w:p>
  </w:footnote>
  <w:footnote w:id="9">
    <w:p w14:paraId="67EC1485" w14:textId="77777777" w:rsidR="00B006A9" w:rsidRPr="00975D8D" w:rsidRDefault="00B006A9" w:rsidP="006D7333">
      <w:pPr>
        <w:pStyle w:val="FootnoteText"/>
      </w:pPr>
      <w:r>
        <w:rPr>
          <w:rStyle w:val="FootnoteReference"/>
        </w:rPr>
        <w:footnoteRef/>
      </w:r>
      <w:r>
        <w:t xml:space="preserve"> Le gouvernement a demandé à utiliser la valeur de 2019, soit 3,44 tonnes PAO, car la consommation de 2020 ne reflète pas les conditions de marché actuelles du fait de la pandémie.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C4E6" w14:textId="604AE215" w:rsidR="00B006A9" w:rsidRDefault="006456AC">
    <w:r>
      <w:fldChar w:fldCharType="begin"/>
    </w:r>
    <w:r>
      <w:instrText xml:space="preserve"> DOCPROPERTY "Document number"  \* MERGEFORMAT </w:instrText>
    </w:r>
    <w:r>
      <w:fldChar w:fldCharType="separate"/>
    </w:r>
    <w:r w:rsidR="00B006A9">
      <w:t>UNEP/</w:t>
    </w:r>
    <w:proofErr w:type="spellStart"/>
    <w:r w:rsidR="00B006A9">
      <w:t>OzL.Pro</w:t>
    </w:r>
    <w:proofErr w:type="spellEnd"/>
    <w:r w:rsidR="00B006A9">
      <w:t>/</w:t>
    </w:r>
    <w:proofErr w:type="spellStart"/>
    <w:r w:rsidR="00B006A9">
      <w:t>ExCom</w:t>
    </w:r>
    <w:proofErr w:type="spellEnd"/>
    <w:r w:rsidR="00B006A9">
      <w:t>/87/26</w:t>
    </w:r>
    <w:r>
      <w:fldChar w:fldCharType="end"/>
    </w:r>
  </w:p>
  <w:p w14:paraId="097A767D" w14:textId="77777777" w:rsidR="00B006A9" w:rsidRDefault="00B006A9"/>
  <w:p w14:paraId="3A203F1A" w14:textId="77777777" w:rsidR="00B006A9" w:rsidRDefault="00B006A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6639" w14:textId="345B098B" w:rsidR="00B006A9" w:rsidRDefault="006456AC">
    <w:pPr>
      <w:jc w:val="right"/>
    </w:pPr>
    <w:r>
      <w:fldChar w:fldCharType="begin"/>
    </w:r>
    <w:r>
      <w:instrText xml:space="preserve"> DOCPROPERTY "Document number"  \* MERGEFORMAT </w:instrText>
    </w:r>
    <w:r>
      <w:fldChar w:fldCharType="separate"/>
    </w:r>
    <w:r w:rsidR="00B006A9">
      <w:t>UNEP/</w:t>
    </w:r>
    <w:proofErr w:type="spellStart"/>
    <w:r w:rsidR="00B006A9">
      <w:t>OzL.Pro</w:t>
    </w:r>
    <w:proofErr w:type="spellEnd"/>
    <w:r w:rsidR="00B006A9">
      <w:t>/</w:t>
    </w:r>
    <w:proofErr w:type="spellStart"/>
    <w:r w:rsidR="00B006A9">
      <w:t>ExCom</w:t>
    </w:r>
    <w:proofErr w:type="spellEnd"/>
    <w:r w:rsidR="00B006A9">
      <w:t>/87/26</w:t>
    </w:r>
    <w:r>
      <w:fldChar w:fldCharType="end"/>
    </w:r>
  </w:p>
  <w:p w14:paraId="591F6EBA" w14:textId="77777777" w:rsidR="00B006A9" w:rsidRDefault="00B006A9"/>
  <w:p w14:paraId="25E7B422" w14:textId="77777777" w:rsidR="00B006A9" w:rsidRDefault="00B006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2186" w14:textId="77777777" w:rsidR="00B006A9" w:rsidRPr="00EB3D24" w:rsidRDefault="00B006A9">
    <w:pPr>
      <w:rPr>
        <w:lang w:val="en-US"/>
      </w:rPr>
    </w:pPr>
    <w:r>
      <w:fldChar w:fldCharType="begin"/>
    </w:r>
    <w:r w:rsidRPr="00EB3D24">
      <w:rPr>
        <w:lang w:val="en-US"/>
      </w:rPr>
      <w:instrText xml:space="preserve"> DOCPROPERTY "Document number"  \* MERGEFORMAT </w:instrText>
    </w:r>
    <w:r>
      <w:fldChar w:fldCharType="separate"/>
    </w:r>
    <w:r w:rsidRPr="00EB3D24">
      <w:rPr>
        <w:lang w:val="en-US"/>
      </w:rPr>
      <w:t>UNEP/</w:t>
    </w:r>
    <w:proofErr w:type="spellStart"/>
    <w:r w:rsidRPr="00EB3D24">
      <w:rPr>
        <w:lang w:val="en-US"/>
      </w:rPr>
      <w:t>OzL.Pro</w:t>
    </w:r>
    <w:proofErr w:type="spellEnd"/>
    <w:r w:rsidRPr="00EB3D24">
      <w:rPr>
        <w:lang w:val="en-US"/>
      </w:rPr>
      <w:t>/</w:t>
    </w:r>
    <w:proofErr w:type="spellStart"/>
    <w:r w:rsidRPr="00EB3D24">
      <w:rPr>
        <w:lang w:val="en-US"/>
      </w:rPr>
      <w:t>ExCom</w:t>
    </w:r>
    <w:proofErr w:type="spellEnd"/>
    <w:r w:rsidRPr="00EB3D24">
      <w:rPr>
        <w:lang w:val="en-US"/>
      </w:rPr>
      <w:t>/87/26</w:t>
    </w:r>
    <w:r>
      <w:fldChar w:fldCharType="end"/>
    </w:r>
  </w:p>
  <w:p w14:paraId="3AE7D32B" w14:textId="3DB566AF" w:rsidR="00B006A9" w:rsidRPr="00EB3D24" w:rsidRDefault="00B006A9">
    <w:pPr>
      <w:rPr>
        <w:lang w:val="en-US"/>
      </w:rPr>
    </w:pPr>
    <w:proofErr w:type="spellStart"/>
    <w:r w:rsidRPr="00EB3D24">
      <w:rPr>
        <w:lang w:val="en-US"/>
      </w:rPr>
      <w:t>Annexe</w:t>
    </w:r>
    <w:proofErr w:type="spellEnd"/>
    <w:r w:rsidRPr="00EB3D24">
      <w:rPr>
        <w:lang w:val="en-US"/>
      </w:rPr>
      <w:t xml:space="preserve"> I</w:t>
    </w:r>
  </w:p>
  <w:p w14:paraId="6A9CE904" w14:textId="77777777" w:rsidR="00B006A9" w:rsidRPr="00EB3D24" w:rsidRDefault="00B006A9">
    <w:pP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879F" w14:textId="77777777" w:rsidR="00B006A9" w:rsidRPr="00EB3D24" w:rsidRDefault="00B006A9">
    <w:pPr>
      <w:jc w:val="right"/>
      <w:rPr>
        <w:lang w:val="en-US"/>
      </w:rPr>
    </w:pPr>
    <w:r>
      <w:fldChar w:fldCharType="begin"/>
    </w:r>
    <w:r w:rsidRPr="00EB3D24">
      <w:rPr>
        <w:lang w:val="en-US"/>
      </w:rPr>
      <w:instrText xml:space="preserve"> DOCPROPERTY "Document number"  \* MERGEFORMAT </w:instrText>
    </w:r>
    <w:r>
      <w:fldChar w:fldCharType="separate"/>
    </w:r>
    <w:r w:rsidRPr="00EB3D24">
      <w:rPr>
        <w:lang w:val="en-US"/>
      </w:rPr>
      <w:t>UNEP/</w:t>
    </w:r>
    <w:proofErr w:type="spellStart"/>
    <w:r w:rsidRPr="00EB3D24">
      <w:rPr>
        <w:lang w:val="en-US"/>
      </w:rPr>
      <w:t>OzL.Pro</w:t>
    </w:r>
    <w:proofErr w:type="spellEnd"/>
    <w:r w:rsidRPr="00EB3D24">
      <w:rPr>
        <w:lang w:val="en-US"/>
      </w:rPr>
      <w:t>/</w:t>
    </w:r>
    <w:proofErr w:type="spellStart"/>
    <w:r w:rsidRPr="00EB3D24">
      <w:rPr>
        <w:lang w:val="en-US"/>
      </w:rPr>
      <w:t>ExCom</w:t>
    </w:r>
    <w:proofErr w:type="spellEnd"/>
    <w:r w:rsidRPr="00EB3D24">
      <w:rPr>
        <w:lang w:val="en-US"/>
      </w:rPr>
      <w:t>/87/26</w:t>
    </w:r>
    <w:r>
      <w:fldChar w:fldCharType="end"/>
    </w:r>
  </w:p>
  <w:p w14:paraId="2012D7D9" w14:textId="2FAE9E7E" w:rsidR="00B006A9" w:rsidRPr="00EB3D24" w:rsidRDefault="00B006A9" w:rsidP="00EB3D24">
    <w:pPr>
      <w:jc w:val="right"/>
      <w:rPr>
        <w:lang w:val="en-US"/>
      </w:rPr>
    </w:pPr>
    <w:proofErr w:type="spellStart"/>
    <w:r w:rsidRPr="00EB3D24">
      <w:rPr>
        <w:lang w:val="en-US"/>
      </w:rPr>
      <w:t>Annexe</w:t>
    </w:r>
    <w:proofErr w:type="spellEnd"/>
    <w:r w:rsidRPr="00EB3D24">
      <w:rPr>
        <w:lang w:val="en-US"/>
      </w:rPr>
      <w:t xml:space="preserve"> I</w:t>
    </w:r>
  </w:p>
  <w:p w14:paraId="0DEF67B1" w14:textId="77777777" w:rsidR="00B006A9" w:rsidRPr="00EB3D24" w:rsidRDefault="00B006A9">
    <w:pPr>
      <w:pStyle w:val="Header"/>
      <w:rPr>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3EB9" w14:textId="41C688FF" w:rsidR="00B006A9" w:rsidRPr="00B434E2" w:rsidRDefault="00B006A9">
    <w:pPr>
      <w:jc w:val="right"/>
      <w:rPr>
        <w:lang w:val="en-US"/>
      </w:rPr>
    </w:pPr>
    <w:r>
      <w:fldChar w:fldCharType="begin"/>
    </w:r>
    <w:r w:rsidRPr="00B434E2">
      <w:rPr>
        <w:lang w:val="en-US"/>
      </w:rPr>
      <w:instrText xml:space="preserve"> DOCPROPERTY "Document number"  \* MERGEFORMAT </w:instrText>
    </w:r>
    <w:r>
      <w:fldChar w:fldCharType="separate"/>
    </w:r>
    <w:r w:rsidRPr="00B434E2">
      <w:rPr>
        <w:lang w:val="en-US"/>
      </w:rPr>
      <w:t>UNEP/</w:t>
    </w:r>
    <w:proofErr w:type="spellStart"/>
    <w:r w:rsidRPr="00B434E2">
      <w:rPr>
        <w:lang w:val="en-US"/>
      </w:rPr>
      <w:t>OzL.Pro</w:t>
    </w:r>
    <w:proofErr w:type="spellEnd"/>
    <w:r w:rsidRPr="00B434E2">
      <w:rPr>
        <w:lang w:val="en-US"/>
      </w:rPr>
      <w:t>/</w:t>
    </w:r>
    <w:proofErr w:type="spellStart"/>
    <w:r w:rsidRPr="00B434E2">
      <w:rPr>
        <w:lang w:val="en-US"/>
      </w:rPr>
      <w:t>ExCom</w:t>
    </w:r>
    <w:proofErr w:type="spellEnd"/>
    <w:r w:rsidRPr="00B434E2">
      <w:rPr>
        <w:lang w:val="en-US"/>
      </w:rPr>
      <w:t>/87/26</w:t>
    </w:r>
    <w:r>
      <w:fldChar w:fldCharType="end"/>
    </w:r>
  </w:p>
  <w:p w14:paraId="68C0BC6C" w14:textId="2113D739" w:rsidR="00B006A9" w:rsidRDefault="00B006A9" w:rsidP="006D7333">
    <w:pPr>
      <w:jc w:val="right"/>
      <w:rPr>
        <w:lang w:val="en-US"/>
      </w:rPr>
    </w:pPr>
    <w:proofErr w:type="spellStart"/>
    <w:r w:rsidRPr="00B434E2">
      <w:rPr>
        <w:lang w:val="en-US"/>
      </w:rPr>
      <w:t>Annexe</w:t>
    </w:r>
    <w:proofErr w:type="spellEnd"/>
    <w:r w:rsidRPr="00B434E2">
      <w:rPr>
        <w:lang w:val="en-US"/>
      </w:rPr>
      <w:t> I</w:t>
    </w:r>
  </w:p>
  <w:p w14:paraId="11345F41" w14:textId="77777777" w:rsidR="00B006A9" w:rsidRPr="00B434E2" w:rsidRDefault="00B006A9" w:rsidP="006D7333">
    <w:pP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DBC1854"/>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35A39E1"/>
    <w:multiLevelType w:val="hybridMultilevel"/>
    <w:tmpl w:val="91DE881C"/>
    <w:lvl w:ilvl="0" w:tplc="22D4A280">
      <w:start w:val="1"/>
      <w:numFmt w:val="lowerLetter"/>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2A6B76"/>
    <w:multiLevelType w:val="hybridMultilevel"/>
    <w:tmpl w:val="B08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20"/>
  </w:num>
  <w:num w:numId="20">
    <w:abstractNumId w:val="14"/>
  </w:num>
  <w:num w:numId="21">
    <w:abstractNumId w:val="11"/>
  </w:num>
  <w:num w:numId="22">
    <w:abstractNumId w:val="12"/>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1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C7"/>
    <w:rsid w:val="00005500"/>
    <w:rsid w:val="00042B79"/>
    <w:rsid w:val="0004647F"/>
    <w:rsid w:val="00060BC4"/>
    <w:rsid w:val="00071384"/>
    <w:rsid w:val="0008546A"/>
    <w:rsid w:val="000F6C8E"/>
    <w:rsid w:val="00106D32"/>
    <w:rsid w:val="00113D77"/>
    <w:rsid w:val="0011550C"/>
    <w:rsid w:val="001235C8"/>
    <w:rsid w:val="001337E1"/>
    <w:rsid w:val="0013380A"/>
    <w:rsid w:val="0014550C"/>
    <w:rsid w:val="00191665"/>
    <w:rsid w:val="001B3269"/>
    <w:rsid w:val="001C3D0C"/>
    <w:rsid w:val="001D4CE7"/>
    <w:rsid w:val="001E7A34"/>
    <w:rsid w:val="00232EDE"/>
    <w:rsid w:val="00265AF0"/>
    <w:rsid w:val="00284D2C"/>
    <w:rsid w:val="002C06D4"/>
    <w:rsid w:val="002F0B57"/>
    <w:rsid w:val="003201D2"/>
    <w:rsid w:val="003230BA"/>
    <w:rsid w:val="00337F97"/>
    <w:rsid w:val="00376FB5"/>
    <w:rsid w:val="003A0CA4"/>
    <w:rsid w:val="003C64A1"/>
    <w:rsid w:val="003F1388"/>
    <w:rsid w:val="0040247E"/>
    <w:rsid w:val="00441083"/>
    <w:rsid w:val="0045017F"/>
    <w:rsid w:val="004B1B59"/>
    <w:rsid w:val="004C2C87"/>
    <w:rsid w:val="004D4EA9"/>
    <w:rsid w:val="004E3A36"/>
    <w:rsid w:val="004F1B92"/>
    <w:rsid w:val="004F5E2E"/>
    <w:rsid w:val="005030DC"/>
    <w:rsid w:val="005B3CAD"/>
    <w:rsid w:val="005C2565"/>
    <w:rsid w:val="005C278F"/>
    <w:rsid w:val="005D3435"/>
    <w:rsid w:val="00605093"/>
    <w:rsid w:val="00614259"/>
    <w:rsid w:val="006456AC"/>
    <w:rsid w:val="006530AE"/>
    <w:rsid w:val="00654613"/>
    <w:rsid w:val="0066454E"/>
    <w:rsid w:val="00687D1A"/>
    <w:rsid w:val="0069463C"/>
    <w:rsid w:val="00695C5B"/>
    <w:rsid w:val="006B2038"/>
    <w:rsid w:val="006D7333"/>
    <w:rsid w:val="006F32E5"/>
    <w:rsid w:val="007034FA"/>
    <w:rsid w:val="00711A74"/>
    <w:rsid w:val="007455F1"/>
    <w:rsid w:val="0075750B"/>
    <w:rsid w:val="008223CC"/>
    <w:rsid w:val="00845030"/>
    <w:rsid w:val="0085559C"/>
    <w:rsid w:val="00873DCD"/>
    <w:rsid w:val="008811A1"/>
    <w:rsid w:val="0091002D"/>
    <w:rsid w:val="0091161A"/>
    <w:rsid w:val="009224B5"/>
    <w:rsid w:val="0095578B"/>
    <w:rsid w:val="00972E99"/>
    <w:rsid w:val="0098010E"/>
    <w:rsid w:val="009A5180"/>
    <w:rsid w:val="009E2483"/>
    <w:rsid w:val="00A16C53"/>
    <w:rsid w:val="00A33534"/>
    <w:rsid w:val="00A35E52"/>
    <w:rsid w:val="00A5438C"/>
    <w:rsid w:val="00A65214"/>
    <w:rsid w:val="00A70EC7"/>
    <w:rsid w:val="00A800F3"/>
    <w:rsid w:val="00AC013C"/>
    <w:rsid w:val="00AE63D8"/>
    <w:rsid w:val="00B006A9"/>
    <w:rsid w:val="00B3765F"/>
    <w:rsid w:val="00B434E2"/>
    <w:rsid w:val="00B811F2"/>
    <w:rsid w:val="00BC3C7D"/>
    <w:rsid w:val="00BC5FEF"/>
    <w:rsid w:val="00BF5466"/>
    <w:rsid w:val="00C02698"/>
    <w:rsid w:val="00C16E3F"/>
    <w:rsid w:val="00C3540C"/>
    <w:rsid w:val="00C6443E"/>
    <w:rsid w:val="00C845BC"/>
    <w:rsid w:val="00C925BD"/>
    <w:rsid w:val="00CB417F"/>
    <w:rsid w:val="00CC2B33"/>
    <w:rsid w:val="00CD451F"/>
    <w:rsid w:val="00D667AF"/>
    <w:rsid w:val="00D71329"/>
    <w:rsid w:val="00D7654A"/>
    <w:rsid w:val="00D869BA"/>
    <w:rsid w:val="00DB4E64"/>
    <w:rsid w:val="00DD3433"/>
    <w:rsid w:val="00E348C6"/>
    <w:rsid w:val="00E4074E"/>
    <w:rsid w:val="00E54871"/>
    <w:rsid w:val="00E60D9C"/>
    <w:rsid w:val="00E67AB5"/>
    <w:rsid w:val="00EA5B20"/>
    <w:rsid w:val="00EB2067"/>
    <w:rsid w:val="00EB3D24"/>
    <w:rsid w:val="00ED26F9"/>
    <w:rsid w:val="00EF7B5C"/>
    <w:rsid w:val="00F37A42"/>
    <w:rsid w:val="00F557F5"/>
    <w:rsid w:val="00F55E8F"/>
    <w:rsid w:val="00FA0D80"/>
    <w:rsid w:val="00FA2DBE"/>
    <w:rsid w:val="00FC0D87"/>
    <w:rsid w:val="00FC5578"/>
    <w:rsid w:val="00FD0F3F"/>
    <w:rsid w:val="00FD22FE"/>
    <w:rsid w:val="00FE431D"/>
    <w:rsid w:val="00FF3CF1"/>
    <w:rsid w:val="00FF3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84039"/>
  <w15:docId w15:val="{74322D97-D7DA-184A-805C-EF9354AB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fr-FR"/>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9"/>
    <w:qFormat/>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link w:val="Heading4Char"/>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uiPriority w:val="99"/>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Geneva 9,Font: Geneva 9,Boston 10"/>
    <w:basedOn w:val="Normal"/>
    <w:link w:val="FootnoteTextChar"/>
    <w:uiPriority w:val="99"/>
    <w:unhideWhenUsed/>
    <w:qFormat/>
    <w:rsid w:val="002C06D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Geneva 9 Char"/>
    <w:basedOn w:val="DefaultParagraphFont"/>
    <w:link w:val="FootnoteText"/>
    <w:uiPriority w:val="99"/>
    <w:rsid w:val="002C06D4"/>
    <w:rPr>
      <w:lang w:val="en-GB"/>
    </w:rPr>
  </w:style>
  <w:style w:type="character" w:styleId="FootnoteReference">
    <w:name w:val="footnote reference"/>
    <w:aliases w:val="Footnote Text1,Footnote Text2,Footnote text,16 Point,Superscript 6 Point,number,Footnote reference number,Footnote symbol,note TESI,-E Fußnotenzeichen,SUPERS,stylish,ftref,Footnote Reference Superscript,-E Fuﬂnotenzeichen,fr"/>
    <w:basedOn w:val="DefaultParagraphFont"/>
    <w:link w:val="CharCharCharCharCarChar"/>
    <w:uiPriority w:val="99"/>
    <w:unhideWhenUsed/>
    <w:qFormat/>
    <w:rsid w:val="002C06D4"/>
    <w:rPr>
      <w:vertAlign w:val="superscript"/>
    </w:rPr>
  </w:style>
  <w:style w:type="paragraph" w:styleId="ListParagraph">
    <w:name w:val="List Paragraph"/>
    <w:basedOn w:val="Normal"/>
    <w:link w:val="ListParagraphChar"/>
    <w:uiPriority w:val="99"/>
    <w:qFormat/>
    <w:rsid w:val="00D71329"/>
    <w:pPr>
      <w:ind w:left="720"/>
      <w:contextualSpacing/>
    </w:pPr>
  </w:style>
  <w:style w:type="character" w:customStyle="1" w:styleId="ListParagraphChar">
    <w:name w:val="List Paragraph Char"/>
    <w:basedOn w:val="DefaultParagraphFont"/>
    <w:link w:val="ListParagraph"/>
    <w:uiPriority w:val="34"/>
    <w:locked/>
    <w:rsid w:val="0066454E"/>
    <w:rPr>
      <w:sz w:val="22"/>
      <w:szCs w:val="22"/>
      <w:lang w:val="en-GB"/>
    </w:rPr>
  </w:style>
  <w:style w:type="table" w:customStyle="1" w:styleId="TableGrid10">
    <w:name w:val="Table Grid1"/>
    <w:basedOn w:val="TableNormal"/>
    <w:next w:val="TableGrid"/>
    <w:uiPriority w:val="59"/>
    <w:rsid w:val="006D7333"/>
    <w:pPr>
      <w:jc w:val="both"/>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333"/>
    <w:pPr>
      <w:widowControl w:val="0"/>
      <w:autoSpaceDE w:val="0"/>
      <w:autoSpaceDN w:val="0"/>
      <w:adjustRightInd w:val="0"/>
    </w:pPr>
    <w:rPr>
      <w:color w:val="000000"/>
      <w:sz w:val="24"/>
      <w:szCs w:val="24"/>
      <w:lang w:val="fr-FR"/>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6D7333"/>
    <w:pPr>
      <w:spacing w:after="160" w:line="240" w:lineRule="exact"/>
    </w:pPr>
    <w:rPr>
      <w:sz w:val="20"/>
      <w:szCs w:val="20"/>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rsid w:val="00B006A9"/>
    <w:rPr>
      <w:sz w:val="22"/>
      <w:szCs w:val="22"/>
      <w:lang w:val="fr-FR"/>
    </w:rPr>
  </w:style>
  <w:style w:type="character" w:customStyle="1" w:styleId="Heading4Char">
    <w:name w:val="Heading 4 Char"/>
    <w:aliases w:val="Heading 11 Char,para 4 Char,Título 41 Char,heading 4 Char,Heading 41 Char,标题 41 Char,He=ding 41 Char"/>
    <w:basedOn w:val="DefaultParagraphFont"/>
    <w:link w:val="Heading4"/>
    <w:rsid w:val="00B006A9"/>
    <w:rPr>
      <w:sz w:val="22"/>
      <w:szCs w:val="22"/>
      <w:lang w:val="fr-FR"/>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uiPriority w:val="99"/>
    <w:locked/>
    <w:rsid w:val="00B006A9"/>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1651">
      <w:bodyDiv w:val="1"/>
      <w:marLeft w:val="0"/>
      <w:marRight w:val="0"/>
      <w:marTop w:val="0"/>
      <w:marBottom w:val="0"/>
      <w:divBdr>
        <w:top w:val="none" w:sz="0" w:space="0" w:color="auto"/>
        <w:left w:val="none" w:sz="0" w:space="0" w:color="auto"/>
        <w:bottom w:val="none" w:sz="0" w:space="0" w:color="auto"/>
        <w:right w:val="none" w:sz="0" w:space="0" w:color="auto"/>
      </w:divBdr>
    </w:div>
    <w:div w:id="1096053847">
      <w:bodyDiv w:val="1"/>
      <w:marLeft w:val="0"/>
      <w:marRight w:val="0"/>
      <w:marTop w:val="0"/>
      <w:marBottom w:val="0"/>
      <w:divBdr>
        <w:top w:val="none" w:sz="0" w:space="0" w:color="auto"/>
        <w:left w:val="none" w:sz="0" w:space="0" w:color="auto"/>
        <w:bottom w:val="none" w:sz="0" w:space="0" w:color="auto"/>
        <w:right w:val="none" w:sz="0" w:space="0" w:color="auto"/>
      </w:divBdr>
    </w:div>
    <w:div w:id="169726903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160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UNEP/OzL.Pro/ExCom/87/26</Document_x0020_Number>
  </documentManagement>
</p:properties>
</file>

<file path=customXml/itemProps1.xml><?xml version="1.0" encoding="utf-8"?>
<ds:datastoreItem xmlns:ds="http://schemas.openxmlformats.org/officeDocument/2006/customXml" ds:itemID="{2711FA5A-7993-4C0A-B408-C7104428B7DE}"/>
</file>

<file path=customXml/itemProps2.xml><?xml version="1.0" encoding="utf-8"?>
<ds:datastoreItem xmlns:ds="http://schemas.openxmlformats.org/officeDocument/2006/customXml" ds:itemID="{AA0E7089-9FFD-46D4-8B8F-CF5A84418D58}"/>
</file>

<file path=customXml/itemProps3.xml><?xml version="1.0" encoding="utf-8"?>
<ds:datastoreItem xmlns:ds="http://schemas.openxmlformats.org/officeDocument/2006/customXml" ds:itemID="{920DC38C-140A-4CDC-93BD-F17649EA80FF}"/>
</file>

<file path=customXml/itemProps4.xml><?xml version="1.0" encoding="utf-8"?>
<ds:datastoreItem xmlns:ds="http://schemas.openxmlformats.org/officeDocument/2006/customXml" ds:itemID="{4AE0A148-A037-4185-A12C-D39A539A4140}"/>
</file>

<file path=docProps/app.xml><?xml version="1.0" encoding="utf-8"?>
<Properties xmlns="http://schemas.openxmlformats.org/officeDocument/2006/extended-properties" xmlns:vt="http://schemas.openxmlformats.org/officeDocument/2006/docPropsVTypes">
  <Template>Normal</Template>
  <TotalTime>3</TotalTime>
  <Pages>24</Pages>
  <Words>10902</Words>
  <Characters>56778</Characters>
  <Application>Microsoft Office Word</Application>
  <DocSecurity>0</DocSecurity>
  <Lines>473</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Propositions de projet : El Salvador</vt:lpstr>
      <vt:lpstr>Ordre du jour provisoire</vt:lpstr>
    </vt:vector>
  </TitlesOfParts>
  <Company>UNMFS</Company>
  <LinksUpToDate>false</LinksUpToDate>
  <CharactersWithSpaces>67545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de projet : El Salvador</dc:title>
  <dc:creator>Microsoft Office User</dc:creator>
  <cp:lastModifiedBy>HB</cp:lastModifiedBy>
  <cp:revision>3</cp:revision>
  <cp:lastPrinted>2001-05-26T16:40:00Z</cp:lastPrinted>
  <dcterms:created xsi:type="dcterms:W3CDTF">2021-07-02T20:06:00Z</dcterms:created>
  <dcterms:modified xsi:type="dcterms:W3CDTF">2021-07-02T20:52:00Z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UNEP/OzL.Pro/ExCom/87/26</vt:lpwstr>
  </property>
  <property fmtid="{D5CDD505-2E9C-101B-9397-08002B2CF9AE}" pid="3" name="Revision date">
    <vt:lpwstr>6/7/2021</vt:lpwstr>
  </property>
  <property fmtid="{D5CDD505-2E9C-101B-9397-08002B2CF9AE}" pid="4" name="ContentTypeId">
    <vt:lpwstr>0x0101006D54131ACC863C4CBCCC233143506327</vt:lpwstr>
  </property>
</Properties>
</file>