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E73F1F" w14:paraId="367A674D" w14:textId="77777777" w:rsidTr="007324A9">
        <w:trPr>
          <w:trHeight w:val="720"/>
        </w:trPr>
        <w:tc>
          <w:tcPr>
            <w:tcW w:w="5490" w:type="dxa"/>
            <w:gridSpan w:val="2"/>
            <w:tcBorders>
              <w:bottom w:val="single" w:sz="18" w:space="0" w:color="auto"/>
            </w:tcBorders>
          </w:tcPr>
          <w:p w14:paraId="5DF5D03F" w14:textId="77777777" w:rsidR="007324A9" w:rsidRPr="00E73F1F" w:rsidRDefault="007324A9" w:rsidP="00F71FF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CA"/>
              </w:rPr>
            </w:pPr>
            <w:r w:rsidRPr="00E73F1F">
              <w:rPr>
                <w:rFonts w:ascii="Univers" w:hAnsi="Univers"/>
                <w:b/>
                <w:sz w:val="28"/>
                <w:szCs w:val="28"/>
                <w:lang w:val="fr-CA"/>
              </w:rPr>
              <w:t>NATIONS</w:t>
            </w:r>
          </w:p>
          <w:p w14:paraId="52C4A5E3" w14:textId="5A3DE767" w:rsidR="00C15867" w:rsidRPr="00E73F1F" w:rsidRDefault="007324A9" w:rsidP="007324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CA"/>
              </w:rPr>
            </w:pPr>
            <w:r w:rsidRPr="00E73F1F">
              <w:rPr>
                <w:rFonts w:ascii="Univers" w:hAnsi="Univers"/>
                <w:b/>
                <w:sz w:val="28"/>
                <w:szCs w:val="28"/>
                <w:lang w:val="fr-CA"/>
              </w:rPr>
              <w:t>UNIES</w:t>
            </w:r>
          </w:p>
        </w:tc>
        <w:tc>
          <w:tcPr>
            <w:tcW w:w="4590" w:type="dxa"/>
            <w:tcBorders>
              <w:bottom w:val="single" w:sz="18" w:space="0" w:color="auto"/>
            </w:tcBorders>
          </w:tcPr>
          <w:p w14:paraId="5D1CD73F" w14:textId="77777777" w:rsidR="00C15867" w:rsidRPr="00E73F1F" w:rsidRDefault="00C15867" w:rsidP="00F71FF8">
            <w:pPr>
              <w:jc w:val="right"/>
              <w:rPr>
                <w:sz w:val="52"/>
                <w:szCs w:val="52"/>
                <w:lang w:val="fr-CA"/>
              </w:rPr>
            </w:pPr>
            <w:r w:rsidRPr="00E73F1F">
              <w:rPr>
                <w:rFonts w:ascii="Univers Bold" w:hAnsi="Univers Bold"/>
                <w:b/>
                <w:sz w:val="72"/>
                <w:lang w:val="fr-CA"/>
              </w:rPr>
              <w:t>EP</w:t>
            </w:r>
          </w:p>
        </w:tc>
      </w:tr>
      <w:tr w:rsidR="00C15867" w:rsidRPr="00E73F1F" w14:paraId="27D0950B" w14:textId="77777777" w:rsidTr="0073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0D9BF88" w14:textId="77777777" w:rsidR="00C15867" w:rsidRPr="00E73F1F" w:rsidRDefault="00E52838" w:rsidP="00F71FF8">
            <w:pPr>
              <w:spacing w:before="120"/>
              <w:rPr>
                <w:lang w:val="fr-CA"/>
              </w:rPr>
            </w:pPr>
            <w:r w:rsidRPr="00E73F1F">
              <w:rPr>
                <w:noProof/>
                <w:lang w:val="en-US"/>
              </w:rPr>
              <mc:AlternateContent>
                <mc:Choice Requires="wpg">
                  <w:drawing>
                    <wp:anchor distT="0" distB="0" distL="114300" distR="114300" simplePos="0" relativeHeight="251660288" behindDoc="0" locked="0" layoutInCell="1" allowOverlap="1" wp14:anchorId="4678399A" wp14:editId="0D46A2DD">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6D6E05"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3915D22" w14:textId="77777777" w:rsidR="003446ED" w:rsidRDefault="003446ED" w:rsidP="007324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2BD5ED4C" w14:textId="4AB6F163" w:rsidR="007324A9" w:rsidRPr="00E73F1F" w:rsidRDefault="003446ED" w:rsidP="007324A9">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w:t>
            </w:r>
            <w:r w:rsidR="007324A9" w:rsidRPr="00E73F1F">
              <w:rPr>
                <w:rFonts w:ascii="Univers" w:hAnsi="Univers"/>
                <w:b/>
                <w:sz w:val="32"/>
                <w:lang w:val="fr-CA"/>
              </w:rPr>
              <w:t>rogramme des</w:t>
            </w:r>
          </w:p>
          <w:p w14:paraId="48FD4E0E" w14:textId="77777777" w:rsidR="007324A9" w:rsidRPr="00E73F1F" w:rsidRDefault="007324A9" w:rsidP="007324A9">
            <w:pPr>
              <w:rPr>
                <w:rFonts w:ascii="Univers" w:hAnsi="Univers"/>
                <w:b/>
                <w:sz w:val="32"/>
                <w:lang w:val="fr-CA"/>
              </w:rPr>
            </w:pPr>
            <w:r w:rsidRPr="00E73F1F">
              <w:rPr>
                <w:rFonts w:ascii="Univers" w:hAnsi="Univers"/>
                <w:b/>
                <w:sz w:val="32"/>
                <w:lang w:val="fr-CA"/>
              </w:rPr>
              <w:t>Nations Unies pour</w:t>
            </w:r>
          </w:p>
          <w:p w14:paraId="7E30373B" w14:textId="38A859EF" w:rsidR="00C15867" w:rsidRPr="00E73F1F" w:rsidRDefault="007324A9" w:rsidP="007324A9">
            <w:pPr>
              <w:rPr>
                <w:lang w:val="fr-CA"/>
              </w:rPr>
            </w:pPr>
            <w:r w:rsidRPr="00E73F1F">
              <w:rPr>
                <w:rFonts w:ascii="Univers" w:hAnsi="Univers"/>
                <w:b/>
                <w:sz w:val="32"/>
                <w:lang w:val="fr-CA"/>
              </w:rPr>
              <w:t>l’environnement</w:t>
            </w:r>
          </w:p>
        </w:tc>
        <w:tc>
          <w:tcPr>
            <w:tcW w:w="4590" w:type="dxa"/>
            <w:tcBorders>
              <w:top w:val="nil"/>
              <w:left w:val="nil"/>
              <w:bottom w:val="single" w:sz="36" w:space="0" w:color="auto"/>
              <w:right w:val="nil"/>
            </w:tcBorders>
          </w:tcPr>
          <w:p w14:paraId="7F36E1D9" w14:textId="77777777" w:rsidR="003446ED" w:rsidRDefault="003446ED" w:rsidP="00F71FF8">
            <w:pPr>
              <w:rPr>
                <w:lang w:val="fr-CA"/>
              </w:rPr>
            </w:pPr>
          </w:p>
          <w:p w14:paraId="1AC3DAA8" w14:textId="4D34D75D" w:rsidR="00C15867" w:rsidRPr="00E73F1F" w:rsidRDefault="00C15867" w:rsidP="00F71FF8">
            <w:pPr>
              <w:rPr>
                <w:lang w:val="fr-CA"/>
              </w:rPr>
            </w:pPr>
            <w:proofErr w:type="spellStart"/>
            <w:r w:rsidRPr="00E73F1F">
              <w:rPr>
                <w:lang w:val="fr-CA"/>
              </w:rPr>
              <w:t>Distr</w:t>
            </w:r>
            <w:proofErr w:type="spellEnd"/>
            <w:r w:rsidRPr="00E73F1F">
              <w:rPr>
                <w:lang w:val="fr-CA"/>
              </w:rPr>
              <w:t>.</w:t>
            </w:r>
          </w:p>
          <w:p w14:paraId="66A81B32" w14:textId="286BF852" w:rsidR="00923540" w:rsidRPr="00E73F1F" w:rsidRDefault="007324A9" w:rsidP="00923540">
            <w:pPr>
              <w:rPr>
                <w:lang w:val="fr-CA"/>
              </w:rPr>
            </w:pPr>
            <w:r w:rsidRPr="00E73F1F">
              <w:rPr>
                <w:lang w:val="fr-CA"/>
              </w:rPr>
              <w:t>GÉNÉRALE</w:t>
            </w:r>
          </w:p>
          <w:p w14:paraId="5A2847E5" w14:textId="77777777" w:rsidR="00C15867" w:rsidRPr="00E73F1F" w:rsidRDefault="00C15867" w:rsidP="00F71FF8">
            <w:pPr>
              <w:rPr>
                <w:lang w:val="fr-CA"/>
              </w:rPr>
            </w:pPr>
          </w:p>
          <w:p w14:paraId="7DA57FA8" w14:textId="77777777" w:rsidR="00C15867" w:rsidRPr="00E73F1F" w:rsidRDefault="00E73725" w:rsidP="00F71FF8">
            <w:pPr>
              <w:rPr>
                <w:lang w:val="fr-CA"/>
              </w:rPr>
            </w:pPr>
            <w:r w:rsidRPr="00E73F1F">
              <w:rPr>
                <w:lang w:val="fr-CA"/>
              </w:rPr>
              <w:fldChar w:fldCharType="begin"/>
            </w:r>
            <w:r w:rsidRPr="00E73F1F">
              <w:rPr>
                <w:lang w:val="fr-CA"/>
              </w:rPr>
              <w:instrText xml:space="preserve"> DOCPROPERTY "Document number"  \* MERGEFORMAT </w:instrText>
            </w:r>
            <w:r w:rsidRPr="00E73F1F">
              <w:rPr>
                <w:lang w:val="fr-CA"/>
              </w:rPr>
              <w:fldChar w:fldCharType="separate"/>
            </w:r>
            <w:r w:rsidR="00FF033E" w:rsidRPr="00E73F1F">
              <w:rPr>
                <w:lang w:val="fr-CA"/>
              </w:rPr>
              <w:t>UNEP/</w:t>
            </w:r>
            <w:proofErr w:type="spellStart"/>
            <w:r w:rsidR="00FF033E" w:rsidRPr="00E73F1F">
              <w:rPr>
                <w:lang w:val="fr-CA"/>
              </w:rPr>
              <w:t>OzL.Pro</w:t>
            </w:r>
            <w:proofErr w:type="spellEnd"/>
            <w:r w:rsidR="00FF033E" w:rsidRPr="00E73F1F">
              <w:rPr>
                <w:lang w:val="fr-CA"/>
              </w:rPr>
              <w:t>/</w:t>
            </w:r>
            <w:proofErr w:type="spellStart"/>
            <w:r w:rsidR="00FF033E" w:rsidRPr="00E73F1F">
              <w:rPr>
                <w:lang w:val="fr-CA"/>
              </w:rPr>
              <w:t>ExCom</w:t>
            </w:r>
            <w:proofErr w:type="spellEnd"/>
            <w:r w:rsidR="00FF033E" w:rsidRPr="00E73F1F">
              <w:rPr>
                <w:lang w:val="fr-CA"/>
              </w:rPr>
              <w:t>/87/9</w:t>
            </w:r>
            <w:r w:rsidRPr="00E73F1F">
              <w:rPr>
                <w:lang w:val="fr-CA"/>
              </w:rPr>
              <w:fldChar w:fldCharType="end"/>
            </w:r>
          </w:p>
          <w:p w14:paraId="511F4FA2" w14:textId="63007218" w:rsidR="00C15867" w:rsidRPr="00E73F1F" w:rsidRDefault="00BC2495" w:rsidP="00F71FF8">
            <w:pPr>
              <w:rPr>
                <w:lang w:val="fr-CA"/>
              </w:rPr>
            </w:pPr>
            <w:r w:rsidRPr="00E73F1F">
              <w:rPr>
                <w:lang w:val="fr-CA"/>
              </w:rPr>
              <w:fldChar w:fldCharType="begin"/>
            </w:r>
            <w:r w:rsidR="00851352" w:rsidRPr="00E73F1F">
              <w:rPr>
                <w:lang w:val="fr-CA"/>
              </w:rPr>
              <w:instrText xml:space="preserve"> DOCPROPERTY "Revision date" \@ "d MMMM YYYY"  \* MERGEFORMAT </w:instrText>
            </w:r>
            <w:r w:rsidRPr="00E73F1F">
              <w:rPr>
                <w:lang w:val="fr-CA"/>
              </w:rPr>
              <w:fldChar w:fldCharType="separate"/>
            </w:r>
            <w:r w:rsidR="007537AB" w:rsidRPr="00E73F1F">
              <w:rPr>
                <w:lang w:val="fr-CA"/>
              </w:rPr>
              <w:t xml:space="preserve">19 </w:t>
            </w:r>
            <w:r w:rsidR="007324A9" w:rsidRPr="00E73F1F">
              <w:rPr>
                <w:lang w:val="fr-CA"/>
              </w:rPr>
              <w:t>juin</w:t>
            </w:r>
            <w:r w:rsidR="007537AB" w:rsidRPr="00E73F1F">
              <w:rPr>
                <w:lang w:val="fr-CA"/>
              </w:rPr>
              <w:t xml:space="preserve"> 2021</w:t>
            </w:r>
            <w:r w:rsidRPr="00E73F1F">
              <w:rPr>
                <w:lang w:val="fr-CA"/>
              </w:rPr>
              <w:fldChar w:fldCharType="end"/>
            </w:r>
          </w:p>
          <w:p w14:paraId="393EE094" w14:textId="77777777" w:rsidR="00C15867" w:rsidRPr="00E73F1F" w:rsidRDefault="00C15867" w:rsidP="00F71FF8">
            <w:pPr>
              <w:rPr>
                <w:caps/>
                <w:lang w:val="fr-CA"/>
              </w:rPr>
            </w:pPr>
          </w:p>
          <w:p w14:paraId="7E6E6CE9" w14:textId="77777777" w:rsidR="007324A9" w:rsidRPr="00E73F1F" w:rsidRDefault="007324A9" w:rsidP="00F71FF8">
            <w:pPr>
              <w:rPr>
                <w:lang w:val="fr-CA"/>
              </w:rPr>
            </w:pPr>
            <w:r w:rsidRPr="00E73F1F">
              <w:rPr>
                <w:lang w:val="fr-CA"/>
              </w:rPr>
              <w:t>FRANÇAIS</w:t>
            </w:r>
          </w:p>
          <w:p w14:paraId="3C3A68BB" w14:textId="0ACADAA2" w:rsidR="00C15867" w:rsidRPr="00E73F1F" w:rsidRDefault="00C15867" w:rsidP="007324A9">
            <w:pPr>
              <w:rPr>
                <w:lang w:val="fr-CA"/>
              </w:rPr>
            </w:pPr>
            <w:r w:rsidRPr="00E73F1F">
              <w:rPr>
                <w:lang w:val="fr-CA"/>
              </w:rPr>
              <w:t>ORIGINAL</w:t>
            </w:r>
            <w:r w:rsidR="007324A9" w:rsidRPr="00E73F1F">
              <w:rPr>
                <w:lang w:val="fr-CA"/>
              </w:rPr>
              <w:t xml:space="preserve"> </w:t>
            </w:r>
            <w:r w:rsidRPr="00E73F1F">
              <w:rPr>
                <w:lang w:val="fr-CA"/>
              </w:rPr>
              <w:t xml:space="preserve">: </w:t>
            </w:r>
            <w:r w:rsidR="007324A9" w:rsidRPr="00E73F1F">
              <w:rPr>
                <w:lang w:val="fr-CA"/>
              </w:rPr>
              <w:t>ANGLAIS</w:t>
            </w:r>
          </w:p>
        </w:tc>
      </w:tr>
    </w:tbl>
    <w:p w14:paraId="574CD213" w14:textId="77777777" w:rsidR="007324A9" w:rsidRPr="00E73F1F" w:rsidRDefault="007324A9" w:rsidP="007324A9">
      <w:pPr>
        <w:jc w:val="left"/>
        <w:rPr>
          <w:lang w:val="fr-CA"/>
        </w:rPr>
      </w:pPr>
      <w:r w:rsidRPr="00E73F1F">
        <w:rPr>
          <w:lang w:val="fr-CA"/>
        </w:rPr>
        <w:t xml:space="preserve">COMITÉ EXÉCUTIF </w:t>
      </w:r>
      <w:r w:rsidRPr="00E73F1F">
        <w:rPr>
          <w:lang w:val="fr-CA"/>
        </w:rPr>
        <w:br/>
        <w:t xml:space="preserve">  DU FONDS MULTILATÉRAL AUX FINS </w:t>
      </w:r>
      <w:r w:rsidRPr="00E73F1F">
        <w:rPr>
          <w:lang w:val="fr-CA"/>
        </w:rPr>
        <w:br/>
        <w:t xml:space="preserve">  D’APPLICATION DU PROTOCOLE DE MONTRÉAL</w:t>
      </w:r>
      <w:r w:rsidRPr="00E73F1F">
        <w:rPr>
          <w:lang w:val="fr-CA"/>
        </w:rPr>
        <w:br/>
        <w:t>Quatre-vingt-septième réunion</w:t>
      </w:r>
    </w:p>
    <w:p w14:paraId="77FEDFC6" w14:textId="59768317" w:rsidR="00F51F14" w:rsidRPr="00E73F1F" w:rsidRDefault="007324A9" w:rsidP="00FB1BB6">
      <w:pPr>
        <w:jc w:val="left"/>
        <w:rPr>
          <w:lang w:val="fr-CA"/>
        </w:rPr>
      </w:pPr>
      <w:r w:rsidRPr="00E73F1F">
        <w:rPr>
          <w:lang w:val="fr-CA"/>
        </w:rPr>
        <w:t>Montréal, 28 juin – 2 juillet 2021</w:t>
      </w:r>
      <w:r w:rsidRPr="00E73F1F">
        <w:rPr>
          <w:rStyle w:val="FootnoteReference"/>
          <w:lang w:val="fr-CA"/>
        </w:rPr>
        <w:footnoteReference w:id="2"/>
      </w:r>
    </w:p>
    <w:p w14:paraId="07DB9F40" w14:textId="77777777" w:rsidR="00F51F14" w:rsidRPr="00E73F1F" w:rsidRDefault="00F51F14" w:rsidP="004E7F9C">
      <w:pPr>
        <w:pStyle w:val="Title1"/>
        <w:rPr>
          <w:lang w:val="fr-CA"/>
        </w:rPr>
      </w:pPr>
    </w:p>
    <w:p w14:paraId="0F791885" w14:textId="77777777" w:rsidR="00316E45" w:rsidRPr="00E73F1F" w:rsidRDefault="00316E45" w:rsidP="004E7F9C">
      <w:pPr>
        <w:pStyle w:val="Title1"/>
        <w:rPr>
          <w:lang w:val="fr-CA"/>
        </w:rPr>
      </w:pPr>
    </w:p>
    <w:p w14:paraId="4264362B" w14:textId="2B56957D" w:rsidR="00114C47" w:rsidRPr="00E73F1F" w:rsidRDefault="00E73F1F" w:rsidP="00114C47">
      <w:pPr>
        <w:pStyle w:val="Title1"/>
        <w:rPr>
          <w:lang w:val="fr-CA"/>
        </w:rPr>
      </w:pPr>
      <w:bookmarkStart w:id="0" w:name="_GoBack"/>
      <w:r>
        <w:rPr>
          <w:lang w:val="fr-CA"/>
        </w:rPr>
        <w:t>RAPPORTS DE SITUATION ET RAPPORTS SUR lES PROJETS COMPORTANT DES EXIGENCES PARTICULIÈRES de REMISE DE RAPPORTS</w:t>
      </w:r>
    </w:p>
    <w:p w14:paraId="197EED6F" w14:textId="77777777" w:rsidR="00C32DB3" w:rsidRPr="00E73F1F" w:rsidRDefault="00C32DB3" w:rsidP="00114C47">
      <w:pPr>
        <w:pStyle w:val="Title1"/>
        <w:rPr>
          <w:lang w:val="fr-CA"/>
        </w:rPr>
      </w:pPr>
    </w:p>
    <w:bookmarkEnd w:id="0"/>
    <w:p w14:paraId="35677EB0" w14:textId="129E88AA" w:rsidR="00114C47" w:rsidRPr="00333B14" w:rsidRDefault="00333B14" w:rsidP="00114C47">
      <w:pPr>
        <w:pStyle w:val="Heading1"/>
        <w:rPr>
          <w:lang w:val="fr-CA"/>
        </w:rPr>
      </w:pPr>
      <w:r w:rsidRPr="00333B14">
        <w:rPr>
          <w:lang w:val="fr-CA"/>
        </w:rPr>
        <w:t xml:space="preserve">Ce document offre un suivi aux questions soulevées dans les derniers rapports périodiques et financiers annuels remis </w:t>
      </w:r>
      <w:r>
        <w:rPr>
          <w:lang w:val="fr-CA"/>
        </w:rPr>
        <w:t>à la 86</w:t>
      </w:r>
      <w:r w:rsidRPr="00333B14">
        <w:rPr>
          <w:vertAlign w:val="superscript"/>
          <w:lang w:val="fr-CA"/>
        </w:rPr>
        <w:t>e</w:t>
      </w:r>
      <w:r>
        <w:rPr>
          <w:lang w:val="fr-CA"/>
        </w:rPr>
        <w:t xml:space="preserve"> réunion</w:t>
      </w:r>
      <w:r w:rsidR="00C32DB3" w:rsidRPr="00333B14">
        <w:rPr>
          <w:lang w:val="fr-CA"/>
        </w:rPr>
        <w:t>,</w:t>
      </w:r>
      <w:r w:rsidR="00C32DB3" w:rsidRPr="00E73F1F">
        <w:rPr>
          <w:rStyle w:val="FootnoteReference"/>
          <w:lang w:val="fr-CA"/>
        </w:rPr>
        <w:footnoteReference w:id="3"/>
      </w:r>
      <w:r w:rsidR="00C32DB3" w:rsidRPr="00333B14">
        <w:rPr>
          <w:lang w:val="fr-CA"/>
        </w:rPr>
        <w:t xml:space="preserve"> </w:t>
      </w:r>
      <w:r>
        <w:rPr>
          <w:lang w:val="fr-CA"/>
        </w:rPr>
        <w:t>et concernant les projets et activités pour lesquels des rapports particuliers ont été demandés lors de réunions antérieures</w:t>
      </w:r>
      <w:r w:rsidR="00114C47" w:rsidRPr="00333B14">
        <w:rPr>
          <w:lang w:val="fr-CA"/>
        </w:rPr>
        <w:t>.</w:t>
      </w:r>
      <w:r w:rsidR="00C32DB3" w:rsidRPr="00333B14">
        <w:rPr>
          <w:lang w:val="fr-CA"/>
        </w:rPr>
        <w:t xml:space="preserve"> </w:t>
      </w:r>
    </w:p>
    <w:p w14:paraId="5E73E4BA" w14:textId="4A1FE90D" w:rsidR="005E54FF" w:rsidRPr="00E73F1F" w:rsidRDefault="00771D9F" w:rsidP="005E54FF">
      <w:pPr>
        <w:pStyle w:val="Heading1"/>
        <w:rPr>
          <w:lang w:val="fr-CA"/>
        </w:rPr>
      </w:pPr>
      <w:r>
        <w:rPr>
          <w:lang w:val="fr-CA"/>
        </w:rPr>
        <w:t>La 85</w:t>
      </w:r>
      <w:r w:rsidRPr="00771D9F">
        <w:rPr>
          <w:vertAlign w:val="superscript"/>
          <w:lang w:val="fr-CA"/>
        </w:rPr>
        <w:t>e</w:t>
      </w:r>
      <w:r w:rsidR="00F23ADB">
        <w:rPr>
          <w:lang w:val="fr-CA"/>
        </w:rPr>
        <w:t xml:space="preserve"> réunion a été reportée, et la</w:t>
      </w:r>
      <w:r>
        <w:rPr>
          <w:lang w:val="fr-CA"/>
        </w:rPr>
        <w:t xml:space="preserve"> 86</w:t>
      </w:r>
      <w:r w:rsidRPr="00771D9F">
        <w:rPr>
          <w:vertAlign w:val="superscript"/>
          <w:lang w:val="fr-CA"/>
        </w:rPr>
        <w:t>e</w:t>
      </w:r>
      <w:r>
        <w:rPr>
          <w:lang w:val="fr-CA"/>
        </w:rPr>
        <w:t xml:space="preserve"> réunion s’est déroulée en session virtuelle et a porté sur certains points </w:t>
      </w:r>
      <w:r w:rsidR="00F23ADB">
        <w:rPr>
          <w:lang w:val="fr-CA"/>
        </w:rPr>
        <w:t>précis de l’ordre du jour, à cause de du coronavirus (COVID-19)</w:t>
      </w:r>
      <w:r>
        <w:rPr>
          <w:lang w:val="fr-CA"/>
        </w:rPr>
        <w:t>. Le Comité exécutif a convenu de créer un processus d’approbation intersessions (PAI) pour ces deux réunions, afin d’examiner certains rapports et projets soumis aux 85</w:t>
      </w:r>
      <w:r w:rsidRPr="00771D9F">
        <w:rPr>
          <w:vertAlign w:val="superscript"/>
          <w:lang w:val="fr-CA"/>
        </w:rPr>
        <w:t>e</w:t>
      </w:r>
      <w:r>
        <w:rPr>
          <w:lang w:val="fr-CA"/>
        </w:rPr>
        <w:t xml:space="preserve"> et 86</w:t>
      </w:r>
      <w:r w:rsidRPr="00771D9F">
        <w:rPr>
          <w:vertAlign w:val="superscript"/>
          <w:lang w:val="fr-CA"/>
        </w:rPr>
        <w:t>e</w:t>
      </w:r>
      <w:r>
        <w:rPr>
          <w:lang w:val="fr-CA"/>
        </w:rPr>
        <w:t xml:space="preserve"> réunions, notamment des rapports sur les projets comportant des exigences particulières recommandés pour approbation générale, tandis que d’autres rapports recommandés pour examen individuel ont été reportés à la 87</w:t>
      </w:r>
      <w:r w:rsidRPr="00771D9F">
        <w:rPr>
          <w:vertAlign w:val="superscript"/>
          <w:lang w:val="fr-CA"/>
        </w:rPr>
        <w:t>e</w:t>
      </w:r>
      <w:r>
        <w:rPr>
          <w:lang w:val="fr-CA"/>
        </w:rPr>
        <w:t xml:space="preserve"> réunion. Ce document comprend des rapports sur les projets comportant des exigences particulières de remise de rapport</w:t>
      </w:r>
      <w:r w:rsidR="00643C62">
        <w:rPr>
          <w:lang w:val="fr-CA"/>
        </w:rPr>
        <w:t>s</w:t>
      </w:r>
      <w:r>
        <w:rPr>
          <w:lang w:val="fr-CA"/>
        </w:rPr>
        <w:t xml:space="preserve"> qui ont été recommandés pour examen individuel aux 85</w:t>
      </w:r>
      <w:r w:rsidRPr="00771D9F">
        <w:rPr>
          <w:vertAlign w:val="superscript"/>
          <w:lang w:val="fr-CA"/>
        </w:rPr>
        <w:t>e</w:t>
      </w:r>
      <w:r>
        <w:rPr>
          <w:lang w:val="fr-CA"/>
        </w:rPr>
        <w:t xml:space="preserve"> et 86</w:t>
      </w:r>
      <w:r w:rsidRPr="00771D9F">
        <w:rPr>
          <w:vertAlign w:val="superscript"/>
          <w:lang w:val="fr-CA"/>
        </w:rPr>
        <w:t>e</w:t>
      </w:r>
      <w:r>
        <w:rPr>
          <w:lang w:val="fr-CA"/>
        </w:rPr>
        <w:t xml:space="preserve"> réunions</w:t>
      </w:r>
      <w:r w:rsidR="005E54FF" w:rsidRPr="00E73F1F">
        <w:rPr>
          <w:lang w:val="fr-CA"/>
        </w:rPr>
        <w:t>.</w:t>
      </w:r>
    </w:p>
    <w:p w14:paraId="1F1A95A7" w14:textId="417C0DCF" w:rsidR="00114C47" w:rsidRPr="00E73F1F" w:rsidRDefault="00771D9F" w:rsidP="00114C47">
      <w:pPr>
        <w:pStyle w:val="Heading1"/>
        <w:rPr>
          <w:lang w:val="fr-CA"/>
        </w:rPr>
      </w:pPr>
      <w:r>
        <w:rPr>
          <w:lang w:val="fr-CA"/>
        </w:rPr>
        <w:t xml:space="preserve">Ce document comprend quatre parties </w:t>
      </w:r>
      <w:r w:rsidR="00C32DB3" w:rsidRPr="00E73F1F">
        <w:rPr>
          <w:lang w:val="fr-CA"/>
        </w:rPr>
        <w:t>:</w:t>
      </w:r>
    </w:p>
    <w:p w14:paraId="59EBF897" w14:textId="6DB6D12F" w:rsidR="008C0142" w:rsidRPr="00E73F1F" w:rsidRDefault="00771D9F" w:rsidP="009A6BA6">
      <w:pPr>
        <w:pStyle w:val="Heading2"/>
        <w:numPr>
          <w:ilvl w:val="0"/>
          <w:numId w:val="0"/>
        </w:numPr>
        <w:ind w:left="2160" w:hanging="1440"/>
        <w:rPr>
          <w:lang w:val="fr-CA"/>
        </w:rPr>
      </w:pPr>
      <w:r>
        <w:rPr>
          <w:lang w:val="fr-CA"/>
        </w:rPr>
        <w:t xml:space="preserve">Partie </w:t>
      </w:r>
      <w:r w:rsidR="008C0142" w:rsidRPr="00E73F1F">
        <w:rPr>
          <w:lang w:val="fr-CA"/>
        </w:rPr>
        <w:t>I</w:t>
      </w:r>
      <w:r>
        <w:rPr>
          <w:lang w:val="fr-CA"/>
        </w:rPr>
        <w:t xml:space="preserve"> </w:t>
      </w:r>
      <w:r w:rsidR="008C0142" w:rsidRPr="00E73F1F">
        <w:rPr>
          <w:lang w:val="fr-CA"/>
        </w:rPr>
        <w:t>:</w:t>
      </w:r>
      <w:r w:rsidR="008C0142" w:rsidRPr="00E73F1F">
        <w:rPr>
          <w:lang w:val="fr-CA"/>
        </w:rPr>
        <w:tab/>
      </w:r>
      <w:r>
        <w:rPr>
          <w:lang w:val="fr-CA"/>
        </w:rPr>
        <w:t>Projets connaissant des retards dans la mise en œuvre et pour lesquels des rapports de situation spéciaux ont été demandés</w:t>
      </w:r>
    </w:p>
    <w:p w14:paraId="4CAC994A" w14:textId="6F0FAE86" w:rsidR="009A6BA6" w:rsidRPr="00E73F1F" w:rsidRDefault="00737C3B" w:rsidP="009A6BA6">
      <w:pPr>
        <w:pStyle w:val="Heading2"/>
        <w:numPr>
          <w:ilvl w:val="0"/>
          <w:numId w:val="0"/>
        </w:numPr>
        <w:ind w:left="2160" w:hanging="1440"/>
        <w:rPr>
          <w:lang w:val="fr-CA"/>
        </w:rPr>
      </w:pPr>
      <w:r>
        <w:rPr>
          <w:lang w:val="fr-CA"/>
        </w:rPr>
        <w:t>Partie</w:t>
      </w:r>
      <w:r w:rsidR="009A6BA6" w:rsidRPr="00E73F1F">
        <w:rPr>
          <w:lang w:val="fr-CA"/>
        </w:rPr>
        <w:t xml:space="preserve"> </w:t>
      </w:r>
      <w:r w:rsidR="008C0142" w:rsidRPr="00E73F1F">
        <w:rPr>
          <w:lang w:val="fr-CA"/>
        </w:rPr>
        <w:t>I</w:t>
      </w:r>
      <w:r w:rsidR="009A6BA6" w:rsidRPr="00E73F1F">
        <w:rPr>
          <w:lang w:val="fr-CA"/>
        </w:rPr>
        <w:t>I</w:t>
      </w:r>
      <w:r>
        <w:rPr>
          <w:lang w:val="fr-CA"/>
        </w:rPr>
        <w:t xml:space="preserve"> </w:t>
      </w:r>
      <w:r w:rsidR="009A6BA6" w:rsidRPr="00E73F1F">
        <w:rPr>
          <w:lang w:val="fr-CA"/>
        </w:rPr>
        <w:t>:</w:t>
      </w:r>
      <w:r w:rsidR="009A6BA6" w:rsidRPr="00E73F1F">
        <w:rPr>
          <w:lang w:val="fr-CA"/>
        </w:rPr>
        <w:tab/>
      </w:r>
      <w:r>
        <w:rPr>
          <w:lang w:val="fr-CA"/>
        </w:rPr>
        <w:t xml:space="preserve">Rapports sur des projets comportant des exigences particulières de remise de rapports pour lesquels il n’y a aucune question de politique, de coût ou autre </w:t>
      </w:r>
      <w:r w:rsidR="00643C62">
        <w:rPr>
          <w:lang w:val="fr-CA"/>
        </w:rPr>
        <w:t xml:space="preserve">question </w:t>
      </w:r>
      <w:r>
        <w:rPr>
          <w:lang w:val="fr-CA"/>
        </w:rPr>
        <w:t xml:space="preserve">en instance et pour lesquels le Comité exécutif pourrait souhaiter prendre une décision selon les recommandations du Secrétariat, sans autre échange (« approbation générale »). Le rapport de la réunion du Comité exécutif présentera séparément chacun des rapports de cette </w:t>
      </w:r>
      <w:r w:rsidR="00643C62">
        <w:rPr>
          <w:lang w:val="fr-CA"/>
        </w:rPr>
        <w:t>partie</w:t>
      </w:r>
      <w:r>
        <w:rPr>
          <w:lang w:val="fr-CA"/>
        </w:rPr>
        <w:t xml:space="preserve"> avec la décision adoptée par le </w:t>
      </w:r>
      <w:r>
        <w:rPr>
          <w:lang w:val="fr-CA"/>
        </w:rPr>
        <w:lastRenderedPageBreak/>
        <w:t>Comité exécutif</w:t>
      </w:r>
      <w:r w:rsidR="00F17895" w:rsidRPr="00E73F1F">
        <w:rPr>
          <w:lang w:val="fr-CA"/>
        </w:rPr>
        <w:t xml:space="preserve"> </w:t>
      </w:r>
    </w:p>
    <w:p w14:paraId="14817CF5" w14:textId="6CD66423" w:rsidR="00A411F2" w:rsidRPr="00E73F1F" w:rsidRDefault="00CC38A9" w:rsidP="00A411F2">
      <w:pPr>
        <w:pStyle w:val="Heading2"/>
        <w:numPr>
          <w:ilvl w:val="0"/>
          <w:numId w:val="0"/>
        </w:numPr>
        <w:tabs>
          <w:tab w:val="left" w:pos="720"/>
        </w:tabs>
        <w:ind w:left="2160" w:hanging="1440"/>
        <w:rPr>
          <w:lang w:val="fr-CA"/>
        </w:rPr>
      </w:pPr>
      <w:r>
        <w:rPr>
          <w:lang w:val="fr-CA"/>
        </w:rPr>
        <w:t>Partie</w:t>
      </w:r>
      <w:r w:rsidR="00BB0C8D" w:rsidRPr="00E73F1F">
        <w:rPr>
          <w:lang w:val="fr-CA"/>
        </w:rPr>
        <w:t xml:space="preserve"> III</w:t>
      </w:r>
      <w:r>
        <w:rPr>
          <w:lang w:val="fr-CA"/>
        </w:rPr>
        <w:t> :</w:t>
      </w:r>
      <w:r w:rsidR="00BB0C8D" w:rsidRPr="00E73F1F">
        <w:rPr>
          <w:lang w:val="fr-CA"/>
        </w:rPr>
        <w:tab/>
      </w:r>
      <w:r>
        <w:rPr>
          <w:lang w:val="fr-CA"/>
        </w:rPr>
        <w:t>Rapport sur les projets comportant des exigences particulières de remise de rapports pour examen individuel par le Comité exécutif</w:t>
      </w:r>
      <w:r w:rsidR="00A411F2" w:rsidRPr="00E73F1F">
        <w:rPr>
          <w:lang w:val="fr-CA"/>
        </w:rPr>
        <w:t xml:space="preserve"> </w:t>
      </w:r>
      <w:r w:rsidR="00F17895" w:rsidRPr="00E73F1F">
        <w:rPr>
          <w:lang w:val="fr-CA"/>
        </w:rPr>
        <w:t xml:space="preserve"> </w:t>
      </w:r>
    </w:p>
    <w:p w14:paraId="46A38B03" w14:textId="75AAE28F" w:rsidR="00316E45" w:rsidRPr="00643C62" w:rsidRDefault="00CB1E45" w:rsidP="00316E45">
      <w:pPr>
        <w:spacing w:after="240"/>
        <w:ind w:left="2160" w:hanging="1440"/>
        <w:rPr>
          <w:lang w:val="fr-CA"/>
        </w:rPr>
      </w:pPr>
      <w:r w:rsidRPr="00E73F1F">
        <w:rPr>
          <w:lang w:val="fr-CA"/>
        </w:rPr>
        <w:t>Addendum I</w:t>
      </w:r>
      <w:r w:rsidR="00CC38A9">
        <w:rPr>
          <w:lang w:val="fr-CA"/>
        </w:rPr>
        <w:t xml:space="preserve"> </w:t>
      </w:r>
      <w:r w:rsidRPr="00E73F1F">
        <w:rPr>
          <w:lang w:val="fr-CA"/>
        </w:rPr>
        <w:t>:</w:t>
      </w:r>
      <w:r w:rsidRPr="00E73F1F">
        <w:rPr>
          <w:lang w:val="fr-CA"/>
        </w:rPr>
        <w:tab/>
      </w:r>
      <w:r w:rsidR="00CC38A9" w:rsidRPr="00643C62">
        <w:rPr>
          <w:lang w:val="fr-CA"/>
        </w:rPr>
        <w:t>Comprend trois rapports reliés à la Chine</w:t>
      </w:r>
      <w:r w:rsidR="00316E45" w:rsidRPr="00643C62">
        <w:rPr>
          <w:lang w:val="fr-CA"/>
        </w:rPr>
        <w:t>,</w:t>
      </w:r>
      <w:r w:rsidRPr="00643C62">
        <w:rPr>
          <w:rStyle w:val="FootnoteReference"/>
          <w:lang w:val="fr-CA"/>
        </w:rPr>
        <w:footnoteReference w:id="4"/>
      </w:r>
      <w:r w:rsidR="00316E45" w:rsidRPr="00643C62">
        <w:rPr>
          <w:rStyle w:val="FootnoteReference"/>
          <w:lang w:val="fr-CA"/>
        </w:rPr>
        <w:t xml:space="preserve"> </w:t>
      </w:r>
      <w:r w:rsidR="00CC38A9" w:rsidRPr="00643C62">
        <w:rPr>
          <w:lang w:val="fr-CA"/>
        </w:rPr>
        <w:t xml:space="preserve">dont un rapport à inclure avec les rapports recommandés pour « approbation générale » (rapports de vérification financière des secteurs de la production de CFC, des halons, de la mousse de polyuréthanne, de l’agent de transformation II, de l’entretien de l’équipement de réfrigération et des solvants (décision 86/41)). Les deux autres rapports, </w:t>
      </w:r>
      <w:r w:rsidR="00C573BD" w:rsidRPr="00643C62">
        <w:rPr>
          <w:lang w:val="fr-CA"/>
        </w:rPr>
        <w:t xml:space="preserve">le Rapport sur les progrès dans la mise en œuvre des activités </w:t>
      </w:r>
      <w:r w:rsidR="00643C62" w:rsidRPr="00643C62">
        <w:rPr>
          <w:lang w:val="fr-CA"/>
        </w:rPr>
        <w:t>figurant dans la décision 83/41 </w:t>
      </w:r>
      <w:r w:rsidR="00C573BD" w:rsidRPr="00643C62">
        <w:rPr>
          <w:lang w:val="fr-CA"/>
        </w:rPr>
        <w:t xml:space="preserve">e) et </w:t>
      </w:r>
      <w:r w:rsidR="00643C62" w:rsidRPr="00643C62">
        <w:rPr>
          <w:lang w:val="fr-CA"/>
        </w:rPr>
        <w:t>l’</w:t>
      </w:r>
      <w:r w:rsidR="00C573BD" w:rsidRPr="00643C62">
        <w:rPr>
          <w:lang w:val="fr-CA"/>
        </w:rPr>
        <w:t>Étude visant à déterminer les circonstances réglementaires, d’application, de politique ou de marché pouvant avoir mené à la production et l’utilisation illicites du CFC-11 et du CFC-12 (décision 83/41 d)) sont recommandés pour examen individuel par le Comité exécutif</w:t>
      </w:r>
      <w:r w:rsidR="00316E45" w:rsidRPr="00643C62">
        <w:rPr>
          <w:lang w:val="fr-CA"/>
        </w:rPr>
        <w:t>.</w:t>
      </w:r>
    </w:p>
    <w:p w14:paraId="0B18BAEC" w14:textId="3A70D832" w:rsidR="00B53651" w:rsidRPr="00643C62" w:rsidRDefault="00643C62" w:rsidP="00B53651">
      <w:pPr>
        <w:pStyle w:val="sub-title"/>
        <w:keepNext/>
        <w:keepLines/>
        <w:spacing w:after="240"/>
        <w:ind w:left="1440" w:hanging="1440"/>
        <w:rPr>
          <w:noProof w:val="0"/>
          <w:lang w:val="fr-CA"/>
        </w:rPr>
      </w:pPr>
      <w:r w:rsidRPr="00023070">
        <w:rPr>
          <w:noProof w:val="0"/>
          <w:lang w:val="fr-CA"/>
        </w:rPr>
        <w:t>PA</w:t>
      </w:r>
      <w:r w:rsidR="00C573BD" w:rsidRPr="00023070">
        <w:rPr>
          <w:noProof w:val="0"/>
          <w:lang w:val="fr-CA"/>
        </w:rPr>
        <w:t>RTIE</w:t>
      </w:r>
      <w:r w:rsidR="00B53651" w:rsidRPr="00023070">
        <w:rPr>
          <w:noProof w:val="0"/>
          <w:lang w:val="fr-CA"/>
        </w:rPr>
        <w:t xml:space="preserve"> I</w:t>
      </w:r>
      <w:r w:rsidR="00023070">
        <w:rPr>
          <w:noProof w:val="0"/>
          <w:lang w:val="fr-CA"/>
        </w:rPr>
        <w:t xml:space="preserve"> </w:t>
      </w:r>
      <w:r w:rsidR="00B53651" w:rsidRPr="00023070">
        <w:rPr>
          <w:noProof w:val="0"/>
          <w:lang w:val="fr-CA"/>
        </w:rPr>
        <w:t>:</w:t>
      </w:r>
      <w:r w:rsidR="00B53651" w:rsidRPr="00023070">
        <w:rPr>
          <w:noProof w:val="0"/>
          <w:lang w:val="fr-CA"/>
        </w:rPr>
        <w:tab/>
      </w:r>
      <w:r w:rsidR="00C573BD" w:rsidRPr="00023070">
        <w:rPr>
          <w:lang w:val="fr-CA"/>
        </w:rPr>
        <w:t>PROJETS CONNAISSANT DES RETARDS DANS LA MISE EN ŒUVRE ET POUR LESQUELS DES RAPPORTS DE SITUATION SPÉCIAUX ONT ÉTÉ DEMANDÉS</w:t>
      </w:r>
    </w:p>
    <w:p w14:paraId="4EC7B87D" w14:textId="3752EC59" w:rsidR="00B53651" w:rsidRPr="00643C62" w:rsidRDefault="00A247AC" w:rsidP="00B53651">
      <w:pPr>
        <w:pStyle w:val="Heading1"/>
        <w:rPr>
          <w:lang w:val="fr-CA"/>
        </w:rPr>
      </w:pPr>
      <w:r w:rsidRPr="00643C62">
        <w:rPr>
          <w:lang w:val="fr-CA"/>
        </w:rPr>
        <w:t>Au cours du PAI créé pour la 86</w:t>
      </w:r>
      <w:r w:rsidRPr="00643C62">
        <w:rPr>
          <w:vertAlign w:val="superscript"/>
          <w:lang w:val="fr-CA"/>
        </w:rPr>
        <w:t>e</w:t>
      </w:r>
      <w:r w:rsidRPr="00643C62">
        <w:rPr>
          <w:lang w:val="fr-CA"/>
        </w:rPr>
        <w:t xml:space="preserve"> réunion, le Comité exécutif a pris note que les agences bilatérales et d’exécution feraient rapport à la 87</w:t>
      </w:r>
      <w:r w:rsidRPr="00643C62">
        <w:rPr>
          <w:vertAlign w:val="superscript"/>
          <w:lang w:val="fr-CA"/>
        </w:rPr>
        <w:t>e</w:t>
      </w:r>
      <w:r w:rsidRPr="00643C62">
        <w:rPr>
          <w:lang w:val="fr-CA"/>
        </w:rPr>
        <w:t xml:space="preserve"> réunion sur 94 projets connaissant des retards dans la mise en œuvre et 55 projets ou tranches de projets pluriannuels en cours pour lesquels des rapports de situation supplémentaires ont été recommandés (décision 86/13 c)). Les agences bilatérales et d’exécution ont remis les rapports demandés à la 87</w:t>
      </w:r>
      <w:r w:rsidRPr="00643C62">
        <w:rPr>
          <w:vertAlign w:val="superscript"/>
          <w:lang w:val="fr-CA"/>
        </w:rPr>
        <w:t>e</w:t>
      </w:r>
      <w:r w:rsidRPr="00643C62">
        <w:rPr>
          <w:lang w:val="fr-CA"/>
        </w:rPr>
        <w:t xml:space="preserve"> réunion. </w:t>
      </w:r>
    </w:p>
    <w:p w14:paraId="5EFD7B8F" w14:textId="37547D0A" w:rsidR="00B53651" w:rsidRPr="00643C62" w:rsidRDefault="00A247AC" w:rsidP="00B53651">
      <w:pPr>
        <w:pStyle w:val="sub-title"/>
        <w:keepNext/>
        <w:spacing w:after="240"/>
        <w:rPr>
          <w:noProof w:val="0"/>
          <w:lang w:val="fr-CA"/>
        </w:rPr>
      </w:pPr>
      <w:r w:rsidRPr="00643C62">
        <w:rPr>
          <w:noProof w:val="0"/>
          <w:lang w:val="fr-CA"/>
        </w:rPr>
        <w:t xml:space="preserve">Retards dans la mise en œuvre </w:t>
      </w:r>
    </w:p>
    <w:p w14:paraId="3D7A0939" w14:textId="5E6F9ADE" w:rsidR="00B53651" w:rsidRPr="00643C62" w:rsidRDefault="00A247AC" w:rsidP="00B53651">
      <w:pPr>
        <w:pStyle w:val="Heading1"/>
        <w:rPr>
          <w:lang w:val="fr-CA"/>
        </w:rPr>
      </w:pPr>
      <w:r w:rsidRPr="00643C62">
        <w:rPr>
          <w:lang w:val="fr-CA"/>
        </w:rPr>
        <w:t>Dans son examen des rapports remis par les agences bilatérales et d’exécution, le Secrétariat a pris note</w:t>
      </w:r>
      <w:r w:rsidR="00CA12D4" w:rsidRPr="00643C62">
        <w:rPr>
          <w:lang w:val="fr-CA"/>
        </w:rPr>
        <w:t xml:space="preserve"> que</w:t>
      </w:r>
      <w:r w:rsidRPr="00643C62">
        <w:rPr>
          <w:lang w:val="fr-CA"/>
        </w:rPr>
        <w:t> </w:t>
      </w:r>
      <w:r w:rsidR="00B53651" w:rsidRPr="00643C62">
        <w:rPr>
          <w:lang w:val="fr-CA"/>
        </w:rPr>
        <w:t>:</w:t>
      </w:r>
    </w:p>
    <w:p w14:paraId="0DC0953E" w14:textId="641A25FD" w:rsidR="00B53651" w:rsidRPr="00643C62" w:rsidRDefault="00CA12D4" w:rsidP="00A247AC">
      <w:pPr>
        <w:pStyle w:val="Heading2"/>
        <w:rPr>
          <w:lang w:val="fr-CA"/>
        </w:rPr>
      </w:pPr>
      <w:r w:rsidRPr="00643C62">
        <w:rPr>
          <w:lang w:val="fr-CA"/>
        </w:rPr>
        <w:t xml:space="preserve">Des progrès ont été réalisés pour </w:t>
      </w:r>
      <w:r w:rsidR="00F848CD">
        <w:rPr>
          <w:lang w:val="fr-CA"/>
        </w:rPr>
        <w:t>rattraper</w:t>
      </w:r>
      <w:r w:rsidRPr="00643C62">
        <w:rPr>
          <w:lang w:val="fr-CA"/>
        </w:rPr>
        <w:t xml:space="preserve"> les retards dans 50 projets qui ne seront plus assujettis à la remise de rapports</w:t>
      </w:r>
      <w:r w:rsidR="00023070">
        <w:rPr>
          <w:lang w:val="fr-CA"/>
        </w:rPr>
        <w:t xml:space="preserve"> </w:t>
      </w:r>
      <w:r w:rsidR="00B53651" w:rsidRPr="00643C62">
        <w:rPr>
          <w:lang w:val="fr-CA"/>
        </w:rPr>
        <w:t>;</w:t>
      </w:r>
    </w:p>
    <w:p w14:paraId="302A3494" w14:textId="36A69CE9" w:rsidR="00B53651" w:rsidRPr="00643C62" w:rsidRDefault="00CA12D4" w:rsidP="00B53651">
      <w:pPr>
        <w:pStyle w:val="Heading2"/>
        <w:rPr>
          <w:lang w:val="fr-CA"/>
        </w:rPr>
      </w:pPr>
      <w:r w:rsidRPr="00643C62">
        <w:rPr>
          <w:lang w:val="fr-CA"/>
        </w:rPr>
        <w:t>« Certains progrès » ont été réalisés dans 30 projets figurant à l’annexe I au présent document, pour lesquels le suivi se poursuivra jusqu’à l’achèvement, conformément à la décision 32/4</w:t>
      </w:r>
      <w:r w:rsidR="00023070">
        <w:rPr>
          <w:lang w:val="fr-CA"/>
        </w:rPr>
        <w:t xml:space="preserve"> </w:t>
      </w:r>
      <w:r w:rsidRPr="00643C62">
        <w:rPr>
          <w:lang w:val="fr-CA"/>
        </w:rPr>
        <w:t>;</w:t>
      </w:r>
    </w:p>
    <w:p w14:paraId="5E2FEF6D" w14:textId="28747AED" w:rsidR="00B53651" w:rsidRPr="00643C62" w:rsidRDefault="00CA12D4" w:rsidP="00B53651">
      <w:pPr>
        <w:pStyle w:val="Heading2"/>
        <w:rPr>
          <w:lang w:val="fr-CA"/>
        </w:rPr>
      </w:pPr>
      <w:r w:rsidRPr="00643C62">
        <w:rPr>
          <w:lang w:val="fr-CA"/>
        </w:rPr>
        <w:t xml:space="preserve">« Aucun progrès » n’a été réalisé dans 14 projets </w:t>
      </w:r>
      <w:r w:rsidR="0048462C" w:rsidRPr="00643C62">
        <w:rPr>
          <w:lang w:val="fr-CA"/>
        </w:rPr>
        <w:t>figurant</w:t>
      </w:r>
      <w:r w:rsidRPr="00643C62">
        <w:rPr>
          <w:lang w:val="fr-CA"/>
        </w:rPr>
        <w:t xml:space="preserve"> à l’annexe II au présent document</w:t>
      </w:r>
      <w:r w:rsidR="0048462C" w:rsidRPr="00643C62">
        <w:rPr>
          <w:lang w:val="fr-CA"/>
        </w:rPr>
        <w:t xml:space="preserve"> pour la première fois depuis </w:t>
      </w:r>
      <w:r w:rsidR="00B43DBF">
        <w:rPr>
          <w:lang w:val="fr-CA"/>
        </w:rPr>
        <w:t xml:space="preserve">que </w:t>
      </w:r>
      <w:r w:rsidR="0048462C" w:rsidRPr="00643C62">
        <w:rPr>
          <w:lang w:val="fr-CA"/>
        </w:rPr>
        <w:t xml:space="preserve">des retards dans la mise en œuvre ont été constatés dans </w:t>
      </w:r>
      <w:r w:rsidR="00B43DBF">
        <w:rPr>
          <w:lang w:val="fr-CA"/>
        </w:rPr>
        <w:t>un accord pluriannuel,</w:t>
      </w:r>
      <w:r w:rsidR="0048462C" w:rsidRPr="00643C62">
        <w:rPr>
          <w:lang w:val="fr-CA"/>
        </w:rPr>
        <w:t xml:space="preserve"> et que ceux-ci devront faire l’objet d’un suivi, conformément à la décision 84/45. </w:t>
      </w:r>
    </w:p>
    <w:p w14:paraId="70010462" w14:textId="36FBBF12" w:rsidR="00B53651" w:rsidRPr="00643C62" w:rsidRDefault="0048462C" w:rsidP="00B53651">
      <w:pPr>
        <w:pStyle w:val="sub-title"/>
        <w:keepNext/>
        <w:spacing w:after="240"/>
        <w:rPr>
          <w:bCs/>
          <w:iCs/>
          <w:noProof w:val="0"/>
          <w:lang w:val="fr-CA"/>
        </w:rPr>
      </w:pPr>
      <w:r w:rsidRPr="00643C62">
        <w:rPr>
          <w:iCs/>
          <w:noProof w:val="0"/>
          <w:lang w:val="fr-CA"/>
        </w:rPr>
        <w:t>Projets pour lesquels des rapports de situation supplémentaires ont été demandés</w:t>
      </w:r>
      <w:r w:rsidR="00B53651" w:rsidRPr="00643C62">
        <w:rPr>
          <w:rStyle w:val="FootnoteReference"/>
          <w:iCs/>
          <w:noProof w:val="0"/>
          <w:lang w:val="fr-CA"/>
        </w:rPr>
        <w:footnoteReference w:id="5"/>
      </w:r>
    </w:p>
    <w:p w14:paraId="721210FE" w14:textId="7F18CBC4" w:rsidR="00B53651" w:rsidRPr="00643C62" w:rsidRDefault="0048462C" w:rsidP="00B53651">
      <w:pPr>
        <w:pStyle w:val="Heading1"/>
        <w:rPr>
          <w:lang w:val="fr-CA"/>
        </w:rPr>
      </w:pPr>
      <w:r w:rsidRPr="00643C62">
        <w:rPr>
          <w:lang w:val="fr-CA"/>
        </w:rPr>
        <w:t xml:space="preserve">Le Secrétariat s’est entretenu avec les agences bilatérales et d’exécution concernant les projets pour lesquels des rapports de situation supplémentaires ont été demandés. Plusieurs questions </w:t>
      </w:r>
      <w:r w:rsidR="00B43DBF">
        <w:rPr>
          <w:lang w:val="fr-CA"/>
        </w:rPr>
        <w:t>ont</w:t>
      </w:r>
      <w:r w:rsidRPr="00643C62">
        <w:rPr>
          <w:lang w:val="fr-CA"/>
        </w:rPr>
        <w:t xml:space="preserve"> été réglées de façon satisfaisante à l’issue de ces échanges</w:t>
      </w:r>
      <w:r w:rsidR="00B53651" w:rsidRPr="00643C62">
        <w:rPr>
          <w:lang w:val="fr-CA"/>
        </w:rPr>
        <w:t>.</w:t>
      </w:r>
    </w:p>
    <w:p w14:paraId="3A22E7F8" w14:textId="140E3EB6" w:rsidR="00B53651" w:rsidRPr="00643C62" w:rsidRDefault="00B43DBF" w:rsidP="00B53651">
      <w:pPr>
        <w:pStyle w:val="Heading1"/>
        <w:rPr>
          <w:lang w:val="fr-CA"/>
        </w:rPr>
      </w:pPr>
      <w:r>
        <w:rPr>
          <w:lang w:val="fr-CA"/>
        </w:rPr>
        <w:lastRenderedPageBreak/>
        <w:t>La liste de</w:t>
      </w:r>
      <w:r w:rsidR="0048462C" w:rsidRPr="00643C62">
        <w:rPr>
          <w:lang w:val="fr-CA"/>
        </w:rPr>
        <w:t>s projets pour lesquels certain</w:t>
      </w:r>
      <w:r w:rsidR="00F848CD">
        <w:rPr>
          <w:lang w:val="fr-CA"/>
        </w:rPr>
        <w:t>e</w:t>
      </w:r>
      <w:r w:rsidR="0048462C" w:rsidRPr="00643C62">
        <w:rPr>
          <w:lang w:val="fr-CA"/>
        </w:rPr>
        <w:t xml:space="preserve">s questions demeurent en instance </w:t>
      </w:r>
      <w:r>
        <w:rPr>
          <w:lang w:val="fr-CA"/>
        </w:rPr>
        <w:t>est jointe</w:t>
      </w:r>
      <w:r w:rsidR="0048462C" w:rsidRPr="00643C62">
        <w:rPr>
          <w:lang w:val="fr-CA"/>
        </w:rPr>
        <w:t xml:space="preserve"> à l’annexe II au</w:t>
      </w:r>
      <w:r>
        <w:rPr>
          <w:lang w:val="fr-CA"/>
        </w:rPr>
        <w:t>x</w:t>
      </w:r>
      <w:r w:rsidR="0048462C" w:rsidRPr="00643C62">
        <w:rPr>
          <w:lang w:val="fr-CA"/>
        </w:rPr>
        <w:t xml:space="preserve"> présentes</w:t>
      </w:r>
      <w:r w:rsidR="00B53651" w:rsidRPr="00643C62">
        <w:rPr>
          <w:lang w:val="fr-CA"/>
        </w:rPr>
        <w:t xml:space="preserve">. </w:t>
      </w:r>
    </w:p>
    <w:p w14:paraId="6829ED22" w14:textId="138C7C71" w:rsidR="00B53651" w:rsidRPr="00643C62" w:rsidRDefault="00B53651" w:rsidP="00B53651">
      <w:pPr>
        <w:pStyle w:val="a--"/>
        <w:suppressAutoHyphens w:val="0"/>
        <w:jc w:val="left"/>
        <w:rPr>
          <w:sz w:val="22"/>
          <w:szCs w:val="22"/>
          <w:lang w:val="fr-CA"/>
        </w:rPr>
      </w:pPr>
      <w:r w:rsidRPr="00643C62">
        <w:rPr>
          <w:sz w:val="22"/>
          <w:szCs w:val="22"/>
          <w:lang w:val="fr-CA"/>
        </w:rPr>
        <w:t>Recomm</w:t>
      </w:r>
      <w:r w:rsidR="00FD5DBD" w:rsidRPr="00643C62">
        <w:rPr>
          <w:sz w:val="22"/>
          <w:szCs w:val="22"/>
          <w:lang w:val="fr-CA"/>
        </w:rPr>
        <w:t>a</w:t>
      </w:r>
      <w:r w:rsidRPr="00643C62">
        <w:rPr>
          <w:sz w:val="22"/>
          <w:szCs w:val="22"/>
          <w:lang w:val="fr-CA"/>
        </w:rPr>
        <w:t>ndation</w:t>
      </w:r>
    </w:p>
    <w:p w14:paraId="2B7B1B9A" w14:textId="77777777" w:rsidR="00B53651" w:rsidRPr="00643C62" w:rsidRDefault="00B53651" w:rsidP="00B53651">
      <w:pPr>
        <w:pStyle w:val="0Heading0"/>
        <w:rPr>
          <w:lang w:val="fr-CA"/>
        </w:rPr>
      </w:pPr>
    </w:p>
    <w:p w14:paraId="2CDEAC27" w14:textId="14274A5B" w:rsidR="00B53651" w:rsidRPr="00643C62" w:rsidRDefault="00FD5DBD" w:rsidP="00B53651">
      <w:pPr>
        <w:pStyle w:val="Heading1"/>
        <w:rPr>
          <w:lang w:val="fr-CA"/>
        </w:rPr>
      </w:pPr>
      <w:r w:rsidRPr="00643C62">
        <w:rPr>
          <w:lang w:val="fr-CA"/>
        </w:rPr>
        <w:t xml:space="preserve">Le Comité exécutif pourrait souhaiter </w:t>
      </w:r>
      <w:r w:rsidR="00B53651" w:rsidRPr="00643C62">
        <w:rPr>
          <w:lang w:val="fr-CA"/>
        </w:rPr>
        <w:t>:</w:t>
      </w:r>
    </w:p>
    <w:p w14:paraId="757F1966" w14:textId="5AFFF4D2" w:rsidR="00B53651" w:rsidRPr="00643C62" w:rsidRDefault="00FD5DBD" w:rsidP="00B53651">
      <w:pPr>
        <w:pStyle w:val="Heading2"/>
        <w:rPr>
          <w:lang w:val="fr-CA"/>
        </w:rPr>
      </w:pPr>
      <w:r w:rsidRPr="00643C62">
        <w:rPr>
          <w:lang w:val="fr-CA"/>
        </w:rPr>
        <w:t xml:space="preserve">Prendre note </w:t>
      </w:r>
      <w:r w:rsidR="00B53651" w:rsidRPr="00643C62">
        <w:rPr>
          <w:lang w:val="fr-CA"/>
        </w:rPr>
        <w:t>:</w:t>
      </w:r>
    </w:p>
    <w:p w14:paraId="27FE57F7" w14:textId="07F0BAD4" w:rsidR="00B53651" w:rsidRPr="00643C62" w:rsidRDefault="00FD5DBD" w:rsidP="00FD5DBD">
      <w:pPr>
        <w:pStyle w:val="Heading3"/>
        <w:rPr>
          <w:lang w:val="fr-CA"/>
        </w:rPr>
      </w:pPr>
      <w:r w:rsidRPr="00643C62">
        <w:rPr>
          <w:lang w:val="fr-CA"/>
        </w:rPr>
        <w:t>Des rapports sur les retards dans la mise en œuvre et des rapports de situation soumis par les agences bilatérales et d’exécution, présentés dans le document</w:t>
      </w:r>
      <w:r w:rsidR="00B53651" w:rsidRPr="00643C62">
        <w:rPr>
          <w:lang w:val="fr-CA"/>
        </w:rPr>
        <w:t xml:space="preserve"> UNEP/OzL.Pro/ExCom/87/9</w:t>
      </w:r>
      <w:r w:rsidR="00023070">
        <w:rPr>
          <w:lang w:val="fr-CA"/>
        </w:rPr>
        <w:t xml:space="preserve"> </w:t>
      </w:r>
      <w:r w:rsidR="00B53651" w:rsidRPr="00643C62">
        <w:rPr>
          <w:lang w:val="fr-CA"/>
        </w:rPr>
        <w:t xml:space="preserve">; </w:t>
      </w:r>
    </w:p>
    <w:p w14:paraId="63816696" w14:textId="24057B1B" w:rsidR="00B53651" w:rsidRPr="00643C62" w:rsidRDefault="00FD5DBD" w:rsidP="00B53651">
      <w:pPr>
        <w:pStyle w:val="Heading3"/>
        <w:rPr>
          <w:lang w:val="fr-CA"/>
        </w:rPr>
      </w:pPr>
      <w:r w:rsidRPr="00643C62">
        <w:rPr>
          <w:lang w:val="fr-CA"/>
        </w:rPr>
        <w:t>Que les agences b</w:t>
      </w:r>
      <w:r w:rsidR="00476DC7">
        <w:rPr>
          <w:lang w:val="fr-CA"/>
        </w:rPr>
        <w:t>ilatérales et d’exécution fero</w:t>
      </w:r>
      <w:r w:rsidRPr="00643C62">
        <w:rPr>
          <w:lang w:val="fr-CA"/>
        </w:rPr>
        <w:t>nt rapport au Comité exécutif, à sa 88</w:t>
      </w:r>
      <w:r w:rsidRPr="00643C62">
        <w:rPr>
          <w:vertAlign w:val="superscript"/>
          <w:lang w:val="fr-CA"/>
        </w:rPr>
        <w:t>e</w:t>
      </w:r>
      <w:r w:rsidRPr="00643C62">
        <w:rPr>
          <w:lang w:val="fr-CA"/>
        </w:rPr>
        <w:t xml:space="preserve"> réunion, sur 44 projets connaissant des retards dans la mise en œuvre figurant </w:t>
      </w:r>
      <w:r w:rsidR="00C05ED2">
        <w:rPr>
          <w:lang w:val="fr-CA"/>
        </w:rPr>
        <w:t>aux annexes I et II</w:t>
      </w:r>
      <w:r w:rsidRPr="00643C62">
        <w:rPr>
          <w:lang w:val="fr-CA"/>
        </w:rPr>
        <w:t xml:space="preserve"> à ce document, et sur 33 projets pour lesquels des rapports de situation supplémentaires sont recommandés, figurant à l’annexe III aux présentes, dans le cadre du rapport périodique et financier des agences bilatérales et d’exécution</w:t>
      </w:r>
      <w:r w:rsidR="002A4B14" w:rsidRPr="00643C62">
        <w:rPr>
          <w:lang w:val="fr-CA"/>
        </w:rPr>
        <w:t xml:space="preserve"> pour l’année 2020</w:t>
      </w:r>
      <w:r w:rsidR="00023070">
        <w:rPr>
          <w:lang w:val="fr-CA"/>
        </w:rPr>
        <w:t xml:space="preserve"> </w:t>
      </w:r>
      <w:r w:rsidR="002A4B14" w:rsidRPr="00643C62">
        <w:rPr>
          <w:lang w:val="fr-CA"/>
        </w:rPr>
        <w:t>;</w:t>
      </w:r>
      <w:r w:rsidRPr="00643C62">
        <w:rPr>
          <w:lang w:val="fr-CA"/>
        </w:rPr>
        <w:t xml:space="preserve"> </w:t>
      </w:r>
    </w:p>
    <w:p w14:paraId="764969BF" w14:textId="4455EA7D" w:rsidR="00B53651" w:rsidRPr="00643C62" w:rsidRDefault="002A4B14" w:rsidP="00B53651">
      <w:pPr>
        <w:pStyle w:val="Heading2"/>
        <w:rPr>
          <w:lang w:val="fr-CA"/>
        </w:rPr>
      </w:pPr>
      <w:r w:rsidRPr="00643C62">
        <w:rPr>
          <w:lang w:val="fr-CA"/>
        </w:rPr>
        <w:t>Approuver les recommandations pour les projets en cours comportant des difficultés particulières</w:t>
      </w:r>
      <w:r w:rsidR="00C05ED2">
        <w:rPr>
          <w:lang w:val="fr-CA"/>
        </w:rPr>
        <w:t>,</w:t>
      </w:r>
      <w:r w:rsidRPr="00643C62">
        <w:rPr>
          <w:lang w:val="fr-CA"/>
        </w:rPr>
        <w:t xml:space="preserve"> indiq</w:t>
      </w:r>
      <w:r w:rsidR="00C05ED2">
        <w:rPr>
          <w:lang w:val="fr-CA"/>
        </w:rPr>
        <w:t>uées dans la dernière colonne du tableau de</w:t>
      </w:r>
      <w:r w:rsidRPr="00643C62">
        <w:rPr>
          <w:lang w:val="fr-CA"/>
        </w:rPr>
        <w:t xml:space="preserve"> l’annexe II</w:t>
      </w:r>
      <w:r w:rsidR="00C05ED2">
        <w:rPr>
          <w:lang w:val="fr-CA"/>
        </w:rPr>
        <w:t>I</w:t>
      </w:r>
      <w:r w:rsidRPr="00643C62">
        <w:rPr>
          <w:lang w:val="fr-CA"/>
        </w:rPr>
        <w:t xml:space="preserve"> aux présentes</w:t>
      </w:r>
      <w:r w:rsidR="00B53651" w:rsidRPr="00643C62">
        <w:rPr>
          <w:lang w:val="fr-CA"/>
        </w:rPr>
        <w:t>.</w:t>
      </w:r>
    </w:p>
    <w:p w14:paraId="796ABBBF" w14:textId="2F119E5E" w:rsidR="008C0142" w:rsidRPr="00643C62" w:rsidRDefault="002A4B14" w:rsidP="008C0142">
      <w:pPr>
        <w:pStyle w:val="Heading1"/>
        <w:numPr>
          <w:ilvl w:val="0"/>
          <w:numId w:val="0"/>
        </w:numPr>
        <w:rPr>
          <w:b/>
          <w:lang w:val="fr-CA"/>
        </w:rPr>
      </w:pPr>
      <w:r w:rsidRPr="00643C62">
        <w:rPr>
          <w:b/>
          <w:lang w:val="fr-CA"/>
        </w:rPr>
        <w:t>RAPPORTS SUR LES PROJETS COMPORTANT DES EXIGENCES PARTICULIÈRES DE REMISE DE RAPPORT</w:t>
      </w:r>
      <w:r w:rsidR="00C05ED2">
        <w:rPr>
          <w:b/>
          <w:lang w:val="fr-CA"/>
        </w:rPr>
        <w:t>S</w:t>
      </w:r>
    </w:p>
    <w:p w14:paraId="0EB175DE" w14:textId="1F3B7601" w:rsidR="009A6BA6" w:rsidRPr="00643C62" w:rsidRDefault="002A4B14" w:rsidP="009A6BA6">
      <w:pPr>
        <w:pStyle w:val="Heading1"/>
        <w:rPr>
          <w:lang w:val="fr-CA"/>
        </w:rPr>
      </w:pPr>
      <w:r w:rsidRPr="00643C62">
        <w:rPr>
          <w:lang w:val="fr-CA"/>
        </w:rPr>
        <w:t>L</w:t>
      </w:r>
      <w:r w:rsidR="001868A7" w:rsidRPr="00643C62">
        <w:rPr>
          <w:lang w:val="fr-CA"/>
        </w:rPr>
        <w:t xml:space="preserve">e tableau 1 </w:t>
      </w:r>
      <w:r w:rsidR="00C05ED2">
        <w:rPr>
          <w:lang w:val="fr-CA"/>
        </w:rPr>
        <w:t>contient</w:t>
      </w:r>
      <w:r w:rsidR="001868A7" w:rsidRPr="00643C62">
        <w:rPr>
          <w:lang w:val="fr-CA"/>
        </w:rPr>
        <w:t xml:space="preserve"> la liste des rapports sur les projets comportant des exigences particulières de remise de rapport</w:t>
      </w:r>
      <w:r w:rsidR="00C05ED2">
        <w:rPr>
          <w:lang w:val="fr-CA"/>
        </w:rPr>
        <w:t>s</w:t>
      </w:r>
      <w:r w:rsidR="001868A7" w:rsidRPr="00643C62">
        <w:rPr>
          <w:lang w:val="fr-CA"/>
        </w:rPr>
        <w:t xml:space="preserve"> recommandés pour approbation générale</w:t>
      </w:r>
      <w:r w:rsidR="00DC6D11" w:rsidRPr="00643C62">
        <w:rPr>
          <w:lang w:val="fr-CA"/>
        </w:rPr>
        <w:t>.</w:t>
      </w:r>
    </w:p>
    <w:p w14:paraId="49037348" w14:textId="22889B43" w:rsidR="00DC6D11" w:rsidRPr="00643C62" w:rsidRDefault="00DC6D11" w:rsidP="00CE74DC">
      <w:pPr>
        <w:keepNext/>
        <w:rPr>
          <w:b/>
          <w:sz w:val="21"/>
          <w:szCs w:val="21"/>
          <w:lang w:val="fr-CA"/>
        </w:rPr>
      </w:pPr>
      <w:r w:rsidRPr="00643C62">
        <w:rPr>
          <w:b/>
          <w:sz w:val="21"/>
          <w:szCs w:val="21"/>
          <w:lang w:val="fr-CA"/>
        </w:rPr>
        <w:t>Table</w:t>
      </w:r>
      <w:r w:rsidR="001868A7" w:rsidRPr="00643C62">
        <w:rPr>
          <w:b/>
          <w:sz w:val="21"/>
          <w:szCs w:val="21"/>
          <w:lang w:val="fr-CA"/>
        </w:rPr>
        <w:t>au</w:t>
      </w:r>
      <w:r w:rsidRPr="00643C62">
        <w:rPr>
          <w:b/>
          <w:sz w:val="21"/>
          <w:szCs w:val="21"/>
          <w:lang w:val="fr-CA"/>
        </w:rPr>
        <w:t xml:space="preserve"> 1</w:t>
      </w:r>
      <w:r w:rsidR="00023070">
        <w:rPr>
          <w:b/>
          <w:sz w:val="21"/>
          <w:szCs w:val="21"/>
          <w:lang w:val="fr-CA"/>
        </w:rPr>
        <w:t>.</w:t>
      </w:r>
      <w:r w:rsidRPr="00643C62">
        <w:rPr>
          <w:b/>
          <w:sz w:val="21"/>
          <w:szCs w:val="21"/>
          <w:lang w:val="fr-CA"/>
        </w:rPr>
        <w:t xml:space="preserve"> </w:t>
      </w:r>
      <w:r w:rsidR="001868A7" w:rsidRPr="00643C62">
        <w:rPr>
          <w:b/>
          <w:sz w:val="20"/>
          <w:lang w:val="fr-CA"/>
        </w:rPr>
        <w:t>Rapports sur les projets comportant des exigences particulières de remise de rapport</w:t>
      </w:r>
      <w:r w:rsidR="00C05ED2">
        <w:rPr>
          <w:b/>
          <w:sz w:val="20"/>
          <w:lang w:val="fr-CA"/>
        </w:rPr>
        <w:t>s</w:t>
      </w:r>
      <w:r w:rsidR="001868A7" w:rsidRPr="00643C62">
        <w:rPr>
          <w:b/>
          <w:sz w:val="20"/>
          <w:lang w:val="fr-CA"/>
        </w:rPr>
        <w:t xml:space="preserve"> recommandés pour approbation générale</w:t>
      </w:r>
    </w:p>
    <w:tbl>
      <w:tblPr>
        <w:tblStyle w:val="TableGrid"/>
        <w:tblW w:w="5048" w:type="pct"/>
        <w:tblLook w:val="04A0" w:firstRow="1" w:lastRow="0" w:firstColumn="1" w:lastColumn="0" w:noHBand="0" w:noVBand="1"/>
      </w:tblPr>
      <w:tblGrid>
        <w:gridCol w:w="1435"/>
        <w:gridCol w:w="6661"/>
        <w:gridCol w:w="1344"/>
      </w:tblGrid>
      <w:tr w:rsidR="008769EC" w:rsidRPr="00023070" w14:paraId="50E4730A" w14:textId="77777777" w:rsidTr="004C62BE">
        <w:trPr>
          <w:tblHeader/>
        </w:trPr>
        <w:tc>
          <w:tcPr>
            <w:tcW w:w="760" w:type="pct"/>
          </w:tcPr>
          <w:p w14:paraId="246A5C63" w14:textId="5EBED952" w:rsidR="008769EC" w:rsidRPr="00643C62" w:rsidRDefault="001868A7" w:rsidP="00CE74DC">
            <w:pPr>
              <w:keepNext/>
              <w:rPr>
                <w:b/>
                <w:sz w:val="20"/>
                <w:szCs w:val="20"/>
                <w:lang w:val="fr-CA"/>
              </w:rPr>
            </w:pPr>
            <w:r w:rsidRPr="00643C62">
              <w:rPr>
                <w:b/>
                <w:sz w:val="20"/>
                <w:szCs w:val="20"/>
                <w:lang w:val="fr-CA"/>
              </w:rPr>
              <w:t>Pays</w:t>
            </w:r>
          </w:p>
        </w:tc>
        <w:tc>
          <w:tcPr>
            <w:tcW w:w="3528" w:type="pct"/>
          </w:tcPr>
          <w:p w14:paraId="1F670388" w14:textId="27FD7C27" w:rsidR="008769EC" w:rsidRPr="00643C62" w:rsidRDefault="001868A7" w:rsidP="00CE74DC">
            <w:pPr>
              <w:keepNext/>
              <w:rPr>
                <w:b/>
                <w:sz w:val="20"/>
                <w:szCs w:val="20"/>
                <w:lang w:val="fr-CA"/>
              </w:rPr>
            </w:pPr>
            <w:r w:rsidRPr="00643C62">
              <w:rPr>
                <w:b/>
                <w:sz w:val="20"/>
                <w:szCs w:val="20"/>
                <w:lang w:val="fr-CA"/>
              </w:rPr>
              <w:t>Titre du projet</w:t>
            </w:r>
          </w:p>
        </w:tc>
        <w:tc>
          <w:tcPr>
            <w:tcW w:w="712" w:type="pct"/>
          </w:tcPr>
          <w:p w14:paraId="4DFF2969" w14:textId="27A5D4B2" w:rsidR="008769EC" w:rsidRPr="00643C62" w:rsidRDefault="001868A7" w:rsidP="00CE74DC">
            <w:pPr>
              <w:keepNext/>
              <w:rPr>
                <w:b/>
                <w:sz w:val="20"/>
                <w:szCs w:val="20"/>
                <w:lang w:val="fr-CA"/>
              </w:rPr>
            </w:pPr>
            <w:r w:rsidRPr="00643C62">
              <w:rPr>
                <w:b/>
                <w:sz w:val="20"/>
                <w:szCs w:val="20"/>
                <w:lang w:val="fr-CA"/>
              </w:rPr>
              <w:t>Paragraphes</w:t>
            </w:r>
          </w:p>
        </w:tc>
      </w:tr>
      <w:tr w:rsidR="001056DB" w:rsidRPr="0049199D" w14:paraId="0CE15054" w14:textId="77777777" w:rsidTr="004C62BE">
        <w:tc>
          <w:tcPr>
            <w:tcW w:w="5000" w:type="pct"/>
            <w:gridSpan w:val="3"/>
          </w:tcPr>
          <w:p w14:paraId="671E34ED" w14:textId="7CF7751F" w:rsidR="001056DB" w:rsidRPr="00643C62" w:rsidRDefault="001868A7" w:rsidP="001056DB">
            <w:pPr>
              <w:rPr>
                <w:b/>
                <w:sz w:val="20"/>
                <w:szCs w:val="20"/>
                <w:lang w:val="fr-CA"/>
              </w:rPr>
            </w:pPr>
            <w:r w:rsidRPr="00643C62">
              <w:rPr>
                <w:b/>
                <w:sz w:val="20"/>
                <w:szCs w:val="20"/>
                <w:lang w:val="fr-CA"/>
              </w:rPr>
              <w:t>Rapport en lien avec les plans de gestion de l'élimination des HCFC (PGEH)</w:t>
            </w:r>
          </w:p>
        </w:tc>
      </w:tr>
      <w:tr w:rsidR="005D0062" w:rsidRPr="00643C62" w14:paraId="74643A7B" w14:textId="77777777" w:rsidTr="00DC2D4E">
        <w:tc>
          <w:tcPr>
            <w:tcW w:w="760" w:type="pct"/>
            <w:shd w:val="clear" w:color="auto" w:fill="auto"/>
          </w:tcPr>
          <w:p w14:paraId="3AD34D08" w14:textId="77777777" w:rsidR="005D0062" w:rsidRPr="00643C62" w:rsidRDefault="005D0062" w:rsidP="005D0062">
            <w:pPr>
              <w:rPr>
                <w:sz w:val="20"/>
                <w:szCs w:val="20"/>
                <w:lang w:val="fr-CA"/>
              </w:rPr>
            </w:pPr>
            <w:r w:rsidRPr="00643C62">
              <w:rPr>
                <w:sz w:val="20"/>
                <w:szCs w:val="20"/>
                <w:lang w:val="fr-CA"/>
              </w:rPr>
              <w:t>Afghanistan</w:t>
            </w:r>
          </w:p>
        </w:tc>
        <w:tc>
          <w:tcPr>
            <w:tcW w:w="3528" w:type="pct"/>
          </w:tcPr>
          <w:p w14:paraId="573EED51" w14:textId="6C7D5817" w:rsidR="005D0062" w:rsidRPr="00643C62" w:rsidRDefault="001868A7" w:rsidP="006C02EB">
            <w:pPr>
              <w:rPr>
                <w:sz w:val="20"/>
                <w:szCs w:val="20"/>
                <w:lang w:val="fr-CA"/>
              </w:rPr>
            </w:pPr>
            <w:r w:rsidRPr="00643C62">
              <w:rPr>
                <w:sz w:val="20"/>
                <w:szCs w:val="20"/>
                <w:lang w:val="fr-CA"/>
              </w:rPr>
              <w:t xml:space="preserve">PGEH (phase I) : Demande de </w:t>
            </w:r>
            <w:r w:rsidR="006C02EB" w:rsidRPr="00643C62">
              <w:rPr>
                <w:sz w:val="20"/>
                <w:szCs w:val="20"/>
                <w:lang w:val="fr-CA"/>
              </w:rPr>
              <w:t>prorogation</w:t>
            </w:r>
            <w:r w:rsidRPr="00643C62">
              <w:rPr>
                <w:sz w:val="20"/>
                <w:szCs w:val="20"/>
                <w:lang w:val="fr-CA"/>
              </w:rPr>
              <w:t xml:space="preserve"> de la date d’achèvement</w:t>
            </w:r>
          </w:p>
        </w:tc>
        <w:tc>
          <w:tcPr>
            <w:tcW w:w="712" w:type="pct"/>
            <w:vAlign w:val="center"/>
          </w:tcPr>
          <w:p w14:paraId="24232C39" w14:textId="77777777" w:rsidR="005D0062" w:rsidRPr="00643C62" w:rsidRDefault="00C17492" w:rsidP="005D0062">
            <w:pPr>
              <w:jc w:val="center"/>
              <w:rPr>
                <w:sz w:val="20"/>
                <w:szCs w:val="20"/>
                <w:lang w:val="fr-CA"/>
              </w:rPr>
            </w:pPr>
            <w:r w:rsidRPr="00643C62">
              <w:rPr>
                <w:sz w:val="20"/>
                <w:szCs w:val="20"/>
                <w:lang w:val="fr-CA"/>
              </w:rPr>
              <w:t>11</w:t>
            </w:r>
            <w:r w:rsidR="005D0062" w:rsidRPr="00643C62">
              <w:rPr>
                <w:sz w:val="20"/>
                <w:szCs w:val="20"/>
                <w:lang w:val="fr-CA"/>
              </w:rPr>
              <w:t>-2</w:t>
            </w:r>
            <w:r w:rsidRPr="00643C62">
              <w:rPr>
                <w:sz w:val="20"/>
                <w:szCs w:val="20"/>
                <w:lang w:val="fr-CA"/>
              </w:rPr>
              <w:t>5</w:t>
            </w:r>
          </w:p>
        </w:tc>
      </w:tr>
      <w:tr w:rsidR="005D0062" w:rsidRPr="00643C62" w14:paraId="3600E954" w14:textId="77777777" w:rsidTr="00DC2D4E">
        <w:tc>
          <w:tcPr>
            <w:tcW w:w="760" w:type="pct"/>
            <w:shd w:val="clear" w:color="auto" w:fill="auto"/>
          </w:tcPr>
          <w:p w14:paraId="44246E3B" w14:textId="40E82A3B" w:rsidR="005D0062" w:rsidRPr="00643C62" w:rsidRDefault="005D0062" w:rsidP="005D0062">
            <w:pPr>
              <w:rPr>
                <w:sz w:val="20"/>
                <w:szCs w:val="20"/>
                <w:lang w:val="fr-CA"/>
              </w:rPr>
            </w:pPr>
            <w:r w:rsidRPr="00643C62">
              <w:rPr>
                <w:sz w:val="20"/>
                <w:szCs w:val="20"/>
                <w:lang w:val="fr-CA"/>
              </w:rPr>
              <w:t>Argentin</w:t>
            </w:r>
            <w:r w:rsidR="001868A7" w:rsidRPr="00643C62">
              <w:rPr>
                <w:sz w:val="20"/>
                <w:szCs w:val="20"/>
                <w:lang w:val="fr-CA"/>
              </w:rPr>
              <w:t>e</w:t>
            </w:r>
          </w:p>
        </w:tc>
        <w:tc>
          <w:tcPr>
            <w:tcW w:w="3528" w:type="pct"/>
          </w:tcPr>
          <w:p w14:paraId="44A5967D" w14:textId="6495BE37" w:rsidR="005D0062" w:rsidRPr="00643C62" w:rsidRDefault="001868A7" w:rsidP="005D0062">
            <w:pPr>
              <w:rPr>
                <w:sz w:val="20"/>
                <w:szCs w:val="20"/>
                <w:lang w:val="fr-CA"/>
              </w:rPr>
            </w:pPr>
            <w:r w:rsidRPr="00643C62">
              <w:rPr>
                <w:sz w:val="20"/>
                <w:szCs w:val="20"/>
                <w:lang w:val="fr-CA"/>
              </w:rPr>
              <w:t xml:space="preserve">PGEH (phase II) : Mise à jour sur la viabilité financière de l’entreprise </w:t>
            </w:r>
            <w:proofErr w:type="spellStart"/>
            <w:r w:rsidRPr="00643C62">
              <w:rPr>
                <w:sz w:val="20"/>
                <w:szCs w:val="20"/>
                <w:lang w:val="fr-CA"/>
              </w:rPr>
              <w:t>Celpack</w:t>
            </w:r>
            <w:proofErr w:type="spellEnd"/>
          </w:p>
        </w:tc>
        <w:tc>
          <w:tcPr>
            <w:tcW w:w="712" w:type="pct"/>
            <w:vAlign w:val="center"/>
          </w:tcPr>
          <w:p w14:paraId="1F8B1713" w14:textId="77777777" w:rsidR="005D0062" w:rsidRPr="00643C62" w:rsidRDefault="00C17492" w:rsidP="005D0062">
            <w:pPr>
              <w:jc w:val="center"/>
              <w:rPr>
                <w:sz w:val="20"/>
                <w:szCs w:val="20"/>
                <w:lang w:val="fr-CA"/>
              </w:rPr>
            </w:pPr>
            <w:r w:rsidRPr="00643C62">
              <w:rPr>
                <w:sz w:val="20"/>
                <w:szCs w:val="20"/>
                <w:lang w:val="fr-CA"/>
              </w:rPr>
              <w:t>26</w:t>
            </w:r>
            <w:r w:rsidR="005D0062" w:rsidRPr="00643C62">
              <w:rPr>
                <w:sz w:val="20"/>
                <w:szCs w:val="20"/>
                <w:lang w:val="fr-CA"/>
              </w:rPr>
              <w:t>-3</w:t>
            </w:r>
            <w:r w:rsidRPr="00643C62">
              <w:rPr>
                <w:sz w:val="20"/>
                <w:szCs w:val="20"/>
                <w:lang w:val="fr-CA"/>
              </w:rPr>
              <w:t>1</w:t>
            </w:r>
          </w:p>
        </w:tc>
      </w:tr>
      <w:tr w:rsidR="005D0062" w:rsidRPr="00643C62" w14:paraId="751F1B7B" w14:textId="77777777" w:rsidTr="00DC2D4E">
        <w:tc>
          <w:tcPr>
            <w:tcW w:w="760" w:type="pct"/>
            <w:shd w:val="clear" w:color="auto" w:fill="auto"/>
            <w:vAlign w:val="center"/>
          </w:tcPr>
          <w:p w14:paraId="5C04028C" w14:textId="77777777" w:rsidR="005D0062" w:rsidRPr="00643C62" w:rsidRDefault="005D0062" w:rsidP="005D0062">
            <w:pPr>
              <w:rPr>
                <w:sz w:val="20"/>
                <w:szCs w:val="20"/>
                <w:lang w:val="fr-CA"/>
              </w:rPr>
            </w:pPr>
            <w:r w:rsidRPr="00643C62">
              <w:rPr>
                <w:sz w:val="20"/>
                <w:szCs w:val="20"/>
                <w:lang w:val="fr-CA"/>
              </w:rPr>
              <w:t>Brunei Darussalam</w:t>
            </w:r>
          </w:p>
        </w:tc>
        <w:tc>
          <w:tcPr>
            <w:tcW w:w="3528" w:type="pct"/>
          </w:tcPr>
          <w:p w14:paraId="20E29632" w14:textId="3F3EFABB" w:rsidR="005D0062" w:rsidRPr="00643C62" w:rsidRDefault="001868A7" w:rsidP="005D0062">
            <w:pPr>
              <w:rPr>
                <w:sz w:val="20"/>
                <w:szCs w:val="20"/>
                <w:lang w:val="fr-CA"/>
              </w:rPr>
            </w:pPr>
            <w:r w:rsidRPr="00643C62">
              <w:rPr>
                <w:sz w:val="20"/>
                <w:szCs w:val="20"/>
                <w:lang w:val="fr-CA"/>
              </w:rPr>
              <w:t xml:space="preserve">PGEH (phase I) : Demande de </w:t>
            </w:r>
            <w:r w:rsidR="006C02EB" w:rsidRPr="00643C62">
              <w:rPr>
                <w:sz w:val="20"/>
                <w:szCs w:val="20"/>
                <w:lang w:val="fr-CA"/>
              </w:rPr>
              <w:t>prorogation</w:t>
            </w:r>
            <w:r w:rsidRPr="00643C62">
              <w:rPr>
                <w:sz w:val="20"/>
                <w:szCs w:val="20"/>
                <w:lang w:val="fr-CA"/>
              </w:rPr>
              <w:t xml:space="preserve"> de la date d’achèvement</w:t>
            </w:r>
          </w:p>
        </w:tc>
        <w:tc>
          <w:tcPr>
            <w:tcW w:w="712" w:type="pct"/>
            <w:vAlign w:val="center"/>
          </w:tcPr>
          <w:p w14:paraId="2FA8ADC5" w14:textId="77777777" w:rsidR="005D0062" w:rsidRPr="00643C62" w:rsidRDefault="00C17492" w:rsidP="005D0062">
            <w:pPr>
              <w:jc w:val="center"/>
              <w:rPr>
                <w:sz w:val="20"/>
                <w:szCs w:val="20"/>
                <w:lang w:val="fr-CA"/>
              </w:rPr>
            </w:pPr>
            <w:r w:rsidRPr="00643C62">
              <w:rPr>
                <w:sz w:val="20"/>
                <w:szCs w:val="20"/>
                <w:lang w:val="fr-CA"/>
              </w:rPr>
              <w:t>32</w:t>
            </w:r>
            <w:r w:rsidR="005D0062" w:rsidRPr="00643C62">
              <w:rPr>
                <w:sz w:val="20"/>
                <w:szCs w:val="20"/>
                <w:lang w:val="fr-CA"/>
              </w:rPr>
              <w:t>-4</w:t>
            </w:r>
            <w:r w:rsidRPr="00643C62">
              <w:rPr>
                <w:sz w:val="20"/>
                <w:szCs w:val="20"/>
                <w:lang w:val="fr-CA"/>
              </w:rPr>
              <w:t>1</w:t>
            </w:r>
          </w:p>
        </w:tc>
      </w:tr>
      <w:tr w:rsidR="005D0062" w:rsidRPr="00643C62" w14:paraId="50FE772C" w14:textId="77777777" w:rsidTr="00DC2D4E">
        <w:tc>
          <w:tcPr>
            <w:tcW w:w="760" w:type="pct"/>
            <w:shd w:val="clear" w:color="auto" w:fill="auto"/>
          </w:tcPr>
          <w:p w14:paraId="456E315F" w14:textId="773859A1" w:rsidR="005D0062" w:rsidRPr="00643C62" w:rsidRDefault="005D0062" w:rsidP="005D0062">
            <w:pPr>
              <w:rPr>
                <w:sz w:val="20"/>
                <w:szCs w:val="20"/>
                <w:lang w:val="fr-CA"/>
              </w:rPr>
            </w:pPr>
            <w:r w:rsidRPr="00643C62">
              <w:rPr>
                <w:sz w:val="20"/>
                <w:szCs w:val="20"/>
                <w:lang w:val="fr-CA"/>
              </w:rPr>
              <w:t>Chil</w:t>
            </w:r>
            <w:r w:rsidR="00796F55" w:rsidRPr="00643C62">
              <w:rPr>
                <w:sz w:val="20"/>
                <w:szCs w:val="20"/>
                <w:lang w:val="fr-CA"/>
              </w:rPr>
              <w:t>i</w:t>
            </w:r>
          </w:p>
        </w:tc>
        <w:tc>
          <w:tcPr>
            <w:tcW w:w="3528" w:type="pct"/>
          </w:tcPr>
          <w:p w14:paraId="2F68F4BC" w14:textId="0F050716" w:rsidR="005D0062" w:rsidRPr="00643C62" w:rsidRDefault="00796F55" w:rsidP="005D0062">
            <w:pPr>
              <w:rPr>
                <w:sz w:val="20"/>
                <w:szCs w:val="20"/>
                <w:lang w:val="fr-CA"/>
              </w:rPr>
            </w:pPr>
            <w:r w:rsidRPr="00643C62">
              <w:rPr>
                <w:sz w:val="20"/>
                <w:szCs w:val="20"/>
                <w:lang w:val="fr-CA"/>
              </w:rPr>
              <w:t>PGEH (phase II) : Rapport périodique : programme de travail de la dernière tranche et rapport de vérification</w:t>
            </w:r>
          </w:p>
        </w:tc>
        <w:tc>
          <w:tcPr>
            <w:tcW w:w="712" w:type="pct"/>
            <w:vAlign w:val="center"/>
          </w:tcPr>
          <w:p w14:paraId="6881A75D" w14:textId="77777777" w:rsidR="005D0062" w:rsidRPr="00643C62" w:rsidRDefault="00C17492" w:rsidP="005D0062">
            <w:pPr>
              <w:jc w:val="center"/>
              <w:rPr>
                <w:sz w:val="20"/>
                <w:szCs w:val="20"/>
                <w:lang w:val="fr-CA"/>
              </w:rPr>
            </w:pPr>
            <w:r w:rsidRPr="00643C62">
              <w:rPr>
                <w:sz w:val="20"/>
                <w:szCs w:val="20"/>
                <w:lang w:val="fr-CA"/>
              </w:rPr>
              <w:t>42</w:t>
            </w:r>
            <w:r w:rsidR="005D0062" w:rsidRPr="00643C62">
              <w:rPr>
                <w:sz w:val="20"/>
                <w:szCs w:val="20"/>
                <w:lang w:val="fr-CA"/>
              </w:rPr>
              <w:t>-5</w:t>
            </w:r>
            <w:r w:rsidRPr="00643C62">
              <w:rPr>
                <w:sz w:val="20"/>
                <w:szCs w:val="20"/>
                <w:lang w:val="fr-CA"/>
              </w:rPr>
              <w:t>5</w:t>
            </w:r>
          </w:p>
        </w:tc>
      </w:tr>
      <w:tr w:rsidR="005D0062" w:rsidRPr="00643C62" w14:paraId="665A7FDE" w14:textId="77777777" w:rsidTr="00DC2D4E">
        <w:tc>
          <w:tcPr>
            <w:tcW w:w="760" w:type="pct"/>
            <w:shd w:val="clear" w:color="auto" w:fill="auto"/>
            <w:vAlign w:val="center"/>
          </w:tcPr>
          <w:p w14:paraId="4D2EAB66" w14:textId="77777777" w:rsidR="005D0062" w:rsidRPr="00643C62" w:rsidRDefault="005D0062" w:rsidP="005D0062">
            <w:pPr>
              <w:rPr>
                <w:sz w:val="20"/>
                <w:szCs w:val="20"/>
                <w:lang w:val="fr-CA"/>
              </w:rPr>
            </w:pPr>
            <w:r w:rsidRPr="00643C62">
              <w:rPr>
                <w:sz w:val="20"/>
                <w:szCs w:val="20"/>
                <w:lang w:val="fr-CA"/>
              </w:rPr>
              <w:t>Côte d’Ivoire</w:t>
            </w:r>
          </w:p>
        </w:tc>
        <w:tc>
          <w:tcPr>
            <w:tcW w:w="3528" w:type="pct"/>
          </w:tcPr>
          <w:p w14:paraId="12724EC9" w14:textId="1B7E8EC6" w:rsidR="005D0062" w:rsidRPr="00643C62" w:rsidRDefault="00796F55" w:rsidP="005D0062">
            <w:pPr>
              <w:rPr>
                <w:sz w:val="20"/>
                <w:szCs w:val="20"/>
                <w:lang w:val="fr-CA"/>
              </w:rPr>
            </w:pPr>
            <w:r w:rsidRPr="00643C62">
              <w:rPr>
                <w:sz w:val="20"/>
                <w:szCs w:val="20"/>
                <w:lang w:val="fr-CA"/>
              </w:rPr>
              <w:t>PGEH (phase I) : Mise à jour sur l’adoption du décret interministériel sur la réglementation de l’importation, l’exportation, le transport, la réexportation et le commerce des SAO (décision 86/23 b)</w:t>
            </w:r>
          </w:p>
        </w:tc>
        <w:tc>
          <w:tcPr>
            <w:tcW w:w="712" w:type="pct"/>
            <w:vAlign w:val="center"/>
          </w:tcPr>
          <w:p w14:paraId="4645299E" w14:textId="77777777" w:rsidR="005D0062" w:rsidRPr="00643C62" w:rsidRDefault="00C17492" w:rsidP="005D0062">
            <w:pPr>
              <w:jc w:val="center"/>
              <w:rPr>
                <w:sz w:val="20"/>
                <w:szCs w:val="20"/>
                <w:lang w:val="fr-CA"/>
              </w:rPr>
            </w:pPr>
            <w:r w:rsidRPr="00643C62">
              <w:rPr>
                <w:sz w:val="20"/>
                <w:szCs w:val="20"/>
                <w:lang w:val="fr-CA"/>
              </w:rPr>
              <w:t>56</w:t>
            </w:r>
            <w:r w:rsidR="005D0062" w:rsidRPr="00643C62">
              <w:rPr>
                <w:sz w:val="20"/>
                <w:szCs w:val="20"/>
                <w:lang w:val="fr-CA"/>
              </w:rPr>
              <w:t>-6</w:t>
            </w:r>
            <w:r w:rsidRPr="00643C62">
              <w:rPr>
                <w:sz w:val="20"/>
                <w:szCs w:val="20"/>
                <w:lang w:val="fr-CA"/>
              </w:rPr>
              <w:t>3</w:t>
            </w:r>
          </w:p>
        </w:tc>
      </w:tr>
      <w:tr w:rsidR="005D0062" w:rsidRPr="00643C62" w14:paraId="386FA22D" w14:textId="77777777" w:rsidTr="00DC2D4E">
        <w:tc>
          <w:tcPr>
            <w:tcW w:w="760" w:type="pct"/>
            <w:shd w:val="clear" w:color="auto" w:fill="auto"/>
            <w:vAlign w:val="center"/>
          </w:tcPr>
          <w:p w14:paraId="38E84FF3" w14:textId="384F9AB4" w:rsidR="005D0062" w:rsidRPr="00643C62" w:rsidRDefault="00796F55" w:rsidP="005D0062">
            <w:pPr>
              <w:rPr>
                <w:sz w:val="20"/>
                <w:szCs w:val="20"/>
                <w:lang w:val="fr-CA"/>
              </w:rPr>
            </w:pPr>
            <w:r w:rsidRPr="00643C62">
              <w:rPr>
                <w:sz w:val="20"/>
                <w:szCs w:val="20"/>
                <w:lang w:val="fr-CA"/>
              </w:rPr>
              <w:t>Équateur</w:t>
            </w:r>
          </w:p>
        </w:tc>
        <w:tc>
          <w:tcPr>
            <w:tcW w:w="3528" w:type="pct"/>
          </w:tcPr>
          <w:p w14:paraId="434FF11F" w14:textId="0F38943F" w:rsidR="005D0062" w:rsidRPr="00643C62" w:rsidRDefault="00796F55" w:rsidP="00DA4715">
            <w:pPr>
              <w:rPr>
                <w:sz w:val="20"/>
                <w:szCs w:val="20"/>
                <w:lang w:val="fr-CA"/>
              </w:rPr>
            </w:pPr>
            <w:r w:rsidRPr="00643C62">
              <w:rPr>
                <w:sz w:val="20"/>
                <w:szCs w:val="20"/>
                <w:lang w:val="fr-CA"/>
              </w:rPr>
              <w:t xml:space="preserve">PGEH (phase I) : </w:t>
            </w:r>
            <w:r w:rsidR="00DA4715">
              <w:rPr>
                <w:sz w:val="20"/>
                <w:szCs w:val="20"/>
                <w:lang w:val="fr-CA"/>
              </w:rPr>
              <w:t>Report</w:t>
            </w:r>
            <w:r w:rsidRPr="00643C62">
              <w:rPr>
                <w:sz w:val="20"/>
                <w:szCs w:val="20"/>
                <w:lang w:val="fr-CA"/>
              </w:rPr>
              <w:t xml:space="preserve"> de l’interdiction d’importer le HCFC-141b contenu dans les polyols </w:t>
            </w:r>
            <w:proofErr w:type="spellStart"/>
            <w:r w:rsidRPr="00643C62">
              <w:rPr>
                <w:sz w:val="20"/>
                <w:szCs w:val="20"/>
                <w:lang w:val="fr-CA"/>
              </w:rPr>
              <w:t>prémélangés</w:t>
            </w:r>
            <w:proofErr w:type="spellEnd"/>
          </w:p>
        </w:tc>
        <w:tc>
          <w:tcPr>
            <w:tcW w:w="712" w:type="pct"/>
            <w:vAlign w:val="center"/>
          </w:tcPr>
          <w:p w14:paraId="6CE215EA" w14:textId="77777777" w:rsidR="005D0062" w:rsidRPr="00643C62" w:rsidRDefault="00C17492" w:rsidP="005D0062">
            <w:pPr>
              <w:jc w:val="center"/>
              <w:rPr>
                <w:sz w:val="20"/>
                <w:szCs w:val="20"/>
                <w:lang w:val="fr-CA"/>
              </w:rPr>
            </w:pPr>
            <w:r w:rsidRPr="00643C62">
              <w:rPr>
                <w:sz w:val="20"/>
                <w:szCs w:val="20"/>
                <w:lang w:val="fr-CA"/>
              </w:rPr>
              <w:t>64-70</w:t>
            </w:r>
          </w:p>
        </w:tc>
      </w:tr>
      <w:tr w:rsidR="005E54FF" w:rsidRPr="00643C62" w14:paraId="0ED0CE1A" w14:textId="77777777" w:rsidTr="00DC2D4E">
        <w:tc>
          <w:tcPr>
            <w:tcW w:w="760" w:type="pct"/>
            <w:shd w:val="clear" w:color="auto" w:fill="auto"/>
            <w:vAlign w:val="center"/>
          </w:tcPr>
          <w:p w14:paraId="2DAD6F0B" w14:textId="77777777" w:rsidR="005E54FF" w:rsidRPr="00643C62" w:rsidRDefault="005E54FF" w:rsidP="005E54FF">
            <w:pPr>
              <w:rPr>
                <w:sz w:val="20"/>
                <w:szCs w:val="20"/>
                <w:lang w:val="fr-CA"/>
              </w:rPr>
            </w:pPr>
            <w:r w:rsidRPr="00643C62">
              <w:rPr>
                <w:sz w:val="20"/>
                <w:szCs w:val="20"/>
                <w:lang w:val="fr-CA"/>
              </w:rPr>
              <w:t>Eswatini</w:t>
            </w:r>
          </w:p>
        </w:tc>
        <w:tc>
          <w:tcPr>
            <w:tcW w:w="3528" w:type="pct"/>
          </w:tcPr>
          <w:p w14:paraId="7189B28A" w14:textId="27DD7412" w:rsidR="005E54FF" w:rsidRPr="00643C62" w:rsidRDefault="00E73725" w:rsidP="005E54FF">
            <w:pPr>
              <w:rPr>
                <w:sz w:val="20"/>
                <w:szCs w:val="20"/>
                <w:lang w:val="fr-CA"/>
              </w:rPr>
            </w:pPr>
            <w:r w:rsidRPr="00643C62">
              <w:rPr>
                <w:sz w:val="20"/>
                <w:szCs w:val="20"/>
                <w:lang w:val="fr-CA"/>
              </w:rPr>
              <w:t>PGEH (phase I) : Rapport périodique : programme de travail de la dernière tranche</w:t>
            </w:r>
          </w:p>
        </w:tc>
        <w:tc>
          <w:tcPr>
            <w:tcW w:w="712" w:type="pct"/>
            <w:vAlign w:val="center"/>
          </w:tcPr>
          <w:p w14:paraId="4A934527" w14:textId="77777777" w:rsidR="005E54FF" w:rsidRPr="00643C62" w:rsidRDefault="00C17492" w:rsidP="00C17492">
            <w:pPr>
              <w:jc w:val="center"/>
              <w:rPr>
                <w:sz w:val="20"/>
                <w:szCs w:val="20"/>
                <w:lang w:val="fr-CA"/>
              </w:rPr>
            </w:pPr>
            <w:r w:rsidRPr="00643C62">
              <w:rPr>
                <w:sz w:val="20"/>
                <w:szCs w:val="20"/>
                <w:lang w:val="fr-CA"/>
              </w:rPr>
              <w:t>71-80</w:t>
            </w:r>
          </w:p>
        </w:tc>
      </w:tr>
      <w:tr w:rsidR="005E54FF" w:rsidRPr="00643C62" w14:paraId="1D78B3D1" w14:textId="77777777" w:rsidTr="00DC2D4E">
        <w:tc>
          <w:tcPr>
            <w:tcW w:w="760" w:type="pct"/>
            <w:shd w:val="clear" w:color="auto" w:fill="auto"/>
            <w:vAlign w:val="center"/>
          </w:tcPr>
          <w:p w14:paraId="7B7F6241" w14:textId="0CD810B9" w:rsidR="005E54FF" w:rsidRPr="00643C62" w:rsidRDefault="008E48D1" w:rsidP="005E54FF">
            <w:pPr>
              <w:rPr>
                <w:sz w:val="20"/>
                <w:szCs w:val="20"/>
                <w:lang w:val="fr-CA"/>
              </w:rPr>
            </w:pPr>
            <w:r w:rsidRPr="00643C62">
              <w:rPr>
                <w:sz w:val="20"/>
                <w:szCs w:val="20"/>
                <w:lang w:val="fr-CA"/>
              </w:rPr>
              <w:t>Éthiopie</w:t>
            </w:r>
          </w:p>
        </w:tc>
        <w:tc>
          <w:tcPr>
            <w:tcW w:w="3528" w:type="pct"/>
          </w:tcPr>
          <w:p w14:paraId="60E95B43" w14:textId="5935210F" w:rsidR="005E54FF" w:rsidRPr="00643C62" w:rsidRDefault="008E48D1" w:rsidP="005E54FF">
            <w:pPr>
              <w:rPr>
                <w:sz w:val="20"/>
                <w:szCs w:val="20"/>
                <w:lang w:val="fr-CA"/>
              </w:rPr>
            </w:pPr>
            <w:r w:rsidRPr="00643C62">
              <w:rPr>
                <w:sz w:val="20"/>
                <w:szCs w:val="20"/>
                <w:lang w:val="fr-CA"/>
              </w:rPr>
              <w:t>PGEH (phase I) : Rapport périodique : programme de travail de la dernière tranche</w:t>
            </w:r>
          </w:p>
        </w:tc>
        <w:tc>
          <w:tcPr>
            <w:tcW w:w="712" w:type="pct"/>
            <w:vAlign w:val="center"/>
          </w:tcPr>
          <w:p w14:paraId="735EF8B9" w14:textId="77777777" w:rsidR="005E54FF" w:rsidRPr="00643C62" w:rsidRDefault="00C17492" w:rsidP="005E54FF">
            <w:pPr>
              <w:jc w:val="center"/>
              <w:rPr>
                <w:sz w:val="20"/>
                <w:szCs w:val="20"/>
                <w:lang w:val="fr-CA"/>
              </w:rPr>
            </w:pPr>
            <w:r w:rsidRPr="00643C62">
              <w:rPr>
                <w:sz w:val="20"/>
                <w:szCs w:val="20"/>
                <w:lang w:val="fr-CA"/>
              </w:rPr>
              <w:t>81-90</w:t>
            </w:r>
          </w:p>
        </w:tc>
      </w:tr>
      <w:tr w:rsidR="005D0062" w:rsidRPr="00643C62" w14:paraId="4BAC35AB" w14:textId="77777777" w:rsidTr="00DC2D4E">
        <w:tc>
          <w:tcPr>
            <w:tcW w:w="760" w:type="pct"/>
            <w:shd w:val="clear" w:color="auto" w:fill="auto"/>
          </w:tcPr>
          <w:p w14:paraId="3A970DE7" w14:textId="04852604" w:rsidR="005D0062" w:rsidRPr="00643C62" w:rsidRDefault="008E48D1" w:rsidP="005D0062">
            <w:pPr>
              <w:rPr>
                <w:sz w:val="20"/>
                <w:szCs w:val="20"/>
                <w:lang w:val="fr-CA"/>
              </w:rPr>
            </w:pPr>
            <w:r w:rsidRPr="00643C62">
              <w:rPr>
                <w:sz w:val="20"/>
                <w:szCs w:val="20"/>
                <w:lang w:val="fr-CA"/>
              </w:rPr>
              <w:t>Jamaïque</w:t>
            </w:r>
          </w:p>
        </w:tc>
        <w:tc>
          <w:tcPr>
            <w:tcW w:w="3528" w:type="pct"/>
          </w:tcPr>
          <w:p w14:paraId="4FFD1A81" w14:textId="33FF596B" w:rsidR="005D0062" w:rsidRPr="00643C62" w:rsidRDefault="008E48D1" w:rsidP="00DA4715">
            <w:pPr>
              <w:rPr>
                <w:sz w:val="20"/>
                <w:szCs w:val="20"/>
                <w:lang w:val="fr-CA"/>
              </w:rPr>
            </w:pPr>
            <w:r w:rsidRPr="00643C62">
              <w:rPr>
                <w:sz w:val="20"/>
                <w:szCs w:val="20"/>
                <w:lang w:val="fr-CA"/>
              </w:rPr>
              <w:t>PGEH (phase II) : Mise à jour sur l’état de la mise en œuvre des mesures de renforcement du progra</w:t>
            </w:r>
            <w:r w:rsidR="00DA4715">
              <w:rPr>
                <w:sz w:val="20"/>
                <w:szCs w:val="20"/>
                <w:lang w:val="fr-CA"/>
              </w:rPr>
              <w:t>mme de permis et de quotas, et d</w:t>
            </w:r>
            <w:r w:rsidRPr="00643C62">
              <w:rPr>
                <w:sz w:val="20"/>
                <w:szCs w:val="20"/>
                <w:lang w:val="fr-CA"/>
              </w:rPr>
              <w:t xml:space="preserve">e suivi et </w:t>
            </w:r>
            <w:r w:rsidR="00DA4715">
              <w:rPr>
                <w:sz w:val="20"/>
                <w:szCs w:val="20"/>
                <w:lang w:val="fr-CA"/>
              </w:rPr>
              <w:t>d</w:t>
            </w:r>
            <w:r w:rsidRPr="00643C62">
              <w:rPr>
                <w:sz w:val="20"/>
                <w:szCs w:val="20"/>
                <w:lang w:val="fr-CA"/>
              </w:rPr>
              <w:t>’établissement de rapports sur la consommation de HCFC</w:t>
            </w:r>
            <w:r w:rsidR="00DA4715">
              <w:rPr>
                <w:sz w:val="20"/>
                <w:szCs w:val="20"/>
                <w:lang w:val="fr-CA"/>
              </w:rPr>
              <w:t>,</w:t>
            </w:r>
            <w:r w:rsidRPr="00643C62">
              <w:rPr>
                <w:sz w:val="20"/>
                <w:szCs w:val="20"/>
                <w:lang w:val="fr-CA"/>
              </w:rPr>
              <w:t xml:space="preserve"> recommandé</w:t>
            </w:r>
            <w:r w:rsidR="00DA4715">
              <w:rPr>
                <w:sz w:val="20"/>
                <w:szCs w:val="20"/>
                <w:lang w:val="fr-CA"/>
              </w:rPr>
              <w:t>e</w:t>
            </w:r>
            <w:r w:rsidRPr="00643C62">
              <w:rPr>
                <w:sz w:val="20"/>
                <w:szCs w:val="20"/>
                <w:lang w:val="fr-CA"/>
              </w:rPr>
              <w:t>s dans le rapport de vérification (86/72 e))</w:t>
            </w:r>
          </w:p>
        </w:tc>
        <w:tc>
          <w:tcPr>
            <w:tcW w:w="712" w:type="pct"/>
            <w:vAlign w:val="center"/>
          </w:tcPr>
          <w:p w14:paraId="3BEE9A8F" w14:textId="77777777" w:rsidR="005D0062" w:rsidRPr="00643C62" w:rsidRDefault="00C17492" w:rsidP="005D0062">
            <w:pPr>
              <w:jc w:val="center"/>
              <w:rPr>
                <w:sz w:val="20"/>
                <w:szCs w:val="20"/>
                <w:lang w:val="fr-CA"/>
              </w:rPr>
            </w:pPr>
            <w:r w:rsidRPr="00643C62">
              <w:rPr>
                <w:sz w:val="20"/>
                <w:szCs w:val="20"/>
                <w:lang w:val="fr-CA"/>
              </w:rPr>
              <w:t>91</w:t>
            </w:r>
            <w:r w:rsidR="00373D29" w:rsidRPr="00643C62">
              <w:rPr>
                <w:sz w:val="20"/>
                <w:szCs w:val="20"/>
                <w:lang w:val="fr-CA"/>
              </w:rPr>
              <w:t>-9</w:t>
            </w:r>
            <w:r w:rsidR="007A0116" w:rsidRPr="00643C62">
              <w:rPr>
                <w:sz w:val="20"/>
                <w:szCs w:val="20"/>
                <w:lang w:val="fr-CA"/>
              </w:rPr>
              <w:t>6</w:t>
            </w:r>
          </w:p>
        </w:tc>
      </w:tr>
      <w:tr w:rsidR="00F63AF8" w:rsidRPr="00643C62" w14:paraId="54E17D51" w14:textId="77777777" w:rsidTr="00DC2D4E">
        <w:tc>
          <w:tcPr>
            <w:tcW w:w="760" w:type="pct"/>
            <w:shd w:val="clear" w:color="auto" w:fill="auto"/>
          </w:tcPr>
          <w:p w14:paraId="2893B32B" w14:textId="34C551B0" w:rsidR="00F63AF8" w:rsidRPr="00643C62" w:rsidRDefault="00F63AF8" w:rsidP="005D0062">
            <w:pPr>
              <w:rPr>
                <w:sz w:val="20"/>
                <w:szCs w:val="20"/>
                <w:lang w:val="fr-CA"/>
              </w:rPr>
            </w:pPr>
            <w:r w:rsidRPr="00643C62">
              <w:rPr>
                <w:sz w:val="20"/>
                <w:szCs w:val="20"/>
                <w:lang w:val="fr-CA"/>
              </w:rPr>
              <w:t>Jordan</w:t>
            </w:r>
            <w:r w:rsidR="008E48D1" w:rsidRPr="00643C62">
              <w:rPr>
                <w:sz w:val="20"/>
                <w:szCs w:val="20"/>
                <w:lang w:val="fr-CA"/>
              </w:rPr>
              <w:t xml:space="preserve">ie </w:t>
            </w:r>
          </w:p>
        </w:tc>
        <w:tc>
          <w:tcPr>
            <w:tcW w:w="3528" w:type="pct"/>
          </w:tcPr>
          <w:p w14:paraId="454D4E7D" w14:textId="4497222D" w:rsidR="00F63AF8" w:rsidRPr="00643C62" w:rsidRDefault="008E48D1" w:rsidP="00F63AF8">
            <w:pPr>
              <w:rPr>
                <w:sz w:val="20"/>
                <w:szCs w:val="20"/>
                <w:lang w:val="fr-CA"/>
              </w:rPr>
            </w:pPr>
            <w:r w:rsidRPr="00643C62">
              <w:rPr>
                <w:sz w:val="20"/>
                <w:szCs w:val="20"/>
                <w:lang w:val="fr-CA"/>
              </w:rPr>
              <w:t>PGEH (phase</w:t>
            </w:r>
            <w:r w:rsidR="00404061" w:rsidRPr="00643C62">
              <w:rPr>
                <w:sz w:val="20"/>
                <w:szCs w:val="20"/>
                <w:lang w:val="fr-CA"/>
              </w:rPr>
              <w:t xml:space="preserve"> II) : Changement de technologie dans cinq entreprises</w:t>
            </w:r>
          </w:p>
        </w:tc>
        <w:tc>
          <w:tcPr>
            <w:tcW w:w="712" w:type="pct"/>
            <w:vAlign w:val="center"/>
          </w:tcPr>
          <w:p w14:paraId="41C8F165" w14:textId="77777777" w:rsidR="00F63AF8" w:rsidRPr="00643C62" w:rsidRDefault="00C17492" w:rsidP="00C17492">
            <w:pPr>
              <w:jc w:val="center"/>
              <w:rPr>
                <w:sz w:val="20"/>
                <w:szCs w:val="20"/>
                <w:lang w:val="fr-CA"/>
              </w:rPr>
            </w:pPr>
            <w:r w:rsidRPr="00643C62">
              <w:rPr>
                <w:sz w:val="20"/>
                <w:szCs w:val="20"/>
                <w:lang w:val="fr-CA"/>
              </w:rPr>
              <w:t>97</w:t>
            </w:r>
            <w:r w:rsidR="00373D29" w:rsidRPr="00643C62">
              <w:rPr>
                <w:sz w:val="20"/>
                <w:szCs w:val="20"/>
                <w:lang w:val="fr-CA"/>
              </w:rPr>
              <w:t>-10</w:t>
            </w:r>
            <w:r w:rsidRPr="00643C62">
              <w:rPr>
                <w:sz w:val="20"/>
                <w:szCs w:val="20"/>
                <w:lang w:val="fr-CA"/>
              </w:rPr>
              <w:t>7</w:t>
            </w:r>
          </w:p>
        </w:tc>
      </w:tr>
      <w:tr w:rsidR="005D0062" w:rsidRPr="00643C62" w14:paraId="27622D96" w14:textId="77777777" w:rsidTr="00DC2D4E">
        <w:tc>
          <w:tcPr>
            <w:tcW w:w="760" w:type="pct"/>
            <w:shd w:val="clear" w:color="auto" w:fill="auto"/>
          </w:tcPr>
          <w:p w14:paraId="69916D28" w14:textId="5D22333E" w:rsidR="005D0062" w:rsidRPr="00643C62" w:rsidRDefault="00404061" w:rsidP="005D0062">
            <w:pPr>
              <w:rPr>
                <w:sz w:val="20"/>
                <w:szCs w:val="20"/>
                <w:lang w:val="fr-CA"/>
              </w:rPr>
            </w:pPr>
            <w:r w:rsidRPr="00643C62">
              <w:rPr>
                <w:sz w:val="20"/>
                <w:szCs w:val="20"/>
                <w:lang w:val="fr-CA"/>
              </w:rPr>
              <w:lastRenderedPageBreak/>
              <w:t>République démocratique populaire lao</w:t>
            </w:r>
          </w:p>
        </w:tc>
        <w:tc>
          <w:tcPr>
            <w:tcW w:w="3528" w:type="pct"/>
          </w:tcPr>
          <w:p w14:paraId="0B15847B" w14:textId="79FFF9D8" w:rsidR="005D0062" w:rsidRPr="00643C62" w:rsidRDefault="00DA4715" w:rsidP="005D0062">
            <w:pPr>
              <w:rPr>
                <w:sz w:val="20"/>
                <w:szCs w:val="20"/>
                <w:lang w:val="fr-CA"/>
              </w:rPr>
            </w:pPr>
            <w:r>
              <w:rPr>
                <w:sz w:val="20"/>
                <w:szCs w:val="20"/>
                <w:lang w:val="fr-CA"/>
              </w:rPr>
              <w:t>PGEH (phase I</w:t>
            </w:r>
            <w:r w:rsidR="00404061" w:rsidRPr="00643C62">
              <w:rPr>
                <w:sz w:val="20"/>
                <w:szCs w:val="20"/>
                <w:lang w:val="fr-CA"/>
              </w:rPr>
              <w:t xml:space="preserve">) : Demande de </w:t>
            </w:r>
            <w:r w:rsidR="006C02EB" w:rsidRPr="00643C62">
              <w:rPr>
                <w:sz w:val="20"/>
                <w:szCs w:val="20"/>
                <w:lang w:val="fr-CA"/>
              </w:rPr>
              <w:t>prorogation</w:t>
            </w:r>
            <w:r w:rsidR="00404061" w:rsidRPr="00643C62">
              <w:rPr>
                <w:sz w:val="20"/>
                <w:szCs w:val="20"/>
                <w:lang w:val="fr-CA"/>
              </w:rPr>
              <w:t xml:space="preserve"> de la date d’achèvement</w:t>
            </w:r>
          </w:p>
        </w:tc>
        <w:tc>
          <w:tcPr>
            <w:tcW w:w="712" w:type="pct"/>
            <w:vAlign w:val="center"/>
          </w:tcPr>
          <w:p w14:paraId="53881A34" w14:textId="77777777" w:rsidR="005D0062" w:rsidRPr="00643C62" w:rsidRDefault="00373D29" w:rsidP="00C17492">
            <w:pPr>
              <w:jc w:val="center"/>
              <w:rPr>
                <w:sz w:val="20"/>
                <w:szCs w:val="20"/>
                <w:lang w:val="fr-CA"/>
              </w:rPr>
            </w:pPr>
            <w:r w:rsidRPr="00643C62">
              <w:rPr>
                <w:sz w:val="20"/>
                <w:szCs w:val="20"/>
                <w:lang w:val="fr-CA"/>
              </w:rPr>
              <w:t>10</w:t>
            </w:r>
            <w:r w:rsidR="00C17492" w:rsidRPr="00643C62">
              <w:rPr>
                <w:sz w:val="20"/>
                <w:szCs w:val="20"/>
                <w:lang w:val="fr-CA"/>
              </w:rPr>
              <w:t>8</w:t>
            </w:r>
            <w:r w:rsidRPr="00643C62">
              <w:rPr>
                <w:sz w:val="20"/>
                <w:szCs w:val="20"/>
                <w:lang w:val="fr-CA"/>
              </w:rPr>
              <w:t>-11</w:t>
            </w:r>
            <w:r w:rsidR="00C17492" w:rsidRPr="00643C62">
              <w:rPr>
                <w:sz w:val="20"/>
                <w:szCs w:val="20"/>
                <w:lang w:val="fr-CA"/>
              </w:rPr>
              <w:t>9</w:t>
            </w:r>
          </w:p>
        </w:tc>
      </w:tr>
      <w:tr w:rsidR="005D0062" w:rsidRPr="00643C62" w14:paraId="611471A6" w14:textId="77777777" w:rsidTr="00DC2D4E">
        <w:tc>
          <w:tcPr>
            <w:tcW w:w="760" w:type="pct"/>
            <w:shd w:val="clear" w:color="auto" w:fill="auto"/>
          </w:tcPr>
          <w:p w14:paraId="7C7B8E28" w14:textId="694E4E69" w:rsidR="005D0062" w:rsidRPr="00643C62" w:rsidRDefault="00404061" w:rsidP="005D0062">
            <w:pPr>
              <w:jc w:val="left"/>
              <w:rPr>
                <w:sz w:val="20"/>
                <w:szCs w:val="20"/>
                <w:lang w:val="fr-CA"/>
              </w:rPr>
            </w:pPr>
            <w:r w:rsidRPr="00643C62">
              <w:rPr>
                <w:sz w:val="20"/>
                <w:szCs w:val="20"/>
                <w:lang w:val="fr-CA"/>
              </w:rPr>
              <w:t>Malaisie</w:t>
            </w:r>
          </w:p>
        </w:tc>
        <w:tc>
          <w:tcPr>
            <w:tcW w:w="3528" w:type="pct"/>
          </w:tcPr>
          <w:p w14:paraId="2B099D5A" w14:textId="376B8195" w:rsidR="005D0062" w:rsidRPr="00643C62" w:rsidRDefault="00404061" w:rsidP="005D0062">
            <w:pPr>
              <w:rPr>
                <w:sz w:val="20"/>
                <w:szCs w:val="20"/>
                <w:lang w:val="fr-CA"/>
              </w:rPr>
            </w:pPr>
            <w:r w:rsidRPr="00643C62">
              <w:rPr>
                <w:sz w:val="20"/>
                <w:szCs w:val="20"/>
                <w:lang w:val="fr-CA"/>
              </w:rPr>
              <w:t>PGEH (phase II) : Changement de technologie dans neuf entreprises et réaffectation des fonds</w:t>
            </w:r>
          </w:p>
        </w:tc>
        <w:tc>
          <w:tcPr>
            <w:tcW w:w="712" w:type="pct"/>
            <w:vAlign w:val="center"/>
          </w:tcPr>
          <w:p w14:paraId="2AE6533F" w14:textId="77777777" w:rsidR="005D0062" w:rsidRPr="00643C62" w:rsidRDefault="00C17492" w:rsidP="005D0062">
            <w:pPr>
              <w:jc w:val="center"/>
              <w:rPr>
                <w:sz w:val="20"/>
                <w:szCs w:val="20"/>
                <w:lang w:val="fr-CA"/>
              </w:rPr>
            </w:pPr>
            <w:r w:rsidRPr="00643C62">
              <w:rPr>
                <w:sz w:val="20"/>
                <w:szCs w:val="20"/>
                <w:lang w:val="fr-CA"/>
              </w:rPr>
              <w:t>120</w:t>
            </w:r>
            <w:r w:rsidR="00373D29" w:rsidRPr="00643C62">
              <w:rPr>
                <w:sz w:val="20"/>
                <w:szCs w:val="20"/>
                <w:lang w:val="fr-CA"/>
              </w:rPr>
              <w:t>-13</w:t>
            </w:r>
            <w:r w:rsidRPr="00643C62">
              <w:rPr>
                <w:sz w:val="20"/>
                <w:szCs w:val="20"/>
                <w:lang w:val="fr-CA"/>
              </w:rPr>
              <w:t>1</w:t>
            </w:r>
          </w:p>
        </w:tc>
      </w:tr>
      <w:tr w:rsidR="005E54FF" w:rsidRPr="00643C62" w14:paraId="1966262F" w14:textId="77777777" w:rsidTr="00DC2D4E">
        <w:tc>
          <w:tcPr>
            <w:tcW w:w="760" w:type="pct"/>
            <w:shd w:val="clear" w:color="auto" w:fill="auto"/>
          </w:tcPr>
          <w:p w14:paraId="6858DE5F" w14:textId="25381B9E" w:rsidR="005E54FF" w:rsidRPr="00643C62" w:rsidRDefault="00404061" w:rsidP="005E54FF">
            <w:pPr>
              <w:jc w:val="left"/>
              <w:rPr>
                <w:sz w:val="20"/>
                <w:szCs w:val="20"/>
                <w:lang w:val="fr-CA"/>
              </w:rPr>
            </w:pPr>
            <w:r w:rsidRPr="00643C62">
              <w:rPr>
                <w:sz w:val="20"/>
                <w:szCs w:val="20"/>
                <w:lang w:val="fr-CA"/>
              </w:rPr>
              <w:t>Mexique</w:t>
            </w:r>
          </w:p>
        </w:tc>
        <w:tc>
          <w:tcPr>
            <w:tcW w:w="3528" w:type="pct"/>
          </w:tcPr>
          <w:p w14:paraId="3457C006" w14:textId="0BDC33C8" w:rsidR="005E54FF" w:rsidRPr="00643C62" w:rsidRDefault="00404061" w:rsidP="005E54FF">
            <w:pPr>
              <w:rPr>
                <w:sz w:val="20"/>
                <w:szCs w:val="20"/>
                <w:lang w:val="fr-CA"/>
              </w:rPr>
            </w:pPr>
            <w:r w:rsidRPr="00643C62">
              <w:rPr>
                <w:sz w:val="20"/>
                <w:szCs w:val="20"/>
                <w:lang w:val="fr-CA"/>
              </w:rPr>
              <w:t>P</w:t>
            </w:r>
            <w:r w:rsidR="00461370" w:rsidRPr="00643C62">
              <w:rPr>
                <w:sz w:val="20"/>
                <w:szCs w:val="20"/>
                <w:lang w:val="fr-CA"/>
              </w:rPr>
              <w:t>GEH (phase I</w:t>
            </w:r>
            <w:r w:rsidRPr="00643C62">
              <w:rPr>
                <w:sz w:val="20"/>
                <w:szCs w:val="20"/>
                <w:lang w:val="fr-CA"/>
              </w:rPr>
              <w:t xml:space="preserve">) : </w:t>
            </w:r>
            <w:r w:rsidR="00461370" w:rsidRPr="00643C62">
              <w:rPr>
                <w:sz w:val="20"/>
                <w:szCs w:val="20"/>
                <w:lang w:val="fr-CA"/>
              </w:rPr>
              <w:t>Rapport périodique : programme de travail de la dernière tranche</w:t>
            </w:r>
          </w:p>
        </w:tc>
        <w:tc>
          <w:tcPr>
            <w:tcW w:w="712" w:type="pct"/>
            <w:vAlign w:val="center"/>
          </w:tcPr>
          <w:p w14:paraId="256E7408" w14:textId="77777777" w:rsidR="005E54FF" w:rsidRPr="00643C62" w:rsidRDefault="00C17492" w:rsidP="00FB0484">
            <w:pPr>
              <w:jc w:val="center"/>
              <w:rPr>
                <w:sz w:val="20"/>
                <w:szCs w:val="20"/>
                <w:lang w:val="fr-CA"/>
              </w:rPr>
            </w:pPr>
            <w:r w:rsidRPr="00643C62">
              <w:rPr>
                <w:sz w:val="20"/>
                <w:szCs w:val="20"/>
                <w:lang w:val="fr-CA"/>
              </w:rPr>
              <w:t>132</w:t>
            </w:r>
            <w:r w:rsidR="005E54FF" w:rsidRPr="00643C62">
              <w:rPr>
                <w:sz w:val="20"/>
                <w:szCs w:val="20"/>
                <w:lang w:val="fr-CA"/>
              </w:rPr>
              <w:t>-13</w:t>
            </w:r>
            <w:r w:rsidR="00FB0484" w:rsidRPr="00643C62">
              <w:rPr>
                <w:sz w:val="20"/>
                <w:szCs w:val="20"/>
                <w:lang w:val="fr-CA"/>
              </w:rPr>
              <w:t>7</w:t>
            </w:r>
          </w:p>
        </w:tc>
      </w:tr>
      <w:tr w:rsidR="005E54FF" w:rsidRPr="00643C62" w14:paraId="3328549B" w14:textId="77777777" w:rsidTr="00DC2D4E">
        <w:tc>
          <w:tcPr>
            <w:tcW w:w="760" w:type="pct"/>
            <w:shd w:val="clear" w:color="auto" w:fill="auto"/>
          </w:tcPr>
          <w:p w14:paraId="7ED3934A" w14:textId="499100E0" w:rsidR="005E54FF" w:rsidRPr="00643C62" w:rsidRDefault="00461370" w:rsidP="005E54FF">
            <w:pPr>
              <w:jc w:val="left"/>
              <w:rPr>
                <w:sz w:val="20"/>
                <w:szCs w:val="20"/>
                <w:lang w:val="fr-CA"/>
              </w:rPr>
            </w:pPr>
            <w:r w:rsidRPr="00643C62">
              <w:rPr>
                <w:sz w:val="20"/>
                <w:szCs w:val="20"/>
                <w:lang w:val="fr-CA"/>
              </w:rPr>
              <w:t>Maroc</w:t>
            </w:r>
          </w:p>
        </w:tc>
        <w:tc>
          <w:tcPr>
            <w:tcW w:w="3528" w:type="pct"/>
          </w:tcPr>
          <w:p w14:paraId="15C68342" w14:textId="29F93001" w:rsidR="005E54FF" w:rsidRPr="00643C62" w:rsidRDefault="00461370" w:rsidP="005E54FF">
            <w:pPr>
              <w:rPr>
                <w:sz w:val="20"/>
                <w:szCs w:val="20"/>
                <w:lang w:val="fr-CA"/>
              </w:rPr>
            </w:pPr>
            <w:r w:rsidRPr="00643C62">
              <w:rPr>
                <w:sz w:val="20"/>
                <w:szCs w:val="20"/>
                <w:lang w:val="fr-CA"/>
              </w:rPr>
              <w:t>PGEH (phase I) : Rapport périodique : programme de travail de la dernière tranche</w:t>
            </w:r>
          </w:p>
        </w:tc>
        <w:tc>
          <w:tcPr>
            <w:tcW w:w="712" w:type="pct"/>
            <w:vAlign w:val="center"/>
          </w:tcPr>
          <w:p w14:paraId="7BA63ABD" w14:textId="77777777" w:rsidR="005E54FF" w:rsidRPr="00643C62" w:rsidRDefault="00C17492" w:rsidP="00FB0484">
            <w:pPr>
              <w:jc w:val="center"/>
              <w:rPr>
                <w:sz w:val="20"/>
                <w:szCs w:val="20"/>
                <w:lang w:val="fr-CA"/>
              </w:rPr>
            </w:pPr>
            <w:r w:rsidRPr="00643C62">
              <w:rPr>
                <w:sz w:val="20"/>
                <w:szCs w:val="20"/>
                <w:lang w:val="fr-CA"/>
              </w:rPr>
              <w:t>13</w:t>
            </w:r>
            <w:r w:rsidR="00FB0484" w:rsidRPr="00643C62">
              <w:rPr>
                <w:sz w:val="20"/>
                <w:szCs w:val="20"/>
                <w:lang w:val="fr-CA"/>
              </w:rPr>
              <w:t>8</w:t>
            </w:r>
            <w:r w:rsidR="005E54FF" w:rsidRPr="00643C62">
              <w:rPr>
                <w:sz w:val="20"/>
                <w:szCs w:val="20"/>
                <w:lang w:val="fr-CA"/>
              </w:rPr>
              <w:t>-14</w:t>
            </w:r>
            <w:r w:rsidR="00FB0484" w:rsidRPr="00643C62">
              <w:rPr>
                <w:sz w:val="20"/>
                <w:szCs w:val="20"/>
                <w:lang w:val="fr-CA"/>
              </w:rPr>
              <w:t>9</w:t>
            </w:r>
          </w:p>
        </w:tc>
      </w:tr>
      <w:tr w:rsidR="005D0062" w:rsidRPr="00643C62" w14:paraId="4F45A388" w14:textId="77777777" w:rsidTr="00DC2D4E">
        <w:tc>
          <w:tcPr>
            <w:tcW w:w="760" w:type="pct"/>
            <w:shd w:val="clear" w:color="auto" w:fill="auto"/>
          </w:tcPr>
          <w:p w14:paraId="2D42802C" w14:textId="7754F252" w:rsidR="005D0062" w:rsidRPr="00643C62" w:rsidRDefault="00461370" w:rsidP="005D0062">
            <w:pPr>
              <w:jc w:val="left"/>
              <w:rPr>
                <w:sz w:val="20"/>
                <w:szCs w:val="20"/>
                <w:lang w:val="fr-CA"/>
              </w:rPr>
            </w:pPr>
            <w:r w:rsidRPr="00643C62">
              <w:rPr>
                <w:sz w:val="20"/>
                <w:szCs w:val="20"/>
                <w:lang w:val="fr-CA"/>
              </w:rPr>
              <w:t>Népal</w:t>
            </w:r>
          </w:p>
        </w:tc>
        <w:tc>
          <w:tcPr>
            <w:tcW w:w="3528" w:type="pct"/>
          </w:tcPr>
          <w:p w14:paraId="6B3BE4DC" w14:textId="4BDC7E7D" w:rsidR="005D0062" w:rsidRPr="00643C62" w:rsidRDefault="00461370" w:rsidP="005D0062">
            <w:pPr>
              <w:rPr>
                <w:sz w:val="20"/>
                <w:szCs w:val="20"/>
                <w:lang w:val="fr-CA"/>
              </w:rPr>
            </w:pPr>
            <w:r w:rsidRPr="00643C62">
              <w:rPr>
                <w:sz w:val="20"/>
                <w:szCs w:val="20"/>
                <w:lang w:val="fr-CA"/>
              </w:rPr>
              <w:t>PGEH (phase I) :</w:t>
            </w:r>
            <w:r w:rsidR="005D0062" w:rsidRPr="00643C62">
              <w:rPr>
                <w:sz w:val="20"/>
                <w:szCs w:val="20"/>
                <w:lang w:val="fr-CA"/>
              </w:rPr>
              <w:t xml:space="preserve"> </w:t>
            </w:r>
            <w:r w:rsidR="00796F55" w:rsidRPr="00643C62">
              <w:rPr>
                <w:sz w:val="20"/>
                <w:szCs w:val="20"/>
                <w:lang w:val="fr-CA"/>
              </w:rPr>
              <w:t xml:space="preserve">Demande de </w:t>
            </w:r>
            <w:r w:rsidR="006C02EB" w:rsidRPr="00643C62">
              <w:rPr>
                <w:sz w:val="20"/>
                <w:szCs w:val="20"/>
                <w:lang w:val="fr-CA"/>
              </w:rPr>
              <w:t>prorogation</w:t>
            </w:r>
            <w:r w:rsidR="00796F55" w:rsidRPr="00643C62">
              <w:rPr>
                <w:sz w:val="20"/>
                <w:szCs w:val="20"/>
                <w:lang w:val="fr-CA"/>
              </w:rPr>
              <w:t xml:space="preserve"> de la date d’achèvement</w:t>
            </w:r>
          </w:p>
        </w:tc>
        <w:tc>
          <w:tcPr>
            <w:tcW w:w="712" w:type="pct"/>
            <w:vAlign w:val="center"/>
          </w:tcPr>
          <w:p w14:paraId="73C7B3B2" w14:textId="77777777" w:rsidR="005D0062" w:rsidRPr="00643C62" w:rsidRDefault="00C17492" w:rsidP="00FB0484">
            <w:pPr>
              <w:jc w:val="center"/>
              <w:rPr>
                <w:sz w:val="20"/>
                <w:szCs w:val="20"/>
                <w:lang w:val="fr-CA"/>
              </w:rPr>
            </w:pPr>
            <w:r w:rsidRPr="00643C62">
              <w:rPr>
                <w:sz w:val="20"/>
                <w:szCs w:val="20"/>
                <w:lang w:val="fr-CA"/>
              </w:rPr>
              <w:t>1</w:t>
            </w:r>
            <w:r w:rsidR="00FB0484" w:rsidRPr="00643C62">
              <w:rPr>
                <w:sz w:val="20"/>
                <w:szCs w:val="20"/>
                <w:lang w:val="fr-CA"/>
              </w:rPr>
              <w:t>50</w:t>
            </w:r>
            <w:r w:rsidR="00373D29" w:rsidRPr="00643C62">
              <w:rPr>
                <w:sz w:val="20"/>
                <w:szCs w:val="20"/>
                <w:lang w:val="fr-CA"/>
              </w:rPr>
              <w:t>-15</w:t>
            </w:r>
            <w:r w:rsidR="00FB0484" w:rsidRPr="00643C62">
              <w:rPr>
                <w:sz w:val="20"/>
                <w:szCs w:val="20"/>
                <w:lang w:val="fr-CA"/>
              </w:rPr>
              <w:t>8</w:t>
            </w:r>
          </w:p>
        </w:tc>
      </w:tr>
      <w:tr w:rsidR="00C17492" w:rsidRPr="00643C62" w14:paraId="7CAF62B3" w14:textId="77777777" w:rsidTr="00DC2D4E">
        <w:tc>
          <w:tcPr>
            <w:tcW w:w="760" w:type="pct"/>
            <w:shd w:val="clear" w:color="auto" w:fill="auto"/>
          </w:tcPr>
          <w:p w14:paraId="3D9F7997" w14:textId="595CE206" w:rsidR="00C17492" w:rsidRPr="00643C62" w:rsidRDefault="00461370" w:rsidP="00C17492">
            <w:pPr>
              <w:jc w:val="left"/>
              <w:rPr>
                <w:sz w:val="20"/>
                <w:szCs w:val="20"/>
                <w:lang w:val="fr-CA"/>
              </w:rPr>
            </w:pPr>
            <w:r w:rsidRPr="00643C62">
              <w:rPr>
                <w:sz w:val="20"/>
                <w:szCs w:val="20"/>
                <w:lang w:val="fr-CA"/>
              </w:rPr>
              <w:t>Pays insulaires du Pacifique</w:t>
            </w:r>
          </w:p>
        </w:tc>
        <w:tc>
          <w:tcPr>
            <w:tcW w:w="3528" w:type="pct"/>
          </w:tcPr>
          <w:p w14:paraId="2A085FE3" w14:textId="01F1EAFE" w:rsidR="00C17492" w:rsidRPr="00643C62" w:rsidRDefault="00461370" w:rsidP="00C17492">
            <w:pPr>
              <w:rPr>
                <w:sz w:val="20"/>
                <w:szCs w:val="20"/>
                <w:lang w:val="fr-CA"/>
              </w:rPr>
            </w:pPr>
            <w:r w:rsidRPr="00643C62">
              <w:rPr>
                <w:sz w:val="20"/>
                <w:szCs w:val="20"/>
                <w:lang w:val="fr-CA"/>
              </w:rPr>
              <w:t>PGEH (phase I</w:t>
            </w:r>
            <w:r w:rsidR="00C17492" w:rsidRPr="00643C62">
              <w:rPr>
                <w:sz w:val="20"/>
                <w:szCs w:val="20"/>
                <w:lang w:val="fr-CA"/>
              </w:rPr>
              <w:t>)</w:t>
            </w:r>
            <w:r w:rsidRPr="00643C62">
              <w:rPr>
                <w:sz w:val="20"/>
                <w:szCs w:val="20"/>
                <w:lang w:val="fr-CA"/>
              </w:rPr>
              <w:t xml:space="preserve"> </w:t>
            </w:r>
            <w:r w:rsidR="00C17492" w:rsidRPr="00643C62">
              <w:rPr>
                <w:sz w:val="20"/>
                <w:szCs w:val="20"/>
                <w:lang w:val="fr-CA"/>
              </w:rPr>
              <w:t xml:space="preserve">: </w:t>
            </w:r>
            <w:r w:rsidR="00796F55" w:rsidRPr="00643C62">
              <w:rPr>
                <w:sz w:val="20"/>
                <w:szCs w:val="20"/>
                <w:lang w:val="fr-CA"/>
              </w:rPr>
              <w:t xml:space="preserve">Demande de </w:t>
            </w:r>
            <w:r w:rsidR="006C02EB" w:rsidRPr="00643C62">
              <w:rPr>
                <w:sz w:val="20"/>
                <w:szCs w:val="20"/>
                <w:lang w:val="fr-CA"/>
              </w:rPr>
              <w:t>prorogation</w:t>
            </w:r>
            <w:r w:rsidR="00796F55" w:rsidRPr="00643C62">
              <w:rPr>
                <w:sz w:val="20"/>
                <w:szCs w:val="20"/>
                <w:lang w:val="fr-CA"/>
              </w:rPr>
              <w:t xml:space="preserve"> de la date d’achèvement</w:t>
            </w:r>
          </w:p>
        </w:tc>
        <w:tc>
          <w:tcPr>
            <w:tcW w:w="712" w:type="pct"/>
            <w:vAlign w:val="center"/>
          </w:tcPr>
          <w:p w14:paraId="1E534CA0" w14:textId="77777777" w:rsidR="00C17492" w:rsidRPr="00643C62" w:rsidRDefault="00C17492" w:rsidP="00FB0484">
            <w:pPr>
              <w:jc w:val="center"/>
              <w:rPr>
                <w:sz w:val="20"/>
                <w:szCs w:val="20"/>
                <w:lang w:val="fr-CA"/>
              </w:rPr>
            </w:pPr>
            <w:r w:rsidRPr="00643C62">
              <w:rPr>
                <w:sz w:val="20"/>
                <w:szCs w:val="20"/>
                <w:lang w:val="fr-CA"/>
              </w:rPr>
              <w:t>15</w:t>
            </w:r>
            <w:r w:rsidR="00FB0484" w:rsidRPr="00643C62">
              <w:rPr>
                <w:sz w:val="20"/>
                <w:szCs w:val="20"/>
                <w:lang w:val="fr-CA"/>
              </w:rPr>
              <w:t>9</w:t>
            </w:r>
            <w:r w:rsidRPr="00643C62">
              <w:rPr>
                <w:sz w:val="20"/>
                <w:szCs w:val="20"/>
                <w:lang w:val="fr-CA"/>
              </w:rPr>
              <w:t>-</w:t>
            </w:r>
            <w:r w:rsidR="0087613F" w:rsidRPr="00643C62">
              <w:rPr>
                <w:sz w:val="20"/>
                <w:szCs w:val="20"/>
                <w:lang w:val="fr-CA"/>
              </w:rPr>
              <w:t>17</w:t>
            </w:r>
            <w:r w:rsidR="00FB0484" w:rsidRPr="00643C62">
              <w:rPr>
                <w:sz w:val="20"/>
                <w:szCs w:val="20"/>
                <w:lang w:val="fr-CA"/>
              </w:rPr>
              <w:t>1</w:t>
            </w:r>
          </w:p>
        </w:tc>
      </w:tr>
      <w:tr w:rsidR="00C17492" w:rsidRPr="00643C62" w14:paraId="7D0F79CC" w14:textId="77777777" w:rsidTr="00DC2D4E">
        <w:tc>
          <w:tcPr>
            <w:tcW w:w="760" w:type="pct"/>
            <w:shd w:val="clear" w:color="auto" w:fill="auto"/>
          </w:tcPr>
          <w:p w14:paraId="6F6A5F4A" w14:textId="77777777" w:rsidR="00C17492" w:rsidRPr="00643C62" w:rsidRDefault="00C17492" w:rsidP="00C17492">
            <w:pPr>
              <w:jc w:val="left"/>
              <w:rPr>
                <w:sz w:val="20"/>
                <w:szCs w:val="20"/>
                <w:lang w:val="fr-CA"/>
              </w:rPr>
            </w:pPr>
            <w:r w:rsidRPr="00643C62">
              <w:rPr>
                <w:sz w:val="20"/>
                <w:szCs w:val="20"/>
                <w:lang w:val="fr-CA"/>
              </w:rPr>
              <w:t>Philippines</w:t>
            </w:r>
          </w:p>
        </w:tc>
        <w:tc>
          <w:tcPr>
            <w:tcW w:w="3528" w:type="pct"/>
          </w:tcPr>
          <w:p w14:paraId="5ED69A3C" w14:textId="1D2AFB59" w:rsidR="00C17492" w:rsidRPr="00643C62" w:rsidRDefault="00461370" w:rsidP="00461370">
            <w:pPr>
              <w:rPr>
                <w:sz w:val="20"/>
                <w:szCs w:val="20"/>
                <w:lang w:val="fr-CA"/>
              </w:rPr>
            </w:pPr>
            <w:r w:rsidRPr="00643C62">
              <w:rPr>
                <w:sz w:val="20"/>
                <w:szCs w:val="20"/>
                <w:lang w:val="fr-CA"/>
              </w:rPr>
              <w:t>PGEH (phase II) : Demande d’annulation de plan du secteur de la fabrication de climatiseurs, plan de mise en œuvre révisé et mise à jour de l’Accord</w:t>
            </w:r>
          </w:p>
        </w:tc>
        <w:tc>
          <w:tcPr>
            <w:tcW w:w="712" w:type="pct"/>
            <w:vAlign w:val="center"/>
          </w:tcPr>
          <w:p w14:paraId="69E7CF7A" w14:textId="77777777" w:rsidR="00C17492" w:rsidRPr="00643C62" w:rsidRDefault="0087613F" w:rsidP="00FB0484">
            <w:pPr>
              <w:jc w:val="center"/>
              <w:rPr>
                <w:sz w:val="20"/>
                <w:szCs w:val="20"/>
                <w:lang w:val="fr-CA"/>
              </w:rPr>
            </w:pPr>
            <w:r w:rsidRPr="00643C62">
              <w:rPr>
                <w:sz w:val="20"/>
                <w:szCs w:val="20"/>
                <w:lang w:val="fr-CA"/>
              </w:rPr>
              <w:t>17</w:t>
            </w:r>
            <w:r w:rsidR="00FB0484" w:rsidRPr="00643C62">
              <w:rPr>
                <w:sz w:val="20"/>
                <w:szCs w:val="20"/>
                <w:lang w:val="fr-CA"/>
              </w:rPr>
              <w:t>2</w:t>
            </w:r>
            <w:r w:rsidRPr="00643C62">
              <w:rPr>
                <w:sz w:val="20"/>
                <w:szCs w:val="20"/>
                <w:lang w:val="fr-CA"/>
              </w:rPr>
              <w:t>-19</w:t>
            </w:r>
            <w:r w:rsidR="00FB0484" w:rsidRPr="00643C62">
              <w:rPr>
                <w:sz w:val="20"/>
                <w:szCs w:val="20"/>
                <w:lang w:val="fr-CA"/>
              </w:rPr>
              <w:t>5</w:t>
            </w:r>
          </w:p>
        </w:tc>
      </w:tr>
      <w:tr w:rsidR="00C17492" w:rsidRPr="00643C62" w14:paraId="0E3E2181" w14:textId="77777777" w:rsidTr="00300A91">
        <w:tc>
          <w:tcPr>
            <w:tcW w:w="760" w:type="pct"/>
            <w:shd w:val="clear" w:color="auto" w:fill="auto"/>
          </w:tcPr>
          <w:p w14:paraId="55C07853" w14:textId="77777777" w:rsidR="00C17492" w:rsidRPr="00643C62" w:rsidRDefault="00C17492" w:rsidP="00C17492">
            <w:pPr>
              <w:jc w:val="left"/>
              <w:rPr>
                <w:sz w:val="20"/>
                <w:szCs w:val="20"/>
                <w:lang w:val="fr-CA"/>
              </w:rPr>
            </w:pPr>
            <w:r w:rsidRPr="00643C62">
              <w:rPr>
                <w:sz w:val="20"/>
                <w:szCs w:val="20"/>
                <w:lang w:val="fr-CA"/>
              </w:rPr>
              <w:t>Uruguay</w:t>
            </w:r>
          </w:p>
        </w:tc>
        <w:tc>
          <w:tcPr>
            <w:tcW w:w="3528" w:type="pct"/>
            <w:shd w:val="clear" w:color="auto" w:fill="auto"/>
            <w:vAlign w:val="center"/>
          </w:tcPr>
          <w:p w14:paraId="53D4F3AC" w14:textId="26F28D34" w:rsidR="00C17492" w:rsidRPr="00643C62" w:rsidRDefault="0004552D" w:rsidP="00C17492">
            <w:pPr>
              <w:rPr>
                <w:sz w:val="20"/>
                <w:szCs w:val="20"/>
                <w:lang w:val="fr-CA"/>
              </w:rPr>
            </w:pPr>
            <w:r>
              <w:rPr>
                <w:sz w:val="20"/>
                <w:szCs w:val="20"/>
                <w:lang w:val="fr-CA"/>
              </w:rPr>
              <w:t>PGEH (phase I</w:t>
            </w:r>
            <w:r w:rsidR="00461370" w:rsidRPr="00643C62">
              <w:rPr>
                <w:sz w:val="20"/>
                <w:szCs w:val="20"/>
                <w:lang w:val="fr-CA"/>
              </w:rPr>
              <w:t xml:space="preserve">) : Demande de </w:t>
            </w:r>
            <w:r w:rsidR="006C02EB" w:rsidRPr="00643C62">
              <w:rPr>
                <w:sz w:val="20"/>
                <w:szCs w:val="20"/>
                <w:lang w:val="fr-CA"/>
              </w:rPr>
              <w:t>prorogation</w:t>
            </w:r>
            <w:r w:rsidR="00461370" w:rsidRPr="00643C62">
              <w:rPr>
                <w:sz w:val="20"/>
                <w:szCs w:val="20"/>
                <w:lang w:val="fr-CA"/>
              </w:rPr>
              <w:t xml:space="preserve"> de la date d’achèvement et rapport périodique sur la mise en œuvre dans le secteur des mousses</w:t>
            </w:r>
          </w:p>
        </w:tc>
        <w:tc>
          <w:tcPr>
            <w:tcW w:w="712" w:type="pct"/>
            <w:vAlign w:val="center"/>
          </w:tcPr>
          <w:p w14:paraId="2B95006D" w14:textId="77777777" w:rsidR="00C17492" w:rsidRPr="00643C62" w:rsidRDefault="0087613F" w:rsidP="00FB0484">
            <w:pPr>
              <w:jc w:val="center"/>
              <w:rPr>
                <w:sz w:val="20"/>
                <w:szCs w:val="20"/>
                <w:lang w:val="fr-CA"/>
              </w:rPr>
            </w:pPr>
            <w:r w:rsidRPr="00643C62">
              <w:rPr>
                <w:sz w:val="20"/>
                <w:szCs w:val="20"/>
                <w:lang w:val="fr-CA"/>
              </w:rPr>
              <w:t>19</w:t>
            </w:r>
            <w:r w:rsidR="00FB0484" w:rsidRPr="00643C62">
              <w:rPr>
                <w:sz w:val="20"/>
                <w:szCs w:val="20"/>
                <w:lang w:val="fr-CA"/>
              </w:rPr>
              <w:t>6</w:t>
            </w:r>
            <w:r w:rsidRPr="00643C62">
              <w:rPr>
                <w:sz w:val="20"/>
                <w:szCs w:val="20"/>
                <w:lang w:val="fr-CA"/>
              </w:rPr>
              <w:t>-20</w:t>
            </w:r>
            <w:r w:rsidR="00FB0484" w:rsidRPr="00643C62">
              <w:rPr>
                <w:sz w:val="20"/>
                <w:szCs w:val="20"/>
                <w:lang w:val="fr-CA"/>
              </w:rPr>
              <w:t>9</w:t>
            </w:r>
          </w:p>
        </w:tc>
      </w:tr>
      <w:tr w:rsidR="00C17492" w:rsidRPr="00643C62" w14:paraId="63148C25" w14:textId="77777777" w:rsidTr="00DC2D4E">
        <w:tc>
          <w:tcPr>
            <w:tcW w:w="5000" w:type="pct"/>
            <w:gridSpan w:val="3"/>
            <w:shd w:val="clear" w:color="auto" w:fill="auto"/>
          </w:tcPr>
          <w:p w14:paraId="0098056B" w14:textId="43065CC7" w:rsidR="00C17492" w:rsidRPr="00643C62" w:rsidRDefault="00461370" w:rsidP="00C17492">
            <w:pPr>
              <w:jc w:val="left"/>
              <w:rPr>
                <w:b/>
                <w:sz w:val="20"/>
                <w:szCs w:val="20"/>
                <w:lang w:val="fr-CA"/>
              </w:rPr>
            </w:pPr>
            <w:r w:rsidRPr="00643C62">
              <w:rPr>
                <w:b/>
                <w:sz w:val="20"/>
                <w:szCs w:val="20"/>
                <w:lang w:val="fr-CA"/>
              </w:rPr>
              <w:t>Changement d’agence d’exécution</w:t>
            </w:r>
          </w:p>
        </w:tc>
      </w:tr>
      <w:tr w:rsidR="00C17492" w:rsidRPr="00643C62" w14:paraId="76A256B9" w14:textId="77777777" w:rsidTr="00DC2D4E">
        <w:tc>
          <w:tcPr>
            <w:tcW w:w="760" w:type="pct"/>
            <w:shd w:val="clear" w:color="auto" w:fill="auto"/>
            <w:vAlign w:val="center"/>
          </w:tcPr>
          <w:p w14:paraId="26516313" w14:textId="68720CF5" w:rsidR="00C17492" w:rsidRPr="00643C62" w:rsidRDefault="00461370" w:rsidP="00461370">
            <w:pPr>
              <w:jc w:val="left"/>
              <w:rPr>
                <w:sz w:val="20"/>
                <w:szCs w:val="20"/>
                <w:lang w:val="fr-CA"/>
              </w:rPr>
            </w:pPr>
            <w:r w:rsidRPr="00643C62">
              <w:rPr>
                <w:sz w:val="20"/>
                <w:szCs w:val="20"/>
                <w:lang w:val="fr-CA"/>
              </w:rPr>
              <w:t>Équateur</w:t>
            </w:r>
          </w:p>
        </w:tc>
        <w:tc>
          <w:tcPr>
            <w:tcW w:w="3528" w:type="pct"/>
          </w:tcPr>
          <w:p w14:paraId="1B52A9F8" w14:textId="2508C4BC" w:rsidR="00C17492" w:rsidRPr="00643C62" w:rsidRDefault="00461370" w:rsidP="00C17492">
            <w:pPr>
              <w:rPr>
                <w:sz w:val="20"/>
                <w:szCs w:val="20"/>
                <w:lang w:val="fr-CA"/>
              </w:rPr>
            </w:pPr>
            <w:r w:rsidRPr="00643C62">
              <w:rPr>
                <w:sz w:val="20"/>
                <w:szCs w:val="20"/>
                <w:lang w:val="fr-CA"/>
              </w:rPr>
              <w:t>Renforcement des institutions et PGEH (phases I et II) : Changement d’agence d’exécution du PNUE à l’ONUDI</w:t>
            </w:r>
          </w:p>
        </w:tc>
        <w:tc>
          <w:tcPr>
            <w:tcW w:w="712" w:type="pct"/>
            <w:vAlign w:val="center"/>
          </w:tcPr>
          <w:p w14:paraId="4D4F4F4F" w14:textId="77777777" w:rsidR="00C17492" w:rsidRPr="00643C62" w:rsidRDefault="0087613F" w:rsidP="00FB0484">
            <w:pPr>
              <w:jc w:val="center"/>
              <w:rPr>
                <w:sz w:val="20"/>
                <w:szCs w:val="20"/>
                <w:lang w:val="fr-CA"/>
              </w:rPr>
            </w:pPr>
            <w:r w:rsidRPr="00643C62">
              <w:rPr>
                <w:sz w:val="20"/>
                <w:szCs w:val="20"/>
                <w:lang w:val="fr-CA"/>
              </w:rPr>
              <w:t>2</w:t>
            </w:r>
            <w:r w:rsidR="00FB0484" w:rsidRPr="00643C62">
              <w:rPr>
                <w:sz w:val="20"/>
                <w:szCs w:val="20"/>
                <w:lang w:val="fr-CA"/>
              </w:rPr>
              <w:t>10</w:t>
            </w:r>
            <w:r w:rsidRPr="00643C62">
              <w:rPr>
                <w:sz w:val="20"/>
                <w:szCs w:val="20"/>
                <w:lang w:val="fr-CA"/>
              </w:rPr>
              <w:t>-21</w:t>
            </w:r>
            <w:r w:rsidR="00FB0484" w:rsidRPr="00643C62">
              <w:rPr>
                <w:sz w:val="20"/>
                <w:szCs w:val="20"/>
                <w:lang w:val="fr-CA"/>
              </w:rPr>
              <w:t>4</w:t>
            </w:r>
          </w:p>
        </w:tc>
      </w:tr>
      <w:tr w:rsidR="00C17492" w:rsidRPr="00643C62" w14:paraId="53E44A7E" w14:textId="77777777" w:rsidTr="00DC2D4E">
        <w:tc>
          <w:tcPr>
            <w:tcW w:w="4288" w:type="pct"/>
            <w:gridSpan w:val="2"/>
            <w:shd w:val="clear" w:color="auto" w:fill="auto"/>
          </w:tcPr>
          <w:p w14:paraId="4CE5ECEB" w14:textId="7F8A16A9" w:rsidR="00C17492" w:rsidRPr="00643C62" w:rsidRDefault="00461370" w:rsidP="00C17492">
            <w:pPr>
              <w:rPr>
                <w:b/>
                <w:sz w:val="20"/>
                <w:szCs w:val="20"/>
                <w:lang w:val="fr-CA"/>
              </w:rPr>
            </w:pPr>
            <w:r w:rsidRPr="00643C62">
              <w:rPr>
                <w:b/>
                <w:sz w:val="20"/>
                <w:lang w:val="fr-CA"/>
              </w:rPr>
              <w:t xml:space="preserve">Rapport sur les activités relatives aux HFC </w:t>
            </w:r>
            <w:r w:rsidR="0057738F" w:rsidRPr="00643C62">
              <w:rPr>
                <w:b/>
                <w:sz w:val="20"/>
                <w:lang w:val="fr-CA"/>
              </w:rPr>
              <w:t>pour lesquels une prorogation est demandée</w:t>
            </w:r>
          </w:p>
        </w:tc>
        <w:tc>
          <w:tcPr>
            <w:tcW w:w="712" w:type="pct"/>
            <w:vAlign w:val="center"/>
          </w:tcPr>
          <w:p w14:paraId="2BBEDB00" w14:textId="77777777" w:rsidR="00C17492" w:rsidRPr="00643C62" w:rsidRDefault="0087613F" w:rsidP="00FB0484">
            <w:pPr>
              <w:jc w:val="center"/>
              <w:rPr>
                <w:sz w:val="20"/>
                <w:szCs w:val="20"/>
                <w:lang w:val="fr-CA"/>
              </w:rPr>
            </w:pPr>
            <w:r w:rsidRPr="00643C62">
              <w:rPr>
                <w:sz w:val="20"/>
                <w:szCs w:val="20"/>
                <w:lang w:val="fr-CA"/>
              </w:rPr>
              <w:t>21</w:t>
            </w:r>
            <w:r w:rsidR="00FB0484" w:rsidRPr="00643C62">
              <w:rPr>
                <w:sz w:val="20"/>
                <w:szCs w:val="20"/>
                <w:lang w:val="fr-CA"/>
              </w:rPr>
              <w:t>5</w:t>
            </w:r>
            <w:r w:rsidRPr="00643C62">
              <w:rPr>
                <w:sz w:val="20"/>
                <w:szCs w:val="20"/>
                <w:lang w:val="fr-CA"/>
              </w:rPr>
              <w:t>-2</w:t>
            </w:r>
            <w:r w:rsidR="00FB0484" w:rsidRPr="00643C62">
              <w:rPr>
                <w:sz w:val="20"/>
                <w:szCs w:val="20"/>
                <w:lang w:val="fr-CA"/>
              </w:rPr>
              <w:t>20</w:t>
            </w:r>
          </w:p>
        </w:tc>
      </w:tr>
      <w:tr w:rsidR="00C17492" w:rsidRPr="00643C62" w14:paraId="31055DAE" w14:textId="77777777" w:rsidTr="00DC2D4E">
        <w:tc>
          <w:tcPr>
            <w:tcW w:w="4288" w:type="pct"/>
            <w:gridSpan w:val="2"/>
            <w:shd w:val="clear" w:color="auto" w:fill="auto"/>
          </w:tcPr>
          <w:p w14:paraId="780AA627" w14:textId="026D593A" w:rsidR="00C17492" w:rsidRPr="00643C62" w:rsidRDefault="0057738F" w:rsidP="00C17492">
            <w:pPr>
              <w:rPr>
                <w:b/>
                <w:sz w:val="20"/>
                <w:lang w:val="fr-CA"/>
              </w:rPr>
            </w:pPr>
            <w:r w:rsidRPr="00643C62">
              <w:rPr>
                <w:b/>
                <w:sz w:val="20"/>
                <w:lang w:val="fr-CA"/>
              </w:rPr>
              <w:t>Demandes de prorogation des activités de facilitation conformément à la décision 81/32 a)</w:t>
            </w:r>
          </w:p>
        </w:tc>
        <w:tc>
          <w:tcPr>
            <w:tcW w:w="712" w:type="pct"/>
            <w:vAlign w:val="center"/>
          </w:tcPr>
          <w:p w14:paraId="4B9512F7" w14:textId="77777777" w:rsidR="00C17492" w:rsidRPr="00643C62" w:rsidRDefault="0087613F" w:rsidP="00FB0484">
            <w:pPr>
              <w:jc w:val="center"/>
              <w:rPr>
                <w:sz w:val="20"/>
                <w:szCs w:val="20"/>
                <w:lang w:val="fr-CA"/>
              </w:rPr>
            </w:pPr>
            <w:r w:rsidRPr="00643C62">
              <w:rPr>
                <w:sz w:val="20"/>
                <w:szCs w:val="20"/>
                <w:lang w:val="fr-CA"/>
              </w:rPr>
              <w:t>22</w:t>
            </w:r>
            <w:r w:rsidR="00FB0484" w:rsidRPr="00643C62">
              <w:rPr>
                <w:sz w:val="20"/>
                <w:szCs w:val="20"/>
                <w:lang w:val="fr-CA"/>
              </w:rPr>
              <w:t>1</w:t>
            </w:r>
            <w:r w:rsidRPr="00643C62">
              <w:rPr>
                <w:sz w:val="20"/>
                <w:szCs w:val="20"/>
                <w:lang w:val="fr-CA"/>
              </w:rPr>
              <w:t>-22</w:t>
            </w:r>
            <w:r w:rsidR="00FB0484" w:rsidRPr="00643C62">
              <w:rPr>
                <w:sz w:val="20"/>
                <w:szCs w:val="20"/>
                <w:lang w:val="fr-CA"/>
              </w:rPr>
              <w:t>3</w:t>
            </w:r>
          </w:p>
        </w:tc>
      </w:tr>
    </w:tbl>
    <w:p w14:paraId="35E7AEC8" w14:textId="77777777" w:rsidR="00DC6D11" w:rsidRPr="00643C62" w:rsidRDefault="00DC6D11" w:rsidP="00DC6D11">
      <w:pPr>
        <w:rPr>
          <w:lang w:val="fr-CA"/>
        </w:rPr>
      </w:pPr>
    </w:p>
    <w:p w14:paraId="14290EF1" w14:textId="35FAAA50" w:rsidR="004E765B" w:rsidRPr="00643C62" w:rsidRDefault="0057738F" w:rsidP="004E765B">
      <w:pPr>
        <w:pStyle w:val="Heading1"/>
        <w:rPr>
          <w:lang w:val="fr-CA"/>
        </w:rPr>
      </w:pPr>
      <w:r w:rsidRPr="00643C62">
        <w:rPr>
          <w:lang w:val="fr-CA"/>
        </w:rPr>
        <w:t xml:space="preserve">Le tableau 2 </w:t>
      </w:r>
      <w:r w:rsidR="00147FF9">
        <w:rPr>
          <w:lang w:val="fr-CA"/>
        </w:rPr>
        <w:t>contient</w:t>
      </w:r>
      <w:r w:rsidRPr="00643C62">
        <w:rPr>
          <w:lang w:val="fr-CA"/>
        </w:rPr>
        <w:t xml:space="preserve"> la liste des rapports sur les projets comportant des exigences particulières de remise de rapport </w:t>
      </w:r>
      <w:r w:rsidR="00147FF9">
        <w:rPr>
          <w:lang w:val="fr-CA"/>
        </w:rPr>
        <w:t>remis</w:t>
      </w:r>
      <w:r w:rsidRPr="00643C62">
        <w:rPr>
          <w:lang w:val="fr-CA"/>
        </w:rPr>
        <w:t xml:space="preserve"> à la 87</w:t>
      </w:r>
      <w:r w:rsidRPr="00643C62">
        <w:rPr>
          <w:vertAlign w:val="superscript"/>
          <w:lang w:val="fr-CA"/>
        </w:rPr>
        <w:t>e</w:t>
      </w:r>
      <w:r w:rsidRPr="00643C62">
        <w:rPr>
          <w:lang w:val="fr-CA"/>
        </w:rPr>
        <w:t xml:space="preserve"> réunion pour examen individuel et une courte explication des questions qui s’y rapportent</w:t>
      </w:r>
      <w:r w:rsidR="004E765B" w:rsidRPr="00643C62">
        <w:rPr>
          <w:lang w:val="fr-CA"/>
        </w:rPr>
        <w:t>.</w:t>
      </w:r>
      <w:r w:rsidR="00F71FF8" w:rsidRPr="00643C62">
        <w:rPr>
          <w:lang w:val="fr-CA"/>
        </w:rPr>
        <w:t xml:space="preserve"> </w:t>
      </w:r>
    </w:p>
    <w:p w14:paraId="062EF6B1" w14:textId="5238DB1B" w:rsidR="004E765B" w:rsidRPr="00643C62" w:rsidRDefault="004E765B" w:rsidP="00020CA8">
      <w:pPr>
        <w:pStyle w:val="Heading1"/>
        <w:keepNext/>
        <w:numPr>
          <w:ilvl w:val="0"/>
          <w:numId w:val="0"/>
        </w:numPr>
        <w:spacing w:after="0"/>
        <w:rPr>
          <w:b/>
          <w:sz w:val="21"/>
          <w:szCs w:val="21"/>
          <w:lang w:val="fr-CA"/>
        </w:rPr>
      </w:pPr>
      <w:r w:rsidRPr="00643C62">
        <w:rPr>
          <w:b/>
          <w:sz w:val="21"/>
          <w:szCs w:val="21"/>
          <w:lang w:val="fr-CA"/>
        </w:rPr>
        <w:t>Table</w:t>
      </w:r>
      <w:r w:rsidR="0057738F" w:rsidRPr="00643C62">
        <w:rPr>
          <w:b/>
          <w:sz w:val="21"/>
          <w:szCs w:val="21"/>
          <w:lang w:val="fr-CA"/>
        </w:rPr>
        <w:t>au</w:t>
      </w:r>
      <w:r w:rsidRPr="00643C62">
        <w:rPr>
          <w:b/>
          <w:sz w:val="21"/>
          <w:szCs w:val="21"/>
          <w:lang w:val="fr-CA"/>
        </w:rPr>
        <w:t xml:space="preserve"> 2</w:t>
      </w:r>
      <w:r w:rsidR="00023070">
        <w:rPr>
          <w:b/>
          <w:sz w:val="21"/>
          <w:szCs w:val="21"/>
          <w:lang w:val="fr-CA"/>
        </w:rPr>
        <w:t>.</w:t>
      </w:r>
      <w:r w:rsidRPr="00643C62">
        <w:rPr>
          <w:b/>
          <w:sz w:val="21"/>
          <w:szCs w:val="21"/>
          <w:lang w:val="fr-CA"/>
        </w:rPr>
        <w:t xml:space="preserve"> </w:t>
      </w:r>
      <w:r w:rsidR="0057738F" w:rsidRPr="00643C62">
        <w:rPr>
          <w:b/>
          <w:sz w:val="21"/>
          <w:szCs w:val="21"/>
          <w:lang w:val="fr-CA"/>
        </w:rPr>
        <w:t>Rapports sur les projets comportant des exigences particulières de remise de rapport</w:t>
      </w:r>
      <w:r w:rsidR="0004552D">
        <w:rPr>
          <w:b/>
          <w:sz w:val="21"/>
          <w:szCs w:val="21"/>
          <w:lang w:val="fr-CA"/>
        </w:rPr>
        <w:t>s</w:t>
      </w:r>
      <w:r w:rsidR="0057738F" w:rsidRPr="00643C62">
        <w:rPr>
          <w:b/>
          <w:sz w:val="21"/>
          <w:szCs w:val="21"/>
          <w:lang w:val="fr-CA"/>
        </w:rPr>
        <w:t xml:space="preserve"> pour examen individuel</w:t>
      </w:r>
    </w:p>
    <w:tbl>
      <w:tblPr>
        <w:tblStyle w:val="TableGrid"/>
        <w:tblW w:w="5099" w:type="pct"/>
        <w:tblLook w:val="04A0" w:firstRow="1" w:lastRow="0" w:firstColumn="1" w:lastColumn="0" w:noHBand="0" w:noVBand="1"/>
      </w:tblPr>
      <w:tblGrid>
        <w:gridCol w:w="1305"/>
        <w:gridCol w:w="3358"/>
        <w:gridCol w:w="3359"/>
        <w:gridCol w:w="1513"/>
      </w:tblGrid>
      <w:tr w:rsidR="00336980" w:rsidRPr="00023070" w14:paraId="71AF99EE" w14:textId="77777777" w:rsidTr="003B5FC0">
        <w:trPr>
          <w:tblHeader/>
        </w:trPr>
        <w:tc>
          <w:tcPr>
            <w:tcW w:w="658" w:type="pct"/>
          </w:tcPr>
          <w:p w14:paraId="52BA8E2F" w14:textId="77F9CDD9" w:rsidR="00336980" w:rsidRPr="00643C62" w:rsidRDefault="0057738F">
            <w:pPr>
              <w:keepNext/>
              <w:rPr>
                <w:b/>
                <w:sz w:val="20"/>
                <w:szCs w:val="20"/>
                <w:lang w:val="fr-CA"/>
              </w:rPr>
            </w:pPr>
            <w:r w:rsidRPr="00643C62">
              <w:rPr>
                <w:b/>
                <w:sz w:val="20"/>
                <w:szCs w:val="20"/>
                <w:lang w:val="fr-CA"/>
              </w:rPr>
              <w:t>Pays</w:t>
            </w:r>
          </w:p>
        </w:tc>
        <w:tc>
          <w:tcPr>
            <w:tcW w:w="1770" w:type="pct"/>
          </w:tcPr>
          <w:p w14:paraId="59ED8F84" w14:textId="6AF06AED" w:rsidR="00336980" w:rsidRPr="00643C62" w:rsidRDefault="0057738F">
            <w:pPr>
              <w:keepNext/>
              <w:rPr>
                <w:b/>
                <w:sz w:val="20"/>
                <w:szCs w:val="20"/>
                <w:lang w:val="fr-CA"/>
              </w:rPr>
            </w:pPr>
            <w:r w:rsidRPr="00643C62">
              <w:rPr>
                <w:b/>
                <w:sz w:val="20"/>
                <w:szCs w:val="20"/>
                <w:lang w:val="fr-CA"/>
              </w:rPr>
              <w:t>Titre du projet</w:t>
            </w:r>
          </w:p>
        </w:tc>
        <w:tc>
          <w:tcPr>
            <w:tcW w:w="1770" w:type="pct"/>
          </w:tcPr>
          <w:p w14:paraId="09A7B11E" w14:textId="55695FCA" w:rsidR="00336980" w:rsidRPr="00643C62" w:rsidRDefault="0057738F">
            <w:pPr>
              <w:keepNext/>
              <w:rPr>
                <w:b/>
                <w:sz w:val="20"/>
                <w:szCs w:val="20"/>
                <w:lang w:val="fr-CA"/>
              </w:rPr>
            </w:pPr>
            <w:r w:rsidRPr="00643C62">
              <w:rPr>
                <w:b/>
                <w:sz w:val="20"/>
                <w:szCs w:val="20"/>
                <w:lang w:val="fr-CA"/>
              </w:rPr>
              <w:t>Question</w:t>
            </w:r>
          </w:p>
        </w:tc>
        <w:tc>
          <w:tcPr>
            <w:tcW w:w="802" w:type="pct"/>
          </w:tcPr>
          <w:p w14:paraId="01429089" w14:textId="09A87994" w:rsidR="00336980" w:rsidRPr="00643C62" w:rsidRDefault="0057738F">
            <w:pPr>
              <w:keepNext/>
              <w:rPr>
                <w:b/>
                <w:sz w:val="20"/>
                <w:szCs w:val="20"/>
                <w:lang w:val="fr-CA"/>
              </w:rPr>
            </w:pPr>
            <w:r w:rsidRPr="00643C62">
              <w:rPr>
                <w:b/>
                <w:sz w:val="20"/>
                <w:szCs w:val="20"/>
                <w:lang w:val="fr-CA"/>
              </w:rPr>
              <w:t>Paragraphes</w:t>
            </w:r>
          </w:p>
        </w:tc>
      </w:tr>
      <w:tr w:rsidR="00336980" w:rsidRPr="0049199D" w14:paraId="3F608273" w14:textId="77777777" w:rsidTr="003B5FC0">
        <w:tc>
          <w:tcPr>
            <w:tcW w:w="5000" w:type="pct"/>
            <w:gridSpan w:val="4"/>
          </w:tcPr>
          <w:p w14:paraId="78B12835" w14:textId="3290CF6A" w:rsidR="00336980" w:rsidRPr="00643C62" w:rsidRDefault="000D1088" w:rsidP="000D1088">
            <w:pPr>
              <w:keepNext/>
              <w:rPr>
                <w:b/>
                <w:sz w:val="20"/>
                <w:szCs w:val="20"/>
                <w:lang w:val="fr-CA"/>
              </w:rPr>
            </w:pPr>
            <w:r w:rsidRPr="00643C62">
              <w:rPr>
                <w:b/>
                <w:sz w:val="20"/>
                <w:szCs w:val="20"/>
                <w:lang w:val="fr-CA"/>
              </w:rPr>
              <w:t xml:space="preserve">Rapports en lien avec les plans de gestion de l'élimination des HCFC (PGEH) </w:t>
            </w:r>
          </w:p>
        </w:tc>
      </w:tr>
      <w:tr w:rsidR="00336980" w:rsidRPr="00643C62" w14:paraId="78815A3E" w14:textId="77777777" w:rsidTr="003B5FC0">
        <w:tc>
          <w:tcPr>
            <w:tcW w:w="658" w:type="pct"/>
            <w:shd w:val="clear" w:color="auto" w:fill="auto"/>
          </w:tcPr>
          <w:p w14:paraId="74793FBB" w14:textId="183F84DA" w:rsidR="00336980" w:rsidRPr="00643C62" w:rsidRDefault="000D1088" w:rsidP="00381F1D">
            <w:pPr>
              <w:keepNext/>
              <w:jc w:val="left"/>
              <w:rPr>
                <w:sz w:val="20"/>
                <w:szCs w:val="20"/>
                <w:lang w:val="fr-CA"/>
              </w:rPr>
            </w:pPr>
            <w:r w:rsidRPr="00643C62">
              <w:rPr>
                <w:sz w:val="20"/>
                <w:szCs w:val="20"/>
                <w:lang w:val="fr-CA"/>
              </w:rPr>
              <w:t>République populaire démocratique de Corée</w:t>
            </w:r>
          </w:p>
        </w:tc>
        <w:tc>
          <w:tcPr>
            <w:tcW w:w="1770" w:type="pct"/>
            <w:shd w:val="clear" w:color="auto" w:fill="auto"/>
          </w:tcPr>
          <w:p w14:paraId="6A8ECD7C" w14:textId="365F1D59" w:rsidR="00336980" w:rsidRPr="00643C62" w:rsidRDefault="000D1088" w:rsidP="00381F1D">
            <w:pPr>
              <w:keepNext/>
              <w:rPr>
                <w:sz w:val="20"/>
                <w:szCs w:val="20"/>
                <w:lang w:val="fr-CA"/>
              </w:rPr>
            </w:pPr>
            <w:r w:rsidRPr="00643C62">
              <w:rPr>
                <w:sz w:val="20"/>
                <w:szCs w:val="20"/>
                <w:lang w:val="fr-CA"/>
              </w:rPr>
              <w:t>PGEH (phase I) : Rapport périodique sur la mise en œuvre des activités</w:t>
            </w:r>
          </w:p>
        </w:tc>
        <w:tc>
          <w:tcPr>
            <w:tcW w:w="1770" w:type="pct"/>
            <w:shd w:val="clear" w:color="auto" w:fill="auto"/>
          </w:tcPr>
          <w:p w14:paraId="036E0543" w14:textId="629B7E24" w:rsidR="00336980" w:rsidRPr="00643C62" w:rsidRDefault="000D1088" w:rsidP="00305FEC">
            <w:pPr>
              <w:outlineLvl w:val="0"/>
              <w:rPr>
                <w:sz w:val="20"/>
                <w:szCs w:val="20"/>
                <w:lang w:val="fr-CA"/>
              </w:rPr>
            </w:pPr>
            <w:r w:rsidRPr="00643C62">
              <w:rPr>
                <w:sz w:val="20"/>
                <w:szCs w:val="20"/>
                <w:lang w:val="fr-CA"/>
              </w:rPr>
              <w:t xml:space="preserve">Une orientation est demandée compte tenu des difficultés à mettre </w:t>
            </w:r>
            <w:r w:rsidR="00305FEC" w:rsidRPr="00643C62">
              <w:rPr>
                <w:sz w:val="20"/>
                <w:szCs w:val="20"/>
                <w:lang w:val="fr-CA"/>
              </w:rPr>
              <w:t xml:space="preserve">les activités </w:t>
            </w:r>
            <w:r w:rsidRPr="00643C62">
              <w:rPr>
                <w:sz w:val="20"/>
                <w:szCs w:val="20"/>
                <w:lang w:val="fr-CA"/>
              </w:rPr>
              <w:t xml:space="preserve">en </w:t>
            </w:r>
            <w:r w:rsidR="00305FEC" w:rsidRPr="00643C62">
              <w:rPr>
                <w:sz w:val="20"/>
                <w:szCs w:val="20"/>
                <w:lang w:val="fr-CA"/>
              </w:rPr>
              <w:t xml:space="preserve">œuvre </w:t>
            </w:r>
            <w:r w:rsidRPr="00643C62">
              <w:rPr>
                <w:sz w:val="20"/>
                <w:szCs w:val="20"/>
                <w:lang w:val="fr-CA"/>
              </w:rPr>
              <w:t>dans le contexte des résolutions du C</w:t>
            </w:r>
            <w:r w:rsidR="0004552D">
              <w:rPr>
                <w:sz w:val="20"/>
                <w:szCs w:val="20"/>
                <w:lang w:val="fr-CA"/>
              </w:rPr>
              <w:t>onseil de sécurité des Nations U</w:t>
            </w:r>
            <w:r w:rsidRPr="00643C62">
              <w:rPr>
                <w:sz w:val="20"/>
                <w:szCs w:val="20"/>
                <w:lang w:val="fr-CA"/>
              </w:rPr>
              <w:t>nies</w:t>
            </w:r>
          </w:p>
        </w:tc>
        <w:tc>
          <w:tcPr>
            <w:tcW w:w="802" w:type="pct"/>
          </w:tcPr>
          <w:p w14:paraId="2ECC8E71" w14:textId="77777777" w:rsidR="00336980" w:rsidRPr="00643C62" w:rsidRDefault="0087613F" w:rsidP="00FB0484">
            <w:pPr>
              <w:keepNext/>
              <w:jc w:val="center"/>
              <w:rPr>
                <w:sz w:val="20"/>
                <w:szCs w:val="20"/>
                <w:lang w:val="fr-CA"/>
              </w:rPr>
            </w:pPr>
            <w:r w:rsidRPr="00643C62">
              <w:rPr>
                <w:sz w:val="20"/>
                <w:szCs w:val="20"/>
                <w:lang w:val="fr-CA"/>
              </w:rPr>
              <w:t>22</w:t>
            </w:r>
            <w:r w:rsidR="00FB0484" w:rsidRPr="00643C62">
              <w:rPr>
                <w:sz w:val="20"/>
                <w:szCs w:val="20"/>
                <w:lang w:val="fr-CA"/>
              </w:rPr>
              <w:t>4</w:t>
            </w:r>
            <w:r w:rsidRPr="00643C62">
              <w:rPr>
                <w:sz w:val="20"/>
                <w:szCs w:val="20"/>
                <w:lang w:val="fr-CA"/>
              </w:rPr>
              <w:t>-23</w:t>
            </w:r>
            <w:r w:rsidR="00FB0484" w:rsidRPr="00643C62">
              <w:rPr>
                <w:sz w:val="20"/>
                <w:szCs w:val="20"/>
                <w:lang w:val="fr-CA"/>
              </w:rPr>
              <w:t>7</w:t>
            </w:r>
          </w:p>
        </w:tc>
      </w:tr>
    </w:tbl>
    <w:p w14:paraId="156FEA85" w14:textId="77777777" w:rsidR="00336980" w:rsidRPr="00643C62" w:rsidRDefault="00336980" w:rsidP="00336980">
      <w:pPr>
        <w:rPr>
          <w:lang w:val="fr-CA"/>
        </w:rPr>
      </w:pPr>
    </w:p>
    <w:p w14:paraId="3D5F53A0" w14:textId="77777777" w:rsidR="00305FEC" w:rsidRPr="00643C62" w:rsidRDefault="00305FEC">
      <w:pPr>
        <w:jc w:val="left"/>
        <w:rPr>
          <w:b/>
          <w:highlight w:val="cyan"/>
          <w:lang w:val="fr-CA"/>
        </w:rPr>
      </w:pPr>
      <w:r w:rsidRPr="00643C62">
        <w:rPr>
          <w:b/>
          <w:highlight w:val="cyan"/>
          <w:lang w:val="fr-CA"/>
        </w:rPr>
        <w:br w:type="page"/>
      </w:r>
    </w:p>
    <w:p w14:paraId="0184BCAC" w14:textId="02431541" w:rsidR="004E765B" w:rsidRPr="00023070" w:rsidRDefault="00305FEC" w:rsidP="00B77664">
      <w:pPr>
        <w:keepNext/>
        <w:keepLines/>
        <w:spacing w:after="240"/>
        <w:ind w:left="1440" w:hanging="1440"/>
        <w:rPr>
          <w:b/>
          <w:lang w:val="fr-CA"/>
        </w:rPr>
      </w:pPr>
      <w:r w:rsidRPr="00023070">
        <w:rPr>
          <w:b/>
          <w:lang w:val="fr-CA"/>
        </w:rPr>
        <w:lastRenderedPageBreak/>
        <w:t>PARTIE</w:t>
      </w:r>
      <w:r w:rsidR="004E765B" w:rsidRPr="00023070">
        <w:rPr>
          <w:b/>
          <w:lang w:val="fr-CA"/>
        </w:rPr>
        <w:t xml:space="preserve"> I</w:t>
      </w:r>
      <w:r w:rsidR="008C0142" w:rsidRPr="00023070">
        <w:rPr>
          <w:b/>
          <w:lang w:val="fr-CA"/>
        </w:rPr>
        <w:t>I</w:t>
      </w:r>
      <w:r w:rsidRPr="00023070">
        <w:rPr>
          <w:b/>
          <w:lang w:val="fr-CA"/>
        </w:rPr>
        <w:t xml:space="preserve"> </w:t>
      </w:r>
      <w:r w:rsidR="004E765B" w:rsidRPr="00023070">
        <w:rPr>
          <w:b/>
          <w:lang w:val="fr-CA"/>
        </w:rPr>
        <w:t xml:space="preserve">: </w:t>
      </w:r>
      <w:r w:rsidR="004E765B" w:rsidRPr="00023070">
        <w:rPr>
          <w:b/>
          <w:lang w:val="fr-CA"/>
        </w:rPr>
        <w:tab/>
      </w:r>
      <w:r w:rsidRPr="00023070">
        <w:rPr>
          <w:b/>
          <w:lang w:val="fr-CA"/>
        </w:rPr>
        <w:t>RAPPORTS SUR LES PROJETS COMPORTANT DES EXIGENCES PARTICULIÈRES DE REMISE DE RAPPORT</w:t>
      </w:r>
      <w:r w:rsidR="0004552D" w:rsidRPr="00023070">
        <w:rPr>
          <w:b/>
          <w:lang w:val="fr-CA"/>
        </w:rPr>
        <w:t>S</w:t>
      </w:r>
      <w:r w:rsidRPr="00023070">
        <w:rPr>
          <w:b/>
          <w:lang w:val="fr-CA"/>
        </w:rPr>
        <w:t xml:space="preserve"> RECOMMANDÉS POUR APPROBATION GÉNÉRALE</w:t>
      </w:r>
      <w:r w:rsidRPr="00023070">
        <w:rPr>
          <w:b/>
          <w:lang w:val="fr-CA"/>
        </w:rPr>
        <w:tab/>
      </w:r>
    </w:p>
    <w:p w14:paraId="5C46C97B" w14:textId="081CA925" w:rsidR="00CD6A87" w:rsidRPr="00023070" w:rsidRDefault="00DE6D4E" w:rsidP="002E7086">
      <w:pPr>
        <w:spacing w:after="240"/>
        <w:ind w:left="1440" w:hanging="1440"/>
        <w:rPr>
          <w:lang w:val="fr-CA"/>
        </w:rPr>
      </w:pPr>
      <w:r w:rsidRPr="00023070">
        <w:rPr>
          <w:b/>
          <w:u w:val="single"/>
          <w:lang w:val="fr-CA"/>
        </w:rPr>
        <w:t>Projets relatifs aux PGEH</w:t>
      </w:r>
      <w:r w:rsidR="00A97D70" w:rsidRPr="00023070">
        <w:rPr>
          <w:rStyle w:val="FootnoteReference"/>
          <w:b/>
          <w:u w:val="single"/>
          <w:lang w:val="fr-CA"/>
        </w:rPr>
        <w:footnoteReference w:id="6"/>
      </w:r>
    </w:p>
    <w:p w14:paraId="22AC59F7" w14:textId="0A5DF755" w:rsidR="00F17DAA" w:rsidRPr="00643C62" w:rsidRDefault="00F17DAA" w:rsidP="00F17DAA">
      <w:pPr>
        <w:keepNext/>
        <w:spacing w:after="240"/>
        <w:rPr>
          <w:lang w:val="fr-CA"/>
        </w:rPr>
      </w:pPr>
      <w:r w:rsidRPr="00023070">
        <w:rPr>
          <w:u w:val="single"/>
          <w:lang w:val="fr-CA"/>
        </w:rPr>
        <w:t>Afghanistan</w:t>
      </w:r>
      <w:r w:rsidR="00DE6D4E" w:rsidRPr="00023070">
        <w:rPr>
          <w:u w:val="single"/>
          <w:lang w:val="fr-CA"/>
        </w:rPr>
        <w:t xml:space="preserve"> </w:t>
      </w:r>
      <w:r w:rsidRPr="00023070">
        <w:rPr>
          <w:u w:val="single"/>
          <w:lang w:val="fr-CA"/>
        </w:rPr>
        <w:t xml:space="preserve">: </w:t>
      </w:r>
      <w:r w:rsidR="00DE6D4E" w:rsidRPr="00023070">
        <w:rPr>
          <w:u w:val="single"/>
          <w:lang w:val="fr-CA"/>
        </w:rPr>
        <w:t>Plan de gestion de l'élimination des HCFC (phase</w:t>
      </w:r>
      <w:r w:rsidR="00DE6D4E" w:rsidRPr="00643C62">
        <w:rPr>
          <w:u w:val="single"/>
          <w:lang w:val="fr-CA"/>
        </w:rPr>
        <w:t xml:space="preserve"> I : demande de </w:t>
      </w:r>
      <w:r w:rsidR="006C02EB" w:rsidRPr="00643C62">
        <w:rPr>
          <w:u w:val="single"/>
          <w:lang w:val="fr-CA"/>
        </w:rPr>
        <w:t>prorogation</w:t>
      </w:r>
      <w:r w:rsidR="00C37613" w:rsidRPr="00643C62">
        <w:rPr>
          <w:u w:val="single"/>
          <w:lang w:val="fr-CA"/>
        </w:rPr>
        <w:t>)</w:t>
      </w:r>
      <w:r w:rsidR="00DE6D4E" w:rsidRPr="00643C62">
        <w:rPr>
          <w:lang w:val="fr-CA"/>
        </w:rPr>
        <w:t xml:space="preserve"> </w:t>
      </w:r>
      <w:r w:rsidRPr="00643C62">
        <w:rPr>
          <w:lang w:val="fr-CA"/>
        </w:rPr>
        <w:t>(</w:t>
      </w:r>
      <w:r w:rsidR="00DE6D4E" w:rsidRPr="00643C62">
        <w:rPr>
          <w:lang w:val="fr-CA"/>
        </w:rPr>
        <w:t>PNUE et ONUDI</w:t>
      </w:r>
      <w:r w:rsidRPr="00643C62">
        <w:rPr>
          <w:lang w:val="fr-CA"/>
        </w:rPr>
        <w:t>)</w:t>
      </w:r>
    </w:p>
    <w:p w14:paraId="49041559" w14:textId="50E513B1" w:rsidR="00F17DAA" w:rsidRPr="00643C62" w:rsidRDefault="00DE6D4E" w:rsidP="00F17DAA">
      <w:pPr>
        <w:keepNext/>
        <w:spacing w:after="240"/>
        <w:rPr>
          <w:b/>
          <w:lang w:val="fr-CA"/>
        </w:rPr>
      </w:pPr>
      <w:r w:rsidRPr="00643C62">
        <w:rPr>
          <w:b/>
          <w:lang w:val="fr-CA"/>
        </w:rPr>
        <w:t>Contexte</w:t>
      </w:r>
    </w:p>
    <w:p w14:paraId="3CB3CF26" w14:textId="4317B91B" w:rsidR="00F17DAA" w:rsidRPr="00643C62" w:rsidRDefault="00DE6D4E" w:rsidP="00F17DAA">
      <w:pPr>
        <w:numPr>
          <w:ilvl w:val="0"/>
          <w:numId w:val="1"/>
        </w:numPr>
        <w:spacing w:after="240"/>
        <w:outlineLvl w:val="0"/>
        <w:rPr>
          <w:lang w:val="fr-CA"/>
        </w:rPr>
      </w:pPr>
      <w:r w:rsidRPr="00643C62">
        <w:rPr>
          <w:lang w:val="fr-CA"/>
        </w:rPr>
        <w:t>Le PNUE, en qualité d’agence d’exécution principale, a présenté</w:t>
      </w:r>
      <w:r w:rsidR="006C02EB" w:rsidRPr="00643C62">
        <w:rPr>
          <w:lang w:val="fr-CA"/>
        </w:rPr>
        <w:t>,</w:t>
      </w:r>
      <w:r w:rsidRPr="00643C62">
        <w:rPr>
          <w:lang w:val="fr-CA"/>
        </w:rPr>
        <w:t xml:space="preserve"> </w:t>
      </w:r>
      <w:r w:rsidR="006C02EB" w:rsidRPr="00643C62">
        <w:rPr>
          <w:lang w:val="fr-CA"/>
        </w:rPr>
        <w:t xml:space="preserve">au nom du gouvernement de l’Afghanistan, </w:t>
      </w:r>
      <w:r w:rsidRPr="00643C62">
        <w:rPr>
          <w:lang w:val="fr-CA"/>
        </w:rPr>
        <w:t xml:space="preserve">une demande de </w:t>
      </w:r>
      <w:r w:rsidR="006C02EB" w:rsidRPr="00643C62">
        <w:rPr>
          <w:lang w:val="fr-CA"/>
        </w:rPr>
        <w:t>prorogation de la mise en œuvre de la phase I du plan de gestion de l'élimination des HCFC (PGEH) pour l’Afghanistan</w:t>
      </w:r>
      <w:r w:rsidR="00F17DAA" w:rsidRPr="00643C62">
        <w:rPr>
          <w:lang w:val="fr-CA"/>
        </w:rPr>
        <w:t>.</w:t>
      </w:r>
    </w:p>
    <w:p w14:paraId="591EBA26" w14:textId="4C74A325" w:rsidR="00F17DAA" w:rsidRPr="00643C62" w:rsidRDefault="006C02EB" w:rsidP="00F17DAA">
      <w:pPr>
        <w:pStyle w:val="Heading1"/>
        <w:autoSpaceDE w:val="0"/>
        <w:autoSpaceDN w:val="0"/>
        <w:adjustRightInd w:val="0"/>
        <w:rPr>
          <w:lang w:val="fr-CA"/>
        </w:rPr>
      </w:pPr>
      <w:r w:rsidRPr="00643C62">
        <w:rPr>
          <w:lang w:val="fr-CA"/>
        </w:rPr>
        <w:t>La phase I du PGEH a été approuvée à la 63</w:t>
      </w:r>
      <w:r w:rsidRPr="00643C62">
        <w:rPr>
          <w:vertAlign w:val="superscript"/>
          <w:lang w:val="fr-CA"/>
        </w:rPr>
        <w:t>e</w:t>
      </w:r>
      <w:r w:rsidRPr="00643C62">
        <w:rPr>
          <w:lang w:val="fr-CA"/>
        </w:rPr>
        <w:t xml:space="preserve"> réunion</w:t>
      </w:r>
      <w:r w:rsidR="00F17DAA" w:rsidRPr="00643C62">
        <w:rPr>
          <w:rStyle w:val="FootnoteReference"/>
          <w:lang w:val="fr-CA"/>
        </w:rPr>
        <w:footnoteReference w:id="7"/>
      </w:r>
      <w:r w:rsidR="00F17DAA" w:rsidRPr="00643C62">
        <w:rPr>
          <w:lang w:val="fr-CA"/>
        </w:rPr>
        <w:t xml:space="preserve"> </w:t>
      </w:r>
      <w:r w:rsidRPr="00643C62">
        <w:rPr>
          <w:lang w:val="fr-CA"/>
        </w:rPr>
        <w:t>afin de respecter l’objectif de réduction de 35 pour cent de la valeur de référence avant 2020</w:t>
      </w:r>
      <w:r w:rsidR="004A1394">
        <w:rPr>
          <w:lang w:val="fr-CA"/>
        </w:rPr>
        <w:t>,</w:t>
      </w:r>
      <w:r w:rsidRPr="00643C62">
        <w:rPr>
          <w:lang w:val="fr-CA"/>
        </w:rPr>
        <w:t xml:space="preserve"> pour la somme totale de 679 101 $US, plus les coûts d’appui à l’agence de 78 554 $US, </w:t>
      </w:r>
      <w:r w:rsidR="005D404A" w:rsidRPr="00643C62">
        <w:rPr>
          <w:lang w:val="fr-CA"/>
        </w:rPr>
        <w:t xml:space="preserve">et </w:t>
      </w:r>
      <w:r w:rsidR="004A1394">
        <w:rPr>
          <w:lang w:val="fr-CA"/>
        </w:rPr>
        <w:t>d’</w:t>
      </w:r>
      <w:r w:rsidR="005D404A" w:rsidRPr="00643C62">
        <w:rPr>
          <w:lang w:val="fr-CA"/>
        </w:rPr>
        <w:t xml:space="preserve">éliminer 8,26 tonnes PAO de HCFC. Les quatre tranches prévues à la phase I ont été approuvées, </w:t>
      </w:r>
      <w:r w:rsidR="004A1394">
        <w:rPr>
          <w:lang w:val="fr-CA"/>
        </w:rPr>
        <w:t xml:space="preserve">dont </w:t>
      </w:r>
      <w:r w:rsidR="005D404A" w:rsidRPr="00643C62">
        <w:rPr>
          <w:lang w:val="fr-CA"/>
        </w:rPr>
        <w:t>la dernière tranche à la 85</w:t>
      </w:r>
      <w:r w:rsidR="005D404A" w:rsidRPr="00643C62">
        <w:rPr>
          <w:vertAlign w:val="superscript"/>
          <w:lang w:val="fr-CA"/>
        </w:rPr>
        <w:t>e</w:t>
      </w:r>
      <w:r w:rsidR="005D404A" w:rsidRPr="00643C62">
        <w:rPr>
          <w:lang w:val="fr-CA"/>
        </w:rPr>
        <w:t xml:space="preserve"> réunion. L’achèvement du projet est prévu à la fin de 2021, conformément au paragraphe 14 de l’Accord entre le gouv</w:t>
      </w:r>
      <w:r w:rsidR="00360470">
        <w:rPr>
          <w:lang w:val="fr-CA"/>
        </w:rPr>
        <w:t>ernement et le Comité exécutif</w:t>
      </w:r>
      <w:r w:rsidR="00F17DAA" w:rsidRPr="00643C62">
        <w:rPr>
          <w:lang w:val="fr-CA"/>
        </w:rPr>
        <w:t>.</w:t>
      </w:r>
    </w:p>
    <w:p w14:paraId="0AD81960" w14:textId="4D2B426D" w:rsidR="00F17DAA" w:rsidRPr="00643C62" w:rsidRDefault="005D404A" w:rsidP="00F17DAA">
      <w:pPr>
        <w:pStyle w:val="Heading1"/>
        <w:rPr>
          <w:lang w:val="fr-CA"/>
        </w:rPr>
      </w:pPr>
      <w:r w:rsidRPr="00643C62">
        <w:rPr>
          <w:lang w:val="fr-CA"/>
        </w:rPr>
        <w:t xml:space="preserve">La mise en œuvre de la phase I </w:t>
      </w:r>
      <w:r w:rsidR="00360470">
        <w:rPr>
          <w:lang w:val="fr-CA"/>
        </w:rPr>
        <w:t>avance bien</w:t>
      </w:r>
      <w:r w:rsidRPr="00643C62">
        <w:rPr>
          <w:lang w:val="fr-CA"/>
        </w:rPr>
        <w:t xml:space="preserve">. </w:t>
      </w:r>
      <w:proofErr w:type="gramStart"/>
      <w:r w:rsidRPr="00643C62">
        <w:rPr>
          <w:lang w:val="fr-CA"/>
        </w:rPr>
        <w:t>Les première et deuxième tranches</w:t>
      </w:r>
      <w:proofErr w:type="gramEnd"/>
      <w:r w:rsidRPr="00643C62">
        <w:rPr>
          <w:lang w:val="fr-CA"/>
        </w:rPr>
        <w:t xml:space="preserve"> sont terminées</w:t>
      </w:r>
      <w:r w:rsidR="00360470">
        <w:rPr>
          <w:lang w:val="fr-CA"/>
        </w:rPr>
        <w:t>, et</w:t>
      </w:r>
      <w:r w:rsidRPr="00643C62">
        <w:rPr>
          <w:lang w:val="fr-CA"/>
        </w:rPr>
        <w:t xml:space="preserve"> la plupart des activités de la troisième tranches ont déjà été mises en œuvre et devraient </w:t>
      </w:r>
      <w:r w:rsidR="0039186F" w:rsidRPr="00643C62">
        <w:rPr>
          <w:lang w:val="fr-CA"/>
        </w:rPr>
        <w:t>être achevées dans les délais</w:t>
      </w:r>
      <w:r w:rsidRPr="00643C62">
        <w:rPr>
          <w:lang w:val="fr-CA"/>
        </w:rPr>
        <w:t xml:space="preserve">. </w:t>
      </w:r>
      <w:r w:rsidR="00360470">
        <w:rPr>
          <w:lang w:val="fr-CA"/>
        </w:rPr>
        <w:t>L</w:t>
      </w:r>
      <w:r w:rsidRPr="00643C62">
        <w:rPr>
          <w:lang w:val="fr-CA"/>
        </w:rPr>
        <w:t xml:space="preserve">’accord de financement </w:t>
      </w:r>
      <w:r w:rsidR="00E63BED" w:rsidRPr="00643C62">
        <w:rPr>
          <w:lang w:val="fr-CA"/>
        </w:rPr>
        <w:t>à petite échelle (SSFA)</w:t>
      </w:r>
      <w:r w:rsidRPr="00643C62">
        <w:rPr>
          <w:lang w:val="fr-CA"/>
        </w:rPr>
        <w:t xml:space="preserve"> entre le gouvernement et le PNUE pour la dernière tranche a </w:t>
      </w:r>
      <w:r w:rsidR="00360470">
        <w:rPr>
          <w:lang w:val="fr-CA"/>
        </w:rPr>
        <w:t xml:space="preserve">toutefois </w:t>
      </w:r>
      <w:r w:rsidRPr="00643C62">
        <w:rPr>
          <w:lang w:val="fr-CA"/>
        </w:rPr>
        <w:t>été signé neu</w:t>
      </w:r>
      <w:r w:rsidR="0039186F" w:rsidRPr="00643C62">
        <w:rPr>
          <w:lang w:val="fr-CA"/>
        </w:rPr>
        <w:t>f</w:t>
      </w:r>
      <w:r w:rsidRPr="00643C62">
        <w:rPr>
          <w:lang w:val="fr-CA"/>
        </w:rPr>
        <w:t xml:space="preserve"> mois plus tard que prévu</w:t>
      </w:r>
      <w:r w:rsidR="0039186F" w:rsidRPr="00643C62">
        <w:rPr>
          <w:lang w:val="fr-CA"/>
        </w:rPr>
        <w:t xml:space="preserve"> à cause de la pandémie de la COVID-19</w:t>
      </w:r>
      <w:r w:rsidR="00F17DAA" w:rsidRPr="00643C62">
        <w:rPr>
          <w:lang w:val="fr-CA"/>
        </w:rPr>
        <w:t>.</w:t>
      </w:r>
      <w:r w:rsidR="0039186F" w:rsidRPr="00643C62">
        <w:rPr>
          <w:lang w:val="fr-CA"/>
        </w:rPr>
        <w:t xml:space="preserve"> Le gouvernement de l’Afghanistan demande la prorogation de la mise en œuvre de la phase I </w:t>
      </w:r>
      <w:r w:rsidR="00147FF9">
        <w:rPr>
          <w:lang w:val="fr-CA"/>
        </w:rPr>
        <w:t>au 31 </w:t>
      </w:r>
      <w:r w:rsidR="0039186F" w:rsidRPr="00643C62">
        <w:rPr>
          <w:lang w:val="fr-CA"/>
        </w:rPr>
        <w:t>décembre 2022.</w:t>
      </w:r>
    </w:p>
    <w:p w14:paraId="1F523BFD" w14:textId="2B062350" w:rsidR="00F17DAA" w:rsidRPr="00643C62" w:rsidRDefault="0039186F" w:rsidP="00F17DAA">
      <w:pPr>
        <w:spacing w:after="240"/>
        <w:rPr>
          <w:i/>
          <w:lang w:val="fr-CA"/>
        </w:rPr>
      </w:pPr>
      <w:r w:rsidRPr="00643C62">
        <w:rPr>
          <w:i/>
          <w:lang w:val="fr-CA"/>
        </w:rPr>
        <w:t>Consommation de HCFC</w:t>
      </w:r>
      <w:r w:rsidR="00F17DAA" w:rsidRPr="00643C62">
        <w:rPr>
          <w:i/>
          <w:lang w:val="fr-CA"/>
        </w:rPr>
        <w:t xml:space="preserve"> </w:t>
      </w:r>
    </w:p>
    <w:p w14:paraId="30D410A8" w14:textId="061006BD" w:rsidR="00F17DAA" w:rsidRPr="00643C62" w:rsidRDefault="0039186F" w:rsidP="00F17DAA">
      <w:pPr>
        <w:pStyle w:val="Heading1"/>
        <w:rPr>
          <w:lang w:val="fr-CA"/>
        </w:rPr>
      </w:pPr>
      <w:r w:rsidRPr="00643C62">
        <w:rPr>
          <w:lang w:val="fr-CA"/>
        </w:rPr>
        <w:t xml:space="preserve">Le gouvernement de l’Afghanistan </w:t>
      </w:r>
      <w:r w:rsidR="00360470">
        <w:rPr>
          <w:lang w:val="fr-CA"/>
        </w:rPr>
        <w:t>a déclaré une consommation de 6,</w:t>
      </w:r>
      <w:r w:rsidRPr="00643C62">
        <w:rPr>
          <w:lang w:val="fr-CA"/>
        </w:rPr>
        <w:t xml:space="preserve">05 tonnes PAO de HCFC en 2020, ce qui représente 61 </w:t>
      </w:r>
      <w:r w:rsidR="00147FF9">
        <w:rPr>
          <w:lang w:val="fr-CA"/>
        </w:rPr>
        <w:t xml:space="preserve">pour cent </w:t>
      </w:r>
      <w:r w:rsidRPr="00643C62">
        <w:rPr>
          <w:lang w:val="fr-CA"/>
        </w:rPr>
        <w:t>de moins que l’objectif du PGEH de 15,34 ton</w:t>
      </w:r>
      <w:r w:rsidR="00360470">
        <w:rPr>
          <w:lang w:val="fr-CA"/>
        </w:rPr>
        <w:t>nes PAO pour l’année 2020 et 74 </w:t>
      </w:r>
      <w:r w:rsidRPr="00643C62">
        <w:rPr>
          <w:lang w:val="fr-CA"/>
        </w:rPr>
        <w:t>pour cent de moins que la valeur de référence établie de 2</w:t>
      </w:r>
      <w:r w:rsidR="003D2765" w:rsidRPr="00643C62">
        <w:rPr>
          <w:lang w:val="fr-CA"/>
        </w:rPr>
        <w:t>3,60 tonne</w:t>
      </w:r>
      <w:r w:rsidRPr="00643C62">
        <w:rPr>
          <w:lang w:val="fr-CA"/>
        </w:rPr>
        <w:t xml:space="preserve">s PAO. </w:t>
      </w:r>
      <w:r w:rsidR="003D2765" w:rsidRPr="00643C62">
        <w:rPr>
          <w:lang w:val="fr-CA"/>
        </w:rPr>
        <w:t>Cette baisse importante de la consommation de HCFC de 2019 à 2020 est attribuable à la pandémie</w:t>
      </w:r>
      <w:r w:rsidR="00023070">
        <w:rPr>
          <w:lang w:val="fr-CA"/>
        </w:rPr>
        <w:t xml:space="preserve"> de la COVID-19, qui a réduit les</w:t>
      </w:r>
      <w:r w:rsidR="003D2765" w:rsidRPr="00643C62">
        <w:rPr>
          <w:lang w:val="fr-CA"/>
        </w:rPr>
        <w:t xml:space="preserve"> activités économiques et les importations de HCFC-22 au pays. La consommation relative au programme de pays déclarée pour l’année 2020 (les données déclarées en vertu de l’article 7 n’ont pas encore été communiquées) démontre que le pays a atteint l’objectif de réduction de 35 pour cent et est en conformité au Protocole de Montréal</w:t>
      </w:r>
      <w:r w:rsidR="00F17DAA" w:rsidRPr="00643C62">
        <w:rPr>
          <w:lang w:val="fr-CA"/>
        </w:rPr>
        <w:t xml:space="preserve">. </w:t>
      </w:r>
    </w:p>
    <w:p w14:paraId="528FDC44" w14:textId="19B9D92B" w:rsidR="00F17DAA" w:rsidRPr="00643C62" w:rsidRDefault="003D2765" w:rsidP="00F17DAA">
      <w:pPr>
        <w:numPr>
          <w:ilvl w:val="0"/>
          <w:numId w:val="1"/>
        </w:numPr>
        <w:spacing w:after="240"/>
        <w:outlineLvl w:val="0"/>
        <w:rPr>
          <w:lang w:val="fr-CA"/>
        </w:rPr>
      </w:pPr>
      <w:r w:rsidRPr="00643C62">
        <w:rPr>
          <w:lang w:val="fr-CA"/>
        </w:rPr>
        <w:t xml:space="preserve">Les données de consommation sectorielle </w:t>
      </w:r>
      <w:r w:rsidR="00EE5571" w:rsidRPr="00643C62">
        <w:rPr>
          <w:lang w:val="fr-CA"/>
        </w:rPr>
        <w:t xml:space="preserve">communiquées par le gouvernement </w:t>
      </w:r>
      <w:r w:rsidRPr="00643C62">
        <w:rPr>
          <w:lang w:val="fr-CA"/>
        </w:rPr>
        <w:t>dans son rapport su</w:t>
      </w:r>
      <w:r w:rsidR="00EE5571" w:rsidRPr="00643C62">
        <w:rPr>
          <w:lang w:val="fr-CA"/>
        </w:rPr>
        <w:t>r</w:t>
      </w:r>
      <w:r w:rsidRPr="00643C62">
        <w:rPr>
          <w:lang w:val="fr-CA"/>
        </w:rPr>
        <w:t xml:space="preserve"> la mise en œuvre du programme de pays </w:t>
      </w:r>
      <w:r w:rsidR="00EE5571" w:rsidRPr="00643C62">
        <w:rPr>
          <w:lang w:val="fr-CA"/>
        </w:rPr>
        <w:t xml:space="preserve">de 2019 correspondent aux données déclarées en vertu de </w:t>
      </w:r>
      <w:r w:rsidR="00997D38">
        <w:rPr>
          <w:lang w:val="fr-CA"/>
        </w:rPr>
        <w:t>l’article </w:t>
      </w:r>
      <w:r w:rsidR="00EE5571" w:rsidRPr="00643C62">
        <w:rPr>
          <w:lang w:val="fr-CA"/>
        </w:rPr>
        <w:t>7 du Protocole de Montréal</w:t>
      </w:r>
      <w:r w:rsidR="00F17DAA" w:rsidRPr="00643C62">
        <w:rPr>
          <w:lang w:val="fr-CA"/>
        </w:rPr>
        <w:t xml:space="preserve">. </w:t>
      </w:r>
    </w:p>
    <w:p w14:paraId="7401F15F" w14:textId="37D4F491" w:rsidR="00F17DAA" w:rsidRPr="00643C62" w:rsidRDefault="00EE5571" w:rsidP="00524F5B">
      <w:pPr>
        <w:keepNext/>
        <w:keepLines/>
        <w:spacing w:after="240"/>
        <w:rPr>
          <w:b/>
          <w:lang w:val="fr-CA"/>
        </w:rPr>
      </w:pPr>
      <w:r w:rsidRPr="00643C62">
        <w:rPr>
          <w:b/>
          <w:lang w:val="fr-CA"/>
        </w:rPr>
        <w:t>Rapport périodique sur la mise en œuvre de la phase I</w:t>
      </w:r>
      <w:r w:rsidR="00F17DAA" w:rsidRPr="00643C62">
        <w:rPr>
          <w:b/>
          <w:lang w:val="fr-CA"/>
        </w:rPr>
        <w:t xml:space="preserve"> </w:t>
      </w:r>
    </w:p>
    <w:p w14:paraId="0995AD18" w14:textId="3B944E62" w:rsidR="00F17DAA" w:rsidRPr="00643C62" w:rsidRDefault="00EE5571" w:rsidP="00F17DAA">
      <w:pPr>
        <w:pStyle w:val="Heading1"/>
        <w:rPr>
          <w:lang w:val="fr-CA"/>
        </w:rPr>
      </w:pPr>
      <w:r w:rsidRPr="00643C62">
        <w:rPr>
          <w:lang w:val="fr-CA"/>
        </w:rPr>
        <w:t>Le pays a mis en place un programme de permis et de quotas afin de réglementer l’importation de HCFC. Une interdiction d’importer de l’équipement à base de HCFC e</w:t>
      </w:r>
      <w:r w:rsidR="00997D38">
        <w:rPr>
          <w:lang w:val="fr-CA"/>
        </w:rPr>
        <w:t>t d’importer le HCFC-</w:t>
      </w:r>
      <w:r w:rsidRPr="00643C62">
        <w:rPr>
          <w:lang w:val="fr-CA"/>
        </w:rPr>
        <w:t xml:space="preserve">141b contenu dans des polyols </w:t>
      </w:r>
      <w:proofErr w:type="spellStart"/>
      <w:r w:rsidRPr="00643C62">
        <w:rPr>
          <w:lang w:val="fr-CA"/>
        </w:rPr>
        <w:t>prémélangés</w:t>
      </w:r>
      <w:proofErr w:type="spellEnd"/>
      <w:r w:rsidRPr="00643C62">
        <w:rPr>
          <w:lang w:val="fr-CA"/>
        </w:rPr>
        <w:t xml:space="preserve"> a été </w:t>
      </w:r>
      <w:r w:rsidR="00997D38">
        <w:rPr>
          <w:lang w:val="fr-CA"/>
        </w:rPr>
        <w:t>adoptée</w:t>
      </w:r>
      <w:r w:rsidRPr="00643C62">
        <w:rPr>
          <w:lang w:val="fr-CA"/>
        </w:rPr>
        <w:t xml:space="preserve"> en 2018 et est actuellement en vigueur. </w:t>
      </w:r>
      <w:r w:rsidR="00997D38">
        <w:rPr>
          <w:lang w:val="fr-CA"/>
        </w:rPr>
        <w:t>Au total</w:t>
      </w:r>
      <w:r w:rsidR="00E46908" w:rsidRPr="00643C62">
        <w:rPr>
          <w:lang w:val="fr-CA"/>
        </w:rPr>
        <w:t xml:space="preserve">, 1 264 </w:t>
      </w:r>
      <w:r w:rsidR="00E46908" w:rsidRPr="00643C62">
        <w:rPr>
          <w:lang w:val="fr-CA"/>
        </w:rPr>
        <w:lastRenderedPageBreak/>
        <w:t xml:space="preserve">douaniers et </w:t>
      </w:r>
      <w:r w:rsidR="00997D38">
        <w:rPr>
          <w:lang w:val="fr-CA"/>
        </w:rPr>
        <w:t>agents</w:t>
      </w:r>
      <w:r w:rsidR="00E46908" w:rsidRPr="00643C62">
        <w:rPr>
          <w:lang w:val="fr-CA"/>
        </w:rPr>
        <w:t xml:space="preserve"> d’application ont reçu une formation </w:t>
      </w:r>
      <w:r w:rsidR="00997D38">
        <w:rPr>
          <w:lang w:val="fr-CA"/>
        </w:rPr>
        <w:t xml:space="preserve">à ce jour </w:t>
      </w:r>
      <w:r w:rsidR="00E46908" w:rsidRPr="00643C62">
        <w:rPr>
          <w:lang w:val="fr-CA"/>
        </w:rPr>
        <w:t>en réglementation des importations, identification des SAO et prévention du commerce illicite au titre de la phase I du PGEH</w:t>
      </w:r>
      <w:r w:rsidR="00F17DAA" w:rsidRPr="00643C62">
        <w:rPr>
          <w:lang w:val="fr-CA"/>
        </w:rPr>
        <w:t>.</w:t>
      </w:r>
    </w:p>
    <w:p w14:paraId="4E1E34A1" w14:textId="2AA408C8" w:rsidR="00F17DAA" w:rsidRPr="00643C62" w:rsidRDefault="00FC5695" w:rsidP="00F17DAA">
      <w:pPr>
        <w:pStyle w:val="Heading1"/>
        <w:rPr>
          <w:lang w:val="fr-CA"/>
        </w:rPr>
      </w:pPr>
      <w:r>
        <w:rPr>
          <w:lang w:val="fr-CA"/>
        </w:rPr>
        <w:t>Au total,</w:t>
      </w:r>
      <w:r w:rsidR="00E46908" w:rsidRPr="00643C62">
        <w:rPr>
          <w:lang w:val="fr-CA"/>
        </w:rPr>
        <w:t xml:space="preserve"> 24 formateurs et 360 techniciens en réfrigération et climatisation ont reçu une formation en bonnes pratiques d’entretien, </w:t>
      </w:r>
      <w:r>
        <w:rPr>
          <w:lang w:val="fr-CA"/>
        </w:rPr>
        <w:t xml:space="preserve">en </w:t>
      </w:r>
      <w:r w:rsidR="00E46908" w:rsidRPr="00643C62">
        <w:rPr>
          <w:lang w:val="fr-CA"/>
        </w:rPr>
        <w:t>manipulation sécuritaire des frigorigènes inflammables et en maintien de l’efficacité énergétique de l’équipement de réfrigération et climatisation</w:t>
      </w:r>
      <w:r>
        <w:rPr>
          <w:lang w:val="fr-CA"/>
        </w:rPr>
        <w:t xml:space="preserve"> dans le cadre des ateliers de formation offerts</w:t>
      </w:r>
      <w:r w:rsidR="00F17DAA" w:rsidRPr="00643C62">
        <w:rPr>
          <w:lang w:val="fr-CA"/>
        </w:rPr>
        <w:t>.</w:t>
      </w:r>
    </w:p>
    <w:p w14:paraId="77D5E631" w14:textId="5D2B5E3F" w:rsidR="00F17DAA" w:rsidRPr="00643C62" w:rsidRDefault="00E46908" w:rsidP="00F17DAA">
      <w:pPr>
        <w:pStyle w:val="Heading1"/>
        <w:rPr>
          <w:lang w:val="fr-CA"/>
        </w:rPr>
      </w:pPr>
      <w:r w:rsidRPr="00643C62">
        <w:rPr>
          <w:lang w:val="fr-CA"/>
        </w:rPr>
        <w:t xml:space="preserve">L’Institut </w:t>
      </w:r>
      <w:r w:rsidR="008C4587" w:rsidRPr="00643C62">
        <w:rPr>
          <w:lang w:val="fr-CA"/>
        </w:rPr>
        <w:t>Afghanistan-Corée</w:t>
      </w:r>
      <w:r w:rsidRPr="00643C62">
        <w:rPr>
          <w:lang w:val="fr-CA"/>
        </w:rPr>
        <w:t xml:space="preserve"> </w:t>
      </w:r>
      <w:r w:rsidR="003B42C3" w:rsidRPr="00643C62">
        <w:rPr>
          <w:lang w:val="fr-CA"/>
        </w:rPr>
        <w:t xml:space="preserve">(AKI) agit en qualité de centre de gestion et de confinement des frigorigènes. De l’équipement </w:t>
      </w:r>
      <w:r w:rsidR="00FC5695">
        <w:rPr>
          <w:lang w:val="fr-CA"/>
        </w:rPr>
        <w:t>et des outils ont été livrés à l</w:t>
      </w:r>
      <w:r w:rsidR="003B42C3" w:rsidRPr="00643C62">
        <w:rPr>
          <w:lang w:val="fr-CA"/>
        </w:rPr>
        <w:t>’AKI et enregistrés pour usage officiel. L’AKI est en train de développer du matériel de formation visuelle qui servira à la formation des techniciens et des élèves ayant accès à des ressources en ligne</w:t>
      </w:r>
      <w:r w:rsidR="00F17DAA" w:rsidRPr="00643C62">
        <w:rPr>
          <w:lang w:val="fr-CA"/>
        </w:rPr>
        <w:t xml:space="preserve">. </w:t>
      </w:r>
    </w:p>
    <w:p w14:paraId="63ECE09B" w14:textId="0C06E729" w:rsidR="00F17DAA" w:rsidRPr="00643C62" w:rsidRDefault="008C4587" w:rsidP="00F17DAA">
      <w:pPr>
        <w:pStyle w:val="Heading1"/>
        <w:rPr>
          <w:lang w:val="fr-CA"/>
        </w:rPr>
      </w:pPr>
      <w:r w:rsidRPr="00643C62">
        <w:rPr>
          <w:lang w:val="fr-CA"/>
        </w:rPr>
        <w:t>Une enquête a été menée afin de choisir des centres de formation professionnelle supplémentaires pour les techniciens en réfrigération et climatisation. Un protocole d’accord a été élaboré avec le ministère de la Main-d’œuvre et des Affaires sociales pour établir la profession de technicien de réfrigération et climatisation dans deux centre</w:t>
      </w:r>
      <w:r w:rsidR="009C5EBF">
        <w:rPr>
          <w:lang w:val="fr-CA"/>
        </w:rPr>
        <w:t>s</w:t>
      </w:r>
      <w:r w:rsidRPr="00643C62">
        <w:rPr>
          <w:lang w:val="fr-CA"/>
        </w:rPr>
        <w:t xml:space="preserve"> de formation provinciaux situés à Herat et à </w:t>
      </w:r>
      <w:proofErr w:type="spellStart"/>
      <w:r w:rsidRPr="00643C62">
        <w:rPr>
          <w:lang w:val="fr-CA"/>
        </w:rPr>
        <w:t>Balkh</w:t>
      </w:r>
      <w:proofErr w:type="spellEnd"/>
      <w:r w:rsidRPr="00643C62">
        <w:rPr>
          <w:lang w:val="fr-CA"/>
        </w:rPr>
        <w:t>, avec le soutien du programme budgétaire national</w:t>
      </w:r>
      <w:r w:rsidR="00F17DAA" w:rsidRPr="00643C62">
        <w:rPr>
          <w:lang w:val="fr-CA"/>
        </w:rPr>
        <w:t xml:space="preserve">. </w:t>
      </w:r>
    </w:p>
    <w:p w14:paraId="11718F6D" w14:textId="470E8F79" w:rsidR="00F17DAA" w:rsidRPr="00643C62" w:rsidRDefault="00E63BED" w:rsidP="00F17DAA">
      <w:pPr>
        <w:pStyle w:val="Heading1"/>
        <w:rPr>
          <w:lang w:val="fr-CA"/>
        </w:rPr>
      </w:pPr>
      <w:r w:rsidRPr="00643C62">
        <w:rPr>
          <w:lang w:val="fr-CA"/>
        </w:rPr>
        <w:t xml:space="preserve">Depuis l’approbation de la quatrième tranche, un SSFA a été signé entre le gouvernement de l’Afghanistan et le PNUE afin de préciser les responsabilités juridiques de la mise en œuvre des activités et </w:t>
      </w:r>
      <w:r w:rsidR="00FC5695">
        <w:rPr>
          <w:lang w:val="fr-CA"/>
        </w:rPr>
        <w:t xml:space="preserve">de </w:t>
      </w:r>
      <w:r w:rsidRPr="00643C62">
        <w:rPr>
          <w:lang w:val="fr-CA"/>
        </w:rPr>
        <w:t>l’établissement de rapport</w:t>
      </w:r>
      <w:r w:rsidR="00FC5695">
        <w:rPr>
          <w:lang w:val="fr-CA"/>
        </w:rPr>
        <w:t>s</w:t>
      </w:r>
      <w:r w:rsidRPr="00643C62">
        <w:rPr>
          <w:lang w:val="fr-CA"/>
        </w:rPr>
        <w:t xml:space="preserve">. Le SSFA est en voie d’être intégré à l’accord entre le PNUE et le </w:t>
      </w:r>
      <w:r w:rsidR="00F35FA2" w:rsidRPr="00643C62">
        <w:rPr>
          <w:lang w:val="fr-CA"/>
        </w:rPr>
        <w:t xml:space="preserve">bureau de pays du </w:t>
      </w:r>
      <w:r w:rsidRPr="00643C62">
        <w:rPr>
          <w:lang w:val="fr-CA"/>
        </w:rPr>
        <w:t>PNUD</w:t>
      </w:r>
      <w:r w:rsidR="00F35FA2" w:rsidRPr="00643C62">
        <w:rPr>
          <w:lang w:val="fr-CA"/>
        </w:rPr>
        <w:t xml:space="preserve"> pour les virement</w:t>
      </w:r>
      <w:r w:rsidR="00FC5695">
        <w:rPr>
          <w:lang w:val="fr-CA"/>
        </w:rPr>
        <w:t>s</w:t>
      </w:r>
      <w:r w:rsidR="00F35FA2" w:rsidRPr="00643C62">
        <w:rPr>
          <w:lang w:val="fr-CA"/>
        </w:rPr>
        <w:t xml:space="preserve"> de fonds</w:t>
      </w:r>
      <w:r w:rsidR="00F17DAA" w:rsidRPr="00643C62">
        <w:rPr>
          <w:lang w:val="fr-CA"/>
        </w:rPr>
        <w:t xml:space="preserve">. </w:t>
      </w:r>
    </w:p>
    <w:p w14:paraId="4C97F867" w14:textId="4F6A03B9" w:rsidR="00F17DAA" w:rsidRPr="00643C62" w:rsidRDefault="00F35FA2" w:rsidP="00F17DAA">
      <w:pPr>
        <w:spacing w:after="240"/>
        <w:rPr>
          <w:i/>
          <w:lang w:val="fr-CA"/>
        </w:rPr>
      </w:pPr>
      <w:r w:rsidRPr="00643C62">
        <w:rPr>
          <w:i/>
          <w:lang w:val="fr-CA"/>
        </w:rPr>
        <w:t>Activités de facilitation dans le secteur de la réfrigération et climatisation</w:t>
      </w:r>
    </w:p>
    <w:p w14:paraId="7D215CE8" w14:textId="4B588E25" w:rsidR="00F17DAA" w:rsidRPr="00643C62" w:rsidRDefault="00F35FA2" w:rsidP="00F17DAA">
      <w:pPr>
        <w:pStyle w:val="Heading1"/>
        <w:rPr>
          <w:lang w:val="fr-CA"/>
        </w:rPr>
      </w:pPr>
      <w:r w:rsidRPr="00643C62">
        <w:rPr>
          <w:lang w:val="fr-CA"/>
        </w:rPr>
        <w:t>Le gouvernement de l’Afghanistan a entre</w:t>
      </w:r>
      <w:r w:rsidR="009C0A6B" w:rsidRPr="00643C62">
        <w:rPr>
          <w:lang w:val="fr-CA"/>
        </w:rPr>
        <w:t xml:space="preserve">pris </w:t>
      </w:r>
      <w:r w:rsidR="00FC5695">
        <w:rPr>
          <w:lang w:val="fr-CA"/>
        </w:rPr>
        <w:t xml:space="preserve">la mise en œuvre </w:t>
      </w:r>
      <w:r w:rsidR="009C0A6B" w:rsidRPr="00643C62">
        <w:rPr>
          <w:lang w:val="fr-CA"/>
        </w:rPr>
        <w:t>des activités de facilitati</w:t>
      </w:r>
      <w:r w:rsidRPr="00643C62">
        <w:rPr>
          <w:lang w:val="fr-CA"/>
        </w:rPr>
        <w:t>on</w:t>
      </w:r>
      <w:r w:rsidR="004156BD" w:rsidRPr="00643C62">
        <w:rPr>
          <w:lang w:val="fr-CA"/>
        </w:rPr>
        <w:t>,</w:t>
      </w:r>
      <w:r w:rsidRPr="00643C62">
        <w:rPr>
          <w:lang w:val="fr-CA"/>
        </w:rPr>
        <w:t xml:space="preserve"> et la proposition pour la ratification de l’Amendement de Kigali a reçu l’aval de tous les ministères concernés et est </w:t>
      </w:r>
      <w:r w:rsidR="00681975">
        <w:rPr>
          <w:lang w:val="fr-CA"/>
        </w:rPr>
        <w:t>en attente de l’approbation du C</w:t>
      </w:r>
      <w:r w:rsidRPr="00643C62">
        <w:rPr>
          <w:lang w:val="fr-CA"/>
        </w:rPr>
        <w:t>abinet. Un consultant a entrepris la rédaction du texte jur</w:t>
      </w:r>
      <w:r w:rsidR="009C0A6B" w:rsidRPr="00643C62">
        <w:rPr>
          <w:lang w:val="fr-CA"/>
        </w:rPr>
        <w:t>i</w:t>
      </w:r>
      <w:r w:rsidRPr="00643C62">
        <w:rPr>
          <w:lang w:val="fr-CA"/>
        </w:rPr>
        <w:t xml:space="preserve">dique de l’amendement </w:t>
      </w:r>
      <w:r w:rsidR="004156BD" w:rsidRPr="00643C62">
        <w:rPr>
          <w:lang w:val="fr-CA"/>
        </w:rPr>
        <w:t>sur la</w:t>
      </w:r>
      <w:r w:rsidRPr="00643C62">
        <w:rPr>
          <w:lang w:val="fr-CA"/>
        </w:rPr>
        <w:t xml:space="preserve"> réglementation des SAO afin d’inclure les HFC et les mélanges contenant des HFC </w:t>
      </w:r>
      <w:r w:rsidR="009C0A6B" w:rsidRPr="00643C62">
        <w:rPr>
          <w:lang w:val="fr-CA"/>
        </w:rPr>
        <w:t>au programme de perm</w:t>
      </w:r>
      <w:r w:rsidRPr="00643C62">
        <w:rPr>
          <w:lang w:val="fr-CA"/>
        </w:rPr>
        <w:t>is. Les codes du système harmonisé</w:t>
      </w:r>
      <w:r w:rsidR="009C0A6B" w:rsidRPr="00643C62">
        <w:rPr>
          <w:lang w:val="fr-CA"/>
        </w:rPr>
        <w:t xml:space="preserve"> relatifs aux HFC et aux mélanges contenant des HFC ont été développés</w:t>
      </w:r>
      <w:r w:rsidR="004156BD" w:rsidRPr="00643C62">
        <w:rPr>
          <w:lang w:val="fr-CA"/>
        </w:rPr>
        <w:t>,</w:t>
      </w:r>
      <w:r w:rsidR="009C0A6B" w:rsidRPr="00643C62">
        <w:rPr>
          <w:lang w:val="fr-CA"/>
        </w:rPr>
        <w:t xml:space="preserve"> communiqués à tous les ports douaniers et intégrés au système douanier ASYCUDA</w:t>
      </w:r>
      <w:r w:rsidR="00F17DAA" w:rsidRPr="00643C62">
        <w:rPr>
          <w:rStyle w:val="FootnoteReference"/>
          <w:lang w:val="fr-CA"/>
        </w:rPr>
        <w:footnoteReference w:id="8"/>
      </w:r>
      <w:r w:rsidR="00F17DAA" w:rsidRPr="00643C62">
        <w:rPr>
          <w:lang w:val="fr-CA"/>
        </w:rPr>
        <w:t xml:space="preserve">. </w:t>
      </w:r>
      <w:r w:rsidR="009C0A6B" w:rsidRPr="00643C62">
        <w:rPr>
          <w:lang w:val="fr-CA"/>
        </w:rPr>
        <w:t>Le Bureau national de l’ozone a développé du matériel de communication sur l’Amendement de Kigali (comprenant des brochures, des bannières et des vidéos d’information en dari et en pashto) et a entrepris une campagne de distribution et médiatique</w:t>
      </w:r>
      <w:r w:rsidR="00F17DAA" w:rsidRPr="00643C62">
        <w:rPr>
          <w:lang w:val="fr-CA"/>
        </w:rPr>
        <w:t>.</w:t>
      </w:r>
    </w:p>
    <w:p w14:paraId="03F63A27" w14:textId="7142DE2F" w:rsidR="00F17DAA" w:rsidRPr="00643C62" w:rsidRDefault="004156BD" w:rsidP="00F17DAA">
      <w:pPr>
        <w:spacing w:after="240"/>
        <w:outlineLvl w:val="0"/>
        <w:rPr>
          <w:lang w:val="fr-CA"/>
        </w:rPr>
      </w:pPr>
      <w:r w:rsidRPr="00643C62">
        <w:rPr>
          <w:u w:val="single"/>
          <w:lang w:val="fr-CA"/>
        </w:rPr>
        <w:t>Niveau de décaissement des sommes</w:t>
      </w:r>
    </w:p>
    <w:p w14:paraId="1821A60A" w14:textId="2CA3D4BA" w:rsidR="00F17DAA" w:rsidRPr="00643C62" w:rsidRDefault="004156BD" w:rsidP="00F17DAA">
      <w:pPr>
        <w:pStyle w:val="Heading1"/>
        <w:rPr>
          <w:lang w:val="fr-CA"/>
        </w:rPr>
      </w:pPr>
      <w:r w:rsidRPr="00643C62">
        <w:rPr>
          <w:lang w:val="fr-CA"/>
        </w:rPr>
        <w:t>Une part de 518 445 $US (344 828 $US pour le PNUE, 37 062 $US pour le gouvernement de l’Allemagne et 136 555 $US pour l’ONUDI) des 679 101 $US approuvés à ce jour a été décaissée en date d’avril 2021</w:t>
      </w:r>
      <w:r w:rsidR="00F17DAA" w:rsidRPr="00643C62">
        <w:rPr>
          <w:lang w:val="fr-CA"/>
        </w:rPr>
        <w:t>.</w:t>
      </w:r>
    </w:p>
    <w:p w14:paraId="5DEB8621" w14:textId="4090E66E" w:rsidR="00F17DAA" w:rsidRPr="00643C62" w:rsidRDefault="004156BD" w:rsidP="00F17DAA">
      <w:pPr>
        <w:keepNext/>
        <w:spacing w:after="240"/>
        <w:rPr>
          <w:b/>
          <w:lang w:val="fr-CA"/>
        </w:rPr>
      </w:pPr>
      <w:r w:rsidRPr="00643C62">
        <w:rPr>
          <w:b/>
          <w:lang w:val="fr-CA"/>
        </w:rPr>
        <w:t>Observations du Secrétariat</w:t>
      </w:r>
    </w:p>
    <w:p w14:paraId="2F85782E" w14:textId="794422D7" w:rsidR="00F17DAA" w:rsidRPr="00643C62" w:rsidRDefault="004D5132" w:rsidP="00F17DAA">
      <w:pPr>
        <w:keepNext/>
        <w:numPr>
          <w:ilvl w:val="0"/>
          <w:numId w:val="1"/>
        </w:numPr>
        <w:spacing w:after="240"/>
        <w:outlineLvl w:val="0"/>
        <w:rPr>
          <w:lang w:val="fr-CA"/>
        </w:rPr>
      </w:pPr>
      <w:r w:rsidRPr="00643C62">
        <w:rPr>
          <w:lang w:val="fr-CA"/>
        </w:rPr>
        <w:t>Le Secrétariat a pris note que la mise en œuvre de la phase I du PGEH pour l’Afghanistan va bon train</w:t>
      </w:r>
      <w:r w:rsidR="00F17DAA" w:rsidRPr="00643C62">
        <w:rPr>
          <w:lang w:val="fr-CA"/>
        </w:rPr>
        <w:t xml:space="preserve">. </w:t>
      </w:r>
      <w:proofErr w:type="gramStart"/>
      <w:r w:rsidRPr="00643C62">
        <w:rPr>
          <w:lang w:val="fr-CA"/>
        </w:rPr>
        <w:t xml:space="preserve">Les première </w:t>
      </w:r>
      <w:r w:rsidR="00C37613" w:rsidRPr="00643C62">
        <w:rPr>
          <w:lang w:val="fr-CA"/>
        </w:rPr>
        <w:t>et</w:t>
      </w:r>
      <w:r w:rsidRPr="00643C62">
        <w:rPr>
          <w:lang w:val="fr-CA"/>
        </w:rPr>
        <w:t xml:space="preserve"> deuxième tranches</w:t>
      </w:r>
      <w:proofErr w:type="gramEnd"/>
      <w:r w:rsidRPr="00643C62">
        <w:rPr>
          <w:lang w:val="fr-CA"/>
        </w:rPr>
        <w:t xml:space="preserve"> sont terminées</w:t>
      </w:r>
      <w:r w:rsidR="00023070">
        <w:rPr>
          <w:lang w:val="fr-CA"/>
        </w:rPr>
        <w:t xml:space="preserve"> </w:t>
      </w:r>
      <w:r w:rsidRPr="00643C62">
        <w:rPr>
          <w:lang w:val="fr-CA"/>
        </w:rPr>
        <w:t>; la plupart des activités de la troisième tranche sont achevées ou prévues, et toutes les sommes sont engagées. Le travail préparatoire à la quatrième tranche est en cours.</w:t>
      </w:r>
    </w:p>
    <w:p w14:paraId="2E604E89" w14:textId="261C3699" w:rsidR="00F17DAA" w:rsidRPr="00643C62" w:rsidRDefault="004D5132" w:rsidP="00F17DAA">
      <w:pPr>
        <w:numPr>
          <w:ilvl w:val="0"/>
          <w:numId w:val="1"/>
        </w:numPr>
        <w:spacing w:after="240"/>
        <w:outlineLvl w:val="0"/>
        <w:rPr>
          <w:lang w:val="fr-CA"/>
        </w:rPr>
      </w:pPr>
      <w:r w:rsidRPr="00643C62">
        <w:rPr>
          <w:lang w:val="fr-CA"/>
        </w:rPr>
        <w:t>Le Secrétariat a pris note des efforts du gouvernement de l’Afghanistan, du PNUE et de l’ONUDI pour mener à terme les activités prévues aux troisième et quatrième tranches</w:t>
      </w:r>
      <w:r w:rsidR="00F17DAA" w:rsidRPr="00643C62">
        <w:rPr>
          <w:lang w:val="fr-CA"/>
        </w:rPr>
        <w:t xml:space="preserve">. </w:t>
      </w:r>
      <w:r w:rsidRPr="00643C62">
        <w:rPr>
          <w:lang w:val="fr-CA"/>
        </w:rPr>
        <w:t xml:space="preserve">Nonobstant ces efforts, les retards associés à la pandémie de la COVID-19 </w:t>
      </w:r>
      <w:r w:rsidR="00390767" w:rsidRPr="00643C62">
        <w:rPr>
          <w:lang w:val="fr-CA"/>
        </w:rPr>
        <w:t xml:space="preserve">ont entraîné un retard de neuf mois dans la signature du </w:t>
      </w:r>
      <w:r w:rsidR="00390767" w:rsidRPr="00643C62">
        <w:rPr>
          <w:lang w:val="fr-CA"/>
        </w:rPr>
        <w:lastRenderedPageBreak/>
        <w:t>S</w:t>
      </w:r>
      <w:r w:rsidR="00681975">
        <w:rPr>
          <w:lang w:val="fr-CA"/>
        </w:rPr>
        <w:t>SFA, qui doit être intégré à l’</w:t>
      </w:r>
      <w:r w:rsidR="00390767" w:rsidRPr="00643C62">
        <w:rPr>
          <w:lang w:val="fr-CA"/>
        </w:rPr>
        <w:t xml:space="preserve">accord de virement de fonds avec le PNUD. La prorogation d’une année permettra au gouvernement, au PNUE et à l’ONUDI de mener à terme les activités restantes </w:t>
      </w:r>
      <w:proofErr w:type="gramStart"/>
      <w:r w:rsidR="00390767" w:rsidRPr="00643C62">
        <w:rPr>
          <w:lang w:val="fr-CA"/>
        </w:rPr>
        <w:t>des troisième et quatrième tranches</w:t>
      </w:r>
      <w:proofErr w:type="gramEnd"/>
      <w:r w:rsidR="00390767" w:rsidRPr="00643C62">
        <w:rPr>
          <w:lang w:val="fr-CA"/>
        </w:rPr>
        <w:t>.</w:t>
      </w:r>
    </w:p>
    <w:p w14:paraId="3FB19EBC" w14:textId="7A2348C8" w:rsidR="00F17DAA" w:rsidRPr="00643C62" w:rsidRDefault="00390767" w:rsidP="00F17DAA">
      <w:pPr>
        <w:spacing w:after="240"/>
        <w:rPr>
          <w:b/>
          <w:lang w:val="fr-CA"/>
        </w:rPr>
      </w:pPr>
      <w:r w:rsidRPr="00643C62">
        <w:rPr>
          <w:b/>
          <w:lang w:val="fr-CA"/>
        </w:rPr>
        <w:t>Recomma</w:t>
      </w:r>
      <w:r w:rsidR="00F17DAA" w:rsidRPr="00643C62">
        <w:rPr>
          <w:b/>
          <w:lang w:val="fr-CA"/>
        </w:rPr>
        <w:t>ndation</w:t>
      </w:r>
    </w:p>
    <w:p w14:paraId="1C235848" w14:textId="50EBB514" w:rsidR="00F17DAA" w:rsidRPr="00643C62" w:rsidRDefault="00390767" w:rsidP="00F17DAA">
      <w:pPr>
        <w:numPr>
          <w:ilvl w:val="0"/>
          <w:numId w:val="1"/>
        </w:numPr>
        <w:spacing w:after="240"/>
        <w:outlineLvl w:val="0"/>
        <w:rPr>
          <w:lang w:val="fr-CA"/>
        </w:rPr>
      </w:pPr>
      <w:r w:rsidRPr="00643C62">
        <w:rPr>
          <w:lang w:val="fr-CA"/>
        </w:rPr>
        <w:t xml:space="preserve">Le Comité exécutif pourrait souhaiter </w:t>
      </w:r>
      <w:r w:rsidR="00F17DAA" w:rsidRPr="00643C62">
        <w:rPr>
          <w:lang w:val="fr-CA"/>
        </w:rPr>
        <w:t>:</w:t>
      </w:r>
    </w:p>
    <w:p w14:paraId="12FE8EA9" w14:textId="6C769EA8" w:rsidR="00F17DAA" w:rsidRPr="00643C62" w:rsidRDefault="009957B4" w:rsidP="00F17DAA">
      <w:pPr>
        <w:widowControl w:val="0"/>
        <w:numPr>
          <w:ilvl w:val="1"/>
          <w:numId w:val="1"/>
        </w:numPr>
        <w:tabs>
          <w:tab w:val="num" w:pos="557"/>
        </w:tabs>
        <w:spacing w:after="240"/>
        <w:outlineLvl w:val="1"/>
        <w:rPr>
          <w:lang w:val="fr-CA"/>
        </w:rPr>
      </w:pPr>
      <w:r w:rsidRPr="00643C62">
        <w:rPr>
          <w:lang w:val="fr-CA"/>
        </w:rPr>
        <w:t xml:space="preserve">Prendre note du rapport périodique sur la mise en œuvre du programme de travail de la phase I du plan de gestion de l'élimination des HCFC (PGEH) pour l’Afghanistan et de la demande de prorogation présentée par le PNUE, contenue dans le document </w:t>
      </w:r>
      <w:r w:rsidR="00F17DAA" w:rsidRPr="00643C62">
        <w:rPr>
          <w:lang w:val="fr-CA"/>
        </w:rPr>
        <w:t>UNEP/OzL.Pro/ExCom/87/9</w:t>
      </w:r>
      <w:r w:rsidR="00023070">
        <w:rPr>
          <w:lang w:val="fr-CA"/>
        </w:rPr>
        <w:t xml:space="preserve"> </w:t>
      </w:r>
      <w:r w:rsidR="00F17DAA" w:rsidRPr="00643C62">
        <w:rPr>
          <w:lang w:val="fr-CA"/>
        </w:rPr>
        <w:t>;</w:t>
      </w:r>
    </w:p>
    <w:p w14:paraId="4AB3AE54" w14:textId="6158BC25" w:rsidR="00F17DAA" w:rsidRPr="00643C62" w:rsidRDefault="009957B4" w:rsidP="00F17DAA">
      <w:pPr>
        <w:pStyle w:val="Heading2"/>
        <w:rPr>
          <w:lang w:val="fr-CA"/>
        </w:rPr>
      </w:pPr>
      <w:r w:rsidRPr="00643C62">
        <w:rPr>
          <w:lang w:val="fr-CA"/>
        </w:rPr>
        <w:t>Proroger, à titre exceptionnel et à cause des retards cau</w:t>
      </w:r>
      <w:r w:rsidR="00023070">
        <w:rPr>
          <w:lang w:val="fr-CA"/>
        </w:rPr>
        <w:t>sés par la pandémie de la COVID</w:t>
      </w:r>
      <w:r w:rsidR="00023070">
        <w:rPr>
          <w:lang w:val="fr-CA"/>
        </w:rPr>
        <w:noBreakHyphen/>
      </w:r>
      <w:r w:rsidRPr="00643C62">
        <w:rPr>
          <w:lang w:val="fr-CA"/>
        </w:rPr>
        <w:t>19, la date d’achèvement de la phase I du PGEH pour l’Afghanistan au 31 décembre 2022, étant entendu qu’aucune autre prorogation ne sera demandée</w:t>
      </w:r>
      <w:r w:rsidR="00023070">
        <w:rPr>
          <w:lang w:val="fr-CA"/>
        </w:rPr>
        <w:t xml:space="preserve"> </w:t>
      </w:r>
      <w:r w:rsidRPr="00643C62">
        <w:rPr>
          <w:lang w:val="fr-CA"/>
        </w:rPr>
        <w:t>;</w:t>
      </w:r>
    </w:p>
    <w:p w14:paraId="6A33AA8C" w14:textId="1F7F784A" w:rsidR="00F17DAA" w:rsidRPr="00643C62" w:rsidRDefault="009957B4" w:rsidP="00F17DAA">
      <w:pPr>
        <w:pStyle w:val="Heading2"/>
        <w:rPr>
          <w:lang w:val="fr-CA"/>
        </w:rPr>
      </w:pPr>
      <w:r w:rsidRPr="00643C62">
        <w:rPr>
          <w:lang w:val="fr-CA"/>
        </w:rPr>
        <w:t>Demander au gouvernement de l’Afghanistan, au PNUE et à l’ONUDI de remettre au rapport d’achèvement de projet à la première réunion de 2023</w:t>
      </w:r>
      <w:r w:rsidR="00F17DAA" w:rsidRPr="00643C62">
        <w:rPr>
          <w:lang w:val="fr-CA"/>
        </w:rPr>
        <w:t>.</w:t>
      </w:r>
    </w:p>
    <w:p w14:paraId="5B22BB7D" w14:textId="750FB6D8" w:rsidR="00F17DAA" w:rsidRPr="00643C62" w:rsidRDefault="009957B4" w:rsidP="00F17DAA">
      <w:pPr>
        <w:spacing w:after="240"/>
        <w:rPr>
          <w:u w:val="single"/>
          <w:lang w:val="fr-CA"/>
        </w:rPr>
      </w:pPr>
      <w:r w:rsidRPr="00023070">
        <w:rPr>
          <w:u w:val="single"/>
          <w:lang w:val="fr-CA"/>
        </w:rPr>
        <w:t xml:space="preserve">Argentine </w:t>
      </w:r>
      <w:r w:rsidR="00F17DAA" w:rsidRPr="00023070">
        <w:rPr>
          <w:u w:val="single"/>
          <w:lang w:val="fr-CA"/>
        </w:rPr>
        <w:t xml:space="preserve">: </w:t>
      </w:r>
      <w:r w:rsidR="00CF7E70" w:rsidRPr="00023070">
        <w:rPr>
          <w:u w:val="single"/>
          <w:lang w:val="fr-CA"/>
        </w:rPr>
        <w:t xml:space="preserve">Plan de gestion de l'élimination des HCFC (phase II : mise à jour sur la viabilité financière de l’entreprise </w:t>
      </w:r>
      <w:proofErr w:type="spellStart"/>
      <w:r w:rsidR="00CF7E70" w:rsidRPr="00023070">
        <w:rPr>
          <w:u w:val="single"/>
          <w:lang w:val="fr-CA"/>
        </w:rPr>
        <w:t>Celpack</w:t>
      </w:r>
      <w:proofErr w:type="spellEnd"/>
      <w:r w:rsidR="00CF7E70" w:rsidRPr="00023070">
        <w:rPr>
          <w:u w:val="single"/>
          <w:lang w:val="fr-CA"/>
        </w:rPr>
        <w:t>)</w:t>
      </w:r>
      <w:r w:rsidR="00F17DAA" w:rsidRPr="00023070">
        <w:rPr>
          <w:lang w:val="fr-CA"/>
        </w:rPr>
        <w:t xml:space="preserve"> (</w:t>
      </w:r>
      <w:r w:rsidR="00CF7E70" w:rsidRPr="00023070">
        <w:rPr>
          <w:lang w:val="fr-CA"/>
        </w:rPr>
        <w:t>ONUDI</w:t>
      </w:r>
      <w:r w:rsidR="00F17DAA" w:rsidRPr="00023070">
        <w:rPr>
          <w:lang w:val="fr-CA"/>
        </w:rPr>
        <w:t>)</w:t>
      </w:r>
    </w:p>
    <w:p w14:paraId="5E7F8333" w14:textId="04B63703" w:rsidR="00F17DAA" w:rsidRPr="00643C62" w:rsidRDefault="00CF7E70" w:rsidP="00F17DAA">
      <w:pPr>
        <w:spacing w:after="240"/>
        <w:rPr>
          <w:b/>
          <w:lang w:val="fr-CA"/>
        </w:rPr>
      </w:pPr>
      <w:r w:rsidRPr="00643C62">
        <w:rPr>
          <w:b/>
          <w:lang w:val="fr-CA"/>
        </w:rPr>
        <w:t>Contexte</w:t>
      </w:r>
    </w:p>
    <w:p w14:paraId="5CD91EBB" w14:textId="455A5AA6" w:rsidR="00F17DAA" w:rsidRPr="00643C62" w:rsidRDefault="00CF7E70" w:rsidP="00F17DAA">
      <w:pPr>
        <w:pStyle w:val="Heading1"/>
        <w:rPr>
          <w:lang w:val="fr-CA"/>
        </w:rPr>
      </w:pPr>
      <w:r w:rsidRPr="00643C62">
        <w:rPr>
          <w:lang w:val="fr-CA"/>
        </w:rPr>
        <w:t>Le Comité exécutif, à sa 84</w:t>
      </w:r>
      <w:r w:rsidRPr="00643C62">
        <w:rPr>
          <w:vertAlign w:val="superscript"/>
          <w:lang w:val="fr-CA"/>
        </w:rPr>
        <w:t>e</w:t>
      </w:r>
      <w:r w:rsidRPr="00643C62">
        <w:rPr>
          <w:lang w:val="fr-CA"/>
        </w:rPr>
        <w:t xml:space="preserve"> réunion, a examiné la demande de financement de la deuxième tranche de la phase II du PGEH pour l’Argentine</w:t>
      </w:r>
      <w:r w:rsidR="00F17DAA" w:rsidRPr="00643C62">
        <w:rPr>
          <w:rStyle w:val="FootnoteReference"/>
          <w:lang w:val="fr-CA"/>
        </w:rPr>
        <w:footnoteReference w:id="9"/>
      </w:r>
      <w:r w:rsidRPr="00643C62">
        <w:rPr>
          <w:lang w:val="fr-CA"/>
        </w:rPr>
        <w:t>.</w:t>
      </w:r>
      <w:r w:rsidR="00F17DAA" w:rsidRPr="00643C62">
        <w:rPr>
          <w:lang w:val="fr-CA"/>
        </w:rPr>
        <w:t xml:space="preserve"> </w:t>
      </w:r>
      <w:r w:rsidRPr="00643C62">
        <w:rPr>
          <w:lang w:val="fr-CA"/>
        </w:rPr>
        <w:t xml:space="preserve">La demande de tranche </w:t>
      </w:r>
      <w:r w:rsidR="00DF5AE2" w:rsidRPr="00643C62">
        <w:rPr>
          <w:lang w:val="fr-CA"/>
        </w:rPr>
        <w:t xml:space="preserve">de financement </w:t>
      </w:r>
      <w:r w:rsidRPr="00643C62">
        <w:rPr>
          <w:lang w:val="fr-CA"/>
        </w:rPr>
        <w:t>comprenait un rap</w:t>
      </w:r>
      <w:r w:rsidR="00F9057A" w:rsidRPr="00643C62">
        <w:rPr>
          <w:lang w:val="fr-CA"/>
        </w:rPr>
        <w:t>p</w:t>
      </w:r>
      <w:r w:rsidRPr="00643C62">
        <w:rPr>
          <w:lang w:val="fr-CA"/>
        </w:rPr>
        <w:t>ort périodique</w:t>
      </w:r>
      <w:r w:rsidR="00F9057A" w:rsidRPr="00643C62">
        <w:rPr>
          <w:lang w:val="fr-CA"/>
        </w:rPr>
        <w:t xml:space="preserve"> indiquant notammen</w:t>
      </w:r>
      <w:r w:rsidRPr="00643C62">
        <w:rPr>
          <w:lang w:val="fr-CA"/>
        </w:rPr>
        <w:t xml:space="preserve">t que la reconversion de l’entreprise de mousse de polystyrène extrudé </w:t>
      </w:r>
      <w:proofErr w:type="spellStart"/>
      <w:r w:rsidRPr="00643C62">
        <w:rPr>
          <w:lang w:val="fr-CA"/>
        </w:rPr>
        <w:t>Celpack</w:t>
      </w:r>
      <w:proofErr w:type="spellEnd"/>
      <w:r w:rsidR="00F17DAA" w:rsidRPr="00643C62">
        <w:rPr>
          <w:lang w:val="fr-CA"/>
        </w:rPr>
        <w:t xml:space="preserve"> </w:t>
      </w:r>
      <w:r w:rsidR="00F9057A" w:rsidRPr="00643C62">
        <w:rPr>
          <w:lang w:val="fr-CA"/>
        </w:rPr>
        <w:t>du HCFC-22 au CO</w:t>
      </w:r>
      <w:r w:rsidR="00F9057A" w:rsidRPr="00B257E0">
        <w:rPr>
          <w:vertAlign w:val="subscript"/>
          <w:lang w:val="fr-CA"/>
        </w:rPr>
        <w:t>2</w:t>
      </w:r>
      <w:r w:rsidR="00F9057A" w:rsidRPr="00643C62">
        <w:rPr>
          <w:lang w:val="fr-CA"/>
        </w:rPr>
        <w:t xml:space="preserve"> avait été retardée à cause des difficultés économiques que connaissait l’entreprise et de son intérêt à évaluer le butane comme solution de remplacement des HCFC. Dans son approbation de la tranche de financement, le Comité exécutif a demandé à l’ONUDI de remettre un compte rendu sur la viabilité financière de l’entreprise </w:t>
      </w:r>
      <w:r w:rsidR="00B257E0" w:rsidRPr="00643C62">
        <w:rPr>
          <w:lang w:val="fr-CA"/>
        </w:rPr>
        <w:t>à la 85</w:t>
      </w:r>
      <w:r w:rsidR="00B257E0" w:rsidRPr="00643C62">
        <w:rPr>
          <w:vertAlign w:val="superscript"/>
          <w:lang w:val="fr-CA"/>
        </w:rPr>
        <w:t>e</w:t>
      </w:r>
      <w:r w:rsidR="00B257E0">
        <w:rPr>
          <w:lang w:val="fr-CA"/>
        </w:rPr>
        <w:t> </w:t>
      </w:r>
      <w:r w:rsidR="00B257E0" w:rsidRPr="00643C62">
        <w:rPr>
          <w:lang w:val="fr-CA"/>
        </w:rPr>
        <w:t>réunion</w:t>
      </w:r>
      <w:r w:rsidR="00B257E0">
        <w:rPr>
          <w:lang w:val="fr-CA"/>
        </w:rPr>
        <w:t xml:space="preserve"> </w:t>
      </w:r>
      <w:r w:rsidR="00F9057A" w:rsidRPr="00643C62">
        <w:rPr>
          <w:lang w:val="fr-CA"/>
        </w:rPr>
        <w:t xml:space="preserve">et d’indiquer si l’entreprise </w:t>
      </w:r>
      <w:r w:rsidR="00B257E0">
        <w:rPr>
          <w:lang w:val="fr-CA"/>
        </w:rPr>
        <w:t>recevra</w:t>
      </w:r>
      <w:r w:rsidR="00F9057A" w:rsidRPr="00643C62">
        <w:rPr>
          <w:lang w:val="fr-CA"/>
        </w:rPr>
        <w:t xml:space="preserve"> l’assistance du </w:t>
      </w:r>
      <w:r w:rsidR="00B257E0">
        <w:rPr>
          <w:lang w:val="fr-CA"/>
        </w:rPr>
        <w:t>Fonds</w:t>
      </w:r>
      <w:r w:rsidR="00F9057A" w:rsidRPr="00643C62">
        <w:rPr>
          <w:lang w:val="fr-CA"/>
        </w:rPr>
        <w:t xml:space="preserve"> multilatéral, étant entendu que les sommes destinées à la reconversion </w:t>
      </w:r>
      <w:r w:rsidR="00B257E0">
        <w:rPr>
          <w:lang w:val="fr-CA"/>
        </w:rPr>
        <w:t>devront être</w:t>
      </w:r>
      <w:r w:rsidR="00F9057A" w:rsidRPr="00643C62">
        <w:rPr>
          <w:lang w:val="fr-CA"/>
        </w:rPr>
        <w:t xml:space="preserve"> restituées si l’</w:t>
      </w:r>
      <w:r w:rsidR="00DF5AE2" w:rsidRPr="00643C62">
        <w:rPr>
          <w:lang w:val="fr-CA"/>
        </w:rPr>
        <w:t xml:space="preserve">entreprise </w:t>
      </w:r>
      <w:r w:rsidR="00B257E0">
        <w:rPr>
          <w:lang w:val="fr-CA"/>
        </w:rPr>
        <w:t>est</w:t>
      </w:r>
      <w:r w:rsidR="00F9057A" w:rsidRPr="00643C62">
        <w:rPr>
          <w:lang w:val="fr-CA"/>
        </w:rPr>
        <w:t xml:space="preserve"> retirée du projet (</w:t>
      </w:r>
      <w:r w:rsidR="00F17DAA" w:rsidRPr="00643C62">
        <w:rPr>
          <w:lang w:val="fr-CA"/>
        </w:rPr>
        <w:t>d</w:t>
      </w:r>
      <w:r w:rsidR="00F9057A" w:rsidRPr="00643C62">
        <w:rPr>
          <w:lang w:val="fr-CA"/>
        </w:rPr>
        <w:t xml:space="preserve">écision 84/64 d) </w:t>
      </w:r>
      <w:r w:rsidR="00F17DAA" w:rsidRPr="00643C62">
        <w:rPr>
          <w:lang w:val="fr-CA"/>
        </w:rPr>
        <w:t>ii)).</w:t>
      </w:r>
    </w:p>
    <w:p w14:paraId="107CD8A8" w14:textId="44A03714" w:rsidR="00F17DAA" w:rsidRPr="00643C62" w:rsidRDefault="00DF5AE2" w:rsidP="00F17DAA">
      <w:pPr>
        <w:pStyle w:val="Heading1"/>
        <w:rPr>
          <w:lang w:val="fr-CA"/>
        </w:rPr>
      </w:pPr>
      <w:r w:rsidRPr="00643C62">
        <w:rPr>
          <w:lang w:val="fr-CA"/>
        </w:rPr>
        <w:t>Conformément à la décision 84/64 d) ii), l’ONUDI a remis à la 85</w:t>
      </w:r>
      <w:r w:rsidRPr="00643C62">
        <w:rPr>
          <w:vertAlign w:val="superscript"/>
          <w:lang w:val="fr-CA"/>
        </w:rPr>
        <w:t>e</w:t>
      </w:r>
      <w:r w:rsidRPr="00643C62">
        <w:rPr>
          <w:lang w:val="fr-CA"/>
        </w:rPr>
        <w:t xml:space="preserve"> réunion un rapport indiquant que l’Argentine et l’ONUDI </w:t>
      </w:r>
      <w:r w:rsidR="00BB52A2" w:rsidRPr="00643C62">
        <w:rPr>
          <w:lang w:val="fr-CA"/>
        </w:rPr>
        <w:t>ont été</w:t>
      </w:r>
      <w:r w:rsidRPr="00643C62">
        <w:rPr>
          <w:lang w:val="fr-CA"/>
        </w:rPr>
        <w:t xml:space="preserve"> incapable</w:t>
      </w:r>
      <w:r w:rsidR="00BB52A2" w:rsidRPr="00643C62">
        <w:rPr>
          <w:lang w:val="fr-CA"/>
        </w:rPr>
        <w:t>s</w:t>
      </w:r>
      <w:r w:rsidRPr="00643C62">
        <w:rPr>
          <w:lang w:val="fr-CA"/>
        </w:rPr>
        <w:t xml:space="preserve"> d’évaluer la viabilité financi</w:t>
      </w:r>
      <w:r w:rsidR="003D3ED1" w:rsidRPr="00643C62">
        <w:rPr>
          <w:lang w:val="fr-CA"/>
        </w:rPr>
        <w:t xml:space="preserve">ère de </w:t>
      </w:r>
      <w:proofErr w:type="spellStart"/>
      <w:r w:rsidR="003D3ED1" w:rsidRPr="00643C62">
        <w:rPr>
          <w:lang w:val="fr-CA"/>
        </w:rPr>
        <w:t>Ce</w:t>
      </w:r>
      <w:r w:rsidRPr="00643C62">
        <w:rPr>
          <w:lang w:val="fr-CA"/>
        </w:rPr>
        <w:t>lpack</w:t>
      </w:r>
      <w:proofErr w:type="spellEnd"/>
      <w:r w:rsidRPr="00643C62">
        <w:rPr>
          <w:lang w:val="fr-CA"/>
        </w:rPr>
        <w:t xml:space="preserve"> à cause des mesures </w:t>
      </w:r>
      <w:r w:rsidR="002D218D">
        <w:rPr>
          <w:lang w:val="fr-CA"/>
        </w:rPr>
        <w:t>de confinement</w:t>
      </w:r>
      <w:r w:rsidRPr="00643C62">
        <w:rPr>
          <w:lang w:val="fr-CA"/>
        </w:rPr>
        <w:t xml:space="preserve"> </w:t>
      </w:r>
      <w:r w:rsidR="003D3ED1" w:rsidRPr="00643C62">
        <w:rPr>
          <w:lang w:val="fr-CA"/>
        </w:rPr>
        <w:t>imposées par le gouvernemen</w:t>
      </w:r>
      <w:r w:rsidR="007B69E1" w:rsidRPr="00643C62">
        <w:rPr>
          <w:lang w:val="fr-CA"/>
        </w:rPr>
        <w:t xml:space="preserve">t </w:t>
      </w:r>
      <w:r w:rsidR="00BB52A2" w:rsidRPr="00643C62">
        <w:rPr>
          <w:lang w:val="fr-CA"/>
        </w:rPr>
        <w:t>dans le contexte</w:t>
      </w:r>
      <w:r w:rsidR="003D3ED1" w:rsidRPr="00643C62">
        <w:rPr>
          <w:lang w:val="fr-CA"/>
        </w:rPr>
        <w:t xml:space="preserve"> de la pan</w:t>
      </w:r>
      <w:r w:rsidR="007B69E1" w:rsidRPr="00643C62">
        <w:rPr>
          <w:lang w:val="fr-CA"/>
        </w:rPr>
        <w:t>démie de la COVID-19, qui interdisaient aux représentants du Bureau national de l’ozone de se rendre</w:t>
      </w:r>
      <w:r w:rsidR="00BB52A2" w:rsidRPr="00643C62">
        <w:rPr>
          <w:lang w:val="fr-CA"/>
        </w:rPr>
        <w:t xml:space="preserve"> à</w:t>
      </w:r>
      <w:r w:rsidR="007B69E1" w:rsidRPr="00643C62">
        <w:rPr>
          <w:lang w:val="fr-CA"/>
        </w:rPr>
        <w:t xml:space="preserve"> l’entreprise pour y effectuer l’évaluation financière. Ainsi, </w:t>
      </w:r>
      <w:r w:rsidR="003D3ED1" w:rsidRPr="00643C62">
        <w:rPr>
          <w:lang w:val="fr-CA"/>
        </w:rPr>
        <w:t>dans le cadre du processus d’approbation intersessions de la 85</w:t>
      </w:r>
      <w:r w:rsidR="003D3ED1" w:rsidRPr="00643C62">
        <w:rPr>
          <w:vertAlign w:val="superscript"/>
          <w:lang w:val="fr-CA"/>
        </w:rPr>
        <w:t>e</w:t>
      </w:r>
      <w:r w:rsidR="003D3ED1" w:rsidRPr="00643C62">
        <w:rPr>
          <w:lang w:val="fr-CA"/>
        </w:rPr>
        <w:t xml:space="preserve"> réunion (PAI-85)</w:t>
      </w:r>
      <w:r w:rsidR="002D218D">
        <w:rPr>
          <w:lang w:val="fr-CA"/>
        </w:rPr>
        <w:t xml:space="preserve">, </w:t>
      </w:r>
      <w:r w:rsidR="002D218D" w:rsidRPr="00643C62">
        <w:rPr>
          <w:lang w:val="fr-CA"/>
        </w:rPr>
        <w:t>le Comité exécutif</w:t>
      </w:r>
      <w:r w:rsidR="002D218D">
        <w:rPr>
          <w:lang w:val="fr-CA"/>
        </w:rPr>
        <w:t>,</w:t>
      </w:r>
      <w:r w:rsidR="003D3ED1" w:rsidRPr="00643C62">
        <w:rPr>
          <w:lang w:val="fr-CA"/>
        </w:rPr>
        <w:t xml:space="preserve"> a </w:t>
      </w:r>
      <w:r w:rsidR="007B69E1" w:rsidRPr="00643C62">
        <w:rPr>
          <w:lang w:val="fr-CA"/>
        </w:rPr>
        <w:t xml:space="preserve">demandé au gouvernement de l’Argentine de </w:t>
      </w:r>
      <w:r w:rsidR="00BB52A2" w:rsidRPr="00643C62">
        <w:rPr>
          <w:lang w:val="fr-CA"/>
        </w:rPr>
        <w:t xml:space="preserve">remettre </w:t>
      </w:r>
      <w:r w:rsidR="003D3ED1" w:rsidRPr="00643C62">
        <w:rPr>
          <w:lang w:val="fr-CA"/>
        </w:rPr>
        <w:t>à la 86</w:t>
      </w:r>
      <w:r w:rsidR="003D3ED1" w:rsidRPr="00643C62">
        <w:rPr>
          <w:vertAlign w:val="superscript"/>
          <w:lang w:val="fr-CA"/>
        </w:rPr>
        <w:t>e</w:t>
      </w:r>
      <w:r w:rsidR="003D3ED1" w:rsidRPr="00643C62">
        <w:rPr>
          <w:lang w:val="fr-CA"/>
        </w:rPr>
        <w:t xml:space="preserve"> réunion, </w:t>
      </w:r>
      <w:r w:rsidR="007B69E1" w:rsidRPr="00643C62">
        <w:rPr>
          <w:lang w:val="fr-CA"/>
        </w:rPr>
        <w:t xml:space="preserve">une mise à jour </w:t>
      </w:r>
      <w:r w:rsidR="003D3ED1" w:rsidRPr="00643C62">
        <w:rPr>
          <w:lang w:val="fr-CA"/>
        </w:rPr>
        <w:t>sur la vi</w:t>
      </w:r>
      <w:r w:rsidR="002D218D">
        <w:rPr>
          <w:lang w:val="fr-CA"/>
        </w:rPr>
        <w:t xml:space="preserve">abilité financière de </w:t>
      </w:r>
      <w:proofErr w:type="spellStart"/>
      <w:r w:rsidR="002D218D">
        <w:rPr>
          <w:lang w:val="fr-CA"/>
        </w:rPr>
        <w:t>Celpack</w:t>
      </w:r>
      <w:proofErr w:type="spellEnd"/>
      <w:r w:rsidR="002D218D">
        <w:rPr>
          <w:lang w:val="fr-CA"/>
        </w:rPr>
        <w:t>, de faire connaître s</w:t>
      </w:r>
      <w:r w:rsidR="003D3ED1" w:rsidRPr="00643C62">
        <w:rPr>
          <w:lang w:val="fr-CA"/>
        </w:rPr>
        <w:t xml:space="preserve">a décision d’offrir </w:t>
      </w:r>
      <w:r w:rsidR="002D218D">
        <w:rPr>
          <w:lang w:val="fr-CA"/>
        </w:rPr>
        <w:t xml:space="preserve">ou non </w:t>
      </w:r>
      <w:r w:rsidR="003D3ED1" w:rsidRPr="00643C62">
        <w:rPr>
          <w:lang w:val="fr-CA"/>
        </w:rPr>
        <w:t xml:space="preserve">l’assistance du Fonds </w:t>
      </w:r>
      <w:r w:rsidR="00BB52A2" w:rsidRPr="00643C62">
        <w:rPr>
          <w:lang w:val="fr-CA"/>
        </w:rPr>
        <w:t>multilatéral</w:t>
      </w:r>
      <w:r w:rsidR="003D3ED1" w:rsidRPr="00643C62">
        <w:rPr>
          <w:lang w:val="fr-CA"/>
        </w:rPr>
        <w:t xml:space="preserve"> à l’entre</w:t>
      </w:r>
      <w:r w:rsidR="00BB52A2" w:rsidRPr="00643C62">
        <w:rPr>
          <w:lang w:val="fr-CA"/>
        </w:rPr>
        <w:t>prise</w:t>
      </w:r>
      <w:r w:rsidR="003D3ED1" w:rsidRPr="00643C62">
        <w:rPr>
          <w:lang w:val="fr-CA"/>
        </w:rPr>
        <w:t xml:space="preserve"> conformément à la décision 84/64 d) ii), et </w:t>
      </w:r>
      <w:r w:rsidR="002D218D">
        <w:rPr>
          <w:lang w:val="fr-CA"/>
        </w:rPr>
        <w:t>de restituer l</w:t>
      </w:r>
      <w:r w:rsidR="003D3ED1" w:rsidRPr="00643C62">
        <w:rPr>
          <w:lang w:val="fr-CA"/>
        </w:rPr>
        <w:t xml:space="preserve">es </w:t>
      </w:r>
      <w:r w:rsidR="002D218D">
        <w:rPr>
          <w:lang w:val="fr-CA"/>
        </w:rPr>
        <w:t>sommes</w:t>
      </w:r>
      <w:r w:rsidR="003D3ED1" w:rsidRPr="00643C62">
        <w:rPr>
          <w:lang w:val="fr-CA"/>
        </w:rPr>
        <w:t xml:space="preserve"> associé</w:t>
      </w:r>
      <w:r w:rsidR="002D218D">
        <w:rPr>
          <w:lang w:val="fr-CA"/>
        </w:rPr>
        <w:t>e</w:t>
      </w:r>
      <w:r w:rsidR="003D3ED1" w:rsidRPr="00643C62">
        <w:rPr>
          <w:lang w:val="fr-CA"/>
        </w:rPr>
        <w:t>s à la reconversion, si l’entreprise devait être retirée du projet</w:t>
      </w:r>
      <w:r w:rsidR="00F17DAA" w:rsidRPr="00643C62">
        <w:rPr>
          <w:lang w:val="fr-CA"/>
        </w:rPr>
        <w:t>.</w:t>
      </w:r>
    </w:p>
    <w:p w14:paraId="20906E03" w14:textId="68054807" w:rsidR="00F17DAA" w:rsidRPr="00643C62" w:rsidRDefault="00BB52A2" w:rsidP="00F17DAA">
      <w:pPr>
        <w:pStyle w:val="Heading1"/>
        <w:keepNext/>
        <w:rPr>
          <w:lang w:val="fr-CA"/>
        </w:rPr>
      </w:pPr>
      <w:r w:rsidRPr="00643C62">
        <w:rPr>
          <w:lang w:val="fr-CA"/>
        </w:rPr>
        <w:t>En réponse à la décis</w:t>
      </w:r>
      <w:r w:rsidR="002D218D">
        <w:rPr>
          <w:lang w:val="fr-CA"/>
        </w:rPr>
        <w:t>ion adoptée dans le contexte d</w:t>
      </w:r>
      <w:r w:rsidRPr="00643C62">
        <w:rPr>
          <w:lang w:val="fr-CA"/>
        </w:rPr>
        <w:t>u PAI-85, l’ONUDI a indiqué en septembre 2020 qu’aucu</w:t>
      </w:r>
      <w:r w:rsidR="002D218D">
        <w:rPr>
          <w:lang w:val="fr-CA"/>
        </w:rPr>
        <w:t>n progrès n’avait été accompli</w:t>
      </w:r>
      <w:r w:rsidRPr="00643C62">
        <w:rPr>
          <w:lang w:val="fr-CA"/>
        </w:rPr>
        <w:t xml:space="preserve"> dans le processus à cause de la </w:t>
      </w:r>
      <w:r w:rsidR="005140C9" w:rsidRPr="00643C62">
        <w:rPr>
          <w:lang w:val="fr-CA"/>
        </w:rPr>
        <w:t xml:space="preserve">pause juridique imposée </w:t>
      </w:r>
      <w:r w:rsidR="00995BA7">
        <w:rPr>
          <w:lang w:val="fr-CA"/>
        </w:rPr>
        <w:t>en vertu</w:t>
      </w:r>
      <w:r w:rsidR="005140C9" w:rsidRPr="00643C62">
        <w:rPr>
          <w:lang w:val="fr-CA"/>
        </w:rPr>
        <w:t xml:space="preserve"> des mesures de confinement associées à la pandémie de la COVID-19. L’information reçue du fiduciaire indiquait </w:t>
      </w:r>
      <w:r w:rsidR="00EA3BCC">
        <w:rPr>
          <w:lang w:val="fr-CA"/>
        </w:rPr>
        <w:t>que la</w:t>
      </w:r>
      <w:r w:rsidR="005140C9" w:rsidRPr="00643C62">
        <w:rPr>
          <w:lang w:val="fr-CA"/>
        </w:rPr>
        <w:t xml:space="preserve"> majorité de la dette de </w:t>
      </w:r>
      <w:proofErr w:type="spellStart"/>
      <w:r w:rsidR="005140C9" w:rsidRPr="00643C62">
        <w:rPr>
          <w:lang w:val="fr-CA"/>
        </w:rPr>
        <w:t>Celpack</w:t>
      </w:r>
      <w:proofErr w:type="spellEnd"/>
      <w:r w:rsidR="005140C9" w:rsidRPr="00643C62">
        <w:rPr>
          <w:lang w:val="fr-CA"/>
        </w:rPr>
        <w:t xml:space="preserve"> concerne l’agence fédérale des revenus publics. Conscient de l’impact économique de la COVID-19, le Parlement a adopté une loi approuvant un moratoire</w:t>
      </w:r>
      <w:r w:rsidR="00BF7765" w:rsidRPr="00643C62">
        <w:rPr>
          <w:lang w:val="fr-CA"/>
        </w:rPr>
        <w:t xml:space="preserve"> sur les dettes de financement venant à échéance le 31 juillet 2020. Par la suite, le Comité exécutif a demandé </w:t>
      </w:r>
      <w:r w:rsidR="00BF7765" w:rsidRPr="00643C62">
        <w:rPr>
          <w:lang w:val="fr-CA"/>
        </w:rPr>
        <w:lastRenderedPageBreak/>
        <w:t xml:space="preserve">au gouvernement de l’Argentine, par l’entremise de l’ONUDI, de </w:t>
      </w:r>
      <w:r w:rsidR="00995BA7">
        <w:rPr>
          <w:lang w:val="fr-CA"/>
        </w:rPr>
        <w:t>présenter</w:t>
      </w:r>
      <w:r w:rsidR="00BF7765" w:rsidRPr="00643C62">
        <w:rPr>
          <w:lang w:val="fr-CA"/>
        </w:rPr>
        <w:t xml:space="preserve"> un compte rendu à la 87</w:t>
      </w:r>
      <w:r w:rsidR="00BF7765" w:rsidRPr="00643C62">
        <w:rPr>
          <w:vertAlign w:val="superscript"/>
          <w:lang w:val="fr-CA"/>
        </w:rPr>
        <w:t>e</w:t>
      </w:r>
      <w:r w:rsidR="00995BA7">
        <w:rPr>
          <w:lang w:val="fr-CA"/>
        </w:rPr>
        <w:t> </w:t>
      </w:r>
      <w:r w:rsidR="00BF7765" w:rsidRPr="00643C62">
        <w:rPr>
          <w:lang w:val="fr-CA"/>
        </w:rPr>
        <w:t xml:space="preserve">réunion, conformément à la décision 84/64 </w:t>
      </w:r>
      <w:r w:rsidR="00F17DAA" w:rsidRPr="00643C62">
        <w:rPr>
          <w:lang w:val="fr-CA"/>
        </w:rPr>
        <w:t>d)</w:t>
      </w:r>
      <w:r w:rsidR="00BF7765" w:rsidRPr="00643C62">
        <w:rPr>
          <w:lang w:val="fr-CA"/>
        </w:rPr>
        <w:t xml:space="preserve"> </w:t>
      </w:r>
      <w:r w:rsidR="00F17DAA" w:rsidRPr="00643C62">
        <w:rPr>
          <w:lang w:val="fr-CA"/>
        </w:rPr>
        <w:t>ii) (</w:t>
      </w:r>
      <w:r w:rsidR="00BF7765" w:rsidRPr="00643C62">
        <w:rPr>
          <w:lang w:val="fr-CA"/>
        </w:rPr>
        <w:t>dé</w:t>
      </w:r>
      <w:r w:rsidR="00310DCC" w:rsidRPr="00643C62">
        <w:rPr>
          <w:lang w:val="fr-CA"/>
        </w:rPr>
        <w:t>cision 86/22</w:t>
      </w:r>
      <w:r w:rsidR="00F17DAA" w:rsidRPr="00643C62">
        <w:rPr>
          <w:lang w:val="fr-CA"/>
        </w:rPr>
        <w:t>).</w:t>
      </w:r>
    </w:p>
    <w:p w14:paraId="5FD93FC8" w14:textId="0F36BE2A" w:rsidR="00F17DAA" w:rsidRPr="00643C62" w:rsidRDefault="00BF7765" w:rsidP="00F17DAA">
      <w:pPr>
        <w:pStyle w:val="Heading1"/>
        <w:keepNext/>
        <w:numPr>
          <w:ilvl w:val="0"/>
          <w:numId w:val="0"/>
        </w:numPr>
        <w:rPr>
          <w:b/>
          <w:lang w:val="fr-CA"/>
        </w:rPr>
      </w:pPr>
      <w:r w:rsidRPr="00643C62">
        <w:rPr>
          <w:b/>
          <w:lang w:val="fr-CA"/>
        </w:rPr>
        <w:t>Rapport périodique</w:t>
      </w:r>
    </w:p>
    <w:p w14:paraId="2C70BB91" w14:textId="48B6E0C7" w:rsidR="00F17DAA" w:rsidRPr="00643C62" w:rsidRDefault="00BF7765" w:rsidP="00F17DAA">
      <w:pPr>
        <w:pStyle w:val="Heading1"/>
        <w:rPr>
          <w:lang w:val="fr-CA"/>
        </w:rPr>
      </w:pPr>
      <w:r w:rsidRPr="00643C62">
        <w:rPr>
          <w:lang w:val="fr-CA"/>
        </w:rPr>
        <w:t>L’ONUDI a présenté un compte rendu à la 87</w:t>
      </w:r>
      <w:r w:rsidRPr="00643C62">
        <w:rPr>
          <w:vertAlign w:val="superscript"/>
          <w:lang w:val="fr-CA"/>
        </w:rPr>
        <w:t>e</w:t>
      </w:r>
      <w:r w:rsidRPr="00643C62">
        <w:rPr>
          <w:lang w:val="fr-CA"/>
        </w:rPr>
        <w:t xml:space="preserve"> r</w:t>
      </w:r>
      <w:r w:rsidR="009F31F9" w:rsidRPr="00643C62">
        <w:rPr>
          <w:lang w:val="fr-CA"/>
        </w:rPr>
        <w:t>é</w:t>
      </w:r>
      <w:r w:rsidRPr="00643C62">
        <w:rPr>
          <w:lang w:val="fr-CA"/>
        </w:rPr>
        <w:t>union au nom du gouvernement de l’Argentine</w:t>
      </w:r>
      <w:r w:rsidR="00995BA7">
        <w:rPr>
          <w:lang w:val="fr-CA"/>
        </w:rPr>
        <w:t>, qui indiquait</w:t>
      </w:r>
      <w:r w:rsidR="009F31F9" w:rsidRPr="00643C62">
        <w:rPr>
          <w:lang w:val="fr-CA"/>
        </w:rPr>
        <w:t xml:space="preserve"> que </w:t>
      </w:r>
      <w:proofErr w:type="spellStart"/>
      <w:r w:rsidR="009F31F9" w:rsidRPr="00643C62">
        <w:rPr>
          <w:lang w:val="fr-CA"/>
        </w:rPr>
        <w:t>Celpack</w:t>
      </w:r>
      <w:proofErr w:type="spellEnd"/>
      <w:r w:rsidR="009F31F9" w:rsidRPr="00643C62">
        <w:rPr>
          <w:lang w:val="fr-CA"/>
        </w:rPr>
        <w:t xml:space="preserve"> respectait le moratoire souple et remboursait ses dettes en respectant le calendrier de remboursement approuvé par les autorités fiscales de l’Argentine, ce qui devrait avoir un impact positif sur la viabilité financière de l’entreprise.</w:t>
      </w:r>
      <w:r w:rsidRPr="00643C62">
        <w:rPr>
          <w:lang w:val="fr-CA"/>
        </w:rPr>
        <w:t xml:space="preserve"> </w:t>
      </w:r>
      <w:r w:rsidR="009F31F9" w:rsidRPr="00643C62">
        <w:rPr>
          <w:lang w:val="fr-CA"/>
        </w:rPr>
        <w:t>Le Bureau national de l’ozone et l’</w:t>
      </w:r>
      <w:r w:rsidR="00E1029E" w:rsidRPr="00643C62">
        <w:rPr>
          <w:lang w:val="fr-CA"/>
        </w:rPr>
        <w:t xml:space="preserve">ONUDI discuteront avec le fiduciaire dès la levée des mesures de confinement </w:t>
      </w:r>
      <w:r w:rsidR="00995BA7">
        <w:rPr>
          <w:lang w:val="fr-CA"/>
        </w:rPr>
        <w:t xml:space="preserve">relatives à la COVID-19 </w:t>
      </w:r>
      <w:r w:rsidR="00E1029E" w:rsidRPr="00643C62">
        <w:rPr>
          <w:lang w:val="fr-CA"/>
        </w:rPr>
        <w:t xml:space="preserve">et la reprise des opérations du service judiciaire provincial, afin de déterminer la situation économique de </w:t>
      </w:r>
      <w:proofErr w:type="spellStart"/>
      <w:r w:rsidR="00E1029E" w:rsidRPr="00643C62">
        <w:rPr>
          <w:lang w:val="fr-CA"/>
        </w:rPr>
        <w:t>Celpack</w:t>
      </w:r>
      <w:proofErr w:type="spellEnd"/>
      <w:r w:rsidR="00E1029E" w:rsidRPr="00643C62">
        <w:rPr>
          <w:lang w:val="fr-CA"/>
        </w:rPr>
        <w:t>, et feront rapport à la 88</w:t>
      </w:r>
      <w:r w:rsidR="00E1029E" w:rsidRPr="00643C62">
        <w:rPr>
          <w:vertAlign w:val="superscript"/>
          <w:lang w:val="fr-CA"/>
        </w:rPr>
        <w:t>e</w:t>
      </w:r>
      <w:r w:rsidR="00E1029E" w:rsidRPr="00643C62">
        <w:rPr>
          <w:lang w:val="fr-CA"/>
        </w:rPr>
        <w:t xml:space="preserve"> réunion</w:t>
      </w:r>
      <w:r w:rsidR="00F17DAA" w:rsidRPr="00643C62">
        <w:rPr>
          <w:lang w:val="fr-CA"/>
        </w:rPr>
        <w:t>.</w:t>
      </w:r>
    </w:p>
    <w:p w14:paraId="7BD87054" w14:textId="7BD216D6" w:rsidR="00F17DAA" w:rsidRPr="00643C62" w:rsidRDefault="00E1029E" w:rsidP="00F17DAA">
      <w:pPr>
        <w:pStyle w:val="Heading1"/>
        <w:rPr>
          <w:lang w:val="fr-CA"/>
        </w:rPr>
      </w:pPr>
      <w:r w:rsidRPr="00643C62">
        <w:rPr>
          <w:lang w:val="fr-CA"/>
        </w:rPr>
        <w:t xml:space="preserve">Le gouvernement de l’Argentine a réitéré que le financement associé à </w:t>
      </w:r>
      <w:proofErr w:type="spellStart"/>
      <w:r w:rsidRPr="00643C62">
        <w:rPr>
          <w:lang w:val="fr-CA"/>
        </w:rPr>
        <w:t>Celpack</w:t>
      </w:r>
      <w:proofErr w:type="spellEnd"/>
      <w:r w:rsidRPr="00643C62">
        <w:rPr>
          <w:lang w:val="fr-CA"/>
        </w:rPr>
        <w:t xml:space="preserve"> ne sera pas décaissé tant que la question n’aura pas été réglée et que le Comité exécutif aura examiné la solution. Le Secrétariat </w:t>
      </w:r>
      <w:r w:rsidR="00EA3BCC">
        <w:rPr>
          <w:lang w:val="fr-CA"/>
        </w:rPr>
        <w:t>a pris</w:t>
      </w:r>
      <w:r w:rsidR="00216C5D" w:rsidRPr="00643C62">
        <w:rPr>
          <w:lang w:val="fr-CA"/>
        </w:rPr>
        <w:t xml:space="preserve"> note que si l’entreprise devait être déclaré</w:t>
      </w:r>
      <w:r w:rsidR="00EA3BCC">
        <w:rPr>
          <w:lang w:val="fr-CA"/>
        </w:rPr>
        <w:t>e</w:t>
      </w:r>
      <w:r w:rsidR="00216C5D" w:rsidRPr="00643C62">
        <w:rPr>
          <w:lang w:val="fr-CA"/>
        </w:rPr>
        <w:t xml:space="preserve"> non viable financièrement, les sommes à restituer seraient calculées en tenant compte des dispositions de souplesse appliquées pour l’approbation des fonds pour le secteur de la mousse de polystyrène extrudé en Argentine</w:t>
      </w:r>
      <w:r w:rsidR="00F17DAA" w:rsidRPr="00643C62">
        <w:rPr>
          <w:lang w:val="fr-CA"/>
        </w:rPr>
        <w:t>.</w:t>
      </w:r>
      <w:r w:rsidR="00F17DAA" w:rsidRPr="00643C62">
        <w:rPr>
          <w:rStyle w:val="FootnoteReference"/>
          <w:lang w:val="fr-CA"/>
        </w:rPr>
        <w:footnoteReference w:id="10"/>
      </w:r>
      <w:r w:rsidR="00F17DAA" w:rsidRPr="00643C62">
        <w:rPr>
          <w:lang w:val="fr-CA"/>
        </w:rPr>
        <w:t xml:space="preserve"> </w:t>
      </w:r>
    </w:p>
    <w:p w14:paraId="395A51BC" w14:textId="130A024F" w:rsidR="00F17DAA" w:rsidRPr="00643C62" w:rsidRDefault="00216C5D" w:rsidP="00F17DAA">
      <w:pPr>
        <w:pStyle w:val="Heading1"/>
        <w:keepNext/>
        <w:keepLines/>
        <w:numPr>
          <w:ilvl w:val="0"/>
          <w:numId w:val="0"/>
        </w:numPr>
        <w:rPr>
          <w:b/>
          <w:lang w:val="fr-CA"/>
        </w:rPr>
      </w:pPr>
      <w:r w:rsidRPr="00643C62">
        <w:rPr>
          <w:b/>
          <w:lang w:val="fr-CA"/>
        </w:rPr>
        <w:t>Recomma</w:t>
      </w:r>
      <w:r w:rsidR="00F17DAA" w:rsidRPr="00643C62">
        <w:rPr>
          <w:b/>
          <w:lang w:val="fr-CA"/>
        </w:rPr>
        <w:t>ndation</w:t>
      </w:r>
    </w:p>
    <w:p w14:paraId="58FE5FA7" w14:textId="37027F48" w:rsidR="00F17DAA" w:rsidRPr="00643C62" w:rsidRDefault="00216C5D" w:rsidP="00F17DAA">
      <w:pPr>
        <w:pStyle w:val="Heading1"/>
        <w:rPr>
          <w:lang w:val="fr-CA"/>
        </w:rPr>
      </w:pPr>
      <w:r w:rsidRPr="00643C62">
        <w:rPr>
          <w:lang w:val="fr-CA"/>
        </w:rPr>
        <w:t xml:space="preserve">Le Comité exécutif pourrait souhaiter </w:t>
      </w:r>
      <w:r w:rsidR="00F17DAA" w:rsidRPr="00643C62">
        <w:rPr>
          <w:lang w:val="fr-CA"/>
        </w:rPr>
        <w:t>:</w:t>
      </w:r>
    </w:p>
    <w:p w14:paraId="31A87903" w14:textId="4BEB4738" w:rsidR="00F17DAA" w:rsidRPr="00643C62" w:rsidRDefault="00ED04E8" w:rsidP="00F17DAA">
      <w:pPr>
        <w:pStyle w:val="Heading2"/>
        <w:rPr>
          <w:lang w:val="fr-CA"/>
        </w:rPr>
      </w:pPr>
      <w:r w:rsidRPr="00643C62">
        <w:rPr>
          <w:lang w:val="fr-CA"/>
        </w:rPr>
        <w:t>Demander au gouvernement de l’Argentine, par l’entremise de l’ONUDI, de remettre à la 88</w:t>
      </w:r>
      <w:r w:rsidRPr="00643C62">
        <w:rPr>
          <w:vertAlign w:val="superscript"/>
          <w:lang w:val="fr-CA"/>
        </w:rPr>
        <w:t>e</w:t>
      </w:r>
      <w:r w:rsidRPr="00643C62">
        <w:rPr>
          <w:lang w:val="fr-CA"/>
        </w:rPr>
        <w:t xml:space="preserve"> réunion un compte rendu sur la viabilité financière de l’entreprise de mousse de polystyrène extrudé </w:t>
      </w:r>
      <w:proofErr w:type="spellStart"/>
      <w:r w:rsidRPr="00643C62">
        <w:rPr>
          <w:lang w:val="fr-CA"/>
        </w:rPr>
        <w:t>Celpack</w:t>
      </w:r>
      <w:proofErr w:type="spellEnd"/>
      <w:r w:rsidRPr="00643C62">
        <w:rPr>
          <w:lang w:val="fr-CA"/>
        </w:rPr>
        <w:t xml:space="preserve"> et </w:t>
      </w:r>
      <w:r w:rsidR="00C47C07">
        <w:rPr>
          <w:lang w:val="fr-CA"/>
        </w:rPr>
        <w:t xml:space="preserve">de lui faire connaître sa </w:t>
      </w:r>
      <w:r w:rsidRPr="00643C62">
        <w:rPr>
          <w:lang w:val="fr-CA"/>
        </w:rPr>
        <w:t>décision de fournir ou non l’assistance du Fonds multilatéral à l’entreprise au titre</w:t>
      </w:r>
      <w:r w:rsidR="00C47C07">
        <w:rPr>
          <w:lang w:val="fr-CA"/>
        </w:rPr>
        <w:t xml:space="preserve"> de la phase II du PGEH pour l’A</w:t>
      </w:r>
      <w:r w:rsidRPr="00643C62">
        <w:rPr>
          <w:lang w:val="fr-CA"/>
        </w:rPr>
        <w:t>rgentine, conformément à la décision 84/64 d) ii</w:t>
      </w:r>
      <w:proofErr w:type="gramStart"/>
      <w:r w:rsidRPr="00643C62">
        <w:rPr>
          <w:lang w:val="fr-CA"/>
        </w:rPr>
        <w:t>);</w:t>
      </w:r>
      <w:proofErr w:type="gramEnd"/>
    </w:p>
    <w:p w14:paraId="27373EC9" w14:textId="0BEF6A8B" w:rsidR="00F17DAA" w:rsidRPr="00643C62" w:rsidRDefault="00ED04E8" w:rsidP="00F17DAA">
      <w:pPr>
        <w:pStyle w:val="Heading2"/>
        <w:rPr>
          <w:lang w:val="fr-CA"/>
        </w:rPr>
      </w:pPr>
      <w:r w:rsidRPr="00643C62">
        <w:rPr>
          <w:lang w:val="fr-CA"/>
        </w:rPr>
        <w:t>Prendre note que si l’entreprise dont il est question à l’alinéa a) ci-dessus ne reçoit p</w:t>
      </w:r>
      <w:r w:rsidR="009267A7" w:rsidRPr="00643C62">
        <w:rPr>
          <w:lang w:val="fr-CA"/>
        </w:rPr>
        <w:t>a</w:t>
      </w:r>
      <w:r w:rsidRPr="00643C62">
        <w:rPr>
          <w:lang w:val="fr-CA"/>
        </w:rPr>
        <w:t xml:space="preserve">s l’assistance du Fonds multilatéral, les sommes associées à la reconversion seraient calculées en tenant compte de la souplesse </w:t>
      </w:r>
      <w:r w:rsidR="0061272A">
        <w:rPr>
          <w:lang w:val="fr-CA"/>
        </w:rPr>
        <w:t xml:space="preserve">accordée au </w:t>
      </w:r>
      <w:r w:rsidR="009267A7" w:rsidRPr="00643C62">
        <w:rPr>
          <w:lang w:val="fr-CA"/>
        </w:rPr>
        <w:t xml:space="preserve">gouvernement de l’Argentine </w:t>
      </w:r>
      <w:r w:rsidR="0061272A" w:rsidRPr="00643C62">
        <w:rPr>
          <w:lang w:val="fr-CA"/>
        </w:rPr>
        <w:t xml:space="preserve">dans l’affectation des fonds approuvés </w:t>
      </w:r>
      <w:r w:rsidR="009267A7" w:rsidRPr="00643C62">
        <w:rPr>
          <w:lang w:val="fr-CA"/>
        </w:rPr>
        <w:t>pour le secteur de la mousse de polystyrène extrudée et soustraites de la prochaine tranche de la phase II du PGEH pour l’Argentine</w:t>
      </w:r>
      <w:r w:rsidR="00F17DAA" w:rsidRPr="00643C62">
        <w:rPr>
          <w:lang w:val="fr-CA"/>
        </w:rPr>
        <w:t>.</w:t>
      </w:r>
    </w:p>
    <w:p w14:paraId="0D705E91" w14:textId="045CCD6C" w:rsidR="005F0F31" w:rsidRPr="00643C62" w:rsidRDefault="005F0F31" w:rsidP="005F0F31">
      <w:pPr>
        <w:rPr>
          <w:lang w:val="fr-CA"/>
        </w:rPr>
      </w:pPr>
      <w:r w:rsidRPr="00023070">
        <w:rPr>
          <w:u w:val="single"/>
          <w:lang w:val="fr-CA"/>
        </w:rPr>
        <w:t>Brunei Darussalam</w:t>
      </w:r>
      <w:r w:rsidR="00C37613" w:rsidRPr="00023070">
        <w:rPr>
          <w:u w:val="single"/>
          <w:lang w:val="fr-CA"/>
        </w:rPr>
        <w:t xml:space="preserve"> </w:t>
      </w:r>
      <w:r w:rsidRPr="00023070">
        <w:rPr>
          <w:u w:val="single"/>
          <w:lang w:val="fr-CA"/>
        </w:rPr>
        <w:t xml:space="preserve">: </w:t>
      </w:r>
      <w:r w:rsidR="00C37613" w:rsidRPr="00023070">
        <w:rPr>
          <w:u w:val="single"/>
          <w:lang w:val="fr-CA"/>
        </w:rPr>
        <w:t>Plan de gestion de l'élimination des HCFC (phase I : demande de prorogation)</w:t>
      </w:r>
      <w:r w:rsidR="00C37613" w:rsidRPr="00023070">
        <w:rPr>
          <w:lang w:val="fr-CA"/>
        </w:rPr>
        <w:t xml:space="preserve"> (PNUE et PNUD)</w:t>
      </w:r>
    </w:p>
    <w:p w14:paraId="2AE8A756" w14:textId="77777777" w:rsidR="005F0F31" w:rsidRPr="00643C62" w:rsidRDefault="005F0F31" w:rsidP="005F0F31">
      <w:pPr>
        <w:rPr>
          <w:lang w:val="fr-CA"/>
        </w:rPr>
      </w:pPr>
    </w:p>
    <w:p w14:paraId="3A684CBC" w14:textId="1C26CB8D" w:rsidR="005F0F31" w:rsidRPr="00643C62" w:rsidRDefault="0061272A" w:rsidP="005F0F31">
      <w:pPr>
        <w:keepNext/>
        <w:spacing w:after="240"/>
        <w:rPr>
          <w:b/>
          <w:lang w:val="fr-CA"/>
        </w:rPr>
      </w:pPr>
      <w:r>
        <w:rPr>
          <w:b/>
          <w:lang w:val="fr-CA"/>
        </w:rPr>
        <w:t>Contexte</w:t>
      </w:r>
    </w:p>
    <w:p w14:paraId="4E548E81" w14:textId="46E9C8AB" w:rsidR="005F0F31" w:rsidRPr="00643C62" w:rsidRDefault="00C37613" w:rsidP="005F0F31">
      <w:pPr>
        <w:numPr>
          <w:ilvl w:val="0"/>
          <w:numId w:val="1"/>
        </w:numPr>
        <w:spacing w:after="240"/>
        <w:outlineLvl w:val="0"/>
        <w:rPr>
          <w:lang w:val="fr-CA"/>
        </w:rPr>
      </w:pPr>
      <w:r w:rsidRPr="00643C62">
        <w:rPr>
          <w:lang w:val="fr-CA"/>
        </w:rPr>
        <w:t xml:space="preserve">Le PNUE, en qualité d’agence d’exécution principale, a </w:t>
      </w:r>
      <w:r w:rsidR="00EB4C37">
        <w:rPr>
          <w:lang w:val="fr-CA"/>
        </w:rPr>
        <w:t>présenté</w:t>
      </w:r>
      <w:r w:rsidRPr="00643C62">
        <w:rPr>
          <w:lang w:val="fr-CA"/>
        </w:rPr>
        <w:t xml:space="preserve"> une demande de prorogation de la mise en</w:t>
      </w:r>
      <w:r w:rsidR="00023070">
        <w:rPr>
          <w:lang w:val="fr-CA"/>
        </w:rPr>
        <w:t xml:space="preserve"> œuvre de la phase I du PGEH au</w:t>
      </w:r>
      <w:r w:rsidRPr="00643C62">
        <w:rPr>
          <w:lang w:val="fr-CA"/>
        </w:rPr>
        <w:t xml:space="preserve"> nom du gouvernement du Brunei Darussalam</w:t>
      </w:r>
      <w:r w:rsidR="005F0F31" w:rsidRPr="00643C62">
        <w:rPr>
          <w:lang w:val="fr-CA"/>
        </w:rPr>
        <w:t>.</w:t>
      </w:r>
    </w:p>
    <w:p w14:paraId="1CEBCC46" w14:textId="18FB170D" w:rsidR="005F0F31" w:rsidRPr="00643C62" w:rsidRDefault="00C37613" w:rsidP="005F0F31">
      <w:pPr>
        <w:pStyle w:val="Heading1"/>
        <w:autoSpaceDE w:val="0"/>
        <w:autoSpaceDN w:val="0"/>
        <w:adjustRightInd w:val="0"/>
        <w:rPr>
          <w:color w:val="000000" w:themeColor="text1"/>
          <w:lang w:val="fr-CA"/>
        </w:rPr>
      </w:pPr>
      <w:r w:rsidRPr="00643C62">
        <w:rPr>
          <w:lang w:val="fr-CA"/>
        </w:rPr>
        <w:t>La phase I du PGEH a été approuvée à la 66</w:t>
      </w:r>
      <w:r w:rsidRPr="00643C62">
        <w:rPr>
          <w:vertAlign w:val="superscript"/>
          <w:lang w:val="fr-CA"/>
        </w:rPr>
        <w:t>e</w:t>
      </w:r>
      <w:r w:rsidRPr="00643C62">
        <w:rPr>
          <w:lang w:val="fr-CA"/>
        </w:rPr>
        <w:t xml:space="preserve"> réunion</w:t>
      </w:r>
      <w:r w:rsidR="005F0F31" w:rsidRPr="00643C62">
        <w:rPr>
          <w:lang w:val="fr-CA"/>
        </w:rPr>
        <w:t>,</w:t>
      </w:r>
      <w:r w:rsidR="005F0F31" w:rsidRPr="00643C62">
        <w:rPr>
          <w:rStyle w:val="FootnoteReference"/>
          <w:lang w:val="fr-CA"/>
        </w:rPr>
        <w:footnoteReference w:id="11"/>
      </w:r>
      <w:r w:rsidR="005F0F31" w:rsidRPr="00643C62">
        <w:rPr>
          <w:lang w:val="fr-CA"/>
        </w:rPr>
        <w:t xml:space="preserve"> </w:t>
      </w:r>
      <w:r w:rsidRPr="00643C62">
        <w:rPr>
          <w:lang w:val="fr-CA"/>
        </w:rPr>
        <w:t>afin d</w:t>
      </w:r>
      <w:r w:rsidR="00C417AD" w:rsidRPr="00643C62">
        <w:rPr>
          <w:lang w:val="fr-CA"/>
        </w:rPr>
        <w:t>’atteindre l’objectif de réduction de 35 pour cent de la valeur de référence avant 2020</w:t>
      </w:r>
      <w:r w:rsidR="0061272A">
        <w:rPr>
          <w:lang w:val="fr-CA"/>
        </w:rPr>
        <w:t>,</w:t>
      </w:r>
      <w:r w:rsidR="00C417AD" w:rsidRPr="00643C62">
        <w:rPr>
          <w:lang w:val="fr-CA"/>
        </w:rPr>
        <w:t xml:space="preserve"> pour la somme totale de 315 000 $US plus les coûts d’appui à l’agence, et d’éliminer 2,1 tonnes PAO de HCFC utilisées dans le secteur de l’entretien de l’équipement de réfrigération et climatisation. Les quatre tranches de financement prévues à la phase I ont </w:t>
      </w:r>
      <w:r w:rsidR="00C417AD" w:rsidRPr="00643C62">
        <w:rPr>
          <w:lang w:val="fr-CA"/>
        </w:rPr>
        <w:lastRenderedPageBreak/>
        <w:t>été approuvées, la dernière tranche ayant été approuvée dans le cadre du processus d’approbation intersessions créé pour la 85</w:t>
      </w:r>
      <w:r w:rsidR="00C417AD" w:rsidRPr="00643C62">
        <w:rPr>
          <w:vertAlign w:val="superscript"/>
          <w:lang w:val="fr-CA"/>
        </w:rPr>
        <w:t>e</w:t>
      </w:r>
      <w:r w:rsidR="00C417AD" w:rsidRPr="00643C62">
        <w:rPr>
          <w:lang w:val="fr-CA"/>
        </w:rPr>
        <w:t xml:space="preserve"> réunion</w:t>
      </w:r>
      <w:r w:rsidR="005F0F31" w:rsidRPr="00643C62">
        <w:rPr>
          <w:rStyle w:val="FootnoteReference"/>
          <w:lang w:val="fr-CA"/>
        </w:rPr>
        <w:footnoteReference w:id="12"/>
      </w:r>
      <w:r w:rsidR="005F0F31" w:rsidRPr="00643C62">
        <w:rPr>
          <w:lang w:val="fr-CA"/>
        </w:rPr>
        <w:t xml:space="preserve"> </w:t>
      </w:r>
      <w:r w:rsidR="00C417AD" w:rsidRPr="00643C62">
        <w:rPr>
          <w:lang w:val="fr-CA"/>
        </w:rPr>
        <w:t>en mai 2020. Le projet doit être mené à terme à la fin de 2021, conformément au paragraphe 14 de l’</w:t>
      </w:r>
      <w:r w:rsidR="005B7EC6">
        <w:rPr>
          <w:lang w:val="fr-CA"/>
        </w:rPr>
        <w:t>Accord</w:t>
      </w:r>
      <w:r w:rsidR="00C417AD" w:rsidRPr="00643C62">
        <w:rPr>
          <w:lang w:val="fr-CA"/>
        </w:rPr>
        <w:t xml:space="preserve"> entre le gouvernement et le Comité exécutif</w:t>
      </w:r>
      <w:r w:rsidR="005F0F31" w:rsidRPr="00643C62">
        <w:rPr>
          <w:color w:val="000000" w:themeColor="text1"/>
          <w:lang w:val="fr-CA"/>
        </w:rPr>
        <w:t>.</w:t>
      </w:r>
    </w:p>
    <w:p w14:paraId="1D085201" w14:textId="4FFE00C8" w:rsidR="005F0F31" w:rsidRPr="00643C62" w:rsidRDefault="00FA65D2" w:rsidP="005F0F31">
      <w:pPr>
        <w:pStyle w:val="Heading1"/>
        <w:rPr>
          <w:color w:val="000000" w:themeColor="text1"/>
          <w:lang w:val="fr-CA"/>
        </w:rPr>
      </w:pPr>
      <w:r w:rsidRPr="00643C62">
        <w:rPr>
          <w:color w:val="000000" w:themeColor="text1"/>
          <w:lang w:val="fr-CA"/>
        </w:rPr>
        <w:t xml:space="preserve">La mise en œuvre de la phase I va bon train. </w:t>
      </w:r>
      <w:proofErr w:type="gramStart"/>
      <w:r w:rsidR="009872A6" w:rsidRPr="00643C62">
        <w:rPr>
          <w:color w:val="000000" w:themeColor="text1"/>
          <w:lang w:val="fr-CA"/>
        </w:rPr>
        <w:t>Le</w:t>
      </w:r>
      <w:r w:rsidRPr="00643C62">
        <w:rPr>
          <w:color w:val="000000" w:themeColor="text1"/>
          <w:lang w:val="fr-CA"/>
        </w:rPr>
        <w:t>s</w:t>
      </w:r>
      <w:r w:rsidR="009872A6" w:rsidRPr="00643C62">
        <w:rPr>
          <w:color w:val="000000" w:themeColor="text1"/>
          <w:lang w:val="fr-CA"/>
        </w:rPr>
        <w:t xml:space="preserve"> </w:t>
      </w:r>
      <w:r w:rsidRPr="00643C62">
        <w:rPr>
          <w:color w:val="000000" w:themeColor="text1"/>
          <w:lang w:val="fr-CA"/>
        </w:rPr>
        <w:t>première et deuxième tranches</w:t>
      </w:r>
      <w:proofErr w:type="gramEnd"/>
      <w:r w:rsidRPr="00643C62">
        <w:rPr>
          <w:color w:val="000000" w:themeColor="text1"/>
          <w:lang w:val="fr-CA"/>
        </w:rPr>
        <w:t xml:space="preserve"> sont terminées</w:t>
      </w:r>
      <w:r w:rsidR="009872A6" w:rsidRPr="00643C62">
        <w:rPr>
          <w:color w:val="000000" w:themeColor="text1"/>
          <w:lang w:val="fr-CA"/>
        </w:rPr>
        <w:t xml:space="preserve"> et la plupart des activités de la troisième tranche ont été mises en œuvre. Par contre, la mise en œuvre de certaines activités du PGEH, notamment l’atelier de formation des douaniers et des importateurs, trois ateliers de formation des techniciens, l’offre d’identifiants de frigorigènes et la formation en régénération </w:t>
      </w:r>
      <w:r w:rsidR="00202CD6">
        <w:rPr>
          <w:color w:val="000000" w:themeColor="text1"/>
          <w:lang w:val="fr-CA"/>
        </w:rPr>
        <w:t>pour le</w:t>
      </w:r>
      <w:r w:rsidR="009872A6" w:rsidRPr="00643C62">
        <w:rPr>
          <w:color w:val="000000" w:themeColor="text1"/>
          <w:lang w:val="fr-CA"/>
        </w:rPr>
        <w:t xml:space="preserve"> personnel du centre, la </w:t>
      </w:r>
      <w:r w:rsidR="00202CD6">
        <w:rPr>
          <w:color w:val="000000" w:themeColor="text1"/>
          <w:lang w:val="fr-CA"/>
        </w:rPr>
        <w:t>sensibilisation</w:t>
      </w:r>
      <w:r w:rsidR="009872A6" w:rsidRPr="00643C62">
        <w:rPr>
          <w:color w:val="000000" w:themeColor="text1"/>
          <w:lang w:val="fr-CA"/>
        </w:rPr>
        <w:t xml:space="preserve"> et la diffusion d’information</w:t>
      </w:r>
      <w:r w:rsidR="00202CD6">
        <w:rPr>
          <w:color w:val="000000" w:themeColor="text1"/>
          <w:lang w:val="fr-CA"/>
        </w:rPr>
        <w:t>,</w:t>
      </w:r>
      <w:r w:rsidR="009872A6" w:rsidRPr="00643C62">
        <w:rPr>
          <w:color w:val="000000" w:themeColor="text1"/>
          <w:lang w:val="fr-CA"/>
        </w:rPr>
        <w:t xml:space="preserve"> et l’organisation d’un atelier des parties prenantes nationales prévus pour les troisième et quatrièmes tranches</w:t>
      </w:r>
      <w:r w:rsidR="00EB4C37">
        <w:rPr>
          <w:color w:val="000000" w:themeColor="text1"/>
          <w:lang w:val="fr-CA"/>
        </w:rPr>
        <w:t>,</w:t>
      </w:r>
      <w:r w:rsidR="009872A6" w:rsidRPr="00643C62">
        <w:rPr>
          <w:color w:val="000000" w:themeColor="text1"/>
          <w:lang w:val="fr-CA"/>
        </w:rPr>
        <w:t xml:space="preserve"> </w:t>
      </w:r>
      <w:r w:rsidR="00202CD6">
        <w:rPr>
          <w:color w:val="000000" w:themeColor="text1"/>
          <w:lang w:val="fr-CA"/>
        </w:rPr>
        <w:t>a</w:t>
      </w:r>
      <w:r w:rsidR="009872A6" w:rsidRPr="00643C62">
        <w:rPr>
          <w:color w:val="000000" w:themeColor="text1"/>
          <w:lang w:val="fr-CA"/>
        </w:rPr>
        <w:t xml:space="preserve"> été </w:t>
      </w:r>
      <w:r w:rsidR="00202CD6">
        <w:rPr>
          <w:color w:val="000000" w:themeColor="text1"/>
          <w:lang w:val="fr-CA"/>
        </w:rPr>
        <w:t>retardée</w:t>
      </w:r>
      <w:r w:rsidR="009872A6" w:rsidRPr="00643C62">
        <w:rPr>
          <w:color w:val="000000" w:themeColor="text1"/>
          <w:lang w:val="fr-CA"/>
        </w:rPr>
        <w:t xml:space="preserve"> à ca</w:t>
      </w:r>
      <w:r w:rsidR="00202CD6">
        <w:rPr>
          <w:color w:val="000000" w:themeColor="text1"/>
          <w:lang w:val="fr-CA"/>
        </w:rPr>
        <w:t>u</w:t>
      </w:r>
      <w:r w:rsidR="009872A6" w:rsidRPr="00643C62">
        <w:rPr>
          <w:color w:val="000000" w:themeColor="text1"/>
          <w:lang w:val="fr-CA"/>
        </w:rPr>
        <w:t xml:space="preserve">se de la pandémie de la COVID-19. Compte tenu de l’incertitude entourant la date de reprise après la COVID-19, le gouvernement demande une prorogation de la mise en œuvre de la phase </w:t>
      </w:r>
      <w:r w:rsidR="00202CD6">
        <w:rPr>
          <w:color w:val="000000" w:themeColor="text1"/>
          <w:lang w:val="fr-CA"/>
        </w:rPr>
        <w:t xml:space="preserve">I </w:t>
      </w:r>
      <w:r w:rsidR="009872A6" w:rsidRPr="00643C62">
        <w:rPr>
          <w:color w:val="000000" w:themeColor="text1"/>
          <w:lang w:val="fr-CA"/>
        </w:rPr>
        <w:t>au 31 décembre 2022</w:t>
      </w:r>
      <w:r w:rsidR="005F0F31" w:rsidRPr="00643C62">
        <w:rPr>
          <w:color w:val="000000" w:themeColor="text1"/>
          <w:lang w:val="fr-CA"/>
        </w:rPr>
        <w:t>.</w:t>
      </w:r>
    </w:p>
    <w:p w14:paraId="633EA928" w14:textId="13660145" w:rsidR="005F0F31" w:rsidRPr="00643C62" w:rsidRDefault="00271069" w:rsidP="005F0F31">
      <w:pPr>
        <w:spacing w:after="240"/>
        <w:rPr>
          <w:i/>
          <w:color w:val="000000" w:themeColor="text1"/>
          <w:lang w:val="fr-CA"/>
        </w:rPr>
      </w:pPr>
      <w:r w:rsidRPr="00643C62">
        <w:rPr>
          <w:i/>
          <w:lang w:val="fr-CA"/>
        </w:rPr>
        <w:t>Consommation de HCFC</w:t>
      </w:r>
    </w:p>
    <w:p w14:paraId="75EC5798" w14:textId="459514F4" w:rsidR="005F0F31" w:rsidRPr="00643C62" w:rsidRDefault="00271069" w:rsidP="005F0F31">
      <w:pPr>
        <w:pStyle w:val="Heading1"/>
        <w:rPr>
          <w:color w:val="000000" w:themeColor="text1"/>
          <w:lang w:val="fr-CA"/>
        </w:rPr>
      </w:pPr>
      <w:r w:rsidRPr="00643C62">
        <w:rPr>
          <w:color w:val="000000" w:themeColor="text1"/>
          <w:lang w:val="fr-CA"/>
        </w:rPr>
        <w:t>Bien que les données sur la consommation de HFC communiquées en vertu de l’article 7 du Protocole de Montréal n’aient pas encore été transmises, le rapport sur la mise en œuvre du programme de pays révèle une consommation de 3,76 tonnes PAO de HCFC en 2020, ce qui représente 7 pour cent de moins que l’objectif de 3,96 tonnes PAO indiqué dans le PGEH pour l’année en question, et 40 pour cent de moins que la valeur de référence établie de 6,1 tonnes PAO</w:t>
      </w:r>
      <w:r w:rsidR="005F0F31" w:rsidRPr="0015221F">
        <w:rPr>
          <w:lang w:val="fr-CA"/>
        </w:rPr>
        <w:t xml:space="preserve">. </w:t>
      </w:r>
    </w:p>
    <w:p w14:paraId="06E949EC" w14:textId="18622D01" w:rsidR="005F0F31" w:rsidRPr="00643C62" w:rsidRDefault="00271069" w:rsidP="005F0F31">
      <w:pPr>
        <w:spacing w:after="240"/>
        <w:rPr>
          <w:b/>
          <w:lang w:val="fr-CA"/>
        </w:rPr>
      </w:pPr>
      <w:r w:rsidRPr="00643C62">
        <w:rPr>
          <w:b/>
          <w:lang w:val="fr-CA"/>
        </w:rPr>
        <w:t>Rapport périodique sur la mise en œuvre de la phase</w:t>
      </w:r>
      <w:r w:rsidR="005F0F31" w:rsidRPr="00643C62">
        <w:rPr>
          <w:b/>
          <w:lang w:val="fr-CA"/>
        </w:rPr>
        <w:t xml:space="preserve"> I </w:t>
      </w:r>
    </w:p>
    <w:p w14:paraId="3EC5A532" w14:textId="0FDC7F6A" w:rsidR="005F0F31" w:rsidRPr="00643C62" w:rsidRDefault="002D5906" w:rsidP="005F0F31">
      <w:pPr>
        <w:pStyle w:val="Heading1"/>
        <w:widowControl w:val="0"/>
        <w:tabs>
          <w:tab w:val="clear" w:pos="0"/>
        </w:tabs>
        <w:rPr>
          <w:lang w:val="fr-CA"/>
        </w:rPr>
      </w:pPr>
      <w:r w:rsidRPr="00643C62">
        <w:rPr>
          <w:lang w:val="fr-CA"/>
        </w:rPr>
        <w:t>Le pays a mis sur pied un programme de permis et de quotas afin de réglementer les importations de SAO</w:t>
      </w:r>
      <w:r w:rsidR="000E6D14">
        <w:rPr>
          <w:lang w:val="fr-CA"/>
        </w:rPr>
        <w:t>,</w:t>
      </w:r>
      <w:r w:rsidRPr="00643C62">
        <w:rPr>
          <w:lang w:val="fr-CA"/>
        </w:rPr>
        <w:t xml:space="preserve"> qui consiste en une déclaration en ligne et un progr</w:t>
      </w:r>
      <w:r w:rsidR="004B0107" w:rsidRPr="00643C62">
        <w:rPr>
          <w:lang w:val="fr-CA"/>
        </w:rPr>
        <w:t xml:space="preserve">amme de demande de permis </w:t>
      </w:r>
      <w:r w:rsidR="000E6D14">
        <w:rPr>
          <w:lang w:val="fr-CA"/>
        </w:rPr>
        <w:t>conforme à</w:t>
      </w:r>
      <w:r w:rsidRPr="00643C62">
        <w:rPr>
          <w:lang w:val="fr-CA"/>
        </w:rPr>
        <w:t xml:space="preserve"> l’Ordre douanier adopté en 2005</w:t>
      </w:r>
      <w:r w:rsidR="00023070">
        <w:rPr>
          <w:lang w:val="fr-CA"/>
        </w:rPr>
        <w:t xml:space="preserve"> </w:t>
      </w:r>
      <w:r w:rsidRPr="00643C62">
        <w:rPr>
          <w:lang w:val="fr-CA"/>
        </w:rPr>
        <w:t xml:space="preserve">; le programme de quotas de HCFC a été adopté en 2013. Le gouvernement a mis en place une inspection et un étiquetage obligatoires des contenants de HCFC-22 en </w:t>
      </w:r>
      <w:proofErr w:type="gramStart"/>
      <w:r w:rsidRPr="00643C62">
        <w:rPr>
          <w:lang w:val="fr-CA"/>
        </w:rPr>
        <w:t>2013;</w:t>
      </w:r>
      <w:proofErr w:type="gramEnd"/>
      <w:r w:rsidRPr="00643C62">
        <w:rPr>
          <w:lang w:val="fr-CA"/>
        </w:rPr>
        <w:t xml:space="preserve"> l’officialisation du programme de permis pour les HFC a été examinée par le bureau du procureur général et le </w:t>
      </w:r>
      <w:r w:rsidR="000E6D14">
        <w:rPr>
          <w:lang w:val="fr-CA"/>
        </w:rPr>
        <w:t>ministère des Finances et de l’É</w:t>
      </w:r>
      <w:r w:rsidRPr="00643C62">
        <w:rPr>
          <w:lang w:val="fr-CA"/>
        </w:rPr>
        <w:t xml:space="preserve">conomie, et est en attente de la signature des autorités compétentes. </w:t>
      </w:r>
      <w:r w:rsidR="000E6D14">
        <w:rPr>
          <w:lang w:val="fr-CA"/>
        </w:rPr>
        <w:t>L</w:t>
      </w:r>
      <w:r w:rsidR="00E52497" w:rsidRPr="00643C62">
        <w:rPr>
          <w:lang w:val="fr-CA"/>
        </w:rPr>
        <w:t xml:space="preserve">’interdiction d’importer et d’exporter des climatiseurs (maximum de 2,5 </w:t>
      </w:r>
      <w:proofErr w:type="spellStart"/>
      <w:r w:rsidR="00E52497" w:rsidRPr="00643C62">
        <w:rPr>
          <w:lang w:val="fr-CA"/>
        </w:rPr>
        <w:t>hp</w:t>
      </w:r>
      <w:proofErr w:type="spellEnd"/>
      <w:r w:rsidR="00E52497" w:rsidRPr="00643C62">
        <w:rPr>
          <w:lang w:val="fr-CA"/>
        </w:rPr>
        <w:t xml:space="preserve">) à base </w:t>
      </w:r>
      <w:r w:rsidR="000E6D14">
        <w:rPr>
          <w:lang w:val="fr-CA"/>
        </w:rPr>
        <w:t>d</w:t>
      </w:r>
      <w:r w:rsidR="00E52497" w:rsidRPr="00643C62">
        <w:rPr>
          <w:lang w:val="fr-CA"/>
        </w:rPr>
        <w:t xml:space="preserve">e HCFC </w:t>
      </w:r>
      <w:r w:rsidR="000E6D14">
        <w:rPr>
          <w:lang w:val="fr-CA"/>
        </w:rPr>
        <w:t>devrait entrer en vigueur à la fi</w:t>
      </w:r>
      <w:r w:rsidR="00E52497" w:rsidRPr="00643C62">
        <w:rPr>
          <w:lang w:val="fr-CA"/>
        </w:rPr>
        <w:t>n de décembre 2021, et une interdiction d’importer tous les types d’équipement à base de HCFC entrera en vigueur le 1</w:t>
      </w:r>
      <w:r w:rsidR="00E52497" w:rsidRPr="00643C62">
        <w:rPr>
          <w:vertAlign w:val="superscript"/>
          <w:lang w:val="fr-CA"/>
        </w:rPr>
        <w:t>er</w:t>
      </w:r>
      <w:r w:rsidR="00E52497" w:rsidRPr="00643C62">
        <w:rPr>
          <w:lang w:val="fr-CA"/>
        </w:rPr>
        <w:t xml:space="preserve"> janvier 2026. Le ministère des Douanes a inclus un programme de permis de SAO au cursus de formation des douaniers</w:t>
      </w:r>
      <w:r w:rsidR="005F0F31" w:rsidRPr="00643C62">
        <w:rPr>
          <w:lang w:val="fr-CA"/>
        </w:rPr>
        <w:t>.</w:t>
      </w:r>
      <w:r w:rsidR="000E6D14">
        <w:rPr>
          <w:lang w:val="fr-CA"/>
        </w:rPr>
        <w:t xml:space="preserve"> Au</w:t>
      </w:r>
      <w:r w:rsidR="00E52497" w:rsidRPr="00643C62">
        <w:rPr>
          <w:lang w:val="fr-CA"/>
        </w:rPr>
        <w:t xml:space="preserve"> total, 36 douanie</w:t>
      </w:r>
      <w:r w:rsidR="004B0107" w:rsidRPr="00643C62">
        <w:rPr>
          <w:lang w:val="fr-CA"/>
        </w:rPr>
        <w:t>r</w:t>
      </w:r>
      <w:r w:rsidR="00E52497" w:rsidRPr="00643C62">
        <w:rPr>
          <w:lang w:val="fr-CA"/>
        </w:rPr>
        <w:t>s ont reçu</w:t>
      </w:r>
      <w:r w:rsidR="004B0107" w:rsidRPr="00643C62">
        <w:rPr>
          <w:lang w:val="fr-CA"/>
        </w:rPr>
        <w:t xml:space="preserve"> </w:t>
      </w:r>
      <w:r w:rsidR="00E52497" w:rsidRPr="00643C62">
        <w:rPr>
          <w:lang w:val="fr-CA"/>
        </w:rPr>
        <w:t>une formation dans le cadre de la phase I.</w:t>
      </w:r>
    </w:p>
    <w:p w14:paraId="3F5F4D6D" w14:textId="087920BB" w:rsidR="005F0F31" w:rsidRPr="00643C62" w:rsidRDefault="004B0107" w:rsidP="005F0F31">
      <w:pPr>
        <w:pStyle w:val="Heading1"/>
        <w:spacing w:before="120"/>
        <w:rPr>
          <w:lang w:val="fr-CA"/>
        </w:rPr>
      </w:pPr>
      <w:r w:rsidRPr="00643C62">
        <w:rPr>
          <w:lang w:val="fr-CA"/>
        </w:rPr>
        <w:t>Deux cent cinquante-sept techniciens ont reçu une formation en installation et entretien d’équipement de réfrigération et climatisation, et deux maîtres formateurs ont reçu une formation en Chine en manipulation sécuritaire de frigorigènes inflammables. Dix trousses d’équipement de récupération ont été achetées pour le programme de récupération, recyclage et réutilisation</w:t>
      </w:r>
      <w:r w:rsidR="00023070">
        <w:rPr>
          <w:lang w:val="fr-CA"/>
        </w:rPr>
        <w:t xml:space="preserve"> </w:t>
      </w:r>
      <w:r w:rsidRPr="00643C62">
        <w:rPr>
          <w:lang w:val="fr-CA"/>
        </w:rPr>
        <w:t>; cinq de ces trousses ont été distribuées à des entreprises de réfrigération et climatisation choisies après l’ach</w:t>
      </w:r>
      <w:r w:rsidR="00134C8C" w:rsidRPr="00643C62">
        <w:rPr>
          <w:lang w:val="fr-CA"/>
        </w:rPr>
        <w:t>è</w:t>
      </w:r>
      <w:r w:rsidRPr="00643C62">
        <w:rPr>
          <w:lang w:val="fr-CA"/>
        </w:rPr>
        <w:t>vement de la formation en bonnes pratiques. Les cinq autres trousses seront distribuées au cours de la deuxième moitié de 2021</w:t>
      </w:r>
      <w:r w:rsidR="00023070">
        <w:rPr>
          <w:lang w:val="fr-CA"/>
        </w:rPr>
        <w:t xml:space="preserve"> </w:t>
      </w:r>
      <w:r w:rsidRPr="00643C62">
        <w:rPr>
          <w:lang w:val="fr-CA"/>
        </w:rPr>
        <w:t xml:space="preserve">; un accord a été signé pour la mise sur pied d’un centre de régénération (qui a reçu un mini appareil de régénération et les outils </w:t>
      </w:r>
      <w:r w:rsidR="00134C8C" w:rsidRPr="00643C62">
        <w:rPr>
          <w:lang w:val="fr-CA"/>
        </w:rPr>
        <w:t>connexes</w:t>
      </w:r>
      <w:proofErr w:type="gramStart"/>
      <w:r w:rsidR="00134C8C" w:rsidRPr="00643C62">
        <w:rPr>
          <w:lang w:val="fr-CA"/>
        </w:rPr>
        <w:t>);</w:t>
      </w:r>
      <w:proofErr w:type="gramEnd"/>
      <w:r w:rsidR="00134C8C" w:rsidRPr="00643C62">
        <w:rPr>
          <w:lang w:val="fr-CA"/>
        </w:rPr>
        <w:t xml:space="preserve"> la formation du perso</w:t>
      </w:r>
      <w:r w:rsidRPr="00643C62">
        <w:rPr>
          <w:lang w:val="fr-CA"/>
        </w:rPr>
        <w:t>nnel du centre de régénération est prévue; et</w:t>
      </w:r>
      <w:r w:rsidR="00134C8C" w:rsidRPr="00643C62">
        <w:rPr>
          <w:lang w:val="fr-CA"/>
        </w:rPr>
        <w:t xml:space="preserve"> les </w:t>
      </w:r>
      <w:r w:rsidR="00A731C4">
        <w:rPr>
          <w:lang w:val="fr-CA"/>
        </w:rPr>
        <w:t>démarches en vue des a</w:t>
      </w:r>
      <w:r w:rsidR="00134C8C" w:rsidRPr="00643C62">
        <w:rPr>
          <w:lang w:val="fr-CA"/>
        </w:rPr>
        <w:t>chats nécessaires pour un fonctionnement efficace ont été effectués</w:t>
      </w:r>
      <w:r w:rsidR="005F0F31" w:rsidRPr="00643C62">
        <w:rPr>
          <w:lang w:val="fr-CA"/>
        </w:rPr>
        <w:t>.</w:t>
      </w:r>
    </w:p>
    <w:p w14:paraId="462A1568" w14:textId="599DCF0C" w:rsidR="005F0F31" w:rsidRPr="00643C62" w:rsidRDefault="00134C8C" w:rsidP="005F0F31">
      <w:pPr>
        <w:pStyle w:val="Heading1"/>
        <w:rPr>
          <w:color w:val="000000" w:themeColor="text1"/>
          <w:spacing w:val="-4"/>
          <w:lang w:val="fr-CA"/>
        </w:rPr>
      </w:pPr>
      <w:r w:rsidRPr="00643C62">
        <w:rPr>
          <w:lang w:val="fr-CA"/>
        </w:rPr>
        <w:t>Le PNUE et le PNUD ont soumis respectivement un SSFA et une lettre d’entente au gouvernement du Brunei Darussalam depuis l’approbation de la quatrième tranche à la 85</w:t>
      </w:r>
      <w:r w:rsidRPr="00643C62">
        <w:rPr>
          <w:vertAlign w:val="superscript"/>
          <w:lang w:val="fr-CA"/>
        </w:rPr>
        <w:t>e</w:t>
      </w:r>
      <w:r w:rsidRPr="00643C62">
        <w:rPr>
          <w:lang w:val="fr-CA"/>
        </w:rPr>
        <w:t xml:space="preserve"> réunion, précisant les responsabilités juridiques de la mise en œuvre et de l’établiss</w:t>
      </w:r>
      <w:r w:rsidR="000B50AD" w:rsidRPr="00643C62">
        <w:rPr>
          <w:lang w:val="fr-CA"/>
        </w:rPr>
        <w:t>eme</w:t>
      </w:r>
      <w:r w:rsidRPr="00643C62">
        <w:rPr>
          <w:lang w:val="fr-CA"/>
        </w:rPr>
        <w:t>nt de rapports. Le pays possède une procédure interne d’approbation au cas par cas des ententes signées avec des organisations internationales</w:t>
      </w:r>
      <w:r w:rsidR="000B50AD" w:rsidRPr="00643C62">
        <w:rPr>
          <w:lang w:val="fr-CA"/>
        </w:rPr>
        <w:t xml:space="preserve">. Les restrictions de déplacement imposées par le gouvernement à cause de la pandémie de la COVID-19 ont retardé le processus interne de consultation et d’approbation. Le processus d’examen interne en est à la </w:t>
      </w:r>
      <w:r w:rsidR="000B50AD" w:rsidRPr="00643C62">
        <w:rPr>
          <w:lang w:val="fr-CA"/>
        </w:rPr>
        <w:lastRenderedPageBreak/>
        <w:t>dernière étape de l’approbation par le bureau du premier ministre. Le PNUE estime que ces accords seront signés en juin 2021 et que la mise en œuvre commencera après la signature.</w:t>
      </w:r>
    </w:p>
    <w:p w14:paraId="57840335" w14:textId="4FA3F713" w:rsidR="005F0F31" w:rsidRPr="00643C62" w:rsidRDefault="000B50AD" w:rsidP="00621D13">
      <w:pPr>
        <w:keepNext/>
        <w:keepLines/>
        <w:spacing w:after="240"/>
        <w:outlineLvl w:val="0"/>
        <w:rPr>
          <w:color w:val="000000" w:themeColor="text1"/>
          <w:u w:val="single"/>
          <w:lang w:val="fr-CA"/>
        </w:rPr>
      </w:pPr>
      <w:r w:rsidRPr="00643C62">
        <w:rPr>
          <w:color w:val="000000" w:themeColor="text1"/>
          <w:u w:val="single"/>
          <w:lang w:val="fr-CA"/>
        </w:rPr>
        <w:t>Niveau de décaissement</w:t>
      </w:r>
    </w:p>
    <w:p w14:paraId="7E7BEC94" w14:textId="3E5ED142" w:rsidR="005F0F31" w:rsidRPr="00643C62" w:rsidRDefault="000B50AD" w:rsidP="005F0F31">
      <w:pPr>
        <w:numPr>
          <w:ilvl w:val="0"/>
          <w:numId w:val="1"/>
        </w:numPr>
        <w:spacing w:after="240"/>
        <w:outlineLvl w:val="0"/>
        <w:rPr>
          <w:color w:val="000000" w:themeColor="text1"/>
          <w:lang w:val="fr-CA"/>
        </w:rPr>
      </w:pPr>
      <w:r w:rsidRPr="00643C62">
        <w:rPr>
          <w:color w:val="000000" w:themeColor="text1"/>
          <w:lang w:val="fr-CA"/>
        </w:rPr>
        <w:t>Le PNUE a décaissé une part de 151 523 $US des 315 000 $US approuvés à ce jour et le PNUD a décaissé une part de 120 710 $US de cette même somme</w:t>
      </w:r>
      <w:r w:rsidR="005F0F31" w:rsidRPr="00643C62">
        <w:rPr>
          <w:color w:val="000000" w:themeColor="text1"/>
          <w:lang w:val="fr-CA"/>
        </w:rPr>
        <w:t xml:space="preserve">. </w:t>
      </w:r>
    </w:p>
    <w:p w14:paraId="732FF248" w14:textId="6C21A68E" w:rsidR="005F0F31" w:rsidRPr="00643C62" w:rsidRDefault="000B50AD" w:rsidP="005F0F31">
      <w:pPr>
        <w:keepNext/>
        <w:spacing w:after="240"/>
        <w:rPr>
          <w:b/>
          <w:lang w:val="fr-CA"/>
        </w:rPr>
      </w:pPr>
      <w:r w:rsidRPr="00643C62">
        <w:rPr>
          <w:b/>
          <w:lang w:val="fr-CA"/>
        </w:rPr>
        <w:t>Observations du Secrétariat</w:t>
      </w:r>
    </w:p>
    <w:p w14:paraId="116EB290" w14:textId="0390FF3B" w:rsidR="005F0F31" w:rsidRPr="00643C62" w:rsidRDefault="000B50AD" w:rsidP="005F0F31">
      <w:pPr>
        <w:numPr>
          <w:ilvl w:val="0"/>
          <w:numId w:val="1"/>
        </w:numPr>
        <w:spacing w:after="240"/>
        <w:outlineLvl w:val="0"/>
        <w:rPr>
          <w:lang w:val="fr-CA"/>
        </w:rPr>
      </w:pPr>
      <w:r w:rsidRPr="00643C62">
        <w:rPr>
          <w:lang w:val="fr-CA"/>
        </w:rPr>
        <w:t>Le Secrétariat a pris note des efforts du gouvernement du Brunei Darussalam, du PNUE et du PNUD pour mettre en œuvre les activités prévues à la quatrième tranche de la phase I</w:t>
      </w:r>
      <w:r w:rsidR="00D52D5B" w:rsidRPr="00643C62">
        <w:rPr>
          <w:lang w:val="fr-CA"/>
        </w:rPr>
        <w:t xml:space="preserve"> du PGEH </w:t>
      </w:r>
      <w:r w:rsidR="00A731C4">
        <w:rPr>
          <w:lang w:val="fr-CA"/>
        </w:rPr>
        <w:t>d’ici au 31 </w:t>
      </w:r>
      <w:r w:rsidRPr="00643C62">
        <w:rPr>
          <w:lang w:val="fr-CA"/>
        </w:rPr>
        <w:t xml:space="preserve">décembre 2021. Nonobstant ces efforts, </w:t>
      </w:r>
      <w:r w:rsidR="00D52D5B" w:rsidRPr="00643C62">
        <w:rPr>
          <w:lang w:val="fr-CA"/>
        </w:rPr>
        <w:t>le projet ne sera vraisemblablement pas achevé d’ici la fin de 2021 à cause des retards attribuables à la pandémie de la COVID-19</w:t>
      </w:r>
      <w:r w:rsidR="005F0F31" w:rsidRPr="00643C62">
        <w:rPr>
          <w:lang w:val="fr-CA"/>
        </w:rPr>
        <w:t xml:space="preserve">. </w:t>
      </w:r>
      <w:r w:rsidR="00D52D5B" w:rsidRPr="00643C62">
        <w:rPr>
          <w:lang w:val="fr-CA"/>
        </w:rPr>
        <w:t>Le PNUE a expliqué qu’</w:t>
      </w:r>
      <w:r w:rsidR="001E0BB8" w:rsidRPr="00643C62">
        <w:rPr>
          <w:lang w:val="fr-CA"/>
        </w:rPr>
        <w:t>au plus fort de la pan</w:t>
      </w:r>
      <w:r w:rsidR="00D52D5B" w:rsidRPr="00643C62">
        <w:rPr>
          <w:lang w:val="fr-CA"/>
        </w:rPr>
        <w:t>démie</w:t>
      </w:r>
      <w:r w:rsidR="001E0BB8" w:rsidRPr="00643C62">
        <w:rPr>
          <w:lang w:val="fr-CA"/>
        </w:rPr>
        <w:t>, le Brunei Darussalam a été i</w:t>
      </w:r>
      <w:r w:rsidR="00D52D5B" w:rsidRPr="00643C62">
        <w:rPr>
          <w:lang w:val="fr-CA"/>
        </w:rPr>
        <w:t>ncapable d’organiser des réunions de grande envergure en per</w:t>
      </w:r>
      <w:r w:rsidR="001E0BB8" w:rsidRPr="00643C62">
        <w:rPr>
          <w:lang w:val="fr-CA"/>
        </w:rPr>
        <w:t>sonne, conformément aux directives du m</w:t>
      </w:r>
      <w:r w:rsidR="00D52D5B" w:rsidRPr="00643C62">
        <w:rPr>
          <w:lang w:val="fr-CA"/>
        </w:rPr>
        <w:t>inistre de la Santé, ce qui a retardé la mise en œuvre des activités prévues. De plus, les restrictions de déplacement ont empêché l’embauche d’un expert régional pour effectuer la formation des techniciens en manipulation sécuritaire des frigorigènes inflammables et en régén</w:t>
      </w:r>
      <w:r w:rsidR="001E0BB8" w:rsidRPr="00643C62">
        <w:rPr>
          <w:lang w:val="fr-CA"/>
        </w:rPr>
        <w:t>é</w:t>
      </w:r>
      <w:r w:rsidR="00D52D5B" w:rsidRPr="00643C62">
        <w:rPr>
          <w:lang w:val="fr-CA"/>
        </w:rPr>
        <w:t xml:space="preserve">ration des frigorigènes. </w:t>
      </w:r>
      <w:r w:rsidR="006A6AC1">
        <w:rPr>
          <w:lang w:val="fr-CA"/>
        </w:rPr>
        <w:t>Le</w:t>
      </w:r>
      <w:r w:rsidR="001E0BB8" w:rsidRPr="00643C62">
        <w:rPr>
          <w:lang w:val="fr-CA"/>
        </w:rPr>
        <w:t xml:space="preserve"> SSFA sera signé en juin 2021. La prorogation d’un an permettra au gouvernement, au PNUE et au PNUD de mener à terme les activités restantes de la quatrième tranche.</w:t>
      </w:r>
    </w:p>
    <w:p w14:paraId="5EC50245" w14:textId="5C1AAFCD" w:rsidR="005F0F31" w:rsidRPr="00643C62" w:rsidRDefault="001E0BB8" w:rsidP="005F0F31">
      <w:pPr>
        <w:spacing w:after="240"/>
        <w:rPr>
          <w:b/>
          <w:lang w:val="fr-CA"/>
        </w:rPr>
      </w:pPr>
      <w:r w:rsidRPr="00643C62">
        <w:rPr>
          <w:b/>
          <w:lang w:val="fr-CA"/>
        </w:rPr>
        <w:t>Recomma</w:t>
      </w:r>
      <w:r w:rsidR="005F0F31" w:rsidRPr="00643C62">
        <w:rPr>
          <w:b/>
          <w:lang w:val="fr-CA"/>
        </w:rPr>
        <w:t>ndation</w:t>
      </w:r>
    </w:p>
    <w:p w14:paraId="46F5079A" w14:textId="6B4F53A3" w:rsidR="005F0F31" w:rsidRPr="00643C62" w:rsidRDefault="001E0BB8" w:rsidP="005F0F31">
      <w:pPr>
        <w:numPr>
          <w:ilvl w:val="0"/>
          <w:numId w:val="1"/>
        </w:numPr>
        <w:spacing w:after="240"/>
        <w:outlineLvl w:val="0"/>
        <w:rPr>
          <w:lang w:val="fr-CA"/>
        </w:rPr>
      </w:pPr>
      <w:r w:rsidRPr="00643C62">
        <w:rPr>
          <w:lang w:val="fr-CA"/>
        </w:rPr>
        <w:t xml:space="preserve">Le Comité exécutif pourrait souhaiter </w:t>
      </w:r>
      <w:r w:rsidR="005F0F31" w:rsidRPr="00643C62">
        <w:rPr>
          <w:lang w:val="fr-CA"/>
        </w:rPr>
        <w:t>:</w:t>
      </w:r>
    </w:p>
    <w:p w14:paraId="4131866C" w14:textId="6E461F52" w:rsidR="005F0F31" w:rsidRPr="00643C62" w:rsidRDefault="001E0BB8" w:rsidP="005F0F31">
      <w:pPr>
        <w:widowControl w:val="0"/>
        <w:numPr>
          <w:ilvl w:val="1"/>
          <w:numId w:val="1"/>
        </w:numPr>
        <w:tabs>
          <w:tab w:val="num" w:pos="557"/>
        </w:tabs>
        <w:spacing w:after="240"/>
        <w:outlineLvl w:val="1"/>
        <w:rPr>
          <w:lang w:val="fr-CA"/>
        </w:rPr>
      </w:pPr>
      <w:r w:rsidRPr="00643C62">
        <w:rPr>
          <w:lang w:val="fr-CA"/>
        </w:rPr>
        <w:t>Prendre note du rapport sur la mise en œuvre du programme de travail de la phase I du plan de gestion de l'élimination des HCFC (PGEH) pour le Brunei Darussalam et de la demande</w:t>
      </w:r>
      <w:r w:rsidR="005F0F31" w:rsidRPr="00643C62">
        <w:rPr>
          <w:lang w:val="fr-CA"/>
        </w:rPr>
        <w:t> </w:t>
      </w:r>
      <w:r w:rsidRPr="00643C62">
        <w:rPr>
          <w:lang w:val="fr-CA"/>
        </w:rPr>
        <w:t xml:space="preserve">de prorogation présentés par le PNUE, contenus dans le document </w:t>
      </w:r>
      <w:r w:rsidR="005F0F31" w:rsidRPr="00643C62">
        <w:rPr>
          <w:lang w:val="fr-CA"/>
        </w:rPr>
        <w:t>UNEP/OzL.Pro/ExCom/87/</w:t>
      </w:r>
      <w:proofErr w:type="gramStart"/>
      <w:r w:rsidR="005F0F31" w:rsidRPr="00643C62">
        <w:rPr>
          <w:lang w:val="fr-CA"/>
        </w:rPr>
        <w:t>9;</w:t>
      </w:r>
      <w:proofErr w:type="gramEnd"/>
    </w:p>
    <w:p w14:paraId="23FEB128" w14:textId="2AE06185" w:rsidR="005F0F31" w:rsidRPr="00643C62" w:rsidRDefault="001E0BB8" w:rsidP="005E54FF">
      <w:pPr>
        <w:widowControl w:val="0"/>
        <w:numPr>
          <w:ilvl w:val="1"/>
          <w:numId w:val="1"/>
        </w:numPr>
        <w:tabs>
          <w:tab w:val="num" w:pos="557"/>
        </w:tabs>
        <w:spacing w:after="240"/>
        <w:outlineLvl w:val="1"/>
        <w:rPr>
          <w:lang w:val="fr-CA"/>
        </w:rPr>
      </w:pPr>
      <w:r w:rsidRPr="00643C62">
        <w:rPr>
          <w:lang w:val="fr-CA"/>
        </w:rPr>
        <w:t>P</w:t>
      </w:r>
      <w:r w:rsidR="00DB0392" w:rsidRPr="00643C62">
        <w:rPr>
          <w:lang w:val="fr-CA"/>
        </w:rPr>
        <w:t>ror</w:t>
      </w:r>
      <w:r w:rsidRPr="00643C62">
        <w:rPr>
          <w:lang w:val="fr-CA"/>
        </w:rPr>
        <w:t>oger, à titre exceptionnel</w:t>
      </w:r>
      <w:r w:rsidR="00DB0392" w:rsidRPr="00643C62">
        <w:rPr>
          <w:lang w:val="fr-CA"/>
        </w:rPr>
        <w:t>, la date d’achèvement de la phase I du P</w:t>
      </w:r>
      <w:r w:rsidR="006A6AC1">
        <w:rPr>
          <w:lang w:val="fr-CA"/>
        </w:rPr>
        <w:t>GEH pour le Brunei Darussalam au</w:t>
      </w:r>
      <w:r w:rsidR="00DB0392" w:rsidRPr="00643C62">
        <w:rPr>
          <w:lang w:val="fr-CA"/>
        </w:rPr>
        <w:t xml:space="preserve"> 31 décembre 2022 à cause des retards imposés par la pandémie de la COVID-19, étant entendu qu’aucune autre prorogation ne sera demandée</w:t>
      </w:r>
      <w:r w:rsidR="005F0F31" w:rsidRPr="00643C62">
        <w:rPr>
          <w:lang w:val="fr-CA"/>
        </w:rPr>
        <w:t xml:space="preserve"> </w:t>
      </w:r>
    </w:p>
    <w:p w14:paraId="7CDF0FCA" w14:textId="7C48A8A6" w:rsidR="005F0F31" w:rsidRDefault="00DB0392" w:rsidP="005F0F31">
      <w:pPr>
        <w:keepNext/>
        <w:numPr>
          <w:ilvl w:val="1"/>
          <w:numId w:val="1"/>
        </w:numPr>
        <w:tabs>
          <w:tab w:val="num" w:pos="557"/>
        </w:tabs>
        <w:spacing w:after="240"/>
        <w:outlineLvl w:val="1"/>
        <w:rPr>
          <w:lang w:val="fr-CA"/>
        </w:rPr>
      </w:pPr>
      <w:r w:rsidRPr="00643C62">
        <w:rPr>
          <w:lang w:val="fr-CA"/>
        </w:rPr>
        <w:t>Demander au gouvernement du Brunei Darussalam, au PNUE et au PNUD de remettre un rapport d’achèvement de projet à la première réunion de 2023</w:t>
      </w:r>
      <w:r w:rsidR="005F0F31" w:rsidRPr="00643C62">
        <w:rPr>
          <w:lang w:val="fr-CA"/>
        </w:rPr>
        <w:t>.</w:t>
      </w:r>
    </w:p>
    <w:p w14:paraId="308B31A2" w14:textId="77777777" w:rsidR="00FE2783" w:rsidRPr="007A28C4" w:rsidRDefault="00FE2783" w:rsidP="00FE2783">
      <w:pPr>
        <w:spacing w:after="240"/>
        <w:rPr>
          <w:lang w:val="fr-CA"/>
        </w:rPr>
      </w:pPr>
      <w:r w:rsidRPr="00023070">
        <w:rPr>
          <w:u w:val="single"/>
          <w:lang w:val="fr-CA"/>
        </w:rPr>
        <w:t>Chili : Plan de gestion de l’élimination finale des HCFC (troisième et dernière tranche, phase II : rapport périodique annuel)</w:t>
      </w:r>
      <w:r w:rsidRPr="00023070">
        <w:rPr>
          <w:lang w:val="fr-CA"/>
        </w:rPr>
        <w:t xml:space="preserve"> (PNUD, PNUE et ONUDI)</w:t>
      </w:r>
    </w:p>
    <w:p w14:paraId="66FBEE83" w14:textId="77777777" w:rsidR="00FE2783" w:rsidRPr="000260FE" w:rsidRDefault="00FE2783" w:rsidP="00FE2783">
      <w:pPr>
        <w:spacing w:after="240"/>
        <w:ind w:left="1440" w:hanging="1440"/>
        <w:rPr>
          <w:b/>
          <w:lang w:val="fr-CA"/>
        </w:rPr>
      </w:pPr>
      <w:r>
        <w:rPr>
          <w:b/>
          <w:lang w:val="fr-CA"/>
        </w:rPr>
        <w:t>Contexte</w:t>
      </w:r>
    </w:p>
    <w:p w14:paraId="2AB5825A" w14:textId="46E9134B" w:rsidR="009A2E5F" w:rsidRDefault="00FE2783" w:rsidP="009A2E5F">
      <w:pPr>
        <w:pStyle w:val="Heading1"/>
        <w:rPr>
          <w:lang w:val="fr-CA"/>
        </w:rPr>
      </w:pPr>
      <w:r>
        <w:rPr>
          <w:lang w:val="fr-CA"/>
        </w:rPr>
        <w:t>Le PNUD, en qualité d’agence d’exécution principale, présente au nom du gouvernement du Chili, le rapport périodique annuel sur la mise en œuvre du programme de travail de la troisième et dernière tranche de la phase II du PGEH et un rapport de vérification de la consommation de HCFC pour les années 2019 et 2020, en réponse à la demande formulée par le Comité exécutif dans le cadre du processus d’approbation intersessions de la 85</w:t>
      </w:r>
      <w:r w:rsidRPr="007A28C4">
        <w:rPr>
          <w:vertAlign w:val="superscript"/>
          <w:lang w:val="fr-CA"/>
        </w:rPr>
        <w:t>e</w:t>
      </w:r>
      <w:r>
        <w:rPr>
          <w:lang w:val="fr-CA"/>
        </w:rPr>
        <w:t xml:space="preserve"> réunion,</w:t>
      </w:r>
      <w:r w:rsidRPr="000260FE">
        <w:rPr>
          <w:rStyle w:val="FootnoteReference"/>
          <w:lang w:val="fr-CA"/>
        </w:rPr>
        <w:footnoteReference w:id="13"/>
      </w:r>
      <w:r w:rsidRPr="000260FE">
        <w:rPr>
          <w:lang w:val="fr-CA"/>
        </w:rPr>
        <w:t xml:space="preserve"> </w:t>
      </w:r>
      <w:r>
        <w:rPr>
          <w:lang w:val="fr-CA"/>
        </w:rPr>
        <w:t>en mai</w:t>
      </w:r>
      <w:r w:rsidRPr="000260FE">
        <w:rPr>
          <w:lang w:val="fr-CA"/>
        </w:rPr>
        <w:t xml:space="preserve"> 2020.</w:t>
      </w:r>
    </w:p>
    <w:p w14:paraId="393366A5" w14:textId="12282F91" w:rsidR="00FE2783" w:rsidRPr="000260FE" w:rsidRDefault="00FE2783" w:rsidP="00023070">
      <w:pPr>
        <w:keepNext/>
        <w:keepLines/>
        <w:spacing w:after="240"/>
        <w:jc w:val="left"/>
        <w:rPr>
          <w:i/>
          <w:lang w:val="fr-CA"/>
        </w:rPr>
      </w:pPr>
      <w:r>
        <w:rPr>
          <w:i/>
          <w:lang w:val="fr-CA"/>
        </w:rPr>
        <w:lastRenderedPageBreak/>
        <w:t>Consommation de HCFC</w:t>
      </w:r>
    </w:p>
    <w:p w14:paraId="03F59A4B" w14:textId="7C1F54CB" w:rsidR="00FE2783" w:rsidRPr="000260FE" w:rsidRDefault="00023070" w:rsidP="00FE2783">
      <w:pPr>
        <w:pStyle w:val="Heading1"/>
        <w:rPr>
          <w:rFonts w:eastAsia="SimSun"/>
          <w:lang w:val="fr-CA" w:eastAsia="zh-CN"/>
        </w:rPr>
      </w:pPr>
      <w:r>
        <w:rPr>
          <w:lang w:val="fr-CA"/>
        </w:rPr>
        <w:t>Le gouvernement</w:t>
      </w:r>
      <w:r w:rsidR="00FE2783">
        <w:rPr>
          <w:lang w:val="fr-CA"/>
        </w:rPr>
        <w:t xml:space="preserve"> du Chili a déclaré une consommation de 27,0 tonnes PAO de HCFC en 2020, ce qui représente 69 pour cent de moins que la valeur de référence pour les HCFC et 44 pour cent de moins que le niveau de consommation permis dans l’</w:t>
      </w:r>
      <w:r w:rsidR="005B7EC6">
        <w:rPr>
          <w:lang w:val="fr-CA"/>
        </w:rPr>
        <w:t>Accord</w:t>
      </w:r>
      <w:r w:rsidR="00FE2783">
        <w:rPr>
          <w:lang w:val="fr-CA"/>
        </w:rPr>
        <w:t xml:space="preserve"> avec le Comité exécutif</w:t>
      </w:r>
      <w:r w:rsidR="00FE2783" w:rsidRPr="000260FE">
        <w:rPr>
          <w:rFonts w:eastAsia="SimSun"/>
          <w:lang w:val="fr-CA" w:eastAsia="zh-CN"/>
        </w:rPr>
        <w:t>.</w:t>
      </w:r>
    </w:p>
    <w:p w14:paraId="002CD444" w14:textId="77777777" w:rsidR="00FE2783" w:rsidRPr="000260FE" w:rsidRDefault="00FE2783" w:rsidP="00FE2783">
      <w:pPr>
        <w:keepNext/>
        <w:keepLines/>
        <w:tabs>
          <w:tab w:val="left" w:pos="6360"/>
        </w:tabs>
        <w:spacing w:after="240"/>
        <w:rPr>
          <w:i/>
          <w:lang w:val="fr-CA"/>
        </w:rPr>
      </w:pPr>
      <w:r>
        <w:rPr>
          <w:i/>
          <w:lang w:val="fr-CA"/>
        </w:rPr>
        <w:t>Rapport de vérification</w:t>
      </w:r>
    </w:p>
    <w:p w14:paraId="52D7DDD7" w14:textId="77777777" w:rsidR="00FE2783" w:rsidRPr="000260FE" w:rsidRDefault="00FE2783" w:rsidP="00FE2783">
      <w:pPr>
        <w:pStyle w:val="Heading1"/>
        <w:rPr>
          <w:lang w:val="fr-CA"/>
        </w:rPr>
      </w:pPr>
      <w:r>
        <w:rPr>
          <w:lang w:val="fr-CA"/>
        </w:rPr>
        <w:t>Le rapport de vérification confirme que le gouvernement du Chili a mis en place et applique un programme de permis et de quotas d’importation et d’exportation des HCFC</w:t>
      </w:r>
      <w:r w:rsidRPr="000260FE">
        <w:rPr>
          <w:lang w:val="fr-CA"/>
        </w:rPr>
        <w:t>.</w:t>
      </w:r>
      <w:r>
        <w:rPr>
          <w:lang w:val="fr-CA"/>
        </w:rPr>
        <w:t xml:space="preserve"> La consommation totale de HCFC déclarée en vertu de l’article 7 du Protocole de Montréal pour l’année 2019 est de 32,21 tonnes PAO, c’est-à-dire 3,03 tonnes PAO de moins que la consommation vérifiée de 35,24 tonnes </w:t>
      </w:r>
      <w:proofErr w:type="gramStart"/>
      <w:r>
        <w:rPr>
          <w:lang w:val="fr-CA"/>
        </w:rPr>
        <w:t>PAO;</w:t>
      </w:r>
      <w:proofErr w:type="gramEnd"/>
      <w:r>
        <w:rPr>
          <w:lang w:val="fr-CA"/>
        </w:rPr>
        <w:t xml:space="preserve"> la différence étant attribuable au fait que la consommation vérifiée comprend le HCFC-141b contenu dans les polyols </w:t>
      </w:r>
      <w:proofErr w:type="spellStart"/>
      <w:r>
        <w:rPr>
          <w:lang w:val="fr-CA"/>
        </w:rPr>
        <w:t>prémélangés</w:t>
      </w:r>
      <w:proofErr w:type="spellEnd"/>
      <w:r>
        <w:rPr>
          <w:lang w:val="fr-CA"/>
        </w:rPr>
        <w:t xml:space="preserve"> importés. La consommation totale de 27,01 tonnes PAO de HCFC pour l’année 2020 déclarée en vertu de l’article 7 correspond à la consommation vérifiée. Le rapport de vérification indique également que le gouvernement a mis en place une solide réglementation afin de contrôler l’importation des HCFC et de toutes les autres SAO.</w:t>
      </w:r>
    </w:p>
    <w:p w14:paraId="3E66503B" w14:textId="77777777" w:rsidR="00FE2783" w:rsidRPr="000260FE" w:rsidRDefault="00FE2783" w:rsidP="00FE2783">
      <w:pPr>
        <w:keepNext/>
        <w:spacing w:after="240"/>
        <w:jc w:val="left"/>
        <w:rPr>
          <w:i/>
          <w:lang w:val="fr-CA"/>
        </w:rPr>
      </w:pPr>
      <w:r>
        <w:rPr>
          <w:i/>
          <w:lang w:val="fr-CA"/>
        </w:rPr>
        <w:t>Cadre juridique</w:t>
      </w:r>
    </w:p>
    <w:p w14:paraId="7620C876" w14:textId="77777777" w:rsidR="00FE2783" w:rsidRPr="000260FE" w:rsidRDefault="00FE2783" w:rsidP="00FE2783">
      <w:pPr>
        <w:pStyle w:val="Heading1"/>
        <w:rPr>
          <w:lang w:val="fr-CA"/>
        </w:rPr>
      </w:pPr>
      <w:r>
        <w:rPr>
          <w:lang w:val="fr-CA"/>
        </w:rPr>
        <w:t xml:space="preserve">L’interdiction d’importer et d’utiliser le HCFC-141b dans la fabrication de mousse de polyuréthanne et d’importer et d’exporter le HCFC-141b contenu dans les polyols </w:t>
      </w:r>
      <w:proofErr w:type="spellStart"/>
      <w:r>
        <w:rPr>
          <w:lang w:val="fr-CA"/>
        </w:rPr>
        <w:t>prémélangés</w:t>
      </w:r>
      <w:proofErr w:type="spellEnd"/>
      <w:r>
        <w:rPr>
          <w:lang w:val="fr-CA"/>
        </w:rPr>
        <w:t xml:space="preserve"> est en place depuis le 1</w:t>
      </w:r>
      <w:r w:rsidRPr="000D4EE3">
        <w:rPr>
          <w:vertAlign w:val="superscript"/>
          <w:lang w:val="fr-CA"/>
        </w:rPr>
        <w:t>er</w:t>
      </w:r>
      <w:r>
        <w:rPr>
          <w:lang w:val="fr-CA"/>
        </w:rPr>
        <w:t xml:space="preserve"> janvier 2020. L’entrée en vigueur de cette interdiction a été déclarée dans le rapport de vérification, qui n’a recensé aucune importation de cette substance, et le service douanier n’a trouvé aucune trace de tentative d’importation clandestine</w:t>
      </w:r>
      <w:r w:rsidRPr="000260FE">
        <w:rPr>
          <w:lang w:val="fr-CA"/>
        </w:rPr>
        <w:t>.</w:t>
      </w:r>
    </w:p>
    <w:p w14:paraId="62B75FAF" w14:textId="77777777" w:rsidR="00FE2783" w:rsidRPr="000260FE" w:rsidRDefault="00FE2783" w:rsidP="00FE2783">
      <w:pPr>
        <w:pStyle w:val="Heading1"/>
        <w:rPr>
          <w:lang w:val="fr-CA"/>
        </w:rPr>
      </w:pPr>
      <w:r>
        <w:rPr>
          <w:lang w:val="fr-CA"/>
        </w:rPr>
        <w:t>La mise à jour du code douanier national pour les HCFC, les HFC et leurs substances de remplacement, tant les substances pures que les substances contenues dans des mélanges et les polyols entièrement développés, a été réalisée en 2020, et les codes du système harmonisé seront utilisés pour l’importation de ces substances réglementées à compter de janvier 2022. Il n’y a eu aucune formation de douaniers en 2020 à cause de la pandémie. Le volet théorique de la formation sera offert en ligne en 2021 et la formation en personne sera achevée au cours de la première moitié de 2022</w:t>
      </w:r>
      <w:r w:rsidRPr="000260FE">
        <w:rPr>
          <w:lang w:val="fr-CA"/>
        </w:rPr>
        <w:t>.</w:t>
      </w:r>
    </w:p>
    <w:p w14:paraId="2FDEB07D" w14:textId="77777777" w:rsidR="00FE2783" w:rsidRPr="000260FE" w:rsidRDefault="00FE2783" w:rsidP="00FE2783">
      <w:pPr>
        <w:pStyle w:val="Heading1"/>
        <w:widowControl w:val="0"/>
        <w:numPr>
          <w:ilvl w:val="0"/>
          <w:numId w:val="0"/>
        </w:numPr>
        <w:tabs>
          <w:tab w:val="left" w:pos="720"/>
        </w:tabs>
        <w:rPr>
          <w:lang w:val="fr-CA"/>
        </w:rPr>
      </w:pPr>
      <w:r>
        <w:rPr>
          <w:i/>
          <w:lang w:val="fr-CA"/>
        </w:rPr>
        <w:t>Secteur de la fabrication de mousse de polyuréthanne</w:t>
      </w:r>
    </w:p>
    <w:p w14:paraId="0D25852D" w14:textId="77777777" w:rsidR="00FE2783" w:rsidRPr="000260FE" w:rsidRDefault="00FE2783" w:rsidP="00FE2783">
      <w:pPr>
        <w:pStyle w:val="Heading1"/>
        <w:rPr>
          <w:lang w:val="fr-CA"/>
        </w:rPr>
      </w:pPr>
      <w:r>
        <w:rPr>
          <w:lang w:val="fr-CA"/>
        </w:rPr>
        <w:t xml:space="preserve">Les entreprises de mousse suivantes avaient reconverti leurs installations à des technologies de remplacement avant la présentation de la troisième tranche </w:t>
      </w:r>
      <w:r w:rsidRPr="000260FE">
        <w:rPr>
          <w:lang w:val="fr-CA"/>
        </w:rPr>
        <w:t>:</w:t>
      </w:r>
    </w:p>
    <w:p w14:paraId="7372DA0C" w14:textId="1EE19FAD" w:rsidR="00FE2783" w:rsidRPr="00E01278" w:rsidRDefault="00FE2783" w:rsidP="00FE2783">
      <w:pPr>
        <w:pStyle w:val="Heading2"/>
        <w:rPr>
          <w:lang w:val="fr-CA"/>
        </w:rPr>
      </w:pPr>
      <w:r w:rsidRPr="00E01278">
        <w:rPr>
          <w:lang w:val="fr-CA"/>
        </w:rPr>
        <w:t>Deux entreprises individuelles</w:t>
      </w:r>
      <w:r w:rsidR="00023070">
        <w:rPr>
          <w:lang w:val="fr-CA"/>
        </w:rPr>
        <w:t xml:space="preserve"> </w:t>
      </w:r>
      <w:r w:rsidRPr="00E01278">
        <w:rPr>
          <w:lang w:val="fr-CA"/>
        </w:rPr>
        <w:t>; une d’entre-elles (</w:t>
      </w:r>
      <w:proofErr w:type="spellStart"/>
      <w:r w:rsidRPr="00E01278">
        <w:rPr>
          <w:rFonts w:eastAsia="SimSun"/>
          <w:lang w:val="fr-CA" w:eastAsia="zh-CN"/>
        </w:rPr>
        <w:t>Inema</w:t>
      </w:r>
      <w:proofErr w:type="spellEnd"/>
      <w:r w:rsidRPr="00E01278">
        <w:rPr>
          <w:lang w:val="fr-CA"/>
        </w:rPr>
        <w:t>) a</w:t>
      </w:r>
      <w:r>
        <w:rPr>
          <w:lang w:val="fr-CA"/>
        </w:rPr>
        <w:t xml:space="preserve"> reconverti au cyclopent</w:t>
      </w:r>
      <w:r w:rsidR="00E947FA">
        <w:rPr>
          <w:lang w:val="fr-CA"/>
        </w:rPr>
        <w:t>ane/HFO</w:t>
      </w:r>
      <w:r w:rsidRPr="00E01278">
        <w:rPr>
          <w:lang w:val="fr-CA"/>
        </w:rPr>
        <w:t xml:space="preserve"> et l’autre (</w:t>
      </w:r>
      <w:proofErr w:type="spellStart"/>
      <w:r w:rsidRPr="00E01278">
        <w:rPr>
          <w:lang w:val="fr-CA"/>
        </w:rPr>
        <w:t>Polchile</w:t>
      </w:r>
      <w:proofErr w:type="spellEnd"/>
      <w:r w:rsidRPr="00E01278">
        <w:rPr>
          <w:lang w:val="fr-CA"/>
        </w:rPr>
        <w:t xml:space="preserve"> e</w:t>
      </w:r>
      <w:r>
        <w:rPr>
          <w:lang w:val="fr-CA"/>
        </w:rPr>
        <w:t xml:space="preserve">t Claudia </w:t>
      </w:r>
      <w:proofErr w:type="spellStart"/>
      <w:r>
        <w:rPr>
          <w:lang w:val="fr-CA"/>
        </w:rPr>
        <w:t>Letelier</w:t>
      </w:r>
      <w:proofErr w:type="spellEnd"/>
      <w:r>
        <w:rPr>
          <w:lang w:val="fr-CA"/>
        </w:rPr>
        <w:t xml:space="preserve"> F&amp;C) a recon</w:t>
      </w:r>
      <w:r w:rsidRPr="00E01278">
        <w:rPr>
          <w:lang w:val="fr-CA"/>
        </w:rPr>
        <w:t xml:space="preserve">verti </w:t>
      </w:r>
      <w:r>
        <w:rPr>
          <w:lang w:val="fr-CA"/>
        </w:rPr>
        <w:t xml:space="preserve">à une technologie à base de HFO, ce qui a mené à l’élimination de 7,22 tonnes PAO (77,36 </w:t>
      </w:r>
      <w:proofErr w:type="spellStart"/>
      <w:r>
        <w:rPr>
          <w:lang w:val="fr-CA"/>
        </w:rPr>
        <w:t>tm</w:t>
      </w:r>
      <w:proofErr w:type="spellEnd"/>
      <w:r>
        <w:rPr>
          <w:lang w:val="fr-CA"/>
        </w:rPr>
        <w:t>) de HCFC-141</w:t>
      </w:r>
      <w:proofErr w:type="gramStart"/>
      <w:r>
        <w:rPr>
          <w:lang w:val="fr-CA"/>
        </w:rPr>
        <w:t>b</w:t>
      </w:r>
      <w:r w:rsidRPr="00E01278">
        <w:rPr>
          <w:lang w:val="fr-CA"/>
        </w:rPr>
        <w:t>;</w:t>
      </w:r>
      <w:proofErr w:type="gramEnd"/>
    </w:p>
    <w:p w14:paraId="1824023C" w14:textId="77777777" w:rsidR="00FE2783" w:rsidRPr="001F4557" w:rsidRDefault="00FE2783" w:rsidP="00FE2783">
      <w:pPr>
        <w:pStyle w:val="Heading2"/>
        <w:rPr>
          <w:lang w:val="fr-CA"/>
        </w:rPr>
      </w:pPr>
      <w:r w:rsidRPr="001F4557">
        <w:rPr>
          <w:lang w:val="fr-CA"/>
        </w:rPr>
        <w:t>Deux petites et moyennes ent</w:t>
      </w:r>
      <w:r>
        <w:rPr>
          <w:lang w:val="fr-CA"/>
        </w:rPr>
        <w:t>reprises (PME</w:t>
      </w:r>
      <w:r w:rsidRPr="001F4557">
        <w:rPr>
          <w:lang w:val="fr-CA"/>
        </w:rPr>
        <w:t>) (</w:t>
      </w:r>
      <w:proofErr w:type="spellStart"/>
      <w:r w:rsidRPr="001F4557">
        <w:rPr>
          <w:lang w:val="fr-CA"/>
        </w:rPr>
        <w:t>Ingepur</w:t>
      </w:r>
      <w:proofErr w:type="spellEnd"/>
      <w:r w:rsidRPr="001F4557">
        <w:rPr>
          <w:lang w:val="fr-CA"/>
        </w:rPr>
        <w:t xml:space="preserve"> et Sociedad </w:t>
      </w:r>
      <w:proofErr w:type="spellStart"/>
      <w:r w:rsidRPr="001F4557">
        <w:rPr>
          <w:lang w:val="fr-CA"/>
        </w:rPr>
        <w:t>Aislaciones</w:t>
      </w:r>
      <w:proofErr w:type="spellEnd"/>
      <w:r w:rsidRPr="001F4557">
        <w:rPr>
          <w:lang w:val="fr-CA"/>
        </w:rPr>
        <w:t xml:space="preserve"> </w:t>
      </w:r>
      <w:proofErr w:type="spellStart"/>
      <w:r w:rsidRPr="001F4557">
        <w:rPr>
          <w:lang w:val="fr-CA"/>
        </w:rPr>
        <w:t>Térmicas</w:t>
      </w:r>
      <w:proofErr w:type="spellEnd"/>
      <w:r w:rsidRPr="001F4557">
        <w:rPr>
          <w:lang w:val="fr-CA"/>
        </w:rPr>
        <w:t>) qui faisaient anciennement partie du groupe Austral et dont la consommation totale était de 1,03 tonne PAO (9</w:t>
      </w:r>
      <w:r>
        <w:rPr>
          <w:lang w:val="fr-CA"/>
        </w:rPr>
        <w:t xml:space="preserve">,36 </w:t>
      </w:r>
      <w:proofErr w:type="spellStart"/>
      <w:r>
        <w:rPr>
          <w:lang w:val="fr-CA"/>
        </w:rPr>
        <w:t>tm</w:t>
      </w:r>
      <w:proofErr w:type="spellEnd"/>
      <w:r>
        <w:rPr>
          <w:lang w:val="fr-CA"/>
        </w:rPr>
        <w:t>) de HCFC-141b, et une PME</w:t>
      </w:r>
      <w:r w:rsidRPr="001F4557">
        <w:rPr>
          <w:lang w:val="fr-CA"/>
        </w:rPr>
        <w:t xml:space="preserve"> (Fidel Valenzuela) qui faisait anciennement partie du groupe </w:t>
      </w:r>
      <w:proofErr w:type="spellStart"/>
      <w:r w:rsidRPr="001F4557">
        <w:rPr>
          <w:lang w:val="fr-CA"/>
        </w:rPr>
        <w:t>Ixom</w:t>
      </w:r>
      <w:proofErr w:type="spellEnd"/>
      <w:r w:rsidRPr="001F4557">
        <w:rPr>
          <w:lang w:val="fr-CA"/>
        </w:rPr>
        <w:t xml:space="preserve"> et dont la consommation totale </w:t>
      </w:r>
      <w:r>
        <w:rPr>
          <w:lang w:val="fr-CA"/>
        </w:rPr>
        <w:t xml:space="preserve">était </w:t>
      </w:r>
      <w:r w:rsidRPr="001F4557">
        <w:rPr>
          <w:lang w:val="fr-CA"/>
        </w:rPr>
        <w:t xml:space="preserve">de 0,26 tonne PAO (2,36 </w:t>
      </w:r>
      <w:proofErr w:type="spellStart"/>
      <w:r w:rsidRPr="001F4557">
        <w:rPr>
          <w:lang w:val="fr-CA"/>
        </w:rPr>
        <w:t>tm</w:t>
      </w:r>
      <w:proofErr w:type="spellEnd"/>
      <w:r w:rsidRPr="001F4557">
        <w:rPr>
          <w:lang w:val="fr-CA"/>
        </w:rPr>
        <w:t>) de HCFC-141b, ont terminé leur reconversion à</w:t>
      </w:r>
      <w:r>
        <w:rPr>
          <w:lang w:val="fr-CA"/>
        </w:rPr>
        <w:t xml:space="preserve"> une technologie à base de HFO</w:t>
      </w:r>
      <w:r w:rsidRPr="001F4557">
        <w:rPr>
          <w:lang w:val="fr-CA"/>
        </w:rPr>
        <w:t xml:space="preserve"> en tant</w:t>
      </w:r>
      <w:r>
        <w:rPr>
          <w:lang w:val="fr-CA"/>
        </w:rPr>
        <w:t xml:space="preserve"> qu’« entreprises individuelles</w:t>
      </w:r>
      <w:r w:rsidRPr="001F4557">
        <w:rPr>
          <w:lang w:val="fr-CA"/>
        </w:rPr>
        <w:t xml:space="preserve"> », sans soutien financier supplémentaire du Fonds multilatéral;</w:t>
      </w:r>
    </w:p>
    <w:p w14:paraId="387685A6" w14:textId="77777777" w:rsidR="00FE2783" w:rsidRPr="001F4557" w:rsidRDefault="00FE2783" w:rsidP="008376CB">
      <w:pPr>
        <w:pStyle w:val="Heading2"/>
        <w:keepNext/>
        <w:keepLines/>
        <w:rPr>
          <w:lang w:val="fr-CA"/>
        </w:rPr>
      </w:pPr>
      <w:r w:rsidRPr="001F4557">
        <w:rPr>
          <w:lang w:val="fr-CA"/>
        </w:rPr>
        <w:lastRenderedPageBreak/>
        <w:t xml:space="preserve">Vingt-sept PME </w:t>
      </w:r>
      <w:r>
        <w:rPr>
          <w:lang w:val="fr-CA"/>
        </w:rPr>
        <w:t>du groupe</w:t>
      </w:r>
      <w:r w:rsidRPr="001F4557">
        <w:rPr>
          <w:lang w:val="fr-CA"/>
        </w:rPr>
        <w:t xml:space="preserve"> Austral (une</w:t>
      </w:r>
      <w:r>
        <w:rPr>
          <w:lang w:val="fr-CA"/>
        </w:rPr>
        <w:t xml:space="preserve"> entreprise, </w:t>
      </w:r>
      <w:r w:rsidRPr="001F4557">
        <w:rPr>
          <w:lang w:val="fr-CA"/>
        </w:rPr>
        <w:t xml:space="preserve">Victor </w:t>
      </w:r>
      <w:proofErr w:type="spellStart"/>
      <w:r w:rsidRPr="001F4557">
        <w:rPr>
          <w:lang w:val="fr-CA"/>
        </w:rPr>
        <w:t>Himmers</w:t>
      </w:r>
      <w:proofErr w:type="spellEnd"/>
      <w:r>
        <w:rPr>
          <w:lang w:val="fr-CA"/>
        </w:rPr>
        <w:t>,</w:t>
      </w:r>
      <w:r w:rsidRPr="001F4557">
        <w:rPr>
          <w:lang w:val="fr-CA"/>
        </w:rPr>
        <w:t xml:space="preserve"> </w:t>
      </w:r>
      <w:r>
        <w:rPr>
          <w:lang w:val="fr-CA"/>
        </w:rPr>
        <w:t xml:space="preserve">est </w:t>
      </w:r>
      <w:r w:rsidRPr="001F4557">
        <w:rPr>
          <w:lang w:val="fr-CA"/>
        </w:rPr>
        <w:t>passée d’</w:t>
      </w:r>
      <w:proofErr w:type="spellStart"/>
      <w:r w:rsidRPr="001F4557">
        <w:rPr>
          <w:lang w:val="fr-CA"/>
        </w:rPr>
        <w:t>Ixom</w:t>
      </w:r>
      <w:proofErr w:type="spellEnd"/>
      <w:r w:rsidRPr="001F4557">
        <w:rPr>
          <w:lang w:val="fr-CA"/>
        </w:rPr>
        <w:t xml:space="preserve"> à </w:t>
      </w:r>
      <w:proofErr w:type="spellStart"/>
      <w:r w:rsidRPr="001F4557">
        <w:rPr>
          <w:lang w:val="fr-CA"/>
        </w:rPr>
        <w:t>Autral</w:t>
      </w:r>
      <w:proofErr w:type="spellEnd"/>
      <w:r w:rsidRPr="001F4557">
        <w:rPr>
          <w:lang w:val="fr-CA"/>
        </w:rPr>
        <w:t xml:space="preserve"> pendant la mise en œuvre du projet) ont reconverti</w:t>
      </w:r>
      <w:r>
        <w:rPr>
          <w:lang w:val="fr-CA"/>
        </w:rPr>
        <w:t xml:space="preserve"> à une technologie à base de HFO</w:t>
      </w:r>
      <w:r w:rsidRPr="001F4557">
        <w:rPr>
          <w:lang w:val="fr-CA"/>
        </w:rPr>
        <w:t xml:space="preserve">, ce qui a mené à une élimination totale de 6,37 tonnes PAO (57,91 </w:t>
      </w:r>
      <w:proofErr w:type="spellStart"/>
      <w:r w:rsidRPr="001F4557">
        <w:rPr>
          <w:lang w:val="fr-CA"/>
        </w:rPr>
        <w:t>tm</w:t>
      </w:r>
      <w:proofErr w:type="spellEnd"/>
      <w:r w:rsidRPr="001F4557">
        <w:rPr>
          <w:lang w:val="fr-CA"/>
        </w:rPr>
        <w:t>) de HCFC-141b.</w:t>
      </w:r>
    </w:p>
    <w:p w14:paraId="35F20094" w14:textId="77777777" w:rsidR="00FE2783" w:rsidRPr="001F4557" w:rsidRDefault="00FE2783" w:rsidP="00FE2783">
      <w:pPr>
        <w:pStyle w:val="Heading1"/>
        <w:widowControl w:val="0"/>
        <w:rPr>
          <w:lang w:val="fr-CA"/>
        </w:rPr>
      </w:pPr>
      <w:r w:rsidRPr="001F4557">
        <w:rPr>
          <w:lang w:val="fr-CA"/>
        </w:rPr>
        <w:t>Les trois entreprises restantes (</w:t>
      </w:r>
      <w:proofErr w:type="spellStart"/>
      <w:r w:rsidRPr="001F4557">
        <w:rPr>
          <w:lang w:val="fr-CA"/>
        </w:rPr>
        <w:t>Danica</w:t>
      </w:r>
      <w:proofErr w:type="spellEnd"/>
      <w:r w:rsidRPr="001F4557">
        <w:rPr>
          <w:lang w:val="fr-CA"/>
        </w:rPr>
        <w:t xml:space="preserve">, </w:t>
      </w:r>
      <w:proofErr w:type="spellStart"/>
      <w:r w:rsidRPr="001F4557">
        <w:rPr>
          <w:lang w:val="fr-CA"/>
        </w:rPr>
        <w:t>Refricentro</w:t>
      </w:r>
      <w:proofErr w:type="spellEnd"/>
      <w:r w:rsidRPr="001F4557">
        <w:rPr>
          <w:lang w:val="fr-CA"/>
        </w:rPr>
        <w:t xml:space="preserve"> et </w:t>
      </w:r>
      <w:proofErr w:type="spellStart"/>
      <w:r w:rsidRPr="001F4557">
        <w:rPr>
          <w:lang w:val="fr-CA"/>
        </w:rPr>
        <w:t>Superfrigo</w:t>
      </w:r>
      <w:proofErr w:type="spellEnd"/>
      <w:r w:rsidRPr="001F4557">
        <w:rPr>
          <w:lang w:val="fr-CA"/>
        </w:rPr>
        <w:t>) et une société de formulation (</w:t>
      </w:r>
      <w:proofErr w:type="spellStart"/>
      <w:r w:rsidRPr="001F4557">
        <w:rPr>
          <w:lang w:val="fr-CA"/>
        </w:rPr>
        <w:t>Ixom</w:t>
      </w:r>
      <w:proofErr w:type="spellEnd"/>
      <w:r w:rsidRPr="001F4557">
        <w:rPr>
          <w:lang w:val="fr-CA"/>
        </w:rPr>
        <w:t>, qui comprenait à l’origine la reconversion de huit PME</w:t>
      </w:r>
      <w:r w:rsidRPr="001F4557">
        <w:rPr>
          <w:vertAlign w:val="superscript"/>
          <w:lang w:val="fr-CA"/>
        </w:rPr>
        <w:footnoteReference w:id="14"/>
      </w:r>
      <w:r w:rsidRPr="001F4557">
        <w:rPr>
          <w:lang w:val="fr-CA"/>
        </w:rPr>
        <w:t xml:space="preserve">), devaient reconvertir leurs activités au cours de la mise en œuvre de la troisième tranche. </w:t>
      </w:r>
      <w:proofErr w:type="spellStart"/>
      <w:r w:rsidRPr="001F4557">
        <w:rPr>
          <w:lang w:val="fr-CA"/>
        </w:rPr>
        <w:t>Superfrigo</w:t>
      </w:r>
      <w:proofErr w:type="spellEnd"/>
      <w:r w:rsidRPr="001F4557">
        <w:rPr>
          <w:lang w:val="fr-CA"/>
        </w:rPr>
        <w:t xml:space="preserve"> a fait parvenir une lettre au Bureau national de l’ozone en mai 2020 afin d’annuler sa participation au </w:t>
      </w:r>
      <w:proofErr w:type="gramStart"/>
      <w:r w:rsidRPr="001F4557">
        <w:rPr>
          <w:lang w:val="fr-CA"/>
        </w:rPr>
        <w:t>projet;</w:t>
      </w:r>
      <w:proofErr w:type="gramEnd"/>
      <w:r w:rsidRPr="001F4557">
        <w:rPr>
          <w:lang w:val="fr-CA"/>
        </w:rPr>
        <w:t xml:space="preserve"> </w:t>
      </w:r>
      <w:proofErr w:type="spellStart"/>
      <w:r w:rsidRPr="001F4557">
        <w:rPr>
          <w:lang w:val="fr-CA"/>
        </w:rPr>
        <w:t>Danica</w:t>
      </w:r>
      <w:proofErr w:type="spellEnd"/>
      <w:r w:rsidRPr="001F4557">
        <w:rPr>
          <w:lang w:val="fr-CA"/>
        </w:rPr>
        <w:t xml:space="preserve"> et </w:t>
      </w:r>
      <w:proofErr w:type="spellStart"/>
      <w:r w:rsidRPr="001F4557">
        <w:rPr>
          <w:lang w:val="fr-CA"/>
        </w:rPr>
        <w:t>Refricentro</w:t>
      </w:r>
      <w:proofErr w:type="spellEnd"/>
      <w:r w:rsidRPr="001F4557">
        <w:rPr>
          <w:lang w:val="fr-CA"/>
        </w:rPr>
        <w:t xml:space="preserve"> ont achevé leur reconversion au HF</w:t>
      </w:r>
      <w:r>
        <w:rPr>
          <w:lang w:val="fr-CA"/>
        </w:rPr>
        <w:t>O</w:t>
      </w:r>
      <w:r w:rsidRPr="001F4557">
        <w:rPr>
          <w:lang w:val="fr-CA"/>
        </w:rPr>
        <w:t xml:space="preserve"> respectivement en octobre et en décembre 2020, et</w:t>
      </w:r>
      <w:r>
        <w:rPr>
          <w:lang w:val="fr-CA"/>
        </w:rPr>
        <w:t xml:space="preserve"> éliminé 4,16 tonnes PAO (37,82 </w:t>
      </w:r>
      <w:proofErr w:type="spellStart"/>
      <w:r w:rsidRPr="001F4557">
        <w:rPr>
          <w:lang w:val="fr-CA"/>
        </w:rPr>
        <w:t>tm</w:t>
      </w:r>
      <w:proofErr w:type="spellEnd"/>
      <w:r w:rsidRPr="001F4557">
        <w:rPr>
          <w:lang w:val="fr-CA"/>
        </w:rPr>
        <w:t xml:space="preserve">) de HCFC-141b; et </w:t>
      </w:r>
      <w:proofErr w:type="spellStart"/>
      <w:r w:rsidRPr="001F4557">
        <w:rPr>
          <w:lang w:val="fr-CA"/>
        </w:rPr>
        <w:t>Ixom</w:t>
      </w:r>
      <w:proofErr w:type="spellEnd"/>
      <w:r w:rsidRPr="001F4557">
        <w:rPr>
          <w:lang w:val="fr-CA"/>
        </w:rPr>
        <w:t xml:space="preserve"> a signé l’accord avec sept PME en aval en juillet 2020; la reconversion de ces entreprises à une t</w:t>
      </w:r>
      <w:r>
        <w:rPr>
          <w:lang w:val="fr-CA"/>
        </w:rPr>
        <w:t>echnologie à base de HFO</w:t>
      </w:r>
      <w:r w:rsidRPr="001F4557">
        <w:rPr>
          <w:lang w:val="fr-CA"/>
        </w:rPr>
        <w:t xml:space="preserve"> devrait être achevée au cours de la deuxième moitié de 2020.</w:t>
      </w:r>
    </w:p>
    <w:p w14:paraId="200D0E5A" w14:textId="77777777" w:rsidR="00FE2783" w:rsidRPr="001F4557" w:rsidRDefault="00FE2783" w:rsidP="00FE2783">
      <w:pPr>
        <w:keepNext/>
        <w:keepLines/>
        <w:jc w:val="left"/>
        <w:rPr>
          <w:i/>
          <w:lang w:val="fr-CA"/>
        </w:rPr>
      </w:pPr>
      <w:r w:rsidRPr="001F4557">
        <w:rPr>
          <w:i/>
          <w:lang w:val="fr-CA"/>
        </w:rPr>
        <w:t>Secteur de l’entretien de l’équipement de réfrigération</w:t>
      </w:r>
    </w:p>
    <w:p w14:paraId="2FEC4B58" w14:textId="77777777" w:rsidR="00FE2783" w:rsidRPr="001F4557" w:rsidRDefault="00FE2783" w:rsidP="00FE2783">
      <w:pPr>
        <w:keepNext/>
        <w:keepLines/>
        <w:jc w:val="left"/>
        <w:rPr>
          <w:i/>
          <w:lang w:val="fr-CA"/>
        </w:rPr>
      </w:pPr>
    </w:p>
    <w:p w14:paraId="17132EBC" w14:textId="77777777" w:rsidR="00FE2783" w:rsidRPr="001F4557" w:rsidRDefault="00FE2783" w:rsidP="00FE2783">
      <w:pPr>
        <w:pStyle w:val="Heading1"/>
        <w:rPr>
          <w:lang w:val="fr-CA"/>
        </w:rPr>
      </w:pPr>
      <w:r w:rsidRPr="001F4557">
        <w:rPr>
          <w:lang w:val="fr-CA"/>
        </w:rPr>
        <w:t>Les activités suivantes ont été mises en œuvre :</w:t>
      </w:r>
    </w:p>
    <w:p w14:paraId="55F4ABE0" w14:textId="7FA204B2" w:rsidR="00FE2783" w:rsidRPr="001F4557" w:rsidRDefault="00FE2783" w:rsidP="00FE2783">
      <w:pPr>
        <w:pStyle w:val="Heading2"/>
        <w:rPr>
          <w:rFonts w:eastAsia="SimSun"/>
          <w:lang w:val="fr-CA" w:eastAsia="zh-CN"/>
        </w:rPr>
      </w:pPr>
      <w:r w:rsidRPr="001F4557">
        <w:rPr>
          <w:rFonts w:eastAsia="SimSun"/>
          <w:lang w:val="fr-CA" w:eastAsia="zh-CN"/>
        </w:rPr>
        <w:t>Cinq cours de formation en ligne en bonnes pratiques de réfrigération ont été donnés à 83 techniciens en réfrigération et</w:t>
      </w:r>
      <w:r>
        <w:rPr>
          <w:rFonts w:eastAsia="SimSun"/>
          <w:lang w:val="fr-CA" w:eastAsia="zh-CN"/>
        </w:rPr>
        <w:t xml:space="preserve"> climatisation (dont 13 femmes),</w:t>
      </w:r>
      <w:r w:rsidRPr="001F4557">
        <w:rPr>
          <w:rFonts w:eastAsia="SimSun"/>
          <w:lang w:val="fr-CA" w:eastAsia="zh-CN"/>
        </w:rPr>
        <w:t xml:space="preserve"> achèvement et publication de manuels de bo</w:t>
      </w:r>
      <w:r>
        <w:rPr>
          <w:rFonts w:eastAsia="SimSun"/>
          <w:lang w:val="fr-CA" w:eastAsia="zh-CN"/>
        </w:rPr>
        <w:t>nnes pratiques en réfrigération,</w:t>
      </w:r>
      <w:r w:rsidRPr="001F4557">
        <w:rPr>
          <w:rFonts w:eastAsia="SimSun"/>
          <w:lang w:val="fr-CA" w:eastAsia="zh-CN"/>
        </w:rPr>
        <w:t xml:space="preserve"> et cours de formation en ligne sur les substances de remplacement du HCFC-141b lors du rinçage à l’intention de 100 participants. Cinq techniciens en réfrigération et climatisation ont été certifiés en installation de systèmes de réfrigération depuis janvier 2020 et 101 techniciens ont été certifiés en installation et entretien d’équipement de réfrigération et climatisation</w:t>
      </w:r>
      <w:r w:rsidR="00023070">
        <w:rPr>
          <w:rFonts w:eastAsia="SimSun"/>
          <w:lang w:val="fr-CA" w:eastAsia="zh-CN"/>
        </w:rPr>
        <w:t xml:space="preserve"> </w:t>
      </w:r>
      <w:r w:rsidRPr="001F4557">
        <w:rPr>
          <w:rFonts w:eastAsia="SimSun"/>
          <w:lang w:val="fr-CA" w:eastAsia="zh-CN"/>
        </w:rPr>
        <w:t>;</w:t>
      </w:r>
    </w:p>
    <w:p w14:paraId="26729874" w14:textId="5D4A105A" w:rsidR="00FE2783" w:rsidRPr="001F4557" w:rsidRDefault="00FE2783" w:rsidP="00FE2783">
      <w:pPr>
        <w:pStyle w:val="Heading2"/>
        <w:rPr>
          <w:rFonts w:eastAsia="SimSun"/>
          <w:lang w:val="fr-CA" w:eastAsia="zh-CN"/>
        </w:rPr>
      </w:pPr>
      <w:r w:rsidRPr="001F4557">
        <w:rPr>
          <w:rFonts w:eastAsia="SimSun"/>
          <w:lang w:val="fr-CA" w:eastAsia="zh-CN"/>
        </w:rPr>
        <w:t>Suite du développement d’un système de r</w:t>
      </w:r>
      <w:r>
        <w:rPr>
          <w:rFonts w:eastAsia="SimSun"/>
          <w:lang w:val="fr-CA" w:eastAsia="zh-CN"/>
        </w:rPr>
        <w:t>egistres de produits contenant d</w:t>
      </w:r>
      <w:r w:rsidRPr="001F4557">
        <w:rPr>
          <w:rFonts w:eastAsia="SimSun"/>
          <w:lang w:val="fr-CA" w:eastAsia="zh-CN"/>
        </w:rPr>
        <w:t>es substances réglementées. Le système devrait être en ligne d’ici la fin de 2021 et servira à surveiller l’importation de produits et d’équipement à base de substances réglementées</w:t>
      </w:r>
      <w:r w:rsidR="00023070">
        <w:rPr>
          <w:rFonts w:eastAsia="SimSun"/>
          <w:lang w:val="fr-CA" w:eastAsia="zh-CN"/>
        </w:rPr>
        <w:t xml:space="preserve"> </w:t>
      </w:r>
      <w:r w:rsidRPr="001F4557">
        <w:rPr>
          <w:rFonts w:eastAsia="SimSun"/>
          <w:lang w:val="fr-CA" w:eastAsia="zh-CN"/>
        </w:rPr>
        <w:t>;</w:t>
      </w:r>
    </w:p>
    <w:p w14:paraId="154F5915" w14:textId="3D9672DC" w:rsidR="00FE2783" w:rsidRPr="001F4557" w:rsidRDefault="00FE2783" w:rsidP="00FE2783">
      <w:pPr>
        <w:pStyle w:val="Heading2"/>
        <w:rPr>
          <w:rFonts w:eastAsia="SimSun"/>
          <w:lang w:val="fr-CA" w:eastAsia="zh-CN"/>
        </w:rPr>
      </w:pPr>
      <w:r w:rsidRPr="001F4557">
        <w:rPr>
          <w:rFonts w:eastAsia="SimSun"/>
          <w:lang w:val="fr-CA" w:eastAsia="zh-CN"/>
        </w:rPr>
        <w:t>Début des travaux de mise sur pied de centres de récupération et de recyclage, dont l’embauche d’un consultant pour aider à définir les caractéristiques techniques de l’équipement</w:t>
      </w:r>
      <w:r>
        <w:rPr>
          <w:rFonts w:eastAsia="SimSun"/>
          <w:lang w:val="fr-CA" w:eastAsia="zh-CN"/>
        </w:rPr>
        <w:t xml:space="preserve"> menant au lancement du processus d’achat</w:t>
      </w:r>
      <w:r w:rsidRPr="001F4557">
        <w:rPr>
          <w:rFonts w:eastAsia="SimSun"/>
          <w:lang w:val="fr-CA" w:eastAsia="zh-CN"/>
        </w:rPr>
        <w:t xml:space="preserve"> et choisir les bénéficiaires. Ces centres devraient être fonctionnels d’ici la fin de 2021 ou le début de 2022</w:t>
      </w:r>
      <w:r w:rsidR="00023070">
        <w:rPr>
          <w:rFonts w:eastAsia="SimSun"/>
          <w:lang w:val="fr-CA" w:eastAsia="zh-CN"/>
        </w:rPr>
        <w:t xml:space="preserve"> </w:t>
      </w:r>
      <w:r w:rsidRPr="001F4557">
        <w:rPr>
          <w:rFonts w:eastAsia="SimSun"/>
          <w:lang w:val="fr-CA" w:eastAsia="zh-CN"/>
        </w:rPr>
        <w:t>;</w:t>
      </w:r>
    </w:p>
    <w:p w14:paraId="20194449" w14:textId="5633A2B8" w:rsidR="00FE2783" w:rsidRPr="001F4557" w:rsidRDefault="00FE2783" w:rsidP="00FE2783">
      <w:pPr>
        <w:pStyle w:val="Heading2"/>
        <w:rPr>
          <w:rFonts w:eastAsia="SimSun"/>
          <w:lang w:val="fr-CA" w:eastAsia="zh-CN"/>
        </w:rPr>
      </w:pPr>
      <w:r w:rsidRPr="001F4557">
        <w:rPr>
          <w:rFonts w:eastAsia="SimSun"/>
          <w:lang w:val="fr-CA" w:eastAsia="zh-CN"/>
        </w:rPr>
        <w:t>Mise au point des caractéristiques techniques pour identifier les entreprises bénéficiaires d’un projet de démonstration sur la reconversion de chambres frigorifiques et de climatiseurs au CO</w:t>
      </w:r>
      <w:r w:rsidRPr="001F4557">
        <w:rPr>
          <w:rFonts w:eastAsia="SimSun"/>
          <w:vertAlign w:val="subscript"/>
          <w:lang w:val="fr-CA" w:eastAsia="zh-CN"/>
        </w:rPr>
        <w:t>2</w:t>
      </w:r>
      <w:r w:rsidRPr="001F4557">
        <w:rPr>
          <w:rFonts w:eastAsia="SimSun"/>
          <w:lang w:val="fr-CA" w:eastAsia="zh-CN"/>
        </w:rPr>
        <w:t xml:space="preserve"> </w:t>
      </w:r>
      <w:proofErr w:type="spellStart"/>
      <w:r w:rsidRPr="001F4557">
        <w:rPr>
          <w:rFonts w:eastAsia="SimSun"/>
          <w:lang w:val="fr-CA" w:eastAsia="zh-CN"/>
        </w:rPr>
        <w:t>transcritique</w:t>
      </w:r>
      <w:proofErr w:type="spellEnd"/>
      <w:r w:rsidRPr="001F4557">
        <w:rPr>
          <w:rFonts w:eastAsia="SimSun"/>
          <w:lang w:val="fr-CA" w:eastAsia="zh-CN"/>
        </w:rPr>
        <w:t>, CO</w:t>
      </w:r>
      <w:r w:rsidRPr="001F4557">
        <w:rPr>
          <w:rFonts w:eastAsia="SimSun"/>
          <w:vertAlign w:val="subscript"/>
          <w:lang w:val="fr-CA" w:eastAsia="zh-CN"/>
        </w:rPr>
        <w:t>2</w:t>
      </w:r>
      <w:r w:rsidRPr="001F4557">
        <w:rPr>
          <w:rFonts w:eastAsia="SimSun"/>
          <w:lang w:val="fr-CA" w:eastAsia="zh-CN"/>
        </w:rPr>
        <w:t xml:space="preserve"> </w:t>
      </w:r>
      <w:proofErr w:type="spellStart"/>
      <w:r w:rsidRPr="001F4557">
        <w:rPr>
          <w:rFonts w:eastAsia="SimSun"/>
          <w:lang w:val="fr-CA" w:eastAsia="zh-CN"/>
        </w:rPr>
        <w:t>transcritique</w:t>
      </w:r>
      <w:proofErr w:type="spellEnd"/>
      <w:r>
        <w:rPr>
          <w:rFonts w:eastAsia="SimSun"/>
          <w:lang w:val="fr-CA" w:eastAsia="zh-CN"/>
        </w:rPr>
        <w:t>/</w:t>
      </w:r>
      <w:r w:rsidRPr="001F4557">
        <w:rPr>
          <w:rFonts w:eastAsia="SimSun"/>
          <w:lang w:val="fr-CA" w:eastAsia="zh-CN"/>
        </w:rPr>
        <w:t>ammoniaque, et ammoniaque, avec le consultant international</w:t>
      </w:r>
      <w:r w:rsidR="00023070">
        <w:rPr>
          <w:rFonts w:eastAsia="SimSun"/>
          <w:lang w:val="fr-CA" w:eastAsia="zh-CN"/>
        </w:rPr>
        <w:t xml:space="preserve"> </w:t>
      </w:r>
      <w:r w:rsidRPr="001F4557">
        <w:rPr>
          <w:rFonts w:eastAsia="SimSun"/>
          <w:lang w:val="fr-CA" w:eastAsia="zh-CN"/>
        </w:rPr>
        <w:t>;</w:t>
      </w:r>
    </w:p>
    <w:p w14:paraId="045D6D34" w14:textId="12C3D357" w:rsidR="00FE2783" w:rsidRPr="001F4557" w:rsidRDefault="00FE2783" w:rsidP="00FE2783">
      <w:pPr>
        <w:pStyle w:val="Heading2"/>
        <w:rPr>
          <w:rFonts w:eastAsia="SimSun"/>
          <w:lang w:val="fr-CA" w:eastAsia="zh-CN"/>
        </w:rPr>
      </w:pPr>
      <w:r w:rsidRPr="001F4557">
        <w:rPr>
          <w:rFonts w:eastAsia="SimSun"/>
          <w:lang w:val="fr-CA" w:eastAsia="zh-CN"/>
        </w:rPr>
        <w:t>Activités de sensibilisation, comprenant la publication de plusieurs vidéos en ligne sur les bonnes pratiques, le centre de régénération des frigorigènes et l’Amendement de Kigali à l’intention des techniciens en réfrigération et climatisation</w:t>
      </w:r>
      <w:r w:rsidR="00023070">
        <w:rPr>
          <w:rFonts w:eastAsia="SimSun"/>
          <w:lang w:val="fr-CA" w:eastAsia="zh-CN"/>
        </w:rPr>
        <w:t xml:space="preserve"> </w:t>
      </w:r>
      <w:r w:rsidRPr="001F4557">
        <w:rPr>
          <w:rFonts w:eastAsia="SimSun"/>
          <w:lang w:val="fr-CA" w:eastAsia="zh-CN"/>
        </w:rPr>
        <w:t>; publication de bulletins mensuels et d’information en ligne dans divers médias en ligne afin de promouvoir la reconversion à des technologies sans HCFC.</w:t>
      </w:r>
    </w:p>
    <w:p w14:paraId="0F331EB6" w14:textId="77777777" w:rsidR="00FE2783" w:rsidRPr="001F4557" w:rsidRDefault="00FE2783" w:rsidP="008376CB">
      <w:pPr>
        <w:pStyle w:val="Heading1"/>
        <w:keepNext/>
        <w:keepLines/>
        <w:widowControl w:val="0"/>
        <w:numPr>
          <w:ilvl w:val="0"/>
          <w:numId w:val="0"/>
        </w:numPr>
        <w:tabs>
          <w:tab w:val="num" w:pos="360"/>
        </w:tabs>
        <w:jc w:val="left"/>
        <w:rPr>
          <w:i/>
          <w:lang w:val="fr-CA"/>
        </w:rPr>
      </w:pPr>
      <w:r w:rsidRPr="001F4557">
        <w:rPr>
          <w:i/>
          <w:lang w:val="fr-CA"/>
        </w:rPr>
        <w:lastRenderedPageBreak/>
        <w:t>Unité de mise en œuvre et de suivi du projet</w:t>
      </w:r>
    </w:p>
    <w:p w14:paraId="372DF626" w14:textId="77777777" w:rsidR="00FE2783" w:rsidRPr="001F4557" w:rsidRDefault="00FE2783" w:rsidP="008376CB">
      <w:pPr>
        <w:pStyle w:val="Heading1"/>
        <w:keepNext/>
        <w:keepLines/>
        <w:widowControl w:val="0"/>
        <w:rPr>
          <w:lang w:val="fr-CA"/>
        </w:rPr>
      </w:pPr>
      <w:r w:rsidRPr="001F4557">
        <w:rPr>
          <w:lang w:val="fr-CA"/>
        </w:rPr>
        <w:t>Les 14 200 $US (4 830 $US pour le PNUD et 9 370 $US pour l’ONUDI) approuvés pour le suivi du projet et la mise en œuvre de la troisième tranche ont permis de retenir les services d’un consultant pour vérif</w:t>
      </w:r>
      <w:r>
        <w:rPr>
          <w:lang w:val="fr-CA"/>
        </w:rPr>
        <w:t>ier la consommation de HCFC, d</w:t>
      </w:r>
      <w:r w:rsidRPr="001F4557">
        <w:rPr>
          <w:lang w:val="fr-CA"/>
        </w:rPr>
        <w:t>’experts pour offrir un soutien technique et d’un adjoint pour aider le Bureau national de l’ozone.</w:t>
      </w:r>
    </w:p>
    <w:p w14:paraId="7948D4F6" w14:textId="77777777" w:rsidR="00FE2783" w:rsidRPr="001F4557" w:rsidRDefault="00FE2783" w:rsidP="00FE2783">
      <w:pPr>
        <w:keepNext/>
        <w:keepLines/>
        <w:spacing w:after="240"/>
        <w:jc w:val="left"/>
        <w:rPr>
          <w:i/>
          <w:lang w:val="fr-CA"/>
        </w:rPr>
      </w:pPr>
      <w:r w:rsidRPr="001F4557">
        <w:rPr>
          <w:i/>
          <w:lang w:val="fr-CA"/>
        </w:rPr>
        <w:t>État des décaissements</w:t>
      </w:r>
    </w:p>
    <w:p w14:paraId="7A1ED44E" w14:textId="77777777" w:rsidR="00FE2783" w:rsidRPr="001F4557" w:rsidRDefault="00FE2783" w:rsidP="00FE2783">
      <w:pPr>
        <w:pStyle w:val="Heading1"/>
        <w:keepNext/>
        <w:keepLines/>
        <w:rPr>
          <w:lang w:val="fr-CA"/>
        </w:rPr>
      </w:pPr>
      <w:r w:rsidRPr="001F4557">
        <w:rPr>
          <w:lang w:val="fr-CA"/>
        </w:rPr>
        <w:t>La somme de 2 079 621 $US (61 pour cent) (1 634 991 $US pour le PNUD, 12 635 $US pour le PNUE et 431 995 $US pour l’ONUDI) sur 3 394 017 $US approuvés pour la phase II avaient été décaissés en date de mai 2021, comme indiqué dans le tableau 3.</w:t>
      </w:r>
    </w:p>
    <w:p w14:paraId="0BC3A6C1" w14:textId="77777777" w:rsidR="00FE2783" w:rsidRPr="001F4557" w:rsidRDefault="00FE2783" w:rsidP="00FE2783">
      <w:pPr>
        <w:keepNext/>
        <w:rPr>
          <w:lang w:val="fr-CA"/>
        </w:rPr>
      </w:pPr>
      <w:r w:rsidRPr="001F4557">
        <w:rPr>
          <w:b/>
          <w:lang w:val="fr-CA"/>
        </w:rPr>
        <w:t xml:space="preserve">Tableau 3. </w:t>
      </w:r>
      <w:r>
        <w:rPr>
          <w:b/>
          <w:lang w:val="fr-CA"/>
        </w:rPr>
        <w:t>Rapport financier de la phase II</w:t>
      </w:r>
      <w:r w:rsidRPr="001F4557">
        <w:rPr>
          <w:b/>
          <w:lang w:val="fr-CA"/>
        </w:rPr>
        <w:t xml:space="preserve"> du PGEH pour le Chili ($US)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047"/>
        <w:gridCol w:w="2048"/>
        <w:gridCol w:w="2047"/>
        <w:gridCol w:w="2048"/>
      </w:tblGrid>
      <w:tr w:rsidR="00FE2783" w:rsidRPr="001F4557" w14:paraId="706690B0" w14:textId="77777777" w:rsidTr="00FE2783">
        <w:tc>
          <w:tcPr>
            <w:tcW w:w="1165" w:type="dxa"/>
            <w:shd w:val="clear" w:color="auto" w:fill="auto"/>
            <w:vAlign w:val="center"/>
            <w:hideMark/>
          </w:tcPr>
          <w:p w14:paraId="6BE0FBAC" w14:textId="77777777" w:rsidR="00FE2783" w:rsidRPr="001F4557" w:rsidRDefault="00FE2783" w:rsidP="00FE2783">
            <w:pPr>
              <w:rPr>
                <w:b/>
                <w:bCs/>
                <w:color w:val="000000"/>
                <w:sz w:val="20"/>
                <w:szCs w:val="20"/>
                <w:lang w:val="fr-CA"/>
              </w:rPr>
            </w:pPr>
            <w:r w:rsidRPr="001F4557">
              <w:rPr>
                <w:b/>
                <w:bCs/>
                <w:color w:val="000000"/>
                <w:sz w:val="20"/>
                <w:szCs w:val="20"/>
                <w:lang w:val="fr-CA" w:eastAsia="en-CA"/>
              </w:rPr>
              <w:t>Agence</w:t>
            </w:r>
          </w:p>
        </w:tc>
        <w:tc>
          <w:tcPr>
            <w:tcW w:w="2047" w:type="dxa"/>
            <w:shd w:val="clear" w:color="auto" w:fill="auto"/>
            <w:vAlign w:val="center"/>
            <w:hideMark/>
          </w:tcPr>
          <w:p w14:paraId="3123F337" w14:textId="77777777" w:rsidR="00FE2783" w:rsidRPr="001F4557" w:rsidRDefault="00FE2783" w:rsidP="00FE2783">
            <w:pPr>
              <w:jc w:val="center"/>
              <w:rPr>
                <w:b/>
                <w:bCs/>
                <w:color w:val="000000"/>
                <w:sz w:val="20"/>
                <w:szCs w:val="20"/>
                <w:lang w:val="fr-CA"/>
              </w:rPr>
            </w:pPr>
            <w:r w:rsidRPr="001F4557">
              <w:rPr>
                <w:b/>
                <w:bCs/>
                <w:color w:val="000000"/>
                <w:sz w:val="20"/>
                <w:szCs w:val="20"/>
                <w:lang w:val="fr-CA"/>
              </w:rPr>
              <w:t>Somme approuvée</w:t>
            </w:r>
          </w:p>
        </w:tc>
        <w:tc>
          <w:tcPr>
            <w:tcW w:w="2048" w:type="dxa"/>
            <w:shd w:val="clear" w:color="auto" w:fill="auto"/>
            <w:vAlign w:val="center"/>
            <w:hideMark/>
          </w:tcPr>
          <w:p w14:paraId="4B365707" w14:textId="77777777" w:rsidR="00FE2783" w:rsidRPr="001F4557" w:rsidRDefault="00FE2783" w:rsidP="00FE2783">
            <w:pPr>
              <w:jc w:val="center"/>
              <w:rPr>
                <w:b/>
                <w:bCs/>
                <w:color w:val="000000"/>
                <w:sz w:val="20"/>
                <w:szCs w:val="20"/>
                <w:lang w:val="fr-CA"/>
              </w:rPr>
            </w:pPr>
            <w:r w:rsidRPr="001F4557">
              <w:rPr>
                <w:b/>
                <w:bCs/>
                <w:color w:val="000000"/>
                <w:sz w:val="20"/>
                <w:szCs w:val="20"/>
                <w:lang w:val="fr-CA"/>
              </w:rPr>
              <w:t>Somme décaissée</w:t>
            </w:r>
          </w:p>
        </w:tc>
        <w:tc>
          <w:tcPr>
            <w:tcW w:w="2047" w:type="dxa"/>
            <w:vAlign w:val="center"/>
          </w:tcPr>
          <w:p w14:paraId="7EB57D68" w14:textId="77777777" w:rsidR="00FE2783" w:rsidRPr="001F4557" w:rsidRDefault="00FE2783" w:rsidP="00FE2783">
            <w:pPr>
              <w:jc w:val="center"/>
              <w:rPr>
                <w:b/>
                <w:sz w:val="20"/>
                <w:szCs w:val="20"/>
                <w:lang w:val="fr-CA"/>
              </w:rPr>
            </w:pPr>
            <w:r w:rsidRPr="001F4557">
              <w:rPr>
                <w:b/>
                <w:bCs/>
                <w:color w:val="000000"/>
                <w:sz w:val="20"/>
                <w:szCs w:val="20"/>
                <w:lang w:val="fr-CA"/>
              </w:rPr>
              <w:t>Solde</w:t>
            </w:r>
          </w:p>
        </w:tc>
        <w:tc>
          <w:tcPr>
            <w:tcW w:w="2048" w:type="dxa"/>
            <w:shd w:val="clear" w:color="auto" w:fill="auto"/>
            <w:vAlign w:val="center"/>
          </w:tcPr>
          <w:p w14:paraId="13990521" w14:textId="77777777" w:rsidR="00FE2783" w:rsidRPr="001F4557" w:rsidRDefault="00FE2783" w:rsidP="00FE2783">
            <w:pPr>
              <w:jc w:val="center"/>
              <w:rPr>
                <w:b/>
                <w:bCs/>
                <w:color w:val="000000"/>
                <w:sz w:val="20"/>
                <w:szCs w:val="20"/>
                <w:lang w:val="fr-CA"/>
              </w:rPr>
            </w:pPr>
            <w:r w:rsidRPr="001F4557">
              <w:rPr>
                <w:b/>
                <w:sz w:val="20"/>
                <w:szCs w:val="20"/>
                <w:lang w:val="fr-CA"/>
              </w:rPr>
              <w:t>Taux de décaissement (%)</w:t>
            </w:r>
          </w:p>
        </w:tc>
      </w:tr>
      <w:tr w:rsidR="00FE2783" w:rsidRPr="001F4557" w14:paraId="0C46FFEE" w14:textId="77777777" w:rsidTr="00FE2783">
        <w:tc>
          <w:tcPr>
            <w:tcW w:w="1165" w:type="dxa"/>
            <w:shd w:val="clear" w:color="auto" w:fill="auto"/>
            <w:vAlign w:val="center"/>
            <w:hideMark/>
          </w:tcPr>
          <w:p w14:paraId="29C997A4" w14:textId="77777777" w:rsidR="00FE2783" w:rsidRPr="001F4557" w:rsidRDefault="00FE2783" w:rsidP="00FE2783">
            <w:pPr>
              <w:jc w:val="left"/>
              <w:rPr>
                <w:color w:val="000000"/>
                <w:sz w:val="20"/>
                <w:szCs w:val="20"/>
                <w:lang w:val="fr-CA"/>
              </w:rPr>
            </w:pPr>
            <w:r w:rsidRPr="001F4557">
              <w:rPr>
                <w:color w:val="000000"/>
                <w:sz w:val="20"/>
                <w:szCs w:val="20"/>
                <w:lang w:val="fr-CA"/>
              </w:rPr>
              <w:t>PNUD</w:t>
            </w:r>
          </w:p>
        </w:tc>
        <w:tc>
          <w:tcPr>
            <w:tcW w:w="2047" w:type="dxa"/>
            <w:shd w:val="clear" w:color="auto" w:fill="auto"/>
            <w:tcMar>
              <w:left w:w="115" w:type="dxa"/>
              <w:right w:w="216" w:type="dxa"/>
            </w:tcMar>
            <w:vAlign w:val="center"/>
            <w:hideMark/>
          </w:tcPr>
          <w:p w14:paraId="35CB310A" w14:textId="77777777" w:rsidR="00FE2783" w:rsidRPr="001F4557" w:rsidRDefault="00FE2783" w:rsidP="00FE2783">
            <w:pPr>
              <w:jc w:val="right"/>
              <w:rPr>
                <w:color w:val="000000"/>
                <w:sz w:val="20"/>
                <w:szCs w:val="20"/>
                <w:lang w:val="fr-CA"/>
              </w:rPr>
            </w:pPr>
            <w:r w:rsidRPr="001F4557">
              <w:rPr>
                <w:color w:val="000000"/>
                <w:sz w:val="20"/>
                <w:szCs w:val="20"/>
                <w:lang w:val="fr-CA"/>
              </w:rPr>
              <w:t>2 145 047</w:t>
            </w:r>
          </w:p>
        </w:tc>
        <w:tc>
          <w:tcPr>
            <w:tcW w:w="2048" w:type="dxa"/>
            <w:shd w:val="clear" w:color="auto" w:fill="auto"/>
            <w:tcMar>
              <w:left w:w="115" w:type="dxa"/>
              <w:right w:w="216" w:type="dxa"/>
            </w:tcMar>
            <w:vAlign w:val="center"/>
            <w:hideMark/>
          </w:tcPr>
          <w:p w14:paraId="4F252AE4" w14:textId="77777777" w:rsidR="00FE2783" w:rsidRPr="001F4557" w:rsidRDefault="00FE2783" w:rsidP="00FE2783">
            <w:pPr>
              <w:jc w:val="right"/>
              <w:rPr>
                <w:color w:val="000000"/>
                <w:sz w:val="20"/>
                <w:szCs w:val="20"/>
                <w:lang w:val="fr-CA"/>
              </w:rPr>
            </w:pPr>
            <w:r w:rsidRPr="001F4557">
              <w:rPr>
                <w:color w:val="000000"/>
                <w:sz w:val="20"/>
                <w:szCs w:val="20"/>
                <w:lang w:val="fr-CA"/>
              </w:rPr>
              <w:t>1 634 991</w:t>
            </w:r>
          </w:p>
        </w:tc>
        <w:tc>
          <w:tcPr>
            <w:tcW w:w="2047" w:type="dxa"/>
            <w:tcMar>
              <w:left w:w="115" w:type="dxa"/>
              <w:right w:w="216" w:type="dxa"/>
            </w:tcMar>
            <w:vAlign w:val="center"/>
          </w:tcPr>
          <w:p w14:paraId="5FEB59FF" w14:textId="77777777" w:rsidR="00FE2783" w:rsidRPr="001F4557" w:rsidRDefault="00FE2783" w:rsidP="00FE2783">
            <w:pPr>
              <w:jc w:val="right"/>
              <w:rPr>
                <w:color w:val="000000"/>
                <w:sz w:val="20"/>
                <w:szCs w:val="20"/>
                <w:lang w:val="fr-CA"/>
              </w:rPr>
            </w:pPr>
            <w:r w:rsidRPr="001F4557">
              <w:rPr>
                <w:color w:val="000000"/>
                <w:sz w:val="20"/>
                <w:szCs w:val="20"/>
                <w:lang w:val="fr-CA"/>
              </w:rPr>
              <w:t>510 056</w:t>
            </w:r>
          </w:p>
        </w:tc>
        <w:tc>
          <w:tcPr>
            <w:tcW w:w="2048" w:type="dxa"/>
            <w:shd w:val="clear" w:color="auto" w:fill="auto"/>
            <w:vAlign w:val="center"/>
            <w:hideMark/>
          </w:tcPr>
          <w:p w14:paraId="62E87E6D" w14:textId="77777777" w:rsidR="00FE2783" w:rsidRPr="001F4557" w:rsidRDefault="00FE2783" w:rsidP="00FE2783">
            <w:pPr>
              <w:ind w:right="796"/>
              <w:jc w:val="right"/>
              <w:rPr>
                <w:color w:val="000000"/>
                <w:sz w:val="20"/>
                <w:szCs w:val="20"/>
                <w:lang w:val="fr-CA"/>
              </w:rPr>
            </w:pPr>
            <w:r w:rsidRPr="001F4557">
              <w:rPr>
                <w:color w:val="000000"/>
                <w:sz w:val="20"/>
                <w:szCs w:val="20"/>
                <w:lang w:val="fr-CA"/>
              </w:rPr>
              <w:t>76</w:t>
            </w:r>
          </w:p>
        </w:tc>
      </w:tr>
      <w:tr w:rsidR="00FE2783" w:rsidRPr="001F4557" w14:paraId="18B515CF" w14:textId="77777777" w:rsidTr="00FE2783">
        <w:tc>
          <w:tcPr>
            <w:tcW w:w="1165" w:type="dxa"/>
            <w:shd w:val="clear" w:color="auto" w:fill="auto"/>
            <w:vAlign w:val="center"/>
            <w:hideMark/>
          </w:tcPr>
          <w:p w14:paraId="1AD50942" w14:textId="77777777" w:rsidR="00FE2783" w:rsidRPr="001F4557" w:rsidRDefault="00FE2783" w:rsidP="00FE2783">
            <w:pPr>
              <w:jc w:val="left"/>
              <w:rPr>
                <w:color w:val="000000"/>
                <w:sz w:val="20"/>
                <w:szCs w:val="20"/>
                <w:lang w:val="fr-CA"/>
              </w:rPr>
            </w:pPr>
            <w:r w:rsidRPr="001F4557">
              <w:rPr>
                <w:color w:val="000000"/>
                <w:sz w:val="20"/>
                <w:szCs w:val="20"/>
                <w:lang w:val="fr-CA"/>
              </w:rPr>
              <w:t>PNUE</w:t>
            </w:r>
          </w:p>
        </w:tc>
        <w:tc>
          <w:tcPr>
            <w:tcW w:w="2047" w:type="dxa"/>
            <w:shd w:val="clear" w:color="auto" w:fill="auto"/>
            <w:tcMar>
              <w:left w:w="115" w:type="dxa"/>
              <w:right w:w="216" w:type="dxa"/>
            </w:tcMar>
            <w:vAlign w:val="center"/>
            <w:hideMark/>
          </w:tcPr>
          <w:p w14:paraId="79D0DA80" w14:textId="77777777" w:rsidR="00FE2783" w:rsidRPr="001F4557" w:rsidRDefault="00FE2783" w:rsidP="00FE2783">
            <w:pPr>
              <w:jc w:val="right"/>
              <w:rPr>
                <w:color w:val="000000"/>
                <w:sz w:val="20"/>
                <w:szCs w:val="20"/>
                <w:lang w:val="fr-CA"/>
              </w:rPr>
            </w:pPr>
            <w:r w:rsidRPr="001F4557">
              <w:rPr>
                <w:color w:val="000000"/>
                <w:sz w:val="20"/>
                <w:szCs w:val="20"/>
                <w:lang w:val="fr-CA"/>
              </w:rPr>
              <w:t>218 270</w:t>
            </w:r>
          </w:p>
        </w:tc>
        <w:tc>
          <w:tcPr>
            <w:tcW w:w="2048" w:type="dxa"/>
            <w:shd w:val="clear" w:color="auto" w:fill="auto"/>
            <w:tcMar>
              <w:left w:w="115" w:type="dxa"/>
              <w:right w:w="216" w:type="dxa"/>
            </w:tcMar>
            <w:vAlign w:val="center"/>
            <w:hideMark/>
          </w:tcPr>
          <w:p w14:paraId="5C5B632C" w14:textId="77777777" w:rsidR="00FE2783" w:rsidRPr="001F4557" w:rsidRDefault="00FE2783" w:rsidP="00FE2783">
            <w:pPr>
              <w:jc w:val="right"/>
              <w:rPr>
                <w:color w:val="000000"/>
                <w:sz w:val="20"/>
                <w:szCs w:val="20"/>
                <w:lang w:val="fr-CA"/>
              </w:rPr>
            </w:pPr>
            <w:r w:rsidRPr="001F4557">
              <w:rPr>
                <w:color w:val="000000"/>
                <w:sz w:val="20"/>
                <w:szCs w:val="20"/>
                <w:lang w:val="fr-CA"/>
              </w:rPr>
              <w:t>12 635</w:t>
            </w:r>
          </w:p>
        </w:tc>
        <w:tc>
          <w:tcPr>
            <w:tcW w:w="2047" w:type="dxa"/>
            <w:tcMar>
              <w:left w:w="115" w:type="dxa"/>
              <w:right w:w="216" w:type="dxa"/>
            </w:tcMar>
            <w:vAlign w:val="center"/>
          </w:tcPr>
          <w:p w14:paraId="38F886CC" w14:textId="77777777" w:rsidR="00FE2783" w:rsidRPr="001F4557" w:rsidRDefault="00FE2783" w:rsidP="00FE2783">
            <w:pPr>
              <w:jc w:val="right"/>
              <w:rPr>
                <w:color w:val="000000"/>
                <w:sz w:val="20"/>
                <w:szCs w:val="20"/>
                <w:lang w:val="fr-CA"/>
              </w:rPr>
            </w:pPr>
            <w:r w:rsidRPr="001F4557">
              <w:rPr>
                <w:color w:val="000000"/>
                <w:sz w:val="20"/>
                <w:szCs w:val="20"/>
                <w:lang w:val="fr-CA"/>
              </w:rPr>
              <w:t>205 635</w:t>
            </w:r>
          </w:p>
        </w:tc>
        <w:tc>
          <w:tcPr>
            <w:tcW w:w="2048" w:type="dxa"/>
            <w:shd w:val="clear" w:color="auto" w:fill="auto"/>
            <w:vAlign w:val="center"/>
            <w:hideMark/>
          </w:tcPr>
          <w:p w14:paraId="31580498" w14:textId="77777777" w:rsidR="00FE2783" w:rsidRPr="001F4557" w:rsidRDefault="00FE2783" w:rsidP="00FE2783">
            <w:pPr>
              <w:ind w:right="796"/>
              <w:jc w:val="right"/>
              <w:rPr>
                <w:color w:val="000000"/>
                <w:sz w:val="20"/>
                <w:szCs w:val="20"/>
                <w:lang w:val="fr-CA"/>
              </w:rPr>
            </w:pPr>
            <w:r w:rsidRPr="001F4557">
              <w:rPr>
                <w:color w:val="000000"/>
                <w:sz w:val="20"/>
                <w:szCs w:val="20"/>
                <w:lang w:val="fr-CA"/>
              </w:rPr>
              <w:t>6</w:t>
            </w:r>
          </w:p>
        </w:tc>
      </w:tr>
      <w:tr w:rsidR="00FE2783" w:rsidRPr="001F4557" w14:paraId="6D8AD846" w14:textId="77777777" w:rsidTr="00FE2783">
        <w:tc>
          <w:tcPr>
            <w:tcW w:w="1165" w:type="dxa"/>
            <w:shd w:val="clear" w:color="auto" w:fill="auto"/>
            <w:vAlign w:val="center"/>
            <w:hideMark/>
          </w:tcPr>
          <w:p w14:paraId="761270D3" w14:textId="77777777" w:rsidR="00FE2783" w:rsidRPr="001F4557" w:rsidRDefault="00FE2783" w:rsidP="00FE2783">
            <w:pPr>
              <w:jc w:val="left"/>
              <w:rPr>
                <w:color w:val="000000"/>
                <w:sz w:val="20"/>
                <w:szCs w:val="20"/>
                <w:lang w:val="fr-CA"/>
              </w:rPr>
            </w:pPr>
            <w:r w:rsidRPr="001F4557">
              <w:rPr>
                <w:color w:val="000000"/>
                <w:sz w:val="20"/>
                <w:szCs w:val="20"/>
                <w:lang w:val="fr-CA"/>
              </w:rPr>
              <w:t>ONUDI</w:t>
            </w:r>
          </w:p>
        </w:tc>
        <w:tc>
          <w:tcPr>
            <w:tcW w:w="2047" w:type="dxa"/>
            <w:shd w:val="clear" w:color="auto" w:fill="auto"/>
            <w:tcMar>
              <w:left w:w="115" w:type="dxa"/>
              <w:right w:w="216" w:type="dxa"/>
            </w:tcMar>
            <w:vAlign w:val="center"/>
            <w:hideMark/>
          </w:tcPr>
          <w:p w14:paraId="3C7F4B8F" w14:textId="77777777" w:rsidR="00FE2783" w:rsidRPr="001F4557" w:rsidRDefault="00FE2783" w:rsidP="00FE2783">
            <w:pPr>
              <w:jc w:val="right"/>
              <w:rPr>
                <w:color w:val="000000"/>
                <w:sz w:val="20"/>
                <w:szCs w:val="20"/>
                <w:lang w:val="fr-CA"/>
              </w:rPr>
            </w:pPr>
            <w:r w:rsidRPr="001F4557">
              <w:rPr>
                <w:color w:val="000000"/>
                <w:sz w:val="20"/>
                <w:szCs w:val="20"/>
                <w:lang w:val="fr-CA"/>
              </w:rPr>
              <w:t>1 030 700</w:t>
            </w:r>
          </w:p>
        </w:tc>
        <w:tc>
          <w:tcPr>
            <w:tcW w:w="2048" w:type="dxa"/>
            <w:shd w:val="clear" w:color="auto" w:fill="auto"/>
            <w:tcMar>
              <w:left w:w="115" w:type="dxa"/>
              <w:right w:w="216" w:type="dxa"/>
            </w:tcMar>
            <w:vAlign w:val="center"/>
            <w:hideMark/>
          </w:tcPr>
          <w:p w14:paraId="7A827EFE" w14:textId="77777777" w:rsidR="00FE2783" w:rsidRPr="001F4557" w:rsidRDefault="00FE2783" w:rsidP="00FE2783">
            <w:pPr>
              <w:jc w:val="right"/>
              <w:rPr>
                <w:color w:val="000000"/>
                <w:sz w:val="20"/>
                <w:szCs w:val="20"/>
                <w:lang w:val="fr-CA"/>
              </w:rPr>
            </w:pPr>
            <w:r w:rsidRPr="001F4557">
              <w:rPr>
                <w:color w:val="000000"/>
                <w:sz w:val="20"/>
                <w:szCs w:val="20"/>
                <w:lang w:val="fr-CA"/>
              </w:rPr>
              <w:t>431 995</w:t>
            </w:r>
          </w:p>
        </w:tc>
        <w:tc>
          <w:tcPr>
            <w:tcW w:w="2047" w:type="dxa"/>
            <w:tcMar>
              <w:left w:w="115" w:type="dxa"/>
              <w:right w:w="216" w:type="dxa"/>
            </w:tcMar>
            <w:vAlign w:val="center"/>
          </w:tcPr>
          <w:p w14:paraId="7B4ED280" w14:textId="77777777" w:rsidR="00FE2783" w:rsidRPr="001F4557" w:rsidRDefault="00FE2783" w:rsidP="00FE2783">
            <w:pPr>
              <w:jc w:val="right"/>
              <w:rPr>
                <w:color w:val="000000"/>
                <w:sz w:val="20"/>
                <w:szCs w:val="20"/>
                <w:lang w:val="fr-CA"/>
              </w:rPr>
            </w:pPr>
            <w:r w:rsidRPr="001F4557">
              <w:rPr>
                <w:color w:val="000000"/>
                <w:sz w:val="20"/>
                <w:szCs w:val="20"/>
                <w:lang w:val="fr-CA"/>
              </w:rPr>
              <w:t>598 705</w:t>
            </w:r>
          </w:p>
        </w:tc>
        <w:tc>
          <w:tcPr>
            <w:tcW w:w="2048" w:type="dxa"/>
            <w:shd w:val="clear" w:color="auto" w:fill="auto"/>
            <w:vAlign w:val="center"/>
            <w:hideMark/>
          </w:tcPr>
          <w:p w14:paraId="19EE7F00" w14:textId="77777777" w:rsidR="00FE2783" w:rsidRPr="001F4557" w:rsidRDefault="00FE2783" w:rsidP="00FE2783">
            <w:pPr>
              <w:ind w:right="796"/>
              <w:jc w:val="right"/>
              <w:rPr>
                <w:color w:val="000000"/>
                <w:sz w:val="20"/>
                <w:szCs w:val="20"/>
                <w:lang w:val="fr-CA"/>
              </w:rPr>
            </w:pPr>
            <w:r w:rsidRPr="001F4557">
              <w:rPr>
                <w:color w:val="000000"/>
                <w:sz w:val="20"/>
                <w:szCs w:val="20"/>
                <w:lang w:val="fr-CA"/>
              </w:rPr>
              <w:t>42</w:t>
            </w:r>
          </w:p>
        </w:tc>
      </w:tr>
      <w:tr w:rsidR="00FE2783" w:rsidRPr="001F4557" w14:paraId="27ABC90A" w14:textId="77777777" w:rsidTr="00FE2783">
        <w:tc>
          <w:tcPr>
            <w:tcW w:w="1165" w:type="dxa"/>
            <w:shd w:val="clear" w:color="auto" w:fill="auto"/>
            <w:vAlign w:val="center"/>
            <w:hideMark/>
          </w:tcPr>
          <w:p w14:paraId="0297D4E4" w14:textId="77777777" w:rsidR="00FE2783" w:rsidRPr="001F4557" w:rsidRDefault="00FE2783" w:rsidP="00FE2783">
            <w:pPr>
              <w:jc w:val="left"/>
              <w:rPr>
                <w:b/>
                <w:bCs/>
                <w:color w:val="000000"/>
                <w:sz w:val="20"/>
                <w:szCs w:val="20"/>
                <w:lang w:val="fr-CA"/>
              </w:rPr>
            </w:pPr>
            <w:r w:rsidRPr="001F4557">
              <w:rPr>
                <w:b/>
                <w:bCs/>
                <w:color w:val="000000"/>
                <w:sz w:val="20"/>
                <w:szCs w:val="20"/>
                <w:lang w:val="fr-CA"/>
              </w:rPr>
              <w:t>Total</w:t>
            </w:r>
          </w:p>
        </w:tc>
        <w:tc>
          <w:tcPr>
            <w:tcW w:w="2047" w:type="dxa"/>
            <w:shd w:val="clear" w:color="auto" w:fill="auto"/>
            <w:tcMar>
              <w:left w:w="115" w:type="dxa"/>
              <w:right w:w="216" w:type="dxa"/>
            </w:tcMar>
            <w:vAlign w:val="center"/>
            <w:hideMark/>
          </w:tcPr>
          <w:p w14:paraId="15CEF231" w14:textId="77777777" w:rsidR="00FE2783" w:rsidRPr="001F4557" w:rsidRDefault="00FE2783" w:rsidP="00FE2783">
            <w:pPr>
              <w:jc w:val="right"/>
              <w:rPr>
                <w:b/>
                <w:bCs/>
                <w:color w:val="000000"/>
                <w:sz w:val="20"/>
                <w:szCs w:val="20"/>
                <w:lang w:val="fr-CA"/>
              </w:rPr>
            </w:pPr>
            <w:r w:rsidRPr="001F4557">
              <w:rPr>
                <w:b/>
                <w:bCs/>
                <w:color w:val="000000"/>
                <w:sz w:val="20"/>
                <w:szCs w:val="20"/>
                <w:lang w:val="fr-CA"/>
              </w:rPr>
              <w:t>3 394 017</w:t>
            </w:r>
          </w:p>
        </w:tc>
        <w:tc>
          <w:tcPr>
            <w:tcW w:w="2048" w:type="dxa"/>
            <w:shd w:val="clear" w:color="auto" w:fill="auto"/>
            <w:tcMar>
              <w:left w:w="115" w:type="dxa"/>
              <w:right w:w="216" w:type="dxa"/>
            </w:tcMar>
            <w:vAlign w:val="center"/>
            <w:hideMark/>
          </w:tcPr>
          <w:p w14:paraId="3F2E0098" w14:textId="77777777" w:rsidR="00FE2783" w:rsidRPr="001F4557" w:rsidRDefault="00FE2783" w:rsidP="00FE2783">
            <w:pPr>
              <w:jc w:val="right"/>
              <w:rPr>
                <w:b/>
                <w:bCs/>
                <w:color w:val="000000"/>
                <w:sz w:val="20"/>
                <w:szCs w:val="20"/>
                <w:lang w:val="fr-CA"/>
              </w:rPr>
            </w:pPr>
            <w:r w:rsidRPr="001F4557">
              <w:rPr>
                <w:b/>
                <w:bCs/>
                <w:color w:val="000000"/>
                <w:sz w:val="20"/>
                <w:szCs w:val="20"/>
                <w:lang w:val="fr-CA"/>
              </w:rPr>
              <w:t>2 079 621</w:t>
            </w:r>
          </w:p>
        </w:tc>
        <w:tc>
          <w:tcPr>
            <w:tcW w:w="2047" w:type="dxa"/>
            <w:tcMar>
              <w:left w:w="115" w:type="dxa"/>
              <w:right w:w="216" w:type="dxa"/>
            </w:tcMar>
            <w:vAlign w:val="center"/>
          </w:tcPr>
          <w:p w14:paraId="62D999F0" w14:textId="77777777" w:rsidR="00FE2783" w:rsidRPr="001F4557" w:rsidRDefault="00FE2783" w:rsidP="00FE2783">
            <w:pPr>
              <w:jc w:val="right"/>
              <w:rPr>
                <w:b/>
                <w:color w:val="000000"/>
                <w:sz w:val="20"/>
                <w:szCs w:val="20"/>
                <w:lang w:val="fr-CA"/>
              </w:rPr>
            </w:pPr>
            <w:r w:rsidRPr="001F4557">
              <w:rPr>
                <w:b/>
                <w:bCs/>
                <w:color w:val="000000"/>
                <w:sz w:val="20"/>
                <w:szCs w:val="20"/>
                <w:lang w:val="fr-CA"/>
              </w:rPr>
              <w:t>1 314 396</w:t>
            </w:r>
          </w:p>
        </w:tc>
        <w:tc>
          <w:tcPr>
            <w:tcW w:w="2048" w:type="dxa"/>
            <w:shd w:val="clear" w:color="auto" w:fill="auto"/>
            <w:vAlign w:val="center"/>
            <w:hideMark/>
          </w:tcPr>
          <w:p w14:paraId="50F37A68" w14:textId="77777777" w:rsidR="00FE2783" w:rsidRPr="001F4557" w:rsidRDefault="00FE2783" w:rsidP="00FE2783">
            <w:pPr>
              <w:ind w:right="796"/>
              <w:jc w:val="right"/>
              <w:rPr>
                <w:b/>
                <w:color w:val="000000"/>
                <w:sz w:val="20"/>
                <w:szCs w:val="20"/>
                <w:lang w:val="fr-CA"/>
              </w:rPr>
            </w:pPr>
            <w:r w:rsidRPr="001F4557">
              <w:rPr>
                <w:b/>
                <w:color w:val="000000"/>
                <w:sz w:val="20"/>
                <w:szCs w:val="20"/>
                <w:lang w:val="fr-CA"/>
              </w:rPr>
              <w:t>61</w:t>
            </w:r>
          </w:p>
        </w:tc>
      </w:tr>
    </w:tbl>
    <w:p w14:paraId="044C55A2" w14:textId="77777777" w:rsidR="00FE2783" w:rsidRPr="001F4557" w:rsidRDefault="00FE2783" w:rsidP="00FE2783">
      <w:pPr>
        <w:keepNext/>
        <w:spacing w:before="240"/>
        <w:rPr>
          <w:i/>
          <w:lang w:val="fr-CA"/>
        </w:rPr>
      </w:pPr>
      <w:r w:rsidRPr="001F4557">
        <w:rPr>
          <w:b/>
          <w:lang w:val="fr-CA"/>
        </w:rPr>
        <w:t>Observations du Secrétariat</w:t>
      </w:r>
    </w:p>
    <w:p w14:paraId="7F7DE8E3" w14:textId="77777777" w:rsidR="00FE2783" w:rsidRPr="001F4557" w:rsidRDefault="00FE2783" w:rsidP="00FE2783">
      <w:pPr>
        <w:keepNext/>
        <w:rPr>
          <w:i/>
          <w:lang w:val="fr-CA"/>
        </w:rPr>
      </w:pPr>
    </w:p>
    <w:p w14:paraId="1C5C3FC8" w14:textId="77777777" w:rsidR="00FE2783" w:rsidRPr="001F4557" w:rsidRDefault="00FE2783" w:rsidP="00FE2783">
      <w:pPr>
        <w:keepNext/>
        <w:rPr>
          <w:i/>
          <w:lang w:val="fr-CA"/>
        </w:rPr>
      </w:pPr>
      <w:r w:rsidRPr="001F4557">
        <w:rPr>
          <w:i/>
          <w:lang w:val="fr-CA"/>
        </w:rPr>
        <w:t>Secteur de la fabrication de mousse de polyuréthanne</w:t>
      </w:r>
    </w:p>
    <w:p w14:paraId="1A07A41D" w14:textId="77777777" w:rsidR="00FE2783" w:rsidRPr="001F4557" w:rsidRDefault="00FE2783" w:rsidP="00FE2783">
      <w:pPr>
        <w:keepNext/>
        <w:rPr>
          <w:i/>
          <w:lang w:val="fr-CA"/>
        </w:rPr>
      </w:pPr>
    </w:p>
    <w:p w14:paraId="322FB8D0" w14:textId="77777777" w:rsidR="00FE2783" w:rsidRPr="001F4557" w:rsidRDefault="00FE2783" w:rsidP="00FE2783">
      <w:pPr>
        <w:pStyle w:val="Heading1"/>
        <w:rPr>
          <w:lang w:val="fr-CA"/>
        </w:rPr>
      </w:pPr>
      <w:r w:rsidRPr="001F4557">
        <w:rPr>
          <w:lang w:val="fr-CA"/>
        </w:rPr>
        <w:t xml:space="preserve">En réponse à des demandes de précisions sur l’annulation du projet individuel de </w:t>
      </w:r>
      <w:proofErr w:type="spellStart"/>
      <w:r w:rsidRPr="001F4557">
        <w:rPr>
          <w:lang w:val="fr-CA"/>
        </w:rPr>
        <w:t>Superfrigo</w:t>
      </w:r>
      <w:proofErr w:type="spellEnd"/>
      <w:r w:rsidRPr="001F4557">
        <w:rPr>
          <w:lang w:val="fr-CA"/>
        </w:rPr>
        <w:t xml:space="preserve">, le PNUD a expliqué que l’entreprise a reconverti ses activités à une </w:t>
      </w:r>
      <w:r>
        <w:rPr>
          <w:lang w:val="fr-CA"/>
        </w:rPr>
        <w:t>formule</w:t>
      </w:r>
      <w:r w:rsidRPr="001F4557">
        <w:rPr>
          <w:lang w:val="fr-CA"/>
        </w:rPr>
        <w:t xml:space="preserve"> de polyuréthanne à base de HFC (mélange de HFC-365mfc (93 pour cent) et HFC-227ea (7 pour cent)) et a confirmé que les sommes destinées à cette entreprise seront restituées à la 89</w:t>
      </w:r>
      <w:r w:rsidRPr="001F4557">
        <w:rPr>
          <w:vertAlign w:val="superscript"/>
          <w:lang w:val="fr-CA"/>
        </w:rPr>
        <w:t>e</w:t>
      </w:r>
      <w:r w:rsidRPr="001F4557">
        <w:rPr>
          <w:lang w:val="fr-CA"/>
        </w:rPr>
        <w:t xml:space="preserve"> réunion. </w:t>
      </w:r>
    </w:p>
    <w:p w14:paraId="6BD1D9F4" w14:textId="77777777" w:rsidR="00FE2783" w:rsidRPr="001F4557" w:rsidRDefault="00FE2783" w:rsidP="00FE2783">
      <w:pPr>
        <w:pStyle w:val="Heading1"/>
        <w:rPr>
          <w:lang w:val="fr-CA"/>
        </w:rPr>
      </w:pPr>
      <w:r w:rsidRPr="001F4557">
        <w:rPr>
          <w:lang w:val="fr-CA"/>
        </w:rPr>
        <w:t xml:space="preserve">Le PNUD a aussi confirmé que le projet </w:t>
      </w:r>
      <w:r>
        <w:rPr>
          <w:lang w:val="fr-CA"/>
        </w:rPr>
        <w:t xml:space="preserve">du groupe </w:t>
      </w:r>
      <w:proofErr w:type="spellStart"/>
      <w:r w:rsidRPr="001F4557">
        <w:rPr>
          <w:lang w:val="fr-CA"/>
        </w:rPr>
        <w:t>Ixom</w:t>
      </w:r>
      <w:proofErr w:type="spellEnd"/>
      <w:r w:rsidRPr="001F4557">
        <w:rPr>
          <w:lang w:val="fr-CA"/>
        </w:rPr>
        <w:t xml:space="preserve"> sera </w:t>
      </w:r>
      <w:r>
        <w:rPr>
          <w:lang w:val="fr-CA"/>
        </w:rPr>
        <w:t>achevé</w:t>
      </w:r>
      <w:r w:rsidRPr="001F4557">
        <w:rPr>
          <w:lang w:val="fr-CA"/>
        </w:rPr>
        <w:t xml:space="preserve"> avant le 31 décembre 2021, au plus tard.</w:t>
      </w:r>
    </w:p>
    <w:p w14:paraId="6CA35009" w14:textId="77777777" w:rsidR="00FE2783" w:rsidRPr="001F4557" w:rsidRDefault="00FE2783" w:rsidP="00FE2783">
      <w:pPr>
        <w:keepNext/>
        <w:keepLines/>
        <w:rPr>
          <w:i/>
          <w:lang w:val="fr-CA"/>
        </w:rPr>
      </w:pPr>
      <w:r w:rsidRPr="001F4557">
        <w:rPr>
          <w:i/>
          <w:lang w:val="fr-CA"/>
        </w:rPr>
        <w:t>Secteur de l’entretien de l’équipement de réfrigération</w:t>
      </w:r>
    </w:p>
    <w:p w14:paraId="504266C6" w14:textId="77777777" w:rsidR="00FE2783" w:rsidRPr="001F4557" w:rsidRDefault="00FE2783" w:rsidP="00FE2783">
      <w:pPr>
        <w:keepNext/>
        <w:keepLines/>
        <w:rPr>
          <w:lang w:val="fr-CA"/>
        </w:rPr>
      </w:pPr>
    </w:p>
    <w:p w14:paraId="1E6D9D5D" w14:textId="3C2F1835" w:rsidR="00FE2783" w:rsidRPr="001F4557" w:rsidRDefault="00FE2783" w:rsidP="00FE2783">
      <w:pPr>
        <w:pStyle w:val="Heading1"/>
        <w:keepNext/>
        <w:keepLines/>
        <w:rPr>
          <w:lang w:val="fr-CA"/>
        </w:rPr>
      </w:pPr>
      <w:r w:rsidRPr="001F4557">
        <w:rPr>
          <w:lang w:val="fr-CA"/>
        </w:rPr>
        <w:t xml:space="preserve">En précisant la date prévue de la mise sur pied des centres de récupération et de recyclage, qui pourrait se faire au début de 2022 seulement, le PNUD a indiqué qu’il faisait tout son possible pour que l’équipement soit en place plus tôt afin que ces centres soient fonctionnels avant la fin de </w:t>
      </w:r>
      <w:r w:rsidR="00023070" w:rsidRPr="001F4557">
        <w:rPr>
          <w:lang w:val="fr-CA"/>
        </w:rPr>
        <w:t>l’année ;</w:t>
      </w:r>
      <w:r w:rsidRPr="001F4557">
        <w:rPr>
          <w:lang w:val="fr-CA"/>
        </w:rPr>
        <w:t xml:space="preserve"> la date plus tardive a été avancée au cas où le processus d’achat et de distribution connaisse des retards. </w:t>
      </w:r>
    </w:p>
    <w:p w14:paraId="6E3AADAF" w14:textId="77777777" w:rsidR="00FE2783" w:rsidRPr="001F4557" w:rsidRDefault="00FE2783" w:rsidP="00FE2783">
      <w:pPr>
        <w:spacing w:after="240"/>
        <w:jc w:val="left"/>
        <w:rPr>
          <w:b/>
          <w:lang w:val="fr-CA"/>
        </w:rPr>
      </w:pPr>
      <w:r w:rsidRPr="001F4557">
        <w:rPr>
          <w:b/>
          <w:lang w:val="fr-CA"/>
        </w:rPr>
        <w:t>Recommandation</w:t>
      </w:r>
    </w:p>
    <w:p w14:paraId="5C25F58E" w14:textId="77777777" w:rsidR="00FE2783" w:rsidRPr="001F4557" w:rsidRDefault="00FE2783" w:rsidP="00FE2783">
      <w:pPr>
        <w:pStyle w:val="Heading1"/>
        <w:jc w:val="left"/>
        <w:rPr>
          <w:lang w:val="fr-CA"/>
        </w:rPr>
      </w:pPr>
      <w:r w:rsidRPr="001F4557">
        <w:rPr>
          <w:lang w:val="fr-CA"/>
        </w:rPr>
        <w:t>The Le Comité exécutif pourrait souhaiter :</w:t>
      </w:r>
    </w:p>
    <w:p w14:paraId="374A207A" w14:textId="16FF5436" w:rsidR="00FE2783" w:rsidRPr="001F4557" w:rsidRDefault="00FE2783" w:rsidP="00FE2783">
      <w:pPr>
        <w:pStyle w:val="Heading2"/>
        <w:rPr>
          <w:i/>
          <w:lang w:val="fr-CA"/>
        </w:rPr>
      </w:pPr>
      <w:r w:rsidRPr="001F4557">
        <w:rPr>
          <w:lang w:val="fr-CA"/>
        </w:rPr>
        <w:t>Prendre note du rapport périodique annuel sur la mise en œuvre de la troisième et dernière tranche de la phase II du plan de gestion de l'élimination des HCFC (PGEH) pour le Chili et du rapport de vérification de la consommation de HCFC pour les années 2019 et 2020 soumis par le PNUD et présenté dans le document UNEP/OzL.Pro/ExCom/87/9</w:t>
      </w:r>
      <w:r w:rsidR="00023070">
        <w:rPr>
          <w:lang w:val="fr-CA"/>
        </w:rPr>
        <w:t xml:space="preserve"> </w:t>
      </w:r>
      <w:r w:rsidRPr="001F4557">
        <w:rPr>
          <w:lang w:val="fr-CA"/>
        </w:rPr>
        <w:t>;</w:t>
      </w:r>
    </w:p>
    <w:p w14:paraId="31CCC4A2" w14:textId="18C95C9D" w:rsidR="00FE2783" w:rsidRPr="001F4557" w:rsidRDefault="00FE2783" w:rsidP="00FE2783">
      <w:pPr>
        <w:pStyle w:val="Heading2"/>
        <w:rPr>
          <w:lang w:val="fr-CA"/>
        </w:rPr>
      </w:pPr>
      <w:r w:rsidRPr="001F4557">
        <w:rPr>
          <w:lang w:val="fr-CA"/>
        </w:rPr>
        <w:t xml:space="preserve">Prendre note que l’entreprise </w:t>
      </w:r>
      <w:proofErr w:type="spellStart"/>
      <w:r w:rsidRPr="001F4557">
        <w:rPr>
          <w:lang w:val="fr-CA"/>
        </w:rPr>
        <w:t>Superfrigo</w:t>
      </w:r>
      <w:proofErr w:type="spellEnd"/>
      <w:r w:rsidRPr="001F4557">
        <w:rPr>
          <w:lang w:val="fr-CA"/>
        </w:rPr>
        <w:t xml:space="preserve"> a choisi de ne pas participer à la phase II du PGEH et que les 103 210 $US approuvés destinés à cette entreprise, plus les coûts d’appui </w:t>
      </w:r>
      <w:r>
        <w:rPr>
          <w:lang w:val="fr-CA"/>
        </w:rPr>
        <w:t xml:space="preserve">à l’agence </w:t>
      </w:r>
      <w:r w:rsidRPr="001F4557">
        <w:rPr>
          <w:lang w:val="fr-CA"/>
        </w:rPr>
        <w:t>de 7 225 $US, seront restitués au Fonds par le PNUD à la 89</w:t>
      </w:r>
      <w:r w:rsidRPr="001F4557">
        <w:rPr>
          <w:vertAlign w:val="superscript"/>
          <w:lang w:val="fr-CA"/>
        </w:rPr>
        <w:t>e</w:t>
      </w:r>
      <w:r w:rsidRPr="001F4557">
        <w:rPr>
          <w:lang w:val="fr-CA"/>
        </w:rPr>
        <w:t xml:space="preserve"> réunion, au plus tard</w:t>
      </w:r>
      <w:r w:rsidR="00023070">
        <w:rPr>
          <w:lang w:val="fr-CA"/>
        </w:rPr>
        <w:t xml:space="preserve"> </w:t>
      </w:r>
      <w:r w:rsidRPr="001F4557">
        <w:rPr>
          <w:lang w:val="fr-CA"/>
        </w:rPr>
        <w:t>;</w:t>
      </w:r>
    </w:p>
    <w:p w14:paraId="17A04C4D" w14:textId="77777777" w:rsidR="00FE2783" w:rsidRPr="001F4557" w:rsidRDefault="00FE2783" w:rsidP="00FE2783">
      <w:pPr>
        <w:pStyle w:val="Heading2"/>
        <w:rPr>
          <w:lang w:val="fr-CA"/>
        </w:rPr>
      </w:pPr>
      <w:r w:rsidRPr="001F4557">
        <w:rPr>
          <w:lang w:val="fr-CA"/>
        </w:rPr>
        <w:lastRenderedPageBreak/>
        <w:t xml:space="preserve">Demander au gouvernement du Chili, par le biais du PNUD, en tant qu’agence d’exécution principale, de remettre chaque année un rapport périodique sur la mise en œuvre du programme de travail de la dernière tranche jusqu’à l’achèvement du projet, des rapports de vérification jusqu’à l’approbation de la phase II et le rapport d’achèvement de projet à la première réunion de 2023. </w:t>
      </w:r>
    </w:p>
    <w:p w14:paraId="7B9BEA74" w14:textId="77777777" w:rsidR="00FE2783" w:rsidRPr="001F4557" w:rsidRDefault="00FE2783" w:rsidP="00FE2783">
      <w:pPr>
        <w:pStyle w:val="Heading1"/>
        <w:numPr>
          <w:ilvl w:val="0"/>
          <w:numId w:val="0"/>
        </w:numPr>
        <w:rPr>
          <w:u w:val="single"/>
          <w:lang w:val="fr-CA"/>
        </w:rPr>
      </w:pPr>
      <w:r w:rsidRPr="00023070">
        <w:rPr>
          <w:u w:val="single"/>
          <w:lang w:val="fr-CA"/>
        </w:rPr>
        <w:t xml:space="preserve">Côte </w:t>
      </w:r>
      <w:proofErr w:type="gramStart"/>
      <w:r w:rsidRPr="00023070">
        <w:rPr>
          <w:u w:val="single"/>
          <w:lang w:val="fr-CA"/>
        </w:rPr>
        <w:t>d’Ivoire:</w:t>
      </w:r>
      <w:proofErr w:type="gramEnd"/>
      <w:r w:rsidRPr="00023070">
        <w:rPr>
          <w:u w:val="single"/>
          <w:lang w:val="fr-CA"/>
        </w:rPr>
        <w:t xml:space="preserve"> Plan de gestion de l'élimination des HCFC (phase I : rapport sur l’adoption de l’arrêté ministériel sur la réglementation de l’importation, l’exportation, le transport, la réexportation et le commerce des SAO, et autres mesures de renforcement des systèmes de surveillance et de notification concernant les importations et exportation des SAO)</w:t>
      </w:r>
      <w:r w:rsidRPr="00023070">
        <w:rPr>
          <w:lang w:val="fr-CA"/>
        </w:rPr>
        <w:t xml:space="preserve"> (PNUE)</w:t>
      </w:r>
    </w:p>
    <w:p w14:paraId="277E6518" w14:textId="77777777" w:rsidR="00FE2783" w:rsidRPr="001F4557" w:rsidRDefault="00FE2783" w:rsidP="00FE2783">
      <w:pPr>
        <w:pStyle w:val="Heading1"/>
        <w:numPr>
          <w:ilvl w:val="0"/>
          <w:numId w:val="0"/>
        </w:numPr>
        <w:rPr>
          <w:b/>
          <w:lang w:val="fr-CA"/>
        </w:rPr>
      </w:pPr>
      <w:r w:rsidRPr="001F4557">
        <w:rPr>
          <w:b/>
          <w:lang w:val="fr-CA"/>
        </w:rPr>
        <w:t>Contexte</w:t>
      </w:r>
    </w:p>
    <w:p w14:paraId="36F9146C" w14:textId="77777777" w:rsidR="00FE2783" w:rsidRPr="001F4557" w:rsidRDefault="00FE2783" w:rsidP="00FE2783">
      <w:pPr>
        <w:pStyle w:val="Heading1"/>
        <w:rPr>
          <w:lang w:val="fr-CA"/>
        </w:rPr>
      </w:pPr>
      <w:r w:rsidRPr="001F4557">
        <w:rPr>
          <w:lang w:val="fr-CA"/>
        </w:rPr>
        <w:t xml:space="preserve">Lors de l’approbation de la troisième tranche de la </w:t>
      </w:r>
      <w:r>
        <w:rPr>
          <w:lang w:val="fr-CA"/>
        </w:rPr>
        <w:t>phase I du PGEH pour la Côte d’I</w:t>
      </w:r>
      <w:r w:rsidRPr="001F4557">
        <w:rPr>
          <w:lang w:val="fr-CA"/>
        </w:rPr>
        <w:t>voire à la 84</w:t>
      </w:r>
      <w:r w:rsidRPr="001F4557">
        <w:rPr>
          <w:vertAlign w:val="superscript"/>
          <w:lang w:val="fr-CA"/>
        </w:rPr>
        <w:t>e</w:t>
      </w:r>
      <w:r>
        <w:rPr>
          <w:lang w:val="fr-CA"/>
        </w:rPr>
        <w:t> </w:t>
      </w:r>
      <w:r w:rsidRPr="001F4557">
        <w:rPr>
          <w:lang w:val="fr-CA"/>
        </w:rPr>
        <w:t xml:space="preserve">réunion, le Comité exécutif a demandé au gouvernement et au PNUE de mettre </w:t>
      </w:r>
      <w:r>
        <w:rPr>
          <w:lang w:val="fr-CA"/>
        </w:rPr>
        <w:t>en œuvre les mesures recommandé</w:t>
      </w:r>
      <w:r w:rsidRPr="001F4557">
        <w:rPr>
          <w:lang w:val="fr-CA"/>
        </w:rPr>
        <w:t>es dans le rapport de vérification présenté à la 84</w:t>
      </w:r>
      <w:r w:rsidRPr="001F4557">
        <w:rPr>
          <w:vertAlign w:val="superscript"/>
          <w:lang w:val="fr-CA"/>
        </w:rPr>
        <w:t>e</w:t>
      </w:r>
      <w:r w:rsidRPr="001F4557">
        <w:rPr>
          <w:lang w:val="fr-CA"/>
        </w:rPr>
        <w:t xml:space="preserve"> réunion, et de </w:t>
      </w:r>
      <w:r>
        <w:rPr>
          <w:lang w:val="fr-CA"/>
        </w:rPr>
        <w:t xml:space="preserve">faire </w:t>
      </w:r>
      <w:r w:rsidRPr="001F4557">
        <w:rPr>
          <w:lang w:val="fr-CA"/>
        </w:rPr>
        <w:t>rapport</w:t>
      </w:r>
      <w:r>
        <w:rPr>
          <w:lang w:val="fr-CA"/>
        </w:rPr>
        <w:t xml:space="preserve"> à la 86</w:t>
      </w:r>
      <w:r w:rsidRPr="0099748B">
        <w:rPr>
          <w:vertAlign w:val="superscript"/>
          <w:lang w:val="fr-CA"/>
        </w:rPr>
        <w:t>e</w:t>
      </w:r>
      <w:r>
        <w:rPr>
          <w:lang w:val="fr-CA"/>
        </w:rPr>
        <w:t> réunion</w:t>
      </w:r>
      <w:r w:rsidRPr="001F4557">
        <w:rPr>
          <w:lang w:val="fr-CA"/>
        </w:rPr>
        <w:t xml:space="preserve">, par </w:t>
      </w:r>
      <w:r>
        <w:rPr>
          <w:lang w:val="fr-CA"/>
        </w:rPr>
        <w:t>l’intermédiaire</w:t>
      </w:r>
      <w:r w:rsidRPr="001F4557">
        <w:rPr>
          <w:lang w:val="fr-CA"/>
        </w:rPr>
        <w:t xml:space="preserve"> du PNUE, sur l’adoption de l’arrêté ministériel sur la réglementation de l’importation, l’exportation, le transport, la réexportation et le commerce des SAO et a</w:t>
      </w:r>
      <w:r>
        <w:rPr>
          <w:lang w:val="fr-CA"/>
        </w:rPr>
        <w:t>utres mesures de renforcement des systèmes de</w:t>
      </w:r>
      <w:r w:rsidRPr="001F4557">
        <w:rPr>
          <w:lang w:val="fr-CA"/>
        </w:rPr>
        <w:t xml:space="preserve"> </w:t>
      </w:r>
      <w:r>
        <w:rPr>
          <w:lang w:val="fr-CA"/>
        </w:rPr>
        <w:t>surveillance</w:t>
      </w:r>
      <w:r w:rsidRPr="001F4557">
        <w:rPr>
          <w:lang w:val="fr-CA"/>
        </w:rPr>
        <w:t xml:space="preserve"> et </w:t>
      </w:r>
      <w:r>
        <w:rPr>
          <w:lang w:val="fr-CA"/>
        </w:rPr>
        <w:t xml:space="preserve">de notification concernant les </w:t>
      </w:r>
      <w:r w:rsidRPr="001F4557">
        <w:rPr>
          <w:lang w:val="fr-CA"/>
        </w:rPr>
        <w:t>importation</w:t>
      </w:r>
      <w:r>
        <w:rPr>
          <w:lang w:val="fr-CA"/>
        </w:rPr>
        <w:t>s</w:t>
      </w:r>
      <w:r w:rsidRPr="001F4557">
        <w:rPr>
          <w:lang w:val="fr-CA"/>
        </w:rPr>
        <w:t xml:space="preserve"> et </w:t>
      </w:r>
      <w:r>
        <w:rPr>
          <w:lang w:val="fr-CA"/>
        </w:rPr>
        <w:t>les exportations de HCFC (décision 84/71 </w:t>
      </w:r>
      <w:r w:rsidRPr="001F4557">
        <w:rPr>
          <w:lang w:val="fr-CA"/>
        </w:rPr>
        <w:t>e)).</w:t>
      </w:r>
    </w:p>
    <w:p w14:paraId="0C9150C0" w14:textId="1A290284" w:rsidR="00FE2783" w:rsidRPr="001F4557" w:rsidRDefault="00FE2783" w:rsidP="00FE2783">
      <w:pPr>
        <w:pStyle w:val="Heading1"/>
        <w:rPr>
          <w:lang w:val="fr-CA"/>
        </w:rPr>
      </w:pPr>
      <w:r w:rsidRPr="001F4557">
        <w:rPr>
          <w:lang w:val="fr-CA"/>
        </w:rPr>
        <w:t>Conformément à la décision 84/71 e), le PNUE a informé la 86</w:t>
      </w:r>
      <w:r w:rsidRPr="001F4557">
        <w:rPr>
          <w:vertAlign w:val="superscript"/>
          <w:lang w:val="fr-CA"/>
        </w:rPr>
        <w:t>e</w:t>
      </w:r>
      <w:r w:rsidRPr="001F4557">
        <w:rPr>
          <w:lang w:val="fr-CA"/>
        </w:rPr>
        <w:t xml:space="preserve"> réunion que le Comité national de l’ozone a approuvé l’arrêté ministériel en janvier 2020 et qu’il a été </w:t>
      </w:r>
      <w:r>
        <w:rPr>
          <w:lang w:val="fr-CA"/>
        </w:rPr>
        <w:t>signé par le ministre de l’E</w:t>
      </w:r>
      <w:r w:rsidRPr="001F4557">
        <w:rPr>
          <w:lang w:val="fr-CA"/>
        </w:rPr>
        <w:t>nvironnement et du Développement durable et le ministre du Commerce et de l’Industrie en avril 2020</w:t>
      </w:r>
      <w:r w:rsidR="00023070">
        <w:rPr>
          <w:lang w:val="fr-CA"/>
        </w:rPr>
        <w:t xml:space="preserve"> </w:t>
      </w:r>
      <w:r w:rsidRPr="001F4557">
        <w:rPr>
          <w:lang w:val="fr-CA"/>
        </w:rPr>
        <w:t>; il doit encore être signé par le</w:t>
      </w:r>
      <w:r>
        <w:rPr>
          <w:lang w:val="fr-CA"/>
        </w:rPr>
        <w:t xml:space="preserve"> ministre de l’Économie et des F</w:t>
      </w:r>
      <w:r w:rsidRPr="001F4557">
        <w:rPr>
          <w:lang w:val="fr-CA"/>
        </w:rPr>
        <w:t>inances. Le premier ministre pourra promulguer l’arrêté ministériel lorsqu’il aura été signé par tous les ministres concernés. Malheureusement, le premier ministre de la Côte d’Ivoire est décédé en juillet 2020 et un nouveau cabinet, qui comprend un nouveau ministre des Finances, vient d’être nommé, ce qui a retardé le processus de signature de l’arrêté ministériel.</w:t>
      </w:r>
    </w:p>
    <w:p w14:paraId="3DD37D3D" w14:textId="77777777" w:rsidR="00FE2783" w:rsidRPr="001F4557" w:rsidRDefault="00FE2783" w:rsidP="00FE2783">
      <w:pPr>
        <w:pStyle w:val="Heading1"/>
        <w:rPr>
          <w:lang w:val="fr-CA"/>
        </w:rPr>
      </w:pPr>
      <w:r w:rsidRPr="001F4557">
        <w:rPr>
          <w:lang w:val="fr-CA"/>
        </w:rPr>
        <w:t>En ce qui concerne la mise en œuvre des recommandations contenues dans le rapport de vérification, le PNUE a fourni des renseignements sur les mesures mises en œuvre par le gouvernement afin d’assurer le suivi des ventes de frigorigènes, la désignation d’un correspondant national de l’ozone par le ministre du Commerce et de l’Industrie, les procédures pour autoriser l’importation de SAO, les mesures prises pour surveiller la qualité des frigorigènes sur le marché et les responsabilités des détaillants quant au maintien de dossiers sur tous les frigorigènes qu’ils ve</w:t>
      </w:r>
      <w:r>
        <w:rPr>
          <w:lang w:val="fr-CA"/>
        </w:rPr>
        <w:t>ulent acheter et utiliser. L</w:t>
      </w:r>
      <w:r w:rsidRPr="001F4557">
        <w:rPr>
          <w:lang w:val="fr-CA"/>
        </w:rPr>
        <w:t>e PNUE a aussi fourni des renseignements sur la formation et les réunions organisées pour</w:t>
      </w:r>
      <w:r>
        <w:rPr>
          <w:lang w:val="fr-CA"/>
        </w:rPr>
        <w:t xml:space="preserve"> réglementer et surveiller les d</w:t>
      </w:r>
      <w:r w:rsidRPr="001F4557">
        <w:rPr>
          <w:lang w:val="fr-CA"/>
        </w:rPr>
        <w:t>onnées sur les HCFC et les HFC.</w:t>
      </w:r>
    </w:p>
    <w:p w14:paraId="75785C6E" w14:textId="77777777" w:rsidR="00FE2783" w:rsidRPr="001F4557" w:rsidRDefault="00FE2783" w:rsidP="00FE2783">
      <w:pPr>
        <w:pStyle w:val="Heading1"/>
        <w:rPr>
          <w:lang w:val="fr-CA"/>
        </w:rPr>
      </w:pPr>
      <w:r w:rsidRPr="001F4557">
        <w:rPr>
          <w:lang w:val="fr-CA"/>
        </w:rPr>
        <w:t>Le Comité exécutif a pris note du rapport et a demandé au gouvernement de la Côte d’Ivoire de remettre un compte rendu à la 87</w:t>
      </w:r>
      <w:r w:rsidRPr="001F4557">
        <w:rPr>
          <w:vertAlign w:val="superscript"/>
          <w:lang w:val="fr-CA"/>
        </w:rPr>
        <w:t>e</w:t>
      </w:r>
      <w:r w:rsidRPr="001F4557">
        <w:rPr>
          <w:lang w:val="fr-CA"/>
        </w:rPr>
        <w:t xml:space="preserve"> réunion, par </w:t>
      </w:r>
      <w:r>
        <w:rPr>
          <w:lang w:val="fr-CA"/>
        </w:rPr>
        <w:t>l’intermédiaire</w:t>
      </w:r>
      <w:r w:rsidRPr="001F4557">
        <w:rPr>
          <w:lang w:val="fr-CA"/>
        </w:rPr>
        <w:t xml:space="preserve"> du PNUE, sur l’adoption de l’arrêté ministériel sur la réglementation de l’importation, l’exportation, le transport, la réexportation et le commerce des SAO (décision 86/23 b)).</w:t>
      </w:r>
    </w:p>
    <w:p w14:paraId="257EEEE9" w14:textId="77777777" w:rsidR="00FE2783" w:rsidRPr="001F4557" w:rsidRDefault="00FE2783" w:rsidP="00FE2783">
      <w:pPr>
        <w:rPr>
          <w:b/>
          <w:bCs/>
          <w:lang w:val="fr-CA"/>
        </w:rPr>
      </w:pPr>
      <w:r w:rsidRPr="001F4557">
        <w:rPr>
          <w:b/>
          <w:bCs/>
          <w:lang w:val="fr-CA"/>
        </w:rPr>
        <w:t>87</w:t>
      </w:r>
      <w:r w:rsidRPr="001F4557">
        <w:rPr>
          <w:b/>
          <w:bCs/>
          <w:vertAlign w:val="superscript"/>
          <w:lang w:val="fr-CA"/>
        </w:rPr>
        <w:t>e</w:t>
      </w:r>
      <w:r w:rsidRPr="001F4557">
        <w:rPr>
          <w:b/>
          <w:bCs/>
          <w:lang w:val="fr-CA"/>
        </w:rPr>
        <w:t xml:space="preserve"> réunion</w:t>
      </w:r>
    </w:p>
    <w:p w14:paraId="11A0195E" w14:textId="77777777" w:rsidR="00FE2783" w:rsidRPr="001F4557" w:rsidRDefault="00FE2783" w:rsidP="00FE2783">
      <w:pPr>
        <w:rPr>
          <w:lang w:val="fr-CA"/>
        </w:rPr>
      </w:pPr>
    </w:p>
    <w:p w14:paraId="45F9F1E1" w14:textId="1562046F" w:rsidR="00FE2783" w:rsidRPr="001F4557" w:rsidRDefault="00FE2783" w:rsidP="00FE2783">
      <w:pPr>
        <w:pStyle w:val="Heading1"/>
        <w:rPr>
          <w:lang w:val="fr-CA"/>
        </w:rPr>
      </w:pPr>
      <w:r w:rsidRPr="001F4557">
        <w:rPr>
          <w:lang w:val="fr-CA"/>
        </w:rPr>
        <w:t>Dans son rapport à la 87</w:t>
      </w:r>
      <w:r w:rsidRPr="001F4557">
        <w:rPr>
          <w:vertAlign w:val="superscript"/>
          <w:lang w:val="fr-CA"/>
        </w:rPr>
        <w:t>e</w:t>
      </w:r>
      <w:r w:rsidRPr="001F4557">
        <w:rPr>
          <w:lang w:val="fr-CA"/>
        </w:rPr>
        <w:t xml:space="preserve"> réunion, le PNUE a expliqué que le processus de signature de l’arrêté ministériel par les quatre ministres </w:t>
      </w:r>
      <w:r w:rsidR="00023070" w:rsidRPr="001F4557">
        <w:rPr>
          <w:lang w:val="fr-CA"/>
        </w:rPr>
        <w:t>devait</w:t>
      </w:r>
      <w:r w:rsidRPr="001F4557">
        <w:rPr>
          <w:lang w:val="fr-CA"/>
        </w:rPr>
        <w:t xml:space="preserve"> être repris à cause du remaniemen</w:t>
      </w:r>
      <w:r>
        <w:rPr>
          <w:lang w:val="fr-CA"/>
        </w:rPr>
        <w:t>t ministériel. Seul le ministre</w:t>
      </w:r>
      <w:r w:rsidRPr="001F4557">
        <w:rPr>
          <w:lang w:val="fr-CA"/>
        </w:rPr>
        <w:t xml:space="preserve"> responsable de l’Environnement avai</w:t>
      </w:r>
      <w:r>
        <w:rPr>
          <w:lang w:val="fr-CA"/>
        </w:rPr>
        <w:t>t signé l’arrêté au 15 mai 202</w:t>
      </w:r>
      <w:r w:rsidRPr="001F4557">
        <w:rPr>
          <w:lang w:val="fr-CA"/>
        </w:rPr>
        <w:t>1</w:t>
      </w:r>
      <w:r w:rsidR="00023070">
        <w:rPr>
          <w:lang w:val="fr-CA"/>
        </w:rPr>
        <w:t xml:space="preserve"> </w:t>
      </w:r>
      <w:r w:rsidRPr="001F4557">
        <w:rPr>
          <w:lang w:val="fr-CA"/>
        </w:rPr>
        <w:t xml:space="preserve">; les trois </w:t>
      </w:r>
      <w:r>
        <w:rPr>
          <w:lang w:val="fr-CA"/>
        </w:rPr>
        <w:t>autres ministres (ministres du P</w:t>
      </w:r>
      <w:r w:rsidRPr="001F4557">
        <w:rPr>
          <w:lang w:val="fr-CA"/>
        </w:rPr>
        <w:t xml:space="preserve">ortefeuille du Budget de l’État, ministre du Commerce et de l’Industrie et ministre de l’Économie et des Finances) devraient l’avoir signé </w:t>
      </w:r>
      <w:r>
        <w:rPr>
          <w:lang w:val="fr-CA"/>
        </w:rPr>
        <w:t>d’ici au</w:t>
      </w:r>
      <w:r w:rsidRPr="001F4557">
        <w:rPr>
          <w:lang w:val="fr-CA"/>
        </w:rPr>
        <w:t xml:space="preserve"> 30 octobre 2021. </w:t>
      </w:r>
    </w:p>
    <w:p w14:paraId="20C13090" w14:textId="77777777" w:rsidR="00FE2783" w:rsidRPr="001F4557" w:rsidRDefault="00FE2783" w:rsidP="00FE2783">
      <w:pPr>
        <w:pStyle w:val="Heading1"/>
        <w:rPr>
          <w:lang w:val="fr-CA"/>
        </w:rPr>
      </w:pPr>
      <w:r w:rsidRPr="001F4557">
        <w:rPr>
          <w:lang w:val="fr-CA"/>
        </w:rPr>
        <w:lastRenderedPageBreak/>
        <w:t xml:space="preserve">Le PNUE continuera à assurer le suivi auprès du gouvernement et </w:t>
      </w:r>
      <w:r>
        <w:rPr>
          <w:lang w:val="fr-CA"/>
        </w:rPr>
        <w:t>tiendra</w:t>
      </w:r>
      <w:r w:rsidRPr="001F4557">
        <w:rPr>
          <w:lang w:val="fr-CA"/>
        </w:rPr>
        <w:t xml:space="preserve"> le Comité exécutif au courant des développements.</w:t>
      </w:r>
    </w:p>
    <w:p w14:paraId="2E70C667" w14:textId="77777777" w:rsidR="00FE2783" w:rsidRPr="001F4557" w:rsidRDefault="00FE2783" w:rsidP="00FE2783">
      <w:pPr>
        <w:keepNext/>
        <w:rPr>
          <w:b/>
          <w:lang w:val="fr-CA"/>
        </w:rPr>
      </w:pPr>
      <w:r w:rsidRPr="001F4557">
        <w:rPr>
          <w:b/>
          <w:lang w:val="fr-CA"/>
        </w:rPr>
        <w:t>Observations du Secrétariat</w:t>
      </w:r>
    </w:p>
    <w:p w14:paraId="377818D6" w14:textId="77777777" w:rsidR="00FE2783" w:rsidRPr="001F4557" w:rsidRDefault="00FE2783" w:rsidP="00FE2783">
      <w:pPr>
        <w:keepNext/>
        <w:rPr>
          <w:lang w:val="fr-CA"/>
        </w:rPr>
      </w:pPr>
    </w:p>
    <w:p w14:paraId="155DA528" w14:textId="77777777" w:rsidR="00FE2783" w:rsidRPr="001F4557" w:rsidRDefault="00FE2783" w:rsidP="00FE2783">
      <w:pPr>
        <w:pStyle w:val="Heading1"/>
        <w:rPr>
          <w:sz w:val="24"/>
          <w:szCs w:val="24"/>
          <w:lang w:val="fr-CA"/>
        </w:rPr>
      </w:pPr>
      <w:r>
        <w:rPr>
          <w:lang w:val="fr-CA"/>
        </w:rPr>
        <w:t>Les informations</w:t>
      </w:r>
      <w:r w:rsidRPr="001F4557">
        <w:rPr>
          <w:lang w:val="fr-CA"/>
        </w:rPr>
        <w:t xml:space="preserve"> fournie</w:t>
      </w:r>
      <w:r>
        <w:rPr>
          <w:lang w:val="fr-CA"/>
        </w:rPr>
        <w:t>s par le PNUE ont permis au Secrétariat de conclure que l’a</w:t>
      </w:r>
      <w:r w:rsidRPr="001F4557">
        <w:rPr>
          <w:lang w:val="fr-CA"/>
        </w:rPr>
        <w:t xml:space="preserve">rrêté </w:t>
      </w:r>
      <w:r>
        <w:rPr>
          <w:lang w:val="fr-CA"/>
        </w:rPr>
        <w:t xml:space="preserve">ministériel </w:t>
      </w:r>
      <w:r w:rsidRPr="001F4557">
        <w:rPr>
          <w:lang w:val="fr-CA"/>
        </w:rPr>
        <w:t xml:space="preserve">n’est pas encore signé, </w:t>
      </w:r>
      <w:r>
        <w:rPr>
          <w:lang w:val="fr-CA"/>
        </w:rPr>
        <w:t xml:space="preserve">que </w:t>
      </w:r>
      <w:r w:rsidRPr="001F4557">
        <w:rPr>
          <w:lang w:val="fr-CA"/>
        </w:rPr>
        <w:t xml:space="preserve">le Bureau national de l’ozone, sous la direction du Comité national de l’ozone, continue à prendre des mesures pour renforcer la mise en œuvre et </w:t>
      </w:r>
      <w:r>
        <w:rPr>
          <w:lang w:val="fr-CA"/>
        </w:rPr>
        <w:t>la surveillance</w:t>
      </w:r>
      <w:r w:rsidRPr="001F4557">
        <w:rPr>
          <w:lang w:val="fr-CA"/>
        </w:rPr>
        <w:t xml:space="preserve"> des programmes de déclaration des importat</w:t>
      </w:r>
      <w:r>
        <w:rPr>
          <w:lang w:val="fr-CA"/>
        </w:rPr>
        <w:t>ions et des exportations de SAO,</w:t>
      </w:r>
      <w:r w:rsidRPr="001F4557">
        <w:rPr>
          <w:lang w:val="fr-CA"/>
        </w:rPr>
        <w:t xml:space="preserve"> </w:t>
      </w:r>
      <w:r>
        <w:rPr>
          <w:lang w:val="fr-CA"/>
        </w:rPr>
        <w:t xml:space="preserve">et que </w:t>
      </w:r>
      <w:r w:rsidRPr="001F4557">
        <w:rPr>
          <w:lang w:val="fr-CA"/>
        </w:rPr>
        <w:t xml:space="preserve">les activités connexes sont actuellement mises en œuvre et suivies par le Comité national de l’ozone et le Bureau national de l’ozone. </w:t>
      </w:r>
    </w:p>
    <w:p w14:paraId="4495BA16" w14:textId="77777777" w:rsidR="00FE2783" w:rsidRPr="001F4557" w:rsidRDefault="00FE2783" w:rsidP="00FE2783">
      <w:pPr>
        <w:rPr>
          <w:b/>
          <w:lang w:val="fr-CA"/>
        </w:rPr>
      </w:pPr>
      <w:r w:rsidRPr="001F4557">
        <w:rPr>
          <w:b/>
          <w:lang w:val="fr-CA"/>
        </w:rPr>
        <w:t>Recommandation</w:t>
      </w:r>
    </w:p>
    <w:p w14:paraId="3F10AD91" w14:textId="77777777" w:rsidR="00FE2783" w:rsidRPr="001F4557" w:rsidRDefault="00FE2783" w:rsidP="00FE2783">
      <w:pPr>
        <w:pStyle w:val="Heading1"/>
        <w:numPr>
          <w:ilvl w:val="0"/>
          <w:numId w:val="0"/>
        </w:numPr>
        <w:spacing w:after="0"/>
        <w:rPr>
          <w:lang w:val="fr-CA"/>
        </w:rPr>
      </w:pPr>
    </w:p>
    <w:p w14:paraId="7DDF69C4" w14:textId="77777777" w:rsidR="00FE2783" w:rsidRPr="001F4557" w:rsidRDefault="00FE2783" w:rsidP="00FE2783">
      <w:pPr>
        <w:pStyle w:val="Heading1"/>
        <w:rPr>
          <w:lang w:val="fr-CA"/>
        </w:rPr>
      </w:pPr>
      <w:r w:rsidRPr="001F4557">
        <w:rPr>
          <w:lang w:val="fr-CA"/>
        </w:rPr>
        <w:t>Le Comité exécutif pourrait souhaiter :</w:t>
      </w:r>
    </w:p>
    <w:p w14:paraId="7EE97916" w14:textId="2E90A2F7" w:rsidR="00FE2783" w:rsidRPr="001F4557" w:rsidRDefault="00FE2783" w:rsidP="00FE2783">
      <w:pPr>
        <w:pStyle w:val="Heading2"/>
        <w:rPr>
          <w:lang w:val="fr-CA"/>
        </w:rPr>
      </w:pPr>
      <w:r w:rsidRPr="001F4557">
        <w:rPr>
          <w:lang w:val="fr-CA"/>
        </w:rPr>
        <w:t xml:space="preserve">Prendre note du rapport sur l’adoption de l’arrêté ministériel sur la réglementation de l’importation, l’exportation, le transport, la réexportation et le commerce des SAO et des autres mesures sur le renforcement </w:t>
      </w:r>
      <w:proofErr w:type="gramStart"/>
      <w:r w:rsidRPr="001F4557">
        <w:rPr>
          <w:lang w:val="fr-CA"/>
        </w:rPr>
        <w:t>du systèmes</w:t>
      </w:r>
      <w:proofErr w:type="gramEnd"/>
      <w:r w:rsidRPr="001F4557">
        <w:rPr>
          <w:lang w:val="fr-CA"/>
        </w:rPr>
        <w:t xml:space="preserve"> de </w:t>
      </w:r>
      <w:r>
        <w:rPr>
          <w:lang w:val="fr-CA"/>
        </w:rPr>
        <w:t>surveillance</w:t>
      </w:r>
      <w:r w:rsidRPr="001F4557">
        <w:rPr>
          <w:lang w:val="fr-CA"/>
        </w:rPr>
        <w:t xml:space="preserve"> et </w:t>
      </w:r>
      <w:r>
        <w:rPr>
          <w:lang w:val="fr-CA"/>
        </w:rPr>
        <w:t>de notifications</w:t>
      </w:r>
      <w:r w:rsidRPr="001F4557">
        <w:rPr>
          <w:lang w:val="fr-CA"/>
        </w:rPr>
        <w:t xml:space="preserve"> </w:t>
      </w:r>
      <w:r>
        <w:rPr>
          <w:lang w:val="fr-CA"/>
        </w:rPr>
        <w:t>concernant</w:t>
      </w:r>
      <w:r w:rsidRPr="001F4557">
        <w:rPr>
          <w:lang w:val="fr-CA"/>
        </w:rPr>
        <w:t xml:space="preserve"> </w:t>
      </w:r>
      <w:r>
        <w:rPr>
          <w:lang w:val="fr-CA"/>
        </w:rPr>
        <w:t xml:space="preserve">les </w:t>
      </w:r>
      <w:r w:rsidRPr="001F4557">
        <w:rPr>
          <w:lang w:val="fr-CA"/>
        </w:rPr>
        <w:t>importation</w:t>
      </w:r>
      <w:r>
        <w:rPr>
          <w:lang w:val="fr-CA"/>
        </w:rPr>
        <w:t>s</w:t>
      </w:r>
      <w:r w:rsidRPr="001F4557">
        <w:rPr>
          <w:lang w:val="fr-CA"/>
        </w:rPr>
        <w:t xml:space="preserve"> et exportation</w:t>
      </w:r>
      <w:r>
        <w:rPr>
          <w:lang w:val="fr-CA"/>
        </w:rPr>
        <w:t>s de</w:t>
      </w:r>
      <w:r w:rsidRPr="001F4557">
        <w:rPr>
          <w:lang w:val="fr-CA"/>
        </w:rPr>
        <w:t xml:space="preserve"> SAO au titre de la phase I du plan de gestion de l'élimination des HCFC pour la Côte d’Ivoire soumis par le PNUE et présenté dans le document UNEP/OzL.Pro/ExCom/87/9</w:t>
      </w:r>
      <w:r w:rsidR="00023070">
        <w:rPr>
          <w:lang w:val="fr-CA"/>
        </w:rPr>
        <w:t xml:space="preserve"> </w:t>
      </w:r>
      <w:r w:rsidRPr="001F4557">
        <w:rPr>
          <w:lang w:val="fr-CA"/>
        </w:rPr>
        <w:t xml:space="preserve">; </w:t>
      </w:r>
    </w:p>
    <w:p w14:paraId="5DD74EFB" w14:textId="77777777" w:rsidR="00FE2783" w:rsidRPr="001F4557" w:rsidRDefault="00FE2783" w:rsidP="00FE2783">
      <w:pPr>
        <w:pStyle w:val="Heading2"/>
        <w:rPr>
          <w:lang w:val="fr-CA"/>
        </w:rPr>
      </w:pPr>
      <w:r w:rsidRPr="001F4557">
        <w:rPr>
          <w:lang w:val="fr-CA"/>
        </w:rPr>
        <w:t xml:space="preserve">Demander au gouvernement de la Côte d’Ivoire de présenter un compte rendu sur l’adoption de l’arrêté ministériel, dont il est question à l’alinéa a), ci-dessus, par </w:t>
      </w:r>
      <w:r>
        <w:rPr>
          <w:lang w:val="fr-CA"/>
        </w:rPr>
        <w:t>l’intermédiaire</w:t>
      </w:r>
      <w:r w:rsidRPr="001F4557">
        <w:rPr>
          <w:lang w:val="fr-CA"/>
        </w:rPr>
        <w:t xml:space="preserve"> du PNUE, à la 88</w:t>
      </w:r>
      <w:r w:rsidRPr="001F4557">
        <w:rPr>
          <w:vertAlign w:val="superscript"/>
          <w:lang w:val="fr-CA"/>
        </w:rPr>
        <w:t>e</w:t>
      </w:r>
      <w:r w:rsidRPr="001F4557">
        <w:rPr>
          <w:lang w:val="fr-CA"/>
        </w:rPr>
        <w:t xml:space="preserve"> réunion.</w:t>
      </w:r>
    </w:p>
    <w:p w14:paraId="27FDD51E" w14:textId="77777777" w:rsidR="00FE2783" w:rsidRPr="001F4557" w:rsidRDefault="00FE2783" w:rsidP="00FE2783">
      <w:pPr>
        <w:rPr>
          <w:u w:val="single"/>
          <w:lang w:val="fr-CA"/>
        </w:rPr>
      </w:pPr>
      <w:r w:rsidRPr="00023070">
        <w:rPr>
          <w:u w:val="single"/>
          <w:lang w:val="fr-CA"/>
        </w:rPr>
        <w:t xml:space="preserve">Équateur : Plan de gestion de l'élimination des HCFC (phase I : report de l’interdiction d’importer le HCFC-141b contenu dans les polyols </w:t>
      </w:r>
      <w:proofErr w:type="spellStart"/>
      <w:r w:rsidRPr="00023070">
        <w:rPr>
          <w:u w:val="single"/>
          <w:lang w:val="fr-CA"/>
        </w:rPr>
        <w:t>prémélangés</w:t>
      </w:r>
      <w:proofErr w:type="spellEnd"/>
      <w:r w:rsidRPr="00023070">
        <w:rPr>
          <w:u w:val="single"/>
          <w:lang w:val="fr-CA"/>
        </w:rPr>
        <w:t>)</w:t>
      </w:r>
      <w:r w:rsidRPr="00023070">
        <w:rPr>
          <w:lang w:val="fr-CA"/>
        </w:rPr>
        <w:t xml:space="preserve"> (ONUDI et PNUE)</w:t>
      </w:r>
    </w:p>
    <w:p w14:paraId="4FE5A2E2" w14:textId="77777777" w:rsidR="00FE2783" w:rsidRPr="001F4557" w:rsidRDefault="00FE2783" w:rsidP="00FE2783">
      <w:pPr>
        <w:rPr>
          <w:u w:val="single"/>
          <w:lang w:val="fr-CA"/>
        </w:rPr>
      </w:pPr>
    </w:p>
    <w:p w14:paraId="37A6A0C7" w14:textId="77777777" w:rsidR="00FE2783" w:rsidRPr="001F4557" w:rsidRDefault="00FE2783" w:rsidP="00FE2783">
      <w:pPr>
        <w:rPr>
          <w:b/>
          <w:lang w:val="fr-CA"/>
        </w:rPr>
      </w:pPr>
      <w:r>
        <w:rPr>
          <w:b/>
          <w:lang w:val="fr-CA"/>
        </w:rPr>
        <w:t>Contexte</w:t>
      </w:r>
    </w:p>
    <w:p w14:paraId="0E72C29F" w14:textId="77777777" w:rsidR="00FE2783" w:rsidRPr="001F4557" w:rsidRDefault="00FE2783" w:rsidP="00FE2783">
      <w:pPr>
        <w:rPr>
          <w:lang w:val="fr-CA"/>
        </w:rPr>
      </w:pPr>
    </w:p>
    <w:p w14:paraId="63A0F672" w14:textId="77777777" w:rsidR="00FE2783" w:rsidRPr="001F4557" w:rsidRDefault="00FE2783" w:rsidP="00FE2783">
      <w:pPr>
        <w:pStyle w:val="Heading1"/>
        <w:rPr>
          <w:lang w:val="fr-CA"/>
        </w:rPr>
      </w:pPr>
      <w:r w:rsidRPr="001F4557">
        <w:rPr>
          <w:lang w:val="fr-CA"/>
        </w:rPr>
        <w:t>Après avoir mis au point la documentation pour le processus d’approbation intersessions créé pour la 86</w:t>
      </w:r>
      <w:r w:rsidRPr="001F4557">
        <w:rPr>
          <w:vertAlign w:val="superscript"/>
          <w:lang w:val="fr-CA"/>
        </w:rPr>
        <w:t>e</w:t>
      </w:r>
      <w:r w:rsidRPr="001F4557">
        <w:rPr>
          <w:lang w:val="fr-CA"/>
        </w:rPr>
        <w:t xml:space="preserve"> réunion (PAI-86), le Secrétariat a reçu une lettre du gouvernement de l’Équateur, en novembre 2020, l’informant qu’il devait reporter de nouveau l’interdiction d’importer le HCFC-141b contenu dans les polyols </w:t>
      </w:r>
      <w:proofErr w:type="spellStart"/>
      <w:r w:rsidRPr="001F4557">
        <w:rPr>
          <w:lang w:val="fr-CA"/>
        </w:rPr>
        <w:t>prémélangés</w:t>
      </w:r>
      <w:proofErr w:type="spellEnd"/>
      <w:r w:rsidRPr="001F4557">
        <w:rPr>
          <w:lang w:val="fr-CA"/>
        </w:rPr>
        <w:t>, du 1</w:t>
      </w:r>
      <w:r w:rsidRPr="001F4557">
        <w:rPr>
          <w:vertAlign w:val="superscript"/>
          <w:lang w:val="fr-CA"/>
        </w:rPr>
        <w:t>er</w:t>
      </w:r>
      <w:r w:rsidRPr="001F4557">
        <w:rPr>
          <w:lang w:val="fr-CA"/>
        </w:rPr>
        <w:t xml:space="preserve"> janvier 2021 au 1</w:t>
      </w:r>
      <w:r w:rsidRPr="001F4557">
        <w:rPr>
          <w:vertAlign w:val="superscript"/>
          <w:lang w:val="fr-CA"/>
        </w:rPr>
        <w:t>er</w:t>
      </w:r>
      <w:r w:rsidRPr="001F4557">
        <w:rPr>
          <w:lang w:val="fr-CA"/>
        </w:rPr>
        <w:t xml:space="preserve"> janvier 2022.</w:t>
      </w:r>
    </w:p>
    <w:p w14:paraId="311B6575" w14:textId="77777777" w:rsidR="00FE2783" w:rsidRPr="001F4557" w:rsidRDefault="00FE2783" w:rsidP="00FE2783">
      <w:pPr>
        <w:keepNext/>
        <w:keepLines/>
        <w:spacing w:after="240"/>
        <w:rPr>
          <w:b/>
          <w:lang w:val="fr-CA"/>
        </w:rPr>
      </w:pPr>
      <w:r w:rsidRPr="001F4557">
        <w:rPr>
          <w:b/>
          <w:lang w:val="fr-CA"/>
        </w:rPr>
        <w:t>Observations du Secrétariat</w:t>
      </w:r>
    </w:p>
    <w:p w14:paraId="030FFE84" w14:textId="77777777" w:rsidR="00FE2783" w:rsidRPr="001F4557" w:rsidRDefault="00FE2783" w:rsidP="00FE2783">
      <w:pPr>
        <w:pStyle w:val="Heading1"/>
        <w:rPr>
          <w:lang w:val="fr-CA"/>
        </w:rPr>
      </w:pPr>
      <w:r w:rsidRPr="001F4557">
        <w:rPr>
          <w:lang w:val="fr-CA"/>
        </w:rPr>
        <w:t>Étant donné que la demande a été reçue trop tard pour être débattue au cours du PAI-86 (c.-à-d.</w:t>
      </w:r>
      <w:r>
        <w:rPr>
          <w:lang w:val="fr-CA"/>
        </w:rPr>
        <w:t>,</w:t>
      </w:r>
      <w:r w:rsidRPr="001F4557">
        <w:rPr>
          <w:lang w:val="fr-CA"/>
        </w:rPr>
        <w:t xml:space="preserve"> après la mise au point des documents pour la 86</w:t>
      </w:r>
      <w:r w:rsidRPr="001F4557">
        <w:rPr>
          <w:vertAlign w:val="superscript"/>
          <w:lang w:val="fr-CA"/>
        </w:rPr>
        <w:t>e</w:t>
      </w:r>
      <w:r w:rsidRPr="001F4557">
        <w:rPr>
          <w:lang w:val="fr-CA"/>
        </w:rPr>
        <w:t xml:space="preserve"> r</w:t>
      </w:r>
      <w:r>
        <w:rPr>
          <w:lang w:val="fr-CA"/>
        </w:rPr>
        <w:t>éunion et au cours du PAI-86), l</w:t>
      </w:r>
      <w:r w:rsidRPr="001F4557">
        <w:rPr>
          <w:lang w:val="fr-CA"/>
        </w:rPr>
        <w:t>e Secrétariat a informé le gouvernement de l’Équateur que la question serait présentée à la 87</w:t>
      </w:r>
      <w:r w:rsidRPr="001F4557">
        <w:rPr>
          <w:vertAlign w:val="superscript"/>
          <w:lang w:val="fr-CA"/>
        </w:rPr>
        <w:t>e</w:t>
      </w:r>
      <w:r w:rsidRPr="001F4557">
        <w:rPr>
          <w:lang w:val="fr-CA"/>
        </w:rPr>
        <w:t xml:space="preserve"> réunion. Ainsi, la demande du gouvernement de l’Équateur est présentée pour examen par le Comité exécutif.</w:t>
      </w:r>
    </w:p>
    <w:p w14:paraId="17A3CC99" w14:textId="77777777" w:rsidR="00FE2783" w:rsidRPr="001F4557" w:rsidRDefault="00FE2783" w:rsidP="00FE2783">
      <w:pPr>
        <w:pStyle w:val="Heading1"/>
        <w:rPr>
          <w:lang w:val="fr-CA"/>
        </w:rPr>
      </w:pPr>
      <w:r w:rsidRPr="001F4557">
        <w:rPr>
          <w:lang w:val="fr-CA"/>
        </w:rPr>
        <w:t xml:space="preserve">Le gouvernement s’est engagé, dans le cadre du projet d’élimination du HCFC-141b contenu dans les polyols </w:t>
      </w:r>
      <w:proofErr w:type="spellStart"/>
      <w:r w:rsidRPr="001F4557">
        <w:rPr>
          <w:lang w:val="fr-CA"/>
        </w:rPr>
        <w:t>prémélangés</w:t>
      </w:r>
      <w:proofErr w:type="spellEnd"/>
      <w:r w:rsidRPr="001F4557">
        <w:rPr>
          <w:lang w:val="fr-CA"/>
        </w:rPr>
        <w:t xml:space="preserve"> importés en Équateur au titre de la phase I du PGEH, à ne pas émettre de quotas d’importation du HCFC-141b contenu dans les polyols </w:t>
      </w:r>
      <w:proofErr w:type="spellStart"/>
      <w:r w:rsidRPr="001F4557">
        <w:rPr>
          <w:lang w:val="fr-CA"/>
        </w:rPr>
        <w:t>prémélangés</w:t>
      </w:r>
      <w:proofErr w:type="spellEnd"/>
      <w:r w:rsidRPr="001F4557">
        <w:rPr>
          <w:lang w:val="fr-CA"/>
        </w:rPr>
        <w:t xml:space="preserve"> importés à compter du 1</w:t>
      </w:r>
      <w:r w:rsidRPr="001F4557">
        <w:rPr>
          <w:vertAlign w:val="superscript"/>
          <w:lang w:val="fr-CA"/>
        </w:rPr>
        <w:t>er</w:t>
      </w:r>
      <w:r w:rsidRPr="001F4557">
        <w:rPr>
          <w:lang w:val="fr-CA"/>
        </w:rPr>
        <w:t xml:space="preserve"> janvier 2020, sauf pour une quant</w:t>
      </w:r>
      <w:r>
        <w:rPr>
          <w:lang w:val="fr-CA"/>
        </w:rPr>
        <w:t>ité maximum de 0,86 tonne PAO (7</w:t>
      </w:r>
      <w:r w:rsidRPr="001F4557">
        <w:rPr>
          <w:lang w:val="fr-CA"/>
        </w:rPr>
        <w:t xml:space="preserve">,78 </w:t>
      </w:r>
      <w:proofErr w:type="spellStart"/>
      <w:r w:rsidRPr="001F4557">
        <w:rPr>
          <w:lang w:val="fr-CA"/>
        </w:rPr>
        <w:t>tm</w:t>
      </w:r>
      <w:proofErr w:type="spellEnd"/>
      <w:r w:rsidRPr="001F4557">
        <w:rPr>
          <w:lang w:val="fr-CA"/>
        </w:rPr>
        <w:t>) pour le secteur de la mousse à vaporiser, pour 2020 et 2021, conformément à la décision 81/47 c) i).</w:t>
      </w:r>
    </w:p>
    <w:p w14:paraId="01ECB75F" w14:textId="77777777" w:rsidR="00FE2783" w:rsidRPr="001F4557" w:rsidRDefault="00FE2783" w:rsidP="00FE2783">
      <w:pPr>
        <w:pStyle w:val="Heading1"/>
        <w:rPr>
          <w:lang w:val="fr-CA"/>
        </w:rPr>
      </w:pPr>
      <w:r w:rsidRPr="001F4557">
        <w:rPr>
          <w:lang w:val="fr-CA"/>
        </w:rPr>
        <w:t>En présentant la dernière tranche du PGEH à la 85</w:t>
      </w:r>
      <w:r w:rsidRPr="001F4557">
        <w:rPr>
          <w:vertAlign w:val="superscript"/>
          <w:lang w:val="fr-CA"/>
        </w:rPr>
        <w:t>e</w:t>
      </w:r>
      <w:r w:rsidRPr="001F4557">
        <w:rPr>
          <w:lang w:val="fr-CA"/>
        </w:rPr>
        <w:t xml:space="preserve"> réunion, l’ONUDI a fait savoir que le gouvernement devait reporter l’interdiction du 1</w:t>
      </w:r>
      <w:r w:rsidRPr="001F4557">
        <w:rPr>
          <w:vertAlign w:val="superscript"/>
          <w:lang w:val="fr-CA"/>
        </w:rPr>
        <w:t>er</w:t>
      </w:r>
      <w:r w:rsidRPr="001F4557">
        <w:rPr>
          <w:lang w:val="fr-CA"/>
        </w:rPr>
        <w:t xml:space="preserve"> janvier 2020 au 1</w:t>
      </w:r>
      <w:r w:rsidRPr="001F4557">
        <w:rPr>
          <w:vertAlign w:val="superscript"/>
          <w:lang w:val="fr-CA"/>
        </w:rPr>
        <w:t>er</w:t>
      </w:r>
      <w:r w:rsidRPr="001F4557">
        <w:rPr>
          <w:lang w:val="fr-CA"/>
        </w:rPr>
        <w:t xml:space="preserve"> janvier 2021 afin que les entreprises du secteur de la mousse de polyuréthanne recevant l’assistance puissent terminer </w:t>
      </w:r>
      <w:r>
        <w:rPr>
          <w:lang w:val="fr-CA"/>
        </w:rPr>
        <w:t>leurs</w:t>
      </w:r>
      <w:r w:rsidRPr="001F4557">
        <w:rPr>
          <w:lang w:val="fr-CA"/>
        </w:rPr>
        <w:t xml:space="preserve"> essais sur des agents </w:t>
      </w:r>
      <w:r w:rsidRPr="001F4557">
        <w:rPr>
          <w:lang w:val="fr-CA"/>
        </w:rPr>
        <w:lastRenderedPageBreak/>
        <w:t>de gonflage à faible potentiel de réchauffement de la planète</w:t>
      </w:r>
      <w:r>
        <w:rPr>
          <w:lang w:val="fr-CA"/>
        </w:rPr>
        <w:t xml:space="preserve"> </w:t>
      </w:r>
      <w:r w:rsidRPr="001F4557">
        <w:rPr>
          <w:lang w:val="fr-CA"/>
        </w:rPr>
        <w:t>(PRG) et entreprendre les reconversions connexes de leurs processus manufacturiers. Le Secrétariat a informé le Comité exécutif en conséquence.</w:t>
      </w:r>
      <w:r w:rsidRPr="001F4557">
        <w:rPr>
          <w:rStyle w:val="FootnoteReference"/>
          <w:lang w:val="fr-CA"/>
        </w:rPr>
        <w:footnoteReference w:id="15"/>
      </w:r>
    </w:p>
    <w:p w14:paraId="71435AF3" w14:textId="77777777" w:rsidR="00FE2783" w:rsidRPr="001F4557" w:rsidRDefault="00FE2783" w:rsidP="00FE2783">
      <w:pPr>
        <w:pStyle w:val="Heading1"/>
        <w:rPr>
          <w:lang w:val="fr-CA"/>
        </w:rPr>
      </w:pPr>
      <w:r w:rsidRPr="001F4557">
        <w:rPr>
          <w:lang w:val="fr-CA"/>
        </w:rPr>
        <w:t>L’Équateur, par l’entremise de l’ONUDI, a expliqué le report de l’interdiction du 1</w:t>
      </w:r>
      <w:r w:rsidRPr="001F4557">
        <w:rPr>
          <w:vertAlign w:val="superscript"/>
          <w:lang w:val="fr-CA"/>
        </w:rPr>
        <w:t>er</w:t>
      </w:r>
      <w:r w:rsidRPr="001F4557">
        <w:rPr>
          <w:lang w:val="fr-CA"/>
        </w:rPr>
        <w:t xml:space="preserve"> janvier 202</w:t>
      </w:r>
      <w:r>
        <w:rPr>
          <w:lang w:val="fr-CA"/>
        </w:rPr>
        <w:t>1</w:t>
      </w:r>
      <w:r w:rsidRPr="001F4557">
        <w:rPr>
          <w:lang w:val="fr-CA"/>
        </w:rPr>
        <w:t xml:space="preserve"> au 1</w:t>
      </w:r>
      <w:r w:rsidRPr="001F4557">
        <w:rPr>
          <w:vertAlign w:val="superscript"/>
          <w:lang w:val="fr-CA"/>
        </w:rPr>
        <w:t>er</w:t>
      </w:r>
      <w:r w:rsidRPr="001F4557">
        <w:rPr>
          <w:lang w:val="fr-CA"/>
        </w:rPr>
        <w:t xml:space="preserve"> janvier 202</w:t>
      </w:r>
      <w:r>
        <w:rPr>
          <w:lang w:val="fr-CA"/>
        </w:rPr>
        <w:t>2</w:t>
      </w:r>
      <w:r w:rsidRPr="001F4557">
        <w:rPr>
          <w:lang w:val="fr-CA"/>
        </w:rPr>
        <w:t xml:space="preserve"> en disant que les activités du projet (les essais d’agents de gonflage à faible PRG et la reconversion des entreprises ayant reçu de l’assistance) avaient été reportées à cause des mesures du gouvernement pour freiner la propagation de la COVID-19. </w:t>
      </w:r>
    </w:p>
    <w:p w14:paraId="40051943" w14:textId="77777777" w:rsidR="00FE2783" w:rsidRPr="001F4557" w:rsidRDefault="00FE2783" w:rsidP="00FE2783">
      <w:pPr>
        <w:pStyle w:val="Heading1"/>
        <w:rPr>
          <w:lang w:val="fr-CA"/>
        </w:rPr>
      </w:pPr>
      <w:r w:rsidRPr="001F4557">
        <w:rPr>
          <w:lang w:val="fr-CA"/>
        </w:rPr>
        <w:t>Le Secrétariat a aussi indiqué que le nouveau report de l’interdiction au 1</w:t>
      </w:r>
      <w:r w:rsidRPr="001F4557">
        <w:rPr>
          <w:vertAlign w:val="superscript"/>
          <w:lang w:val="fr-CA"/>
        </w:rPr>
        <w:t>er</w:t>
      </w:r>
      <w:r w:rsidRPr="001F4557">
        <w:rPr>
          <w:lang w:val="fr-CA"/>
        </w:rPr>
        <w:t xml:space="preserve"> janvier 2022 permettrait aux sociétés de formulation et aux entreprises de mousse de terminer leurs essais sur les agents de gonflage à faible PRG et de mener à terme la reconversion des entreprises à la date d’achèvement prévue de la phase I du PGEH, le 31 décembre 2021. </w:t>
      </w:r>
    </w:p>
    <w:p w14:paraId="1EA6E8FF" w14:textId="77777777" w:rsidR="00FE2783" w:rsidRPr="001F4557" w:rsidRDefault="00FE2783" w:rsidP="00FE2783">
      <w:pPr>
        <w:rPr>
          <w:b/>
          <w:lang w:val="fr-CA"/>
        </w:rPr>
      </w:pPr>
      <w:r w:rsidRPr="001F4557">
        <w:rPr>
          <w:b/>
          <w:lang w:val="fr-CA"/>
        </w:rPr>
        <w:t>Recommandation</w:t>
      </w:r>
    </w:p>
    <w:p w14:paraId="04454752" w14:textId="77777777" w:rsidR="00FE2783" w:rsidRPr="001F4557" w:rsidRDefault="00FE2783" w:rsidP="00FE2783">
      <w:pPr>
        <w:rPr>
          <w:u w:val="single"/>
          <w:lang w:val="fr-CA"/>
        </w:rPr>
      </w:pPr>
    </w:p>
    <w:p w14:paraId="70CDCF9B" w14:textId="77777777" w:rsidR="00FE2783" w:rsidRPr="001F4557" w:rsidRDefault="00FE2783" w:rsidP="00FE2783">
      <w:pPr>
        <w:pStyle w:val="Heading1"/>
        <w:rPr>
          <w:lang w:val="fr-CA"/>
        </w:rPr>
      </w:pPr>
      <w:r w:rsidRPr="001F4557">
        <w:rPr>
          <w:lang w:val="fr-CA"/>
        </w:rPr>
        <w:t>Le Comité exécutif pourrait souhaiter prendre note de l’e</w:t>
      </w:r>
      <w:r>
        <w:rPr>
          <w:lang w:val="fr-CA"/>
        </w:rPr>
        <w:t>ngagement du gouvernement de l’É</w:t>
      </w:r>
      <w:r w:rsidRPr="001F4557">
        <w:rPr>
          <w:lang w:val="fr-CA"/>
        </w:rPr>
        <w:t xml:space="preserve">quateur </w:t>
      </w:r>
      <w:r>
        <w:rPr>
          <w:lang w:val="fr-CA"/>
        </w:rPr>
        <w:t>à</w:t>
      </w:r>
      <w:r w:rsidRPr="001F4557">
        <w:rPr>
          <w:lang w:val="fr-CA"/>
        </w:rPr>
        <w:t xml:space="preserve"> ne pas émettre de quotas d’importation du HCFC-141b contenu dans des polyols </w:t>
      </w:r>
      <w:proofErr w:type="spellStart"/>
      <w:r w:rsidRPr="001F4557">
        <w:rPr>
          <w:lang w:val="fr-CA"/>
        </w:rPr>
        <w:t>prémélangés</w:t>
      </w:r>
      <w:proofErr w:type="spellEnd"/>
      <w:r w:rsidRPr="001F4557">
        <w:rPr>
          <w:lang w:val="fr-CA"/>
        </w:rPr>
        <w:t xml:space="preserve"> à compter du 1</w:t>
      </w:r>
      <w:r w:rsidRPr="001F4557">
        <w:rPr>
          <w:vertAlign w:val="superscript"/>
          <w:lang w:val="fr-CA"/>
        </w:rPr>
        <w:t>er</w:t>
      </w:r>
      <w:r w:rsidRPr="001F4557">
        <w:rPr>
          <w:lang w:val="fr-CA"/>
        </w:rPr>
        <w:t xml:space="preserve"> janvier 2022 au lieu du 1</w:t>
      </w:r>
      <w:r w:rsidRPr="001F4557">
        <w:rPr>
          <w:vertAlign w:val="superscript"/>
          <w:lang w:val="fr-CA"/>
        </w:rPr>
        <w:t>er</w:t>
      </w:r>
      <w:r w:rsidRPr="001F4557">
        <w:rPr>
          <w:lang w:val="fr-CA"/>
        </w:rPr>
        <w:t xml:space="preserve"> janvier 2021 à cause des retards causés par la pandémie de la COVID-19.</w:t>
      </w:r>
    </w:p>
    <w:p w14:paraId="22A25DB4" w14:textId="77777777" w:rsidR="00FE2783" w:rsidRPr="001F4557" w:rsidRDefault="00FE2783" w:rsidP="00FE2783">
      <w:pPr>
        <w:keepNext/>
        <w:spacing w:after="240"/>
        <w:rPr>
          <w:lang w:val="fr-CA"/>
        </w:rPr>
      </w:pPr>
      <w:proofErr w:type="gramStart"/>
      <w:r w:rsidRPr="00023070">
        <w:rPr>
          <w:u w:val="single"/>
          <w:lang w:val="fr-CA"/>
        </w:rPr>
        <w:t>Eswatini:</w:t>
      </w:r>
      <w:proofErr w:type="gramEnd"/>
      <w:r w:rsidRPr="00023070">
        <w:rPr>
          <w:u w:val="single"/>
          <w:lang w:val="fr-CA"/>
        </w:rPr>
        <w:t xml:space="preserve"> Plan de gestion de l'élimination des HCFC (phase I : rapport final)</w:t>
      </w:r>
      <w:r w:rsidRPr="00023070">
        <w:rPr>
          <w:lang w:val="fr-CA"/>
        </w:rPr>
        <w:t xml:space="preserve"> (PNUE et ONUDI)</w:t>
      </w:r>
    </w:p>
    <w:p w14:paraId="49F1878D" w14:textId="77777777" w:rsidR="00FE2783" w:rsidRPr="001F4557" w:rsidRDefault="00FE2783" w:rsidP="00FE2783">
      <w:pPr>
        <w:keepNext/>
        <w:spacing w:after="240"/>
        <w:rPr>
          <w:b/>
          <w:lang w:val="fr-CA"/>
        </w:rPr>
      </w:pPr>
      <w:r w:rsidRPr="001F4557">
        <w:rPr>
          <w:b/>
          <w:lang w:val="fr-CA"/>
        </w:rPr>
        <w:t>Contexte</w:t>
      </w:r>
    </w:p>
    <w:p w14:paraId="51E9F8CC" w14:textId="77777777" w:rsidR="00FE2783" w:rsidRPr="001F4557" w:rsidRDefault="00FE2783" w:rsidP="00FE2783">
      <w:pPr>
        <w:pStyle w:val="Heading1"/>
        <w:autoSpaceDE w:val="0"/>
        <w:autoSpaceDN w:val="0"/>
        <w:adjustRightInd w:val="0"/>
        <w:rPr>
          <w:lang w:val="fr-CA"/>
        </w:rPr>
      </w:pPr>
      <w:r w:rsidRPr="001F4557">
        <w:rPr>
          <w:lang w:val="fr-CA"/>
        </w:rPr>
        <w:t>La phase I du PGEH a été approuvée à la 63</w:t>
      </w:r>
      <w:r w:rsidRPr="00B531E7">
        <w:rPr>
          <w:vertAlign w:val="superscript"/>
          <w:lang w:val="fr-CA"/>
        </w:rPr>
        <w:t>e</w:t>
      </w:r>
      <w:r w:rsidRPr="001F4557">
        <w:rPr>
          <w:lang w:val="fr-CA"/>
        </w:rPr>
        <w:t xml:space="preserve"> réunion</w:t>
      </w:r>
      <w:r w:rsidRPr="001F4557">
        <w:rPr>
          <w:rStyle w:val="FootnoteReference"/>
          <w:lang w:val="fr-CA"/>
        </w:rPr>
        <w:footnoteReference w:id="16"/>
      </w:r>
      <w:r w:rsidRPr="001F4557">
        <w:rPr>
          <w:lang w:val="fr-CA"/>
        </w:rPr>
        <w:t xml:space="preserve"> afin d’atteindre l’objectif de réduction de 35 pour cent de la valeur de référence avant 2020, pour la somme totale de 877 948 $US plus les coûts d’appui à l’agence de 77 396 $US, et d’éliminer 8,27 tonnes PAO de HCFC. Le Comité exécutif a approuvé la quatrième (et dernière) tranche de la phase I</w:t>
      </w:r>
      <w:r w:rsidRPr="001F4557">
        <w:rPr>
          <w:rStyle w:val="FootnoteReference"/>
          <w:lang w:val="fr-CA"/>
        </w:rPr>
        <w:footnoteReference w:id="17"/>
      </w:r>
      <w:r w:rsidRPr="001F4557">
        <w:rPr>
          <w:lang w:val="fr-CA"/>
        </w:rPr>
        <w:t xml:space="preserve"> à la 83</w:t>
      </w:r>
      <w:r w:rsidRPr="001F4557">
        <w:rPr>
          <w:vertAlign w:val="superscript"/>
          <w:lang w:val="fr-CA"/>
        </w:rPr>
        <w:t>e</w:t>
      </w:r>
      <w:r w:rsidRPr="001F4557">
        <w:rPr>
          <w:lang w:val="fr-CA"/>
        </w:rPr>
        <w:t xml:space="preserve"> réunion et a demandé au gouvernement d’Eswatini, au PNUE et au PNUD de remettre un rapport périodique sur la mise en œuvre du programme de travail de la dernière tranche à la première réunion du Comité exécutif de 2021 et le rapport d’achèvement de projet à la deuxième réunion de 2022 (décision 83/49). Le projet doit être achevé à la fin de 2021. La phase II a été approuvée à la 86</w:t>
      </w:r>
      <w:r w:rsidRPr="001F4557">
        <w:rPr>
          <w:vertAlign w:val="superscript"/>
          <w:lang w:val="fr-CA"/>
        </w:rPr>
        <w:t>e</w:t>
      </w:r>
      <w:r w:rsidRPr="001F4557">
        <w:rPr>
          <w:lang w:val="fr-CA"/>
        </w:rPr>
        <w:t xml:space="preserve"> réunion.</w:t>
      </w:r>
    </w:p>
    <w:p w14:paraId="17FA9C61" w14:textId="77777777" w:rsidR="00FE2783" w:rsidRPr="001F4557" w:rsidRDefault="00FE2783" w:rsidP="00FE2783">
      <w:pPr>
        <w:pStyle w:val="Heading1"/>
        <w:rPr>
          <w:lang w:val="fr-CA"/>
        </w:rPr>
      </w:pPr>
      <w:r w:rsidRPr="001F4557">
        <w:rPr>
          <w:lang w:val="fr-CA"/>
        </w:rPr>
        <w:t xml:space="preserve">Le PNUE, en qualité d’agence d’exécution principale, a soumis au nom du gouvernement d’Eswatini, un rapport périodique sur la mise en œuvre de la phase I du PGEH, conformément à la décision 83/49 du Comité exécutif. </w:t>
      </w:r>
    </w:p>
    <w:p w14:paraId="044DE8CB" w14:textId="77777777" w:rsidR="00FE2783" w:rsidRPr="001F4557" w:rsidRDefault="00FE2783" w:rsidP="00FE2783">
      <w:pPr>
        <w:spacing w:after="240"/>
        <w:rPr>
          <w:i/>
          <w:lang w:val="fr-CA"/>
        </w:rPr>
      </w:pPr>
      <w:r w:rsidRPr="001F4557">
        <w:rPr>
          <w:i/>
          <w:lang w:val="fr-CA"/>
        </w:rPr>
        <w:t>Consommation de HCFC</w:t>
      </w:r>
    </w:p>
    <w:p w14:paraId="3BE86606" w14:textId="77777777" w:rsidR="00FE2783" w:rsidRPr="001F4557" w:rsidRDefault="00FE2783" w:rsidP="00FE2783">
      <w:pPr>
        <w:pStyle w:val="Heading1"/>
        <w:rPr>
          <w:lang w:val="fr-CA"/>
        </w:rPr>
      </w:pPr>
      <w:r w:rsidRPr="001F4557">
        <w:rPr>
          <w:lang w:val="fr-CA"/>
        </w:rPr>
        <w:t xml:space="preserve">Le gouvernement d’Eswatini a déclaré une consommation de 0,41 tonne PAO de HCFC en vertu de l’article 7 pour l’année 2020, ce qui représente 63 pour cent de moins que l’objectif de réglementation du Protocole de Montréal de 1,12 tonne PAO pour l’année en question, et 76 pour cent de moins que la valeur de référence établie de 1,73 tonne PAO. Les données communiquées </w:t>
      </w:r>
      <w:r>
        <w:rPr>
          <w:lang w:val="fr-CA"/>
        </w:rPr>
        <w:t>en vertu de l’article 7 pour l’a</w:t>
      </w:r>
      <w:r w:rsidRPr="001F4557">
        <w:rPr>
          <w:lang w:val="fr-CA"/>
        </w:rPr>
        <w:t>nnée 2019 n’ont pas encore été transmises.</w:t>
      </w:r>
    </w:p>
    <w:p w14:paraId="5D9EC972" w14:textId="77777777" w:rsidR="00FE2783" w:rsidRPr="001F4557" w:rsidRDefault="00FE2783" w:rsidP="00FE2783">
      <w:pPr>
        <w:numPr>
          <w:ilvl w:val="0"/>
          <w:numId w:val="1"/>
        </w:numPr>
        <w:spacing w:after="240"/>
        <w:outlineLvl w:val="0"/>
        <w:rPr>
          <w:lang w:val="fr-CA"/>
        </w:rPr>
      </w:pPr>
      <w:r w:rsidRPr="001F4557">
        <w:rPr>
          <w:lang w:val="fr-CA"/>
        </w:rPr>
        <w:t xml:space="preserve">Le gouvernement a déclaré des données relatives au programme de pays sur la consommation sectorielle pour l’année 2019 qui correspondent aux données déclarées en vertu de l’article 7 du Protocole de Montréal. </w:t>
      </w:r>
    </w:p>
    <w:p w14:paraId="2FA30F61" w14:textId="77777777" w:rsidR="00FE2783" w:rsidRPr="001F4557" w:rsidRDefault="00FE2783" w:rsidP="00FE2783">
      <w:pPr>
        <w:spacing w:after="240"/>
        <w:rPr>
          <w:b/>
          <w:lang w:val="fr-CA"/>
        </w:rPr>
      </w:pPr>
      <w:r w:rsidRPr="001F4557">
        <w:rPr>
          <w:b/>
          <w:lang w:val="fr-CA"/>
        </w:rPr>
        <w:lastRenderedPageBreak/>
        <w:t xml:space="preserve">Rapport périodique sur la mise en œuvre de la phase I </w:t>
      </w:r>
    </w:p>
    <w:p w14:paraId="1D91C479" w14:textId="77777777" w:rsidR="00FE2783" w:rsidRPr="001F4557" w:rsidRDefault="00FE2783" w:rsidP="00FE2783">
      <w:pPr>
        <w:pStyle w:val="Heading1"/>
        <w:rPr>
          <w:lang w:val="fr-CA"/>
        </w:rPr>
      </w:pPr>
      <w:r w:rsidRPr="001F4557">
        <w:rPr>
          <w:lang w:val="fr-CA"/>
        </w:rPr>
        <w:t>Le pays a</w:t>
      </w:r>
      <w:r>
        <w:rPr>
          <w:lang w:val="fr-CA"/>
        </w:rPr>
        <w:t xml:space="preserve"> </w:t>
      </w:r>
      <w:r w:rsidRPr="001F4557">
        <w:rPr>
          <w:lang w:val="fr-CA"/>
        </w:rPr>
        <w:t>mis en place un programme de permis et de quotas pour réglementer l’importation de</w:t>
      </w:r>
      <w:r>
        <w:rPr>
          <w:lang w:val="fr-CA"/>
        </w:rPr>
        <w:t>s</w:t>
      </w:r>
      <w:r w:rsidRPr="001F4557">
        <w:rPr>
          <w:lang w:val="fr-CA"/>
        </w:rPr>
        <w:t xml:space="preserve"> HCFC. Le Bureau national de l’ozone a organisé des réunions du comité directeur et des importateurs afin d’évaluer la consommation de HCFC et déterminer le quota. Le quota </w:t>
      </w:r>
      <w:r>
        <w:rPr>
          <w:lang w:val="fr-CA"/>
        </w:rPr>
        <w:t>de</w:t>
      </w:r>
      <w:r w:rsidRPr="001F4557">
        <w:rPr>
          <w:lang w:val="fr-CA"/>
        </w:rPr>
        <w:t xml:space="preserve"> 0,51 tonne PAO</w:t>
      </w:r>
      <w:r>
        <w:rPr>
          <w:lang w:val="fr-CA"/>
        </w:rPr>
        <w:t xml:space="preserve"> </w:t>
      </w:r>
      <w:r w:rsidRPr="001F4557">
        <w:rPr>
          <w:lang w:val="fr-CA"/>
        </w:rPr>
        <w:t>de 2021</w:t>
      </w:r>
      <w:r>
        <w:rPr>
          <w:lang w:val="fr-CA"/>
        </w:rPr>
        <w:t xml:space="preserve">, </w:t>
      </w:r>
      <w:r w:rsidRPr="001F4557">
        <w:rPr>
          <w:lang w:val="fr-CA"/>
        </w:rPr>
        <w:t>une quantité inférieure à l’objectif de réglementation du Protocole de Montréal</w:t>
      </w:r>
      <w:r>
        <w:rPr>
          <w:lang w:val="fr-CA"/>
        </w:rPr>
        <w:t>,</w:t>
      </w:r>
      <w:r w:rsidRPr="001F4557">
        <w:rPr>
          <w:lang w:val="fr-CA"/>
        </w:rPr>
        <w:t xml:space="preserve"> a été octroyé à 14 importateurs</w:t>
      </w:r>
      <w:r w:rsidRPr="001F4557">
        <w:rPr>
          <w:color w:val="000000"/>
          <w:lang w:val="fr-CA"/>
        </w:rPr>
        <w:t>.</w:t>
      </w:r>
    </w:p>
    <w:p w14:paraId="7C2B0D53" w14:textId="77777777" w:rsidR="00FE2783" w:rsidRDefault="00FE2783" w:rsidP="00FE2783">
      <w:pPr>
        <w:pStyle w:val="Heading1"/>
        <w:rPr>
          <w:lang w:val="fr-CA"/>
        </w:rPr>
      </w:pPr>
      <w:r w:rsidRPr="001F4557">
        <w:rPr>
          <w:lang w:val="fr-CA"/>
        </w:rPr>
        <w:t xml:space="preserve">Un SSFA a été signé entre le gouvernement et le PNUE en octobre 2019, après l’approbation de </w:t>
      </w:r>
      <w:r>
        <w:rPr>
          <w:lang w:val="fr-CA"/>
        </w:rPr>
        <w:t>la</w:t>
      </w:r>
      <w:r w:rsidRPr="001F4557">
        <w:rPr>
          <w:lang w:val="fr-CA"/>
        </w:rPr>
        <w:t xml:space="preserve"> quatrième tranche. Trois ateliers de formation ont été organisés pour 80 douaniers (dont 14 femmes) sur le contrôle des importations de HCFC et la prévention du commerce illicite. Deux ateliers de formation ont été présentés à 49 techniciens d’entretien (dont trois techniciennes) en bonnes pratiques de réfrigération, dont la manipulation sécuritaire des hydrocarbures. Trois établissements de formation professionnelle (SCOT, </w:t>
      </w:r>
      <w:proofErr w:type="spellStart"/>
      <w:r w:rsidRPr="001F4557">
        <w:rPr>
          <w:lang w:val="fr-CA"/>
        </w:rPr>
        <w:t>Voctim</w:t>
      </w:r>
      <w:proofErr w:type="spellEnd"/>
      <w:r w:rsidRPr="001F4557">
        <w:rPr>
          <w:lang w:val="fr-CA"/>
        </w:rPr>
        <w:t xml:space="preserve"> et MITC) ont été recensés afin de servir de centre de référence pour la formation de techni</w:t>
      </w:r>
      <w:r>
        <w:rPr>
          <w:lang w:val="fr-CA"/>
        </w:rPr>
        <w:t>ciens</w:t>
      </w:r>
      <w:r w:rsidRPr="001F4557">
        <w:rPr>
          <w:lang w:val="fr-CA"/>
        </w:rPr>
        <w:t xml:space="preserve">, </w:t>
      </w:r>
      <w:r>
        <w:rPr>
          <w:lang w:val="fr-CA"/>
        </w:rPr>
        <w:t xml:space="preserve">et </w:t>
      </w:r>
      <w:r w:rsidRPr="001F4557">
        <w:rPr>
          <w:lang w:val="fr-CA"/>
        </w:rPr>
        <w:t xml:space="preserve">la gestion des outils et </w:t>
      </w:r>
      <w:r>
        <w:rPr>
          <w:lang w:val="fr-CA"/>
        </w:rPr>
        <w:t xml:space="preserve">de </w:t>
      </w:r>
      <w:r w:rsidRPr="001F4557">
        <w:rPr>
          <w:lang w:val="fr-CA"/>
        </w:rPr>
        <w:t>l’équipement pour les techniciens dans les régions</w:t>
      </w:r>
      <w:r>
        <w:rPr>
          <w:lang w:val="fr-CA"/>
        </w:rPr>
        <w:t>,</w:t>
      </w:r>
      <w:r w:rsidRPr="001F4557">
        <w:rPr>
          <w:lang w:val="fr-CA"/>
        </w:rPr>
        <w:t xml:space="preserve"> et de collecte des données auprès des utilisateurs finaux.</w:t>
      </w:r>
      <w:r>
        <w:rPr>
          <w:lang w:val="fr-CA"/>
        </w:rPr>
        <w:t xml:space="preserve"> </w:t>
      </w:r>
    </w:p>
    <w:p w14:paraId="15E61D6E" w14:textId="77777777" w:rsidR="00C332C0" w:rsidRPr="001F4557" w:rsidRDefault="00C332C0" w:rsidP="00C332C0">
      <w:pPr>
        <w:spacing w:after="240"/>
        <w:outlineLvl w:val="0"/>
        <w:rPr>
          <w:lang w:val="fr-CA"/>
        </w:rPr>
      </w:pPr>
      <w:r w:rsidRPr="001F4557">
        <w:rPr>
          <w:u w:val="single"/>
          <w:lang w:val="fr-CA"/>
        </w:rPr>
        <w:t>Niveau de décaissement</w:t>
      </w:r>
    </w:p>
    <w:p w14:paraId="3803B870" w14:textId="5D2E2DEA" w:rsidR="00C332C0" w:rsidRPr="001F4557" w:rsidRDefault="00C332C0" w:rsidP="00C332C0">
      <w:pPr>
        <w:pStyle w:val="Heading1"/>
        <w:rPr>
          <w:lang w:val="fr-CA"/>
        </w:rPr>
      </w:pPr>
      <w:r w:rsidRPr="001F4557">
        <w:rPr>
          <w:lang w:val="fr-CA"/>
        </w:rPr>
        <w:t>Le soutien financier pour les trois premières tranches avait été complètement décaissé en date d’avril 2021</w:t>
      </w:r>
      <w:r w:rsidR="00023070">
        <w:rPr>
          <w:lang w:val="fr-CA"/>
        </w:rPr>
        <w:t xml:space="preserve"> </w:t>
      </w:r>
      <w:r w:rsidRPr="001F4557">
        <w:rPr>
          <w:lang w:val="fr-CA"/>
        </w:rPr>
        <w:t>; 15 000 $US des 30 000 $US approuvés pour la quatrième tr</w:t>
      </w:r>
      <w:r>
        <w:rPr>
          <w:lang w:val="fr-CA"/>
        </w:rPr>
        <w:t>anche avaient été décaissés (50 </w:t>
      </w:r>
      <w:r w:rsidRPr="001F4557">
        <w:rPr>
          <w:lang w:val="fr-CA"/>
        </w:rPr>
        <w:t>pour cent). Les 15 000 $US restants seront décaissés en 2021.</w:t>
      </w:r>
    </w:p>
    <w:p w14:paraId="01C7725D" w14:textId="77777777" w:rsidR="00C332C0" w:rsidRPr="001F4557" w:rsidRDefault="00C332C0" w:rsidP="00C332C0">
      <w:pPr>
        <w:rPr>
          <w:u w:val="single"/>
          <w:lang w:val="fr-CA"/>
        </w:rPr>
      </w:pPr>
      <w:r w:rsidRPr="001F4557">
        <w:rPr>
          <w:u w:val="single"/>
          <w:lang w:val="fr-CA"/>
        </w:rPr>
        <w:t>Achèvement de la phase I</w:t>
      </w:r>
    </w:p>
    <w:p w14:paraId="5B7B0CCF" w14:textId="77777777" w:rsidR="00C332C0" w:rsidRPr="001F4557" w:rsidRDefault="00C332C0" w:rsidP="00C332C0">
      <w:pPr>
        <w:rPr>
          <w:lang w:val="fr-CA"/>
        </w:rPr>
      </w:pPr>
    </w:p>
    <w:p w14:paraId="1AA755CB" w14:textId="77777777" w:rsidR="00C332C0" w:rsidRPr="001F4557" w:rsidRDefault="00C332C0" w:rsidP="00C332C0">
      <w:pPr>
        <w:pStyle w:val="Heading1"/>
        <w:rPr>
          <w:lang w:val="fr-CA"/>
        </w:rPr>
      </w:pPr>
      <w:r w:rsidRPr="001F4557">
        <w:rPr>
          <w:lang w:val="fr-CA"/>
        </w:rPr>
        <w:t xml:space="preserve">Le PNUE a confirmé que la phase I du PGEH serait achevée d’ici la fin de 2021. </w:t>
      </w:r>
    </w:p>
    <w:p w14:paraId="20930924" w14:textId="77777777" w:rsidR="00C332C0" w:rsidRPr="001F4557" w:rsidRDefault="00C332C0" w:rsidP="00C332C0">
      <w:pPr>
        <w:keepNext/>
        <w:spacing w:after="240"/>
        <w:rPr>
          <w:b/>
          <w:lang w:val="fr-CA"/>
        </w:rPr>
      </w:pPr>
      <w:r w:rsidRPr="001F4557">
        <w:rPr>
          <w:b/>
          <w:lang w:val="fr-CA"/>
        </w:rPr>
        <w:t>Observations du Secrétariat</w:t>
      </w:r>
    </w:p>
    <w:p w14:paraId="43D26CFD" w14:textId="77DA4011" w:rsidR="00C332C0" w:rsidRPr="001F4557" w:rsidRDefault="00C332C0" w:rsidP="00C332C0">
      <w:pPr>
        <w:pStyle w:val="Heading1"/>
        <w:rPr>
          <w:lang w:val="fr-CA" w:eastAsia="zh-CN"/>
        </w:rPr>
      </w:pPr>
      <w:r w:rsidRPr="001F4557">
        <w:rPr>
          <w:lang w:val="fr-CA"/>
        </w:rPr>
        <w:t>En ce qui concerne les activités restantes et les soldes à restituer, le PNUE a expliqué que le gouvernement compte offrir une formation à 20 douaniers et 25 techniciens, en réponse à une demande pour des activités de formation supplémentaires. Des activités de suivi et la rédaction du rapport</w:t>
      </w:r>
      <w:r w:rsidR="00023070">
        <w:rPr>
          <w:lang w:val="fr-CA"/>
        </w:rPr>
        <w:t xml:space="preserve"> final sur la mise en œuvre de </w:t>
      </w:r>
      <w:r w:rsidRPr="001F4557">
        <w:rPr>
          <w:lang w:val="fr-CA"/>
        </w:rPr>
        <w:t>la phase I</w:t>
      </w:r>
      <w:r>
        <w:rPr>
          <w:lang w:val="fr-CA"/>
        </w:rPr>
        <w:t>,</w:t>
      </w:r>
      <w:r w:rsidRPr="001F4557">
        <w:rPr>
          <w:lang w:val="fr-CA"/>
        </w:rPr>
        <w:t xml:space="preserve"> </w:t>
      </w:r>
      <w:r>
        <w:rPr>
          <w:lang w:val="fr-CA"/>
        </w:rPr>
        <w:t>desquelles seront tirés des</w:t>
      </w:r>
      <w:r w:rsidRPr="001F4557">
        <w:rPr>
          <w:lang w:val="fr-CA"/>
        </w:rPr>
        <w:t xml:space="preserve"> recommandations et des enseignements pour la mise en œuvre la phase II</w:t>
      </w:r>
      <w:r>
        <w:rPr>
          <w:lang w:val="fr-CA"/>
        </w:rPr>
        <w:t>,</w:t>
      </w:r>
      <w:r w:rsidRPr="001F4557">
        <w:rPr>
          <w:lang w:val="fr-CA"/>
        </w:rPr>
        <w:t xml:space="preserve"> seront également mises en œuvre. </w:t>
      </w:r>
    </w:p>
    <w:p w14:paraId="7AAC079D" w14:textId="77777777" w:rsidR="00C332C0" w:rsidRPr="001F4557" w:rsidRDefault="00C332C0" w:rsidP="00C332C0">
      <w:pPr>
        <w:spacing w:after="240"/>
        <w:outlineLvl w:val="0"/>
        <w:rPr>
          <w:b/>
          <w:lang w:val="fr-CA"/>
        </w:rPr>
      </w:pPr>
      <w:r w:rsidRPr="001F4557">
        <w:rPr>
          <w:b/>
          <w:lang w:val="fr-CA"/>
        </w:rPr>
        <w:t>Recommandation</w:t>
      </w:r>
    </w:p>
    <w:p w14:paraId="34AD0CD8" w14:textId="77777777" w:rsidR="00C332C0" w:rsidRPr="001F4557" w:rsidRDefault="00C332C0" w:rsidP="00C332C0">
      <w:pPr>
        <w:pStyle w:val="Heading1"/>
        <w:rPr>
          <w:lang w:val="fr-CA"/>
        </w:rPr>
      </w:pPr>
      <w:r w:rsidRPr="001F4557">
        <w:rPr>
          <w:lang w:val="fr-CA"/>
        </w:rPr>
        <w:t>Le Comité exécutif pourrait souhaiter prendre note du rapport périodique sur la mise en œuvre du programme de travail de la quatrième et dernière tranche de la phase I de plan de gestion de l'élimination des HCFC (PGEH) pour l’Eswatini, soumis par le PNUE et présenté dans le document UNEP/OzL.Pro/ExCom/87/9.</w:t>
      </w:r>
    </w:p>
    <w:p w14:paraId="6DD28937" w14:textId="77777777" w:rsidR="00C332C0" w:rsidRPr="001F4557" w:rsidRDefault="00C332C0" w:rsidP="00C332C0">
      <w:pPr>
        <w:keepNext/>
        <w:keepLines/>
        <w:spacing w:after="240"/>
        <w:rPr>
          <w:lang w:val="fr-CA"/>
        </w:rPr>
      </w:pPr>
      <w:r w:rsidRPr="00023070">
        <w:rPr>
          <w:u w:val="single"/>
          <w:lang w:val="fr-CA"/>
        </w:rPr>
        <w:t>Éthiopie : Plan de gestion de l’élimination des HCFC (phase I : rapport périodique)</w:t>
      </w:r>
      <w:r w:rsidRPr="00023070">
        <w:rPr>
          <w:lang w:val="fr-CA"/>
        </w:rPr>
        <w:t xml:space="preserve"> (UNEP et ONUDI)</w:t>
      </w:r>
    </w:p>
    <w:p w14:paraId="40E6FF83" w14:textId="77777777" w:rsidR="00C332C0" w:rsidRPr="001F4557" w:rsidRDefault="00C332C0" w:rsidP="00C332C0">
      <w:pPr>
        <w:keepNext/>
        <w:keepLines/>
        <w:spacing w:after="240"/>
        <w:rPr>
          <w:b/>
          <w:lang w:val="fr-CA"/>
        </w:rPr>
      </w:pPr>
      <w:r w:rsidRPr="001F4557">
        <w:rPr>
          <w:b/>
          <w:lang w:val="fr-CA"/>
        </w:rPr>
        <w:t>Contexte</w:t>
      </w:r>
    </w:p>
    <w:p w14:paraId="78E51A3B" w14:textId="77777777" w:rsidR="00C332C0" w:rsidRPr="001F4557" w:rsidRDefault="00C332C0" w:rsidP="00C332C0">
      <w:pPr>
        <w:pStyle w:val="Heading1"/>
        <w:rPr>
          <w:lang w:val="fr-CA"/>
        </w:rPr>
      </w:pPr>
      <w:r w:rsidRPr="001F4557">
        <w:rPr>
          <w:lang w:val="fr-CA"/>
        </w:rPr>
        <w:t>Le PNUE, en qualité d’agence d’exécution principale, a présenté au nom du gouvernement de l’Éthiopie, le rapport périodique sur la mise en œuvre du programme de pays de la troisième et dernière tranche de la phase I du PGEH, conformément à la décision 85/22 a). Cette tranche a été approuvée à titre exceptionnel à cause des retards supplémentaires possibles que pourrait entraîner la pandémie de la COVID-19 dans la mise en œuvre des activités d’élimination</w:t>
      </w:r>
      <w:r>
        <w:rPr>
          <w:lang w:val="fr-CA"/>
        </w:rPr>
        <w:t>. L</w:t>
      </w:r>
      <w:r w:rsidRPr="001F4557">
        <w:rPr>
          <w:lang w:val="fr-CA"/>
        </w:rPr>
        <w:t xml:space="preserve">e projet a été prorogé du 31 décembre 2021 au 31 décembre 2022, étant entendu qu’aucune autre prorogation ne serait demandée. </w:t>
      </w:r>
    </w:p>
    <w:p w14:paraId="082C3AE1" w14:textId="77777777" w:rsidR="00C332C0" w:rsidRPr="001F4557" w:rsidRDefault="00C332C0" w:rsidP="00C332C0">
      <w:pPr>
        <w:keepNext/>
        <w:keepLines/>
        <w:spacing w:after="240"/>
        <w:rPr>
          <w:i/>
          <w:lang w:val="fr-CA"/>
        </w:rPr>
      </w:pPr>
      <w:r w:rsidRPr="001F4557">
        <w:rPr>
          <w:i/>
          <w:lang w:val="fr-CA"/>
        </w:rPr>
        <w:lastRenderedPageBreak/>
        <w:t>Consommation de HCFC-22</w:t>
      </w:r>
    </w:p>
    <w:p w14:paraId="23DB7D84" w14:textId="77777777" w:rsidR="00C332C0" w:rsidRPr="001F4557" w:rsidRDefault="00C332C0" w:rsidP="00C332C0">
      <w:pPr>
        <w:pStyle w:val="Heading1"/>
        <w:rPr>
          <w:lang w:val="fr-CA"/>
        </w:rPr>
      </w:pPr>
      <w:r w:rsidRPr="001F4557">
        <w:rPr>
          <w:lang w:val="fr-CA"/>
        </w:rPr>
        <w:t xml:space="preserve">Le gouvernement de l’Éthiopie </w:t>
      </w:r>
      <w:r>
        <w:rPr>
          <w:lang w:val="fr-CA"/>
        </w:rPr>
        <w:t>a déclaré une consommation de 3,</w:t>
      </w:r>
      <w:r w:rsidRPr="001F4557">
        <w:rPr>
          <w:lang w:val="fr-CA"/>
        </w:rPr>
        <w:t xml:space="preserve">41 tonnes PAO de HCFC en </w:t>
      </w:r>
      <w:proofErr w:type="gramStart"/>
      <w:r w:rsidRPr="001F4557">
        <w:rPr>
          <w:lang w:val="fr-CA"/>
        </w:rPr>
        <w:t>2020  dans</w:t>
      </w:r>
      <w:proofErr w:type="gramEnd"/>
      <w:r w:rsidRPr="001F4557">
        <w:rPr>
          <w:lang w:val="fr-CA"/>
        </w:rPr>
        <w:t xml:space="preserve"> son  rapport sur la mise en œuvre du programme de pays, ce qui représente 38 pour cent de moins que la valeur de référence pour les HCFC aux fins de conformité</w:t>
      </w:r>
      <w:r>
        <w:rPr>
          <w:lang w:val="fr-CA"/>
        </w:rPr>
        <w:t>.</w:t>
      </w:r>
      <w:r w:rsidRPr="001F4557">
        <w:rPr>
          <w:lang w:val="fr-CA"/>
        </w:rPr>
        <w:t xml:space="preserve"> L’Éthiopie ne consomme que du HCFC-22, utilisé uniquement dans le secteur de l’entretien de l’équipement de réfrigération. La mise en œuvre des activités du PGEH dans le secteur de l’entretien de l’équipement de réfrigération et la mise en place du programme de permis et de quotas assurent la réduction continue de la consommation.</w:t>
      </w:r>
    </w:p>
    <w:p w14:paraId="366AF823" w14:textId="77777777" w:rsidR="00C332C0" w:rsidRPr="001F4557" w:rsidRDefault="00C332C0" w:rsidP="00C332C0">
      <w:pPr>
        <w:pStyle w:val="Heading1"/>
        <w:rPr>
          <w:lang w:val="fr-CA"/>
        </w:rPr>
      </w:pPr>
      <w:r w:rsidRPr="001F4557">
        <w:rPr>
          <w:lang w:val="fr-CA"/>
        </w:rPr>
        <w:t>Le gouvernement de l’Éthiopie a déclaré des données sur la consommation sectorielle de HCFC relatives au programme de pays pour l’année 2019 qui correspondent aux données déclarées en vertu de l’article 7 du Protocole de Montréal.</w:t>
      </w:r>
    </w:p>
    <w:p w14:paraId="58CFE67C" w14:textId="77777777" w:rsidR="00C332C0" w:rsidRPr="001F4557" w:rsidRDefault="00C332C0" w:rsidP="00C332C0">
      <w:pPr>
        <w:rPr>
          <w:b/>
          <w:lang w:val="fr-CA"/>
        </w:rPr>
      </w:pPr>
      <w:r w:rsidRPr="001F4557">
        <w:rPr>
          <w:b/>
          <w:lang w:val="fr-CA"/>
        </w:rPr>
        <w:t>Rapport périodique sur la mise en œuvre de la troisième tranche du PGEH</w:t>
      </w:r>
    </w:p>
    <w:p w14:paraId="3ACA0714" w14:textId="77777777" w:rsidR="00C332C0" w:rsidRPr="001F4557" w:rsidRDefault="00C332C0" w:rsidP="00C332C0">
      <w:pPr>
        <w:rPr>
          <w:i/>
          <w:lang w:val="fr-CA"/>
        </w:rPr>
      </w:pPr>
    </w:p>
    <w:p w14:paraId="737E508C" w14:textId="77777777" w:rsidR="00C332C0" w:rsidRPr="001F4557" w:rsidRDefault="00C332C0" w:rsidP="00C332C0">
      <w:pPr>
        <w:rPr>
          <w:i/>
          <w:lang w:val="fr-CA"/>
        </w:rPr>
      </w:pPr>
      <w:r w:rsidRPr="001F4557">
        <w:rPr>
          <w:i/>
          <w:lang w:val="fr-CA"/>
        </w:rPr>
        <w:t>Cadre juridique</w:t>
      </w:r>
    </w:p>
    <w:p w14:paraId="4FE4F33C" w14:textId="77777777" w:rsidR="00C332C0" w:rsidRPr="001F4557" w:rsidRDefault="00C332C0" w:rsidP="00C332C0">
      <w:pPr>
        <w:rPr>
          <w:i/>
          <w:lang w:val="fr-CA"/>
        </w:rPr>
      </w:pPr>
    </w:p>
    <w:p w14:paraId="1D541FB0" w14:textId="02099E4F" w:rsidR="00C332C0" w:rsidRPr="001F4557" w:rsidRDefault="00C332C0" w:rsidP="00C332C0">
      <w:pPr>
        <w:pStyle w:val="Heading1"/>
        <w:rPr>
          <w:lang w:val="fr-CA"/>
        </w:rPr>
      </w:pPr>
      <w:r w:rsidRPr="001F4557">
        <w:rPr>
          <w:lang w:val="fr-CA"/>
        </w:rPr>
        <w:t>La réglementation de l’Éthiopie sur les SAO,</w:t>
      </w:r>
      <w:r>
        <w:rPr>
          <w:lang w:val="fr-CA"/>
        </w:rPr>
        <w:t xml:space="preserve"> publiées dans la gazette en 201</w:t>
      </w:r>
      <w:r w:rsidRPr="001F4557">
        <w:rPr>
          <w:lang w:val="fr-CA"/>
        </w:rPr>
        <w:t>1, s’applique aux importations et exportations de SAO et d’équipement à base de SAO, et prévo</w:t>
      </w:r>
      <w:r>
        <w:rPr>
          <w:lang w:val="fr-CA"/>
        </w:rPr>
        <w:t>i</w:t>
      </w:r>
      <w:r w:rsidRPr="001F4557">
        <w:rPr>
          <w:lang w:val="fr-CA"/>
        </w:rPr>
        <w:t>t un programme de permis pour toutes les SAO, y compris les HCFC. L’Agence de protection de l’environnement agit en tant que correspondant</w:t>
      </w:r>
      <w:r>
        <w:rPr>
          <w:lang w:val="fr-CA"/>
        </w:rPr>
        <w:t>e</w:t>
      </w:r>
      <w:r w:rsidRPr="001F4557">
        <w:rPr>
          <w:lang w:val="fr-CA"/>
        </w:rPr>
        <w:t xml:space="preserve"> national</w:t>
      </w:r>
      <w:r>
        <w:rPr>
          <w:lang w:val="fr-CA"/>
        </w:rPr>
        <w:t>e pour le Protocole de Montréal;</w:t>
      </w:r>
      <w:r w:rsidRPr="001F4557">
        <w:rPr>
          <w:lang w:val="fr-CA"/>
        </w:rPr>
        <w:t xml:space="preserve"> elle coordonne toutes les activités nécessaires à la conformité</w:t>
      </w:r>
      <w:r>
        <w:rPr>
          <w:lang w:val="fr-CA"/>
        </w:rPr>
        <w:t>,</w:t>
      </w:r>
      <w:r w:rsidRPr="001F4557">
        <w:rPr>
          <w:lang w:val="fr-CA"/>
        </w:rPr>
        <w:t xml:space="preserve"> elle travaille en étroite collaboration avec l’autorité des douanes et du revenu de l’Éthiopie à l’application de la réglementation sur les SAO</w:t>
      </w:r>
      <w:r>
        <w:rPr>
          <w:lang w:val="fr-CA"/>
        </w:rPr>
        <w:t>,</w:t>
      </w:r>
      <w:r w:rsidRPr="001F4557">
        <w:rPr>
          <w:lang w:val="fr-CA"/>
        </w:rPr>
        <w:t xml:space="preserve"> et </w:t>
      </w:r>
      <w:r>
        <w:rPr>
          <w:lang w:val="fr-CA"/>
        </w:rPr>
        <w:t xml:space="preserve">elle est responsable des mécanismes de logistique et d’application des réglementations sur les SAO et </w:t>
      </w:r>
      <w:r w:rsidRPr="001F4557">
        <w:rPr>
          <w:lang w:val="fr-CA"/>
        </w:rPr>
        <w:t xml:space="preserve">de sensibiliser les importateurs et le grand public </w:t>
      </w:r>
      <w:r>
        <w:rPr>
          <w:lang w:val="fr-CA"/>
        </w:rPr>
        <w:t>aux</w:t>
      </w:r>
      <w:r w:rsidRPr="001F4557">
        <w:rPr>
          <w:lang w:val="fr-CA"/>
        </w:rPr>
        <w:t xml:space="preserve"> questions relatives à la couche d’ozone. Le programme de permis et de quotas des HCFC est fonctionnel et est appliqué. Le Bureau national de l’ozone </w:t>
      </w:r>
      <w:r w:rsidR="004F62E7">
        <w:rPr>
          <w:lang w:val="fr-CA"/>
        </w:rPr>
        <w:t>conserve</w:t>
      </w:r>
      <w:r w:rsidRPr="001F4557">
        <w:rPr>
          <w:lang w:val="fr-CA"/>
        </w:rPr>
        <w:t xml:space="preserve"> des dossiers de tous les importateurs s’étant vus octroyer un permis d’importation de HCFC</w:t>
      </w:r>
      <w:r w:rsidR="00023070">
        <w:rPr>
          <w:lang w:val="fr-CA"/>
        </w:rPr>
        <w:t xml:space="preserve"> </w:t>
      </w:r>
      <w:r w:rsidRPr="001F4557">
        <w:rPr>
          <w:lang w:val="fr-CA"/>
        </w:rPr>
        <w:t>; le permis est valide jusqu’au 31 décembre de l’année d’émission. Seuls les importateurs enregistrés peuvent recevoir un permis de quota. Toute substance réglementée importée sans permis est confisquée par les Services douaniers.</w:t>
      </w:r>
    </w:p>
    <w:p w14:paraId="3F506314" w14:textId="77777777" w:rsidR="00C332C0" w:rsidRPr="001F4557" w:rsidRDefault="00C332C0" w:rsidP="00C332C0">
      <w:pPr>
        <w:pStyle w:val="Heading1"/>
        <w:rPr>
          <w:lang w:val="fr-CA"/>
        </w:rPr>
      </w:pPr>
      <w:r w:rsidRPr="001F4557">
        <w:rPr>
          <w:lang w:val="fr-CA"/>
        </w:rPr>
        <w:t xml:space="preserve">Le gouvernement de l’Éthiopie a déjà octroyé des quotas pour l’importation de 3,30 tonnes PAO de HCFC pour l’année 2021, ce qui est inférieur à l’objectif de réglementation de 3,58 tonnes PAO du Protocole de Montréal pour l’année en question. </w:t>
      </w:r>
    </w:p>
    <w:p w14:paraId="09F5BC54" w14:textId="77777777" w:rsidR="00C332C0" w:rsidRPr="001F4557" w:rsidRDefault="00C332C0" w:rsidP="00C332C0">
      <w:pPr>
        <w:keepNext/>
        <w:rPr>
          <w:i/>
          <w:lang w:val="fr-CA"/>
        </w:rPr>
      </w:pPr>
      <w:r w:rsidRPr="001F4557">
        <w:rPr>
          <w:i/>
          <w:lang w:val="fr-CA"/>
        </w:rPr>
        <w:t>Secteur de l’entretien de l’équipement de réfrigération</w:t>
      </w:r>
    </w:p>
    <w:p w14:paraId="33468FA0" w14:textId="77777777" w:rsidR="00C332C0" w:rsidRPr="001F4557" w:rsidRDefault="00C332C0" w:rsidP="00C332C0">
      <w:pPr>
        <w:keepNext/>
        <w:rPr>
          <w:lang w:val="fr-CA"/>
        </w:rPr>
      </w:pPr>
    </w:p>
    <w:p w14:paraId="3500ADF0" w14:textId="77777777" w:rsidR="00C332C0" w:rsidRPr="001F4557" w:rsidRDefault="00C332C0" w:rsidP="00C332C0">
      <w:pPr>
        <w:pStyle w:val="Heading1"/>
        <w:rPr>
          <w:lang w:val="fr-CA"/>
        </w:rPr>
      </w:pPr>
      <w:r w:rsidRPr="001F4557">
        <w:rPr>
          <w:lang w:val="fr-CA"/>
        </w:rPr>
        <w:t>Les activités suivantes ont été entreprises depuis l’approbation de la troisième et dernière tranche en juin 2020 :</w:t>
      </w:r>
    </w:p>
    <w:p w14:paraId="761DAE98" w14:textId="44D2E36A" w:rsidR="00C332C0" w:rsidRPr="001F4557" w:rsidRDefault="00C332C0" w:rsidP="00C332C0">
      <w:pPr>
        <w:pStyle w:val="Heading2"/>
        <w:rPr>
          <w:lang w:val="fr-CA"/>
        </w:rPr>
      </w:pPr>
      <w:r w:rsidRPr="001F4557">
        <w:rPr>
          <w:lang w:val="fr-CA"/>
        </w:rPr>
        <w:t>Trois ateliers de formation pour 64 douaniers, dont 31 femmes, portant sur le contrôle et l</w:t>
      </w:r>
      <w:r>
        <w:rPr>
          <w:lang w:val="fr-CA"/>
        </w:rPr>
        <w:t>a</w:t>
      </w:r>
      <w:r w:rsidRPr="001F4557">
        <w:rPr>
          <w:lang w:val="fr-CA"/>
        </w:rPr>
        <w:t xml:space="preserve"> su</w:t>
      </w:r>
      <w:r>
        <w:rPr>
          <w:lang w:val="fr-CA"/>
        </w:rPr>
        <w:t>rveillance</w:t>
      </w:r>
      <w:r w:rsidRPr="001F4557">
        <w:rPr>
          <w:lang w:val="fr-CA"/>
        </w:rPr>
        <w:t xml:space="preserve"> des SAO. Un atelier de formation supplémentaire pour environ 20 douaniers a été reporté à caus</w:t>
      </w:r>
      <w:r>
        <w:rPr>
          <w:lang w:val="fr-CA"/>
        </w:rPr>
        <w:t>e de la pandémie de la COVID-19</w:t>
      </w:r>
      <w:r w:rsidRPr="001F4557">
        <w:rPr>
          <w:lang w:val="fr-CA"/>
        </w:rPr>
        <w:t>. Il aura lieu d’ici à juillet 2021</w:t>
      </w:r>
      <w:r w:rsidR="00023070">
        <w:rPr>
          <w:lang w:val="fr-CA"/>
        </w:rPr>
        <w:t xml:space="preserve"> </w:t>
      </w:r>
      <w:r w:rsidRPr="001F4557">
        <w:rPr>
          <w:lang w:val="fr-CA"/>
        </w:rPr>
        <w:t xml:space="preserve">; </w:t>
      </w:r>
    </w:p>
    <w:p w14:paraId="6BBFF853" w14:textId="5E6B0EFA" w:rsidR="00C332C0" w:rsidRPr="001F4557" w:rsidRDefault="00C332C0" w:rsidP="00C332C0">
      <w:pPr>
        <w:pStyle w:val="Heading2"/>
        <w:rPr>
          <w:lang w:val="fr-CA"/>
        </w:rPr>
      </w:pPr>
      <w:r w:rsidRPr="001F4557">
        <w:rPr>
          <w:lang w:val="fr-CA"/>
        </w:rPr>
        <w:t>Quatre ateliers de formation pour 90 techniciens en réfrigération et climatisation, dont 38 femmes, portant sur les bonnes pratiques d’entretien, les technologies émergentes et l’entretien sécuritaire de l’équipement de réfrigération et climatisation à base de frigorigènes à faible PRG. Un atelier de formation supplémentaire pour 20 techniciens de réfrigération et climatisation a été retardé à cause de la pandémie de la COVID-19 et sera offert d’ici à septembre 2021</w:t>
      </w:r>
      <w:r w:rsidR="00023070">
        <w:rPr>
          <w:lang w:val="fr-CA"/>
        </w:rPr>
        <w:t xml:space="preserve"> </w:t>
      </w:r>
      <w:r w:rsidRPr="001F4557">
        <w:rPr>
          <w:lang w:val="fr-CA"/>
        </w:rPr>
        <w:t xml:space="preserve">; </w:t>
      </w:r>
    </w:p>
    <w:p w14:paraId="3EA672C7" w14:textId="58DD9269" w:rsidR="00C332C0" w:rsidRPr="001F4557" w:rsidRDefault="00C332C0" w:rsidP="00C332C0">
      <w:pPr>
        <w:pStyle w:val="Heading2"/>
        <w:rPr>
          <w:lang w:val="fr-CA"/>
        </w:rPr>
      </w:pPr>
      <w:r w:rsidRPr="001F4557">
        <w:rPr>
          <w:lang w:val="fr-CA"/>
        </w:rPr>
        <w:t>Achat d’équipement de formation (appareils de récupération avec bouteilles, jeux de jauges de collecteur et appareils d’enseignement sur les hydrocarbures) pour les centres de formation professionnelle, d’identifiants de fr</w:t>
      </w:r>
      <w:r>
        <w:rPr>
          <w:lang w:val="fr-CA"/>
        </w:rPr>
        <w:t>igorigènes pour les douanes et l</w:t>
      </w:r>
      <w:r w:rsidRPr="001F4557">
        <w:rPr>
          <w:lang w:val="fr-CA"/>
        </w:rPr>
        <w:t xml:space="preserve">es centres de </w:t>
      </w:r>
      <w:r w:rsidRPr="001F4557">
        <w:rPr>
          <w:lang w:val="fr-CA"/>
        </w:rPr>
        <w:lastRenderedPageBreak/>
        <w:t>formation, et d’outils pour les techniciens d’entretien (clés réglables, ensembles d’</w:t>
      </w:r>
      <w:proofErr w:type="spellStart"/>
      <w:r w:rsidRPr="001F4557">
        <w:rPr>
          <w:lang w:val="fr-CA"/>
        </w:rPr>
        <w:t>évaseurs</w:t>
      </w:r>
      <w:proofErr w:type="spellEnd"/>
      <w:r w:rsidRPr="001F4557">
        <w:rPr>
          <w:lang w:val="fr-CA"/>
        </w:rPr>
        <w:t>, outils de sertissage, torches de brasage, cintreuses de tubes, soupapes, raccords); la livraison de l’équipement, retardée à cause de la pandémie de la COVID-19 est prévue d’ici juillet 2021</w:t>
      </w:r>
      <w:r w:rsidR="00023070">
        <w:rPr>
          <w:lang w:val="fr-CA"/>
        </w:rPr>
        <w:t xml:space="preserve"> </w:t>
      </w:r>
      <w:r w:rsidRPr="001F4557">
        <w:rPr>
          <w:lang w:val="fr-CA"/>
        </w:rPr>
        <w:t xml:space="preserve">; </w:t>
      </w:r>
      <w:r w:rsidR="00023070">
        <w:rPr>
          <w:lang w:val="fr-CA"/>
        </w:rPr>
        <w:t>et</w:t>
      </w:r>
    </w:p>
    <w:p w14:paraId="128E020E" w14:textId="77777777" w:rsidR="00C332C0" w:rsidRPr="001F4557" w:rsidRDefault="00C332C0" w:rsidP="00C332C0">
      <w:pPr>
        <w:pStyle w:val="Heading2"/>
        <w:rPr>
          <w:lang w:val="fr-CA"/>
        </w:rPr>
      </w:pPr>
      <w:r w:rsidRPr="001F4557">
        <w:rPr>
          <w:lang w:val="fr-CA"/>
        </w:rPr>
        <w:t xml:space="preserve">Deux réunions de l’association afin de renforcer l’association et </w:t>
      </w:r>
      <w:r>
        <w:rPr>
          <w:lang w:val="fr-CA"/>
        </w:rPr>
        <w:t>contribuer à la rédaction</w:t>
      </w:r>
      <w:r w:rsidRPr="001F4557">
        <w:rPr>
          <w:lang w:val="fr-CA"/>
        </w:rPr>
        <w:t xml:space="preserve"> </w:t>
      </w:r>
      <w:r>
        <w:rPr>
          <w:lang w:val="fr-CA"/>
        </w:rPr>
        <w:t>d</w:t>
      </w:r>
      <w:r w:rsidRPr="001F4557">
        <w:rPr>
          <w:lang w:val="fr-CA"/>
        </w:rPr>
        <w:t>es règles de l’Association.</w:t>
      </w:r>
    </w:p>
    <w:p w14:paraId="6CF18AAE" w14:textId="69DB0EB8" w:rsidR="00C332C0" w:rsidRPr="001F4557" w:rsidRDefault="00C332C0" w:rsidP="00C332C0">
      <w:pPr>
        <w:pStyle w:val="Heading1"/>
        <w:rPr>
          <w:lang w:val="fr-CA"/>
        </w:rPr>
      </w:pPr>
      <w:r w:rsidRPr="001F4557">
        <w:rPr>
          <w:lang w:val="fr-CA"/>
        </w:rPr>
        <w:t>Le site Web sur lequel les importateurs peuvent présenter une demande de quota en ligne a été développé et en est à l’étape des essais, conformément aux recommandations contenues dans le rapport de vérification</w:t>
      </w:r>
      <w:r w:rsidR="00023070">
        <w:rPr>
          <w:lang w:val="fr-CA"/>
        </w:rPr>
        <w:t xml:space="preserve"> </w:t>
      </w:r>
      <w:r w:rsidRPr="001F4557">
        <w:rPr>
          <w:lang w:val="fr-CA"/>
        </w:rPr>
        <w:t>; le site Web sera finalisé d’ici à janvier 2022. Le Bureau national de l’ozone a entrepris deux visites dans les marchés, les entrepôts et les magasins en collaboration avec les inspecteurs de la Commission sur les forêts environnementales et les changements climatiques</w:t>
      </w:r>
      <w:r>
        <w:rPr>
          <w:lang w:val="fr-CA"/>
        </w:rPr>
        <w:t xml:space="preserve">, </w:t>
      </w:r>
      <w:r w:rsidRPr="001F4557">
        <w:rPr>
          <w:lang w:val="fr-CA"/>
        </w:rPr>
        <w:t>afin de vérifier qu’il n’y ait pas d’importations illicites de HCFC.</w:t>
      </w:r>
    </w:p>
    <w:p w14:paraId="09622CE0" w14:textId="77777777" w:rsidR="00C332C0" w:rsidRPr="001F4557" w:rsidRDefault="00C332C0" w:rsidP="00C332C0">
      <w:pPr>
        <w:keepNext/>
        <w:keepLines/>
        <w:spacing w:after="240"/>
        <w:rPr>
          <w:i/>
          <w:lang w:val="fr-CA"/>
        </w:rPr>
      </w:pPr>
      <w:r w:rsidRPr="001F4557">
        <w:rPr>
          <w:i/>
          <w:lang w:val="fr-CA"/>
        </w:rPr>
        <w:t>Niveau de décaissement</w:t>
      </w:r>
    </w:p>
    <w:p w14:paraId="16604400" w14:textId="77777777" w:rsidR="00C332C0" w:rsidRPr="001F4557" w:rsidRDefault="00C332C0" w:rsidP="00C332C0">
      <w:pPr>
        <w:pStyle w:val="Heading1"/>
        <w:rPr>
          <w:lang w:val="fr-CA"/>
        </w:rPr>
      </w:pPr>
      <w:r>
        <w:rPr>
          <w:lang w:val="fr-CA"/>
        </w:rPr>
        <w:t>Une part de 237 420 $US (</w:t>
      </w:r>
      <w:r w:rsidRPr="001F4557">
        <w:rPr>
          <w:lang w:val="fr-CA"/>
        </w:rPr>
        <w:t xml:space="preserve">165 000 $US pour le PNUE et 72 240 $US pour l’ONUDI) des 315 000 $US approuvés pour la phase I avait été décaissée en date d’avril 2021. Le solde de 77 580 $US sera décaissé entre 2021 et 2023. </w:t>
      </w:r>
    </w:p>
    <w:p w14:paraId="061D7770" w14:textId="77777777" w:rsidR="00C332C0" w:rsidRPr="001F4557" w:rsidRDefault="00C332C0" w:rsidP="00C332C0">
      <w:pPr>
        <w:rPr>
          <w:b/>
          <w:lang w:val="fr-CA"/>
        </w:rPr>
      </w:pPr>
      <w:r w:rsidRPr="001F4557">
        <w:rPr>
          <w:b/>
          <w:lang w:val="fr-CA"/>
        </w:rPr>
        <w:t>Observations du Secrétariat</w:t>
      </w:r>
    </w:p>
    <w:p w14:paraId="337BC972" w14:textId="77777777" w:rsidR="00C332C0" w:rsidRPr="001F4557" w:rsidRDefault="00C332C0" w:rsidP="00C332C0">
      <w:pPr>
        <w:rPr>
          <w:b/>
          <w:lang w:val="fr-CA"/>
        </w:rPr>
      </w:pPr>
    </w:p>
    <w:p w14:paraId="2EEBF860" w14:textId="77777777" w:rsidR="00C332C0" w:rsidRPr="001F4557" w:rsidRDefault="00C332C0" w:rsidP="00C332C0">
      <w:pPr>
        <w:pStyle w:val="Heading1"/>
        <w:rPr>
          <w:lang w:val="fr-CA"/>
        </w:rPr>
      </w:pPr>
      <w:r w:rsidRPr="001F4557">
        <w:rPr>
          <w:lang w:val="fr-CA"/>
        </w:rPr>
        <w:t>La mise en œuvre du PGEH s’est poursuivie, avec certains retards, nonobstant les difficultés créées par la pandémie de la COVID-19. La prorogation de la phase I du PGEH au 31 décembre 2022 convenue par le Comité exécutif à sa 85</w:t>
      </w:r>
      <w:r w:rsidRPr="001F4557">
        <w:rPr>
          <w:vertAlign w:val="superscript"/>
          <w:lang w:val="fr-CA"/>
        </w:rPr>
        <w:t>e</w:t>
      </w:r>
      <w:r w:rsidRPr="001F4557">
        <w:rPr>
          <w:lang w:val="fr-CA"/>
        </w:rPr>
        <w:t xml:space="preserve"> réunion (décision 85/22 a)), permettra </w:t>
      </w:r>
      <w:r>
        <w:rPr>
          <w:lang w:val="fr-CA"/>
        </w:rPr>
        <w:t>d’achever</w:t>
      </w:r>
      <w:r w:rsidRPr="001F4557">
        <w:rPr>
          <w:lang w:val="fr-CA"/>
        </w:rPr>
        <w:t xml:space="preserve"> la mise en œuvre du programme de travail de la dernière tranche du PGEH. L’ONUDI atteindra le niveau de décaissement exigé à la décision 85/22 a)</w:t>
      </w:r>
      <w:r w:rsidRPr="001F4557">
        <w:rPr>
          <w:rStyle w:val="FootnoteReference"/>
          <w:lang w:val="fr-CA"/>
        </w:rPr>
        <w:footnoteReference w:id="18"/>
      </w:r>
      <w:r w:rsidRPr="001F4557">
        <w:rPr>
          <w:lang w:val="fr-CA"/>
        </w:rPr>
        <w:t xml:space="preserve"> lorsque l’équipement acheté par </w:t>
      </w:r>
      <w:r>
        <w:rPr>
          <w:lang w:val="fr-CA"/>
        </w:rPr>
        <w:t>l’ONUDI aura été livré</w:t>
      </w:r>
      <w:r w:rsidRPr="001F4557">
        <w:rPr>
          <w:lang w:val="fr-CA"/>
        </w:rPr>
        <w:t>, ce qui permettra la présentation de la phase II du PGEH, soumise à la 87</w:t>
      </w:r>
      <w:r w:rsidRPr="001F4557">
        <w:rPr>
          <w:vertAlign w:val="superscript"/>
          <w:lang w:val="fr-CA"/>
        </w:rPr>
        <w:t>e</w:t>
      </w:r>
      <w:r w:rsidRPr="001F4557">
        <w:rPr>
          <w:lang w:val="fr-CA"/>
        </w:rPr>
        <w:t xml:space="preserve"> réunion</w:t>
      </w:r>
      <w:r>
        <w:rPr>
          <w:lang w:val="fr-CA"/>
        </w:rPr>
        <w:t xml:space="preserve"> et ensuite</w:t>
      </w:r>
      <w:r w:rsidRPr="001F4557">
        <w:rPr>
          <w:lang w:val="fr-CA"/>
        </w:rPr>
        <w:t xml:space="preserve"> </w:t>
      </w:r>
      <w:r>
        <w:rPr>
          <w:lang w:val="fr-CA"/>
        </w:rPr>
        <w:t>reportée,</w:t>
      </w:r>
      <w:r w:rsidRPr="001F4557">
        <w:rPr>
          <w:lang w:val="fr-CA"/>
        </w:rPr>
        <w:t xml:space="preserve"> à la 88</w:t>
      </w:r>
      <w:r w:rsidRPr="001F4557">
        <w:rPr>
          <w:vertAlign w:val="superscript"/>
          <w:lang w:val="fr-CA"/>
        </w:rPr>
        <w:t>e</w:t>
      </w:r>
      <w:r w:rsidRPr="001F4557">
        <w:rPr>
          <w:lang w:val="fr-CA"/>
        </w:rPr>
        <w:t xml:space="preserve"> réunion. </w:t>
      </w:r>
    </w:p>
    <w:p w14:paraId="2DA44C2C" w14:textId="77777777" w:rsidR="00C332C0" w:rsidRPr="001F4557" w:rsidRDefault="00C332C0" w:rsidP="00C332C0">
      <w:pPr>
        <w:keepNext/>
        <w:rPr>
          <w:b/>
          <w:lang w:val="fr-CA"/>
        </w:rPr>
      </w:pPr>
      <w:r w:rsidRPr="001F4557">
        <w:rPr>
          <w:b/>
          <w:lang w:val="fr-CA"/>
        </w:rPr>
        <w:t>Recommandation</w:t>
      </w:r>
    </w:p>
    <w:p w14:paraId="130B10E6" w14:textId="77777777" w:rsidR="00C332C0" w:rsidRPr="001F4557" w:rsidRDefault="00C332C0" w:rsidP="00C332C0">
      <w:pPr>
        <w:keepNext/>
        <w:rPr>
          <w:lang w:val="fr-CA"/>
        </w:rPr>
      </w:pPr>
    </w:p>
    <w:p w14:paraId="35DA682C" w14:textId="7DE44BD5" w:rsidR="00C332C0" w:rsidRPr="00C332C0" w:rsidRDefault="00C332C0" w:rsidP="00C332C0">
      <w:pPr>
        <w:pStyle w:val="Heading1"/>
        <w:rPr>
          <w:lang w:val="fr-CA"/>
        </w:rPr>
      </w:pPr>
      <w:r w:rsidRPr="001F4557">
        <w:rPr>
          <w:lang w:val="fr-CA"/>
        </w:rPr>
        <w:t> Le Comité exécutif pourrait souhaiter prendre note du rapport périodique sur la mise en œuvre du programme de travail de la troisième et dernière tranche de la phase I du plan de gestion de l'élimination des HCFC pour l’Éthiopie soumis par le PNUE et présenté dans l</w:t>
      </w:r>
      <w:r>
        <w:rPr>
          <w:lang w:val="fr-CA"/>
        </w:rPr>
        <w:t>e document</w:t>
      </w:r>
      <w:r w:rsidRPr="00256F36">
        <w:rPr>
          <w:lang w:val="fr-CA"/>
        </w:rPr>
        <w:t> UNEP/OzL.Pro/ExCom/87/9.</w:t>
      </w:r>
    </w:p>
    <w:p w14:paraId="745A827B" w14:textId="77777777" w:rsidR="00FE2783" w:rsidRPr="002C2DB0" w:rsidRDefault="00FE2783" w:rsidP="00FE2783">
      <w:pPr>
        <w:pStyle w:val="Heading1"/>
        <w:numPr>
          <w:ilvl w:val="0"/>
          <w:numId w:val="0"/>
        </w:numPr>
        <w:rPr>
          <w:u w:val="single"/>
          <w:lang w:val="fr-CA"/>
        </w:rPr>
      </w:pPr>
      <w:r w:rsidRPr="00023070">
        <w:rPr>
          <w:u w:val="single"/>
          <w:lang w:val="fr-CA"/>
        </w:rPr>
        <w:t>Jamaïque : Plan de gestion de l'élimination des HCFC (phase II : mise à jour sur l’état de la mise en œuvre des mesures de renforcement du programme de permis et de quotas, et de surveillance et d’établissement de rapports sur la consommation de HCFC, recommandées dans le rapport de vérification)</w:t>
      </w:r>
      <w:r w:rsidRPr="00023070">
        <w:rPr>
          <w:lang w:val="fr-CA"/>
        </w:rPr>
        <w:t xml:space="preserve"> (PNUD)</w:t>
      </w:r>
    </w:p>
    <w:p w14:paraId="4F4C9CD2" w14:textId="77777777" w:rsidR="00FE2783" w:rsidRPr="002C2DB0" w:rsidRDefault="00FE2783" w:rsidP="00FE2783">
      <w:pPr>
        <w:pStyle w:val="Heading1"/>
        <w:numPr>
          <w:ilvl w:val="0"/>
          <w:numId w:val="0"/>
        </w:numPr>
        <w:rPr>
          <w:b/>
          <w:lang w:val="fr-CA"/>
        </w:rPr>
      </w:pPr>
      <w:r>
        <w:rPr>
          <w:b/>
          <w:lang w:val="fr-CA"/>
        </w:rPr>
        <w:t>Contexte</w:t>
      </w:r>
    </w:p>
    <w:p w14:paraId="4929131C" w14:textId="77777777" w:rsidR="00FE2783" w:rsidRPr="002C2DB0" w:rsidRDefault="00FE2783" w:rsidP="00FE2783">
      <w:pPr>
        <w:pStyle w:val="Heading1"/>
        <w:rPr>
          <w:lang w:val="fr-CA"/>
        </w:rPr>
      </w:pPr>
      <w:r w:rsidRPr="002C2DB0">
        <w:rPr>
          <w:lang w:val="fr-CA"/>
        </w:rPr>
        <w:t>La phase II du PGEH pour la Jamaïque a été approuvée</w:t>
      </w:r>
      <w:r>
        <w:rPr>
          <w:lang w:val="fr-CA"/>
        </w:rPr>
        <w:t>,</w:t>
      </w:r>
      <w:r w:rsidRPr="002C2DB0">
        <w:rPr>
          <w:lang w:val="fr-CA"/>
        </w:rPr>
        <w:t xml:space="preserve"> en principe</w:t>
      </w:r>
      <w:r>
        <w:rPr>
          <w:lang w:val="fr-CA"/>
        </w:rPr>
        <w:t>,</w:t>
      </w:r>
      <w:r w:rsidRPr="002C2DB0">
        <w:rPr>
          <w:lang w:val="fr-CA"/>
        </w:rPr>
        <w:t xml:space="preserve"> dans le cadre du processus d’approbation intersessions pour la 86</w:t>
      </w:r>
      <w:r w:rsidRPr="002C2DB0">
        <w:rPr>
          <w:vertAlign w:val="superscript"/>
          <w:lang w:val="fr-CA"/>
        </w:rPr>
        <w:t>e</w:t>
      </w:r>
      <w:r w:rsidRPr="002C2DB0">
        <w:rPr>
          <w:lang w:val="fr-CA"/>
        </w:rPr>
        <w:t xml:space="preserve"> réunion; lors de l’approbation de la première tranche, le Comité exécutif a demandé au gouvernement de la Jamaïque et au PNUD de remettre à la 87</w:t>
      </w:r>
      <w:r w:rsidRPr="002C2DB0">
        <w:rPr>
          <w:vertAlign w:val="superscript"/>
          <w:lang w:val="fr-CA"/>
        </w:rPr>
        <w:t>e</w:t>
      </w:r>
      <w:r w:rsidRPr="002C2DB0">
        <w:rPr>
          <w:lang w:val="fr-CA"/>
        </w:rPr>
        <w:t xml:space="preserve"> réunion, une mise à jour </w:t>
      </w:r>
      <w:r w:rsidRPr="002C2DB0">
        <w:rPr>
          <w:szCs w:val="20"/>
          <w:lang w:val="fr-CA"/>
        </w:rPr>
        <w:t xml:space="preserve">sur l’état de la mise en œuvre des mesures de renforcement du programme de permis et de quotas, et </w:t>
      </w:r>
      <w:r w:rsidRPr="002C2DB0">
        <w:rPr>
          <w:szCs w:val="20"/>
          <w:lang w:val="fr-CA"/>
        </w:rPr>
        <w:lastRenderedPageBreak/>
        <w:t>de surveillance et d’établissement de rapports sur la consommation de HCFC, recommandée</w:t>
      </w:r>
      <w:r>
        <w:rPr>
          <w:szCs w:val="20"/>
          <w:lang w:val="fr-CA"/>
        </w:rPr>
        <w:t>s</w:t>
      </w:r>
      <w:r w:rsidRPr="002C2DB0">
        <w:rPr>
          <w:szCs w:val="20"/>
          <w:lang w:val="fr-CA"/>
        </w:rPr>
        <w:t xml:space="preserve"> dans le rapport de vérification présenté à la 85</w:t>
      </w:r>
      <w:r w:rsidRPr="002C2DB0">
        <w:rPr>
          <w:szCs w:val="20"/>
          <w:vertAlign w:val="superscript"/>
          <w:lang w:val="fr-CA"/>
        </w:rPr>
        <w:t>e</w:t>
      </w:r>
      <w:r w:rsidRPr="002C2DB0">
        <w:rPr>
          <w:szCs w:val="20"/>
          <w:lang w:val="fr-CA"/>
        </w:rPr>
        <w:t xml:space="preserve"> réunion</w:t>
      </w:r>
      <w:r w:rsidRPr="002C2DB0">
        <w:rPr>
          <w:rStyle w:val="FootnoteReference"/>
          <w:lang w:val="fr-CA"/>
        </w:rPr>
        <w:footnoteReference w:id="19"/>
      </w:r>
      <w:r w:rsidRPr="002C2DB0">
        <w:rPr>
          <w:lang w:val="fr-CA"/>
        </w:rPr>
        <w:t xml:space="preserve"> (décision </w:t>
      </w:r>
      <w:r w:rsidRPr="002C2DB0">
        <w:rPr>
          <w:sz w:val="20"/>
          <w:szCs w:val="20"/>
          <w:lang w:val="fr-CA"/>
        </w:rPr>
        <w:t>86/72 e)).</w:t>
      </w:r>
    </w:p>
    <w:p w14:paraId="47CEE573" w14:textId="77777777" w:rsidR="00FE2783" w:rsidRPr="002C2DB0" w:rsidRDefault="00FE2783" w:rsidP="00FE2783">
      <w:pPr>
        <w:pStyle w:val="Heading1"/>
        <w:rPr>
          <w:lang w:val="fr-CA"/>
        </w:rPr>
      </w:pPr>
      <w:r w:rsidRPr="002C2DB0">
        <w:rPr>
          <w:lang w:val="fr-CA"/>
        </w:rPr>
        <w:t>En réponse à la demande du Comité exécutif, le PNUD a présenté à la 87</w:t>
      </w:r>
      <w:r w:rsidRPr="002C2DB0">
        <w:rPr>
          <w:vertAlign w:val="superscript"/>
          <w:lang w:val="fr-CA"/>
        </w:rPr>
        <w:t>e</w:t>
      </w:r>
      <w:r w:rsidRPr="002C2DB0">
        <w:rPr>
          <w:lang w:val="fr-CA"/>
        </w:rPr>
        <w:t xml:space="preserve"> réunion, un rapport contenant les informations suivantes :</w:t>
      </w:r>
    </w:p>
    <w:p w14:paraId="6745432B" w14:textId="128107CC" w:rsidR="00FE2783" w:rsidRPr="002C2DB0" w:rsidRDefault="00FE2783" w:rsidP="00FE2783">
      <w:pPr>
        <w:pStyle w:val="Heading2"/>
        <w:rPr>
          <w:lang w:val="fr-CA"/>
        </w:rPr>
      </w:pPr>
      <w:r w:rsidRPr="002C2DB0">
        <w:rPr>
          <w:lang w:val="fr-CA"/>
        </w:rPr>
        <w:t xml:space="preserve">Le 31 mars 2020, l’Agence nationale de l’Environnement et de la planification (NEPA) a demandé officiellement à l’Académie des douanes de la Jamaïque (JCA) de </w:t>
      </w:r>
      <w:r>
        <w:rPr>
          <w:lang w:val="fr-CA"/>
        </w:rPr>
        <w:t>ne plus utiliser les</w:t>
      </w:r>
      <w:r w:rsidRPr="002C2DB0">
        <w:rPr>
          <w:lang w:val="fr-CA"/>
        </w:rPr>
        <w:t xml:space="preserve"> codes tarifaires pour consigner les importations de HCFC et de ne pas autoriser l’importation de HCFC pour lesquels sont utilisés des codes non destinés aux HCFC. Le 29 mai 2020, la JCA a communiqué officiellement des codes recommandés pour les mélanges à base de HCFC à l’Association des courtiers en douane et des entrepreneurs de transport de la Jamaïque (CBFFAJ). Ces deux mesures devraient prévenir l’utilisation des mauvais codes lors de la déclara</w:t>
      </w:r>
      <w:r>
        <w:rPr>
          <w:lang w:val="fr-CA"/>
        </w:rPr>
        <w:t>tion de la consommation de HCFC</w:t>
      </w:r>
      <w:r w:rsidR="00023070">
        <w:rPr>
          <w:lang w:val="fr-CA"/>
        </w:rPr>
        <w:t xml:space="preserve"> </w:t>
      </w:r>
      <w:r w:rsidRPr="002C2DB0">
        <w:rPr>
          <w:lang w:val="fr-CA"/>
        </w:rPr>
        <w:t>;</w:t>
      </w:r>
    </w:p>
    <w:p w14:paraId="672EB304" w14:textId="3261AC7E" w:rsidR="00FE2783" w:rsidRPr="002C2DB0" w:rsidRDefault="00FE2783" w:rsidP="00FE2783">
      <w:pPr>
        <w:pStyle w:val="Heading2"/>
        <w:rPr>
          <w:lang w:val="fr-CA"/>
        </w:rPr>
      </w:pPr>
      <w:r>
        <w:rPr>
          <w:lang w:val="fr-CA"/>
        </w:rPr>
        <w:t>En</w:t>
      </w:r>
      <w:r w:rsidRPr="002C2DB0">
        <w:rPr>
          <w:lang w:val="fr-CA"/>
        </w:rPr>
        <w:t xml:space="preserve"> juillet 2020, le modèle de communication </w:t>
      </w:r>
      <w:r>
        <w:rPr>
          <w:lang w:val="fr-CA"/>
        </w:rPr>
        <w:t>servant à</w:t>
      </w:r>
      <w:r w:rsidRPr="002C2DB0">
        <w:rPr>
          <w:lang w:val="fr-CA"/>
        </w:rPr>
        <w:t xml:space="preserve"> </w:t>
      </w:r>
      <w:r>
        <w:rPr>
          <w:lang w:val="fr-CA"/>
        </w:rPr>
        <w:t>recueillir</w:t>
      </w:r>
      <w:r w:rsidRPr="002C2DB0">
        <w:rPr>
          <w:lang w:val="fr-CA"/>
        </w:rPr>
        <w:t xml:space="preserve"> des données</w:t>
      </w:r>
      <w:r>
        <w:rPr>
          <w:lang w:val="fr-CA"/>
        </w:rPr>
        <w:t xml:space="preserve"> sur</w:t>
      </w:r>
      <w:r w:rsidRPr="002C2DB0">
        <w:rPr>
          <w:lang w:val="fr-CA"/>
        </w:rPr>
        <w:t xml:space="preserve"> les HCFC et les HFC auprès des importateurs a été modifié et acheminé à l’Association de la climatisation, réfrigération et ventilation de la Jamaïque (JARVA) et aux importateurs. Le Bureau national de l’ozone continuera à offrir des consultations et de la form</w:t>
      </w:r>
      <w:r>
        <w:rPr>
          <w:lang w:val="fr-CA"/>
        </w:rPr>
        <w:t>ation pour que les donné</w:t>
      </w:r>
      <w:r w:rsidRPr="002C2DB0">
        <w:rPr>
          <w:lang w:val="fr-CA"/>
        </w:rPr>
        <w:t>es so</w:t>
      </w:r>
      <w:r>
        <w:rPr>
          <w:lang w:val="fr-CA"/>
        </w:rPr>
        <w:t>ie</w:t>
      </w:r>
      <w:r w:rsidRPr="002C2DB0">
        <w:rPr>
          <w:lang w:val="fr-CA"/>
        </w:rPr>
        <w:t>nt déclarées correctement</w:t>
      </w:r>
      <w:r w:rsidR="00023070">
        <w:rPr>
          <w:lang w:val="fr-CA"/>
        </w:rPr>
        <w:t xml:space="preserve"> </w:t>
      </w:r>
      <w:r w:rsidRPr="002C2DB0">
        <w:rPr>
          <w:lang w:val="fr-CA"/>
        </w:rPr>
        <w:t>; l’utilisation de ce modèle révisé facilitera la collecte et la communication de données</w:t>
      </w:r>
      <w:r>
        <w:rPr>
          <w:lang w:val="fr-CA"/>
        </w:rPr>
        <w:t>,</w:t>
      </w:r>
      <w:r w:rsidRPr="002C2DB0">
        <w:rPr>
          <w:lang w:val="fr-CA"/>
        </w:rPr>
        <w:t xml:space="preserve"> et améliorera la qualité des données</w:t>
      </w:r>
      <w:r w:rsidR="00023070">
        <w:rPr>
          <w:lang w:val="fr-CA"/>
        </w:rPr>
        <w:t xml:space="preserve"> </w:t>
      </w:r>
      <w:r w:rsidRPr="002C2DB0">
        <w:rPr>
          <w:lang w:val="fr-CA"/>
        </w:rPr>
        <w:t>;</w:t>
      </w:r>
      <w:r w:rsidR="00023070">
        <w:rPr>
          <w:lang w:val="fr-CA"/>
        </w:rPr>
        <w:t xml:space="preserve"> </w:t>
      </w:r>
    </w:p>
    <w:p w14:paraId="05969DF6" w14:textId="1E3A660E" w:rsidR="00FE2783" w:rsidRPr="002C2DB0" w:rsidRDefault="00FE2783" w:rsidP="00FE2783">
      <w:pPr>
        <w:pStyle w:val="Heading2"/>
        <w:rPr>
          <w:lang w:val="fr-CA"/>
        </w:rPr>
      </w:pPr>
      <w:r w:rsidRPr="002C2DB0">
        <w:rPr>
          <w:lang w:val="fr-CA"/>
        </w:rPr>
        <w:t>La JCA est en communication continuelle avec les importateurs et les courtiers afin que les f</w:t>
      </w:r>
      <w:r>
        <w:rPr>
          <w:lang w:val="fr-CA"/>
        </w:rPr>
        <w:t>actures pour chaque frigorigène</w:t>
      </w:r>
      <w:r w:rsidRPr="002C2DB0">
        <w:rPr>
          <w:lang w:val="fr-CA"/>
        </w:rPr>
        <w:t>, en particulier les HCFC et les HFC (en précisant la composition)</w:t>
      </w:r>
      <w:r>
        <w:rPr>
          <w:lang w:val="fr-CA"/>
        </w:rPr>
        <w:t>,</w:t>
      </w:r>
      <w:r w:rsidRPr="002C2DB0">
        <w:rPr>
          <w:lang w:val="fr-CA"/>
        </w:rPr>
        <w:t xml:space="preserve"> so</w:t>
      </w:r>
      <w:r>
        <w:rPr>
          <w:lang w:val="fr-CA"/>
        </w:rPr>
        <w:t>ie</w:t>
      </w:r>
      <w:r w:rsidRPr="002C2DB0">
        <w:rPr>
          <w:lang w:val="fr-CA"/>
        </w:rPr>
        <w:t>nt remplies correctement. De plus, des programmes de formation seront organisés avec les importateur</w:t>
      </w:r>
      <w:r>
        <w:rPr>
          <w:lang w:val="fr-CA"/>
        </w:rPr>
        <w:t>s</w:t>
      </w:r>
      <w:r w:rsidRPr="002C2DB0">
        <w:rPr>
          <w:lang w:val="fr-CA"/>
        </w:rPr>
        <w:t xml:space="preserve">, les courtiers et les autres parties prenantes afin d’éviter </w:t>
      </w:r>
      <w:r>
        <w:rPr>
          <w:lang w:val="fr-CA"/>
        </w:rPr>
        <w:t>la non-concordance</w:t>
      </w:r>
      <w:r w:rsidRPr="002C2DB0">
        <w:rPr>
          <w:lang w:val="fr-CA"/>
        </w:rPr>
        <w:t xml:space="preserve"> de</w:t>
      </w:r>
      <w:r>
        <w:rPr>
          <w:lang w:val="fr-CA"/>
        </w:rPr>
        <w:t>s</w:t>
      </w:r>
      <w:r w:rsidRPr="002C2DB0">
        <w:rPr>
          <w:lang w:val="fr-CA"/>
        </w:rPr>
        <w:t xml:space="preserve"> données dans les futurs rapports</w:t>
      </w:r>
      <w:r w:rsidR="00023070">
        <w:rPr>
          <w:lang w:val="fr-CA"/>
        </w:rPr>
        <w:t xml:space="preserve"> </w:t>
      </w:r>
      <w:r w:rsidRPr="002C2DB0">
        <w:rPr>
          <w:lang w:val="fr-CA"/>
        </w:rPr>
        <w:t>;</w:t>
      </w:r>
    </w:p>
    <w:p w14:paraId="7E36A35B" w14:textId="45F22F0B" w:rsidR="00FE2783" w:rsidRPr="002C2DB0" w:rsidRDefault="00FE2783" w:rsidP="00FE2783">
      <w:pPr>
        <w:pStyle w:val="Heading2"/>
        <w:rPr>
          <w:lang w:val="fr-CA"/>
        </w:rPr>
      </w:pPr>
      <w:r>
        <w:rPr>
          <w:lang w:val="fr-CA"/>
        </w:rPr>
        <w:t xml:space="preserve">La participation de </w:t>
      </w:r>
      <w:r w:rsidRPr="002C2DB0">
        <w:rPr>
          <w:lang w:val="fr-CA"/>
        </w:rPr>
        <w:t>la Jamaïque au processus informel de consentement préalable donné en connaissance de cause</w:t>
      </w:r>
      <w:r>
        <w:rPr>
          <w:lang w:val="fr-CA"/>
        </w:rPr>
        <w:t xml:space="preserve"> permet de gérer l</w:t>
      </w:r>
      <w:r w:rsidRPr="002C2DB0">
        <w:rPr>
          <w:lang w:val="fr-CA"/>
        </w:rPr>
        <w:t xml:space="preserve">e </w:t>
      </w:r>
      <w:r w:rsidR="00023070">
        <w:rPr>
          <w:lang w:val="fr-CA"/>
        </w:rPr>
        <w:t xml:space="preserve">risque d’importations </w:t>
      </w:r>
      <w:proofErr w:type="gramStart"/>
      <w:r w:rsidR="00023070">
        <w:rPr>
          <w:lang w:val="fr-CA"/>
        </w:rPr>
        <w:t>illicites;</w:t>
      </w:r>
      <w:proofErr w:type="gramEnd"/>
      <w:r w:rsidR="00023070">
        <w:rPr>
          <w:lang w:val="fr-CA"/>
        </w:rPr>
        <w:t xml:space="preserve"> et</w:t>
      </w:r>
    </w:p>
    <w:p w14:paraId="1125D4B8" w14:textId="77777777" w:rsidR="00FE2783" w:rsidRPr="002C2DB0" w:rsidRDefault="00FE2783" w:rsidP="00FE2783">
      <w:pPr>
        <w:pStyle w:val="Heading2"/>
        <w:rPr>
          <w:lang w:val="fr-CA"/>
        </w:rPr>
      </w:pPr>
      <w:r w:rsidRPr="002C2DB0">
        <w:rPr>
          <w:lang w:val="fr-CA"/>
        </w:rPr>
        <w:t>Des échanges ont eu lieu entre le Bureau national de l’ozone, la JCA et le ministère de la Santé et du Bien-être en</w:t>
      </w:r>
      <w:r>
        <w:rPr>
          <w:lang w:val="fr-CA"/>
        </w:rPr>
        <w:t>tre mars et</w:t>
      </w:r>
      <w:r w:rsidRPr="002C2DB0">
        <w:rPr>
          <w:lang w:val="fr-CA"/>
        </w:rPr>
        <w:t xml:space="preserve"> avril 2021, afin que les allocations de quotas d’importation correspondent aux besoins réels du pays et soient conformes au PGEH, et que les quantités réelles de HCFC importé soient correctement consignées et surveillées.</w:t>
      </w:r>
    </w:p>
    <w:p w14:paraId="735E57A7" w14:textId="77777777" w:rsidR="00FE2783" w:rsidRPr="002C2DB0" w:rsidRDefault="00FE2783" w:rsidP="00FE2783">
      <w:pPr>
        <w:pStyle w:val="Heading1"/>
        <w:rPr>
          <w:lang w:val="fr-CA"/>
        </w:rPr>
      </w:pPr>
      <w:r w:rsidRPr="002C2DB0">
        <w:rPr>
          <w:lang w:val="fr-CA"/>
        </w:rPr>
        <w:t>En plus des mesures ci-dessus mises en œuvre d’octobre 2020 à février 2021, le PNUD s’est entretenu avec le Bureau national de l’ozone, des représentants du Ministère de l’Habitation, du Renouvellement urb</w:t>
      </w:r>
      <w:r>
        <w:rPr>
          <w:lang w:val="fr-CA"/>
        </w:rPr>
        <w:t>ain, de l’Environnement et des C</w:t>
      </w:r>
      <w:r w:rsidRPr="002C2DB0">
        <w:rPr>
          <w:lang w:val="fr-CA"/>
        </w:rPr>
        <w:t xml:space="preserve">hangements climatiques, du ministère de l’Industrie, </w:t>
      </w:r>
      <w:r>
        <w:rPr>
          <w:lang w:val="fr-CA"/>
        </w:rPr>
        <w:t>des Investissements</w:t>
      </w:r>
      <w:r w:rsidRPr="002C2DB0">
        <w:rPr>
          <w:lang w:val="fr-CA"/>
        </w:rPr>
        <w:t xml:space="preserve"> et du Commerce</w:t>
      </w:r>
      <w:r>
        <w:rPr>
          <w:lang w:val="fr-CA"/>
        </w:rPr>
        <w:t>,</w:t>
      </w:r>
      <w:r w:rsidRPr="002C2DB0">
        <w:rPr>
          <w:lang w:val="fr-CA"/>
        </w:rPr>
        <w:t xml:space="preserve"> et du Conseil commercial, ainsi qu’avec des experts techniques au sujet des recommandations pour la révision des objectifs nationaux pour les HCFC dans l’Ordre commercial. L’Ordre commercial révisé devrait être finalisé d’ici à juillet 2021. </w:t>
      </w:r>
    </w:p>
    <w:p w14:paraId="0555A672" w14:textId="77777777" w:rsidR="00FE2783" w:rsidRPr="002C2DB0" w:rsidRDefault="00FE2783" w:rsidP="00FE2783">
      <w:pPr>
        <w:rPr>
          <w:b/>
          <w:lang w:val="fr-CA"/>
        </w:rPr>
      </w:pPr>
      <w:r w:rsidRPr="002C2DB0">
        <w:rPr>
          <w:b/>
          <w:lang w:val="fr-CA"/>
        </w:rPr>
        <w:t>Observations du Secrétariat</w:t>
      </w:r>
    </w:p>
    <w:p w14:paraId="41DF11CB" w14:textId="77777777" w:rsidR="00FE2783" w:rsidRPr="002C2DB0" w:rsidRDefault="00FE2783" w:rsidP="00FE2783">
      <w:pPr>
        <w:rPr>
          <w:lang w:val="fr-CA"/>
        </w:rPr>
      </w:pPr>
    </w:p>
    <w:p w14:paraId="25BA834C" w14:textId="77777777" w:rsidR="00FE2783" w:rsidRPr="002C2DB0" w:rsidRDefault="00FE2783" w:rsidP="00FE2783">
      <w:pPr>
        <w:pStyle w:val="Heading1"/>
        <w:rPr>
          <w:lang w:val="fr-CA"/>
        </w:rPr>
      </w:pPr>
      <w:r w:rsidRPr="002C2DB0">
        <w:rPr>
          <w:lang w:val="fr-CA"/>
        </w:rPr>
        <w:t xml:space="preserve">Le Secrétariat a pris note que le gouvernement de la Jamaïque a mis en œuvre plusieurs mesures avec l’assistance du PNUD, afin </w:t>
      </w:r>
      <w:r>
        <w:rPr>
          <w:lang w:val="fr-CA"/>
        </w:rPr>
        <w:t>d’appliquer</w:t>
      </w:r>
      <w:r w:rsidRPr="002C2DB0">
        <w:rPr>
          <w:lang w:val="fr-CA"/>
        </w:rPr>
        <w:t xml:space="preserve"> rapidement les recommandations contenues dans le rapport de vérification. Le PNUD a expliqué que malgré </w:t>
      </w:r>
      <w:r>
        <w:rPr>
          <w:lang w:val="fr-CA"/>
        </w:rPr>
        <w:t>le dérangement dans les</w:t>
      </w:r>
      <w:r w:rsidRPr="002C2DB0">
        <w:rPr>
          <w:lang w:val="fr-CA"/>
        </w:rPr>
        <w:t xml:space="preserve"> consultations avec les parties prenantes causé par les restrictions liées à la COVID-19, plusieurs mesures ont été appliquées pour mettre </w:t>
      </w:r>
      <w:r w:rsidRPr="002C2DB0">
        <w:rPr>
          <w:lang w:val="fr-CA"/>
        </w:rPr>
        <w:lastRenderedPageBreak/>
        <w:t xml:space="preserve">en œuvre les recommandations dans le cadre de réunions virtuelles et de partage de documents par voie électronique. </w:t>
      </w:r>
    </w:p>
    <w:p w14:paraId="17118045" w14:textId="4CF329EE" w:rsidR="00FE2783" w:rsidRPr="00C332C0" w:rsidRDefault="00FE2783" w:rsidP="00FE2783">
      <w:pPr>
        <w:pStyle w:val="Heading1"/>
        <w:rPr>
          <w:lang w:val="fr-CA"/>
        </w:rPr>
      </w:pPr>
      <w:r w:rsidRPr="002C2DB0">
        <w:rPr>
          <w:lang w:val="fr-CA"/>
        </w:rPr>
        <w:t>Il a été convenu que le gouvernement de la Jamaïque et le PNUD présenteraient un compte rendu à la 88</w:t>
      </w:r>
      <w:r w:rsidRPr="002C2DB0">
        <w:rPr>
          <w:vertAlign w:val="superscript"/>
          <w:lang w:val="fr-CA"/>
        </w:rPr>
        <w:t>e</w:t>
      </w:r>
      <w:r w:rsidRPr="002C2DB0">
        <w:rPr>
          <w:lang w:val="fr-CA"/>
        </w:rPr>
        <w:t xml:space="preserve"> réunion sur les mesures supplémentaires adoptées en lien avec les recommandations contenues dans le rapport de vérification. </w:t>
      </w:r>
    </w:p>
    <w:p w14:paraId="157285C0" w14:textId="77777777" w:rsidR="00FE2783" w:rsidRPr="002C2DB0" w:rsidRDefault="00FE2783" w:rsidP="00FE2783">
      <w:pPr>
        <w:rPr>
          <w:b/>
          <w:lang w:val="fr-CA"/>
        </w:rPr>
      </w:pPr>
      <w:r w:rsidRPr="002C2DB0">
        <w:rPr>
          <w:b/>
          <w:lang w:val="fr-CA"/>
        </w:rPr>
        <w:t>Recommandation</w:t>
      </w:r>
    </w:p>
    <w:p w14:paraId="6581D071" w14:textId="77777777" w:rsidR="00FE2783" w:rsidRPr="002C2DB0" w:rsidRDefault="00FE2783" w:rsidP="00FE2783">
      <w:pPr>
        <w:pStyle w:val="Heading1"/>
        <w:numPr>
          <w:ilvl w:val="0"/>
          <w:numId w:val="0"/>
        </w:numPr>
        <w:spacing w:after="0"/>
        <w:rPr>
          <w:lang w:val="fr-CA"/>
        </w:rPr>
      </w:pPr>
    </w:p>
    <w:p w14:paraId="40267A02" w14:textId="77777777" w:rsidR="00FE2783" w:rsidRPr="002C2DB0" w:rsidRDefault="00FE2783" w:rsidP="00FE2783">
      <w:pPr>
        <w:pStyle w:val="Heading1"/>
        <w:rPr>
          <w:lang w:val="fr-CA"/>
        </w:rPr>
      </w:pPr>
      <w:r w:rsidRPr="002C2DB0">
        <w:rPr>
          <w:lang w:val="fr-CA"/>
        </w:rPr>
        <w:t>Le Comité exécutif pourrait souhaiter :</w:t>
      </w:r>
    </w:p>
    <w:p w14:paraId="1F237B57" w14:textId="12477BBC" w:rsidR="00FE2783" w:rsidRPr="002C2DB0" w:rsidRDefault="00FE2783" w:rsidP="00FE2783">
      <w:pPr>
        <w:pStyle w:val="Heading2"/>
        <w:rPr>
          <w:lang w:val="fr-CA"/>
        </w:rPr>
      </w:pPr>
      <w:r w:rsidRPr="002C2DB0">
        <w:rPr>
          <w:lang w:val="fr-CA"/>
        </w:rPr>
        <w:t xml:space="preserve">Prendre note de </w:t>
      </w:r>
      <w:r w:rsidRPr="002C2DB0">
        <w:rPr>
          <w:szCs w:val="20"/>
          <w:lang w:val="fr-CA"/>
        </w:rPr>
        <w:t>l’état de la mise en œuvre des mesures de renforcement du programme de permis et de quotas, et de surveillance et d’établissement de rapports sur la consommation de HCFC, recommandées dans le rapport de vérification au titre de la phase II du plan de gestion de l'élimination des HCFC pour la Jamaïque</w:t>
      </w:r>
      <w:r>
        <w:rPr>
          <w:szCs w:val="20"/>
          <w:lang w:val="fr-CA"/>
        </w:rPr>
        <w:t>,</w:t>
      </w:r>
      <w:r w:rsidRPr="002C2DB0">
        <w:rPr>
          <w:szCs w:val="20"/>
          <w:lang w:val="fr-CA"/>
        </w:rPr>
        <w:t xml:space="preserve"> soumis par le PNUD et présenté dans le document</w:t>
      </w:r>
      <w:r w:rsidRPr="002C2DB0">
        <w:rPr>
          <w:sz w:val="24"/>
          <w:lang w:val="fr-CA"/>
        </w:rPr>
        <w:t> </w:t>
      </w:r>
      <w:r w:rsidRPr="002C2DB0">
        <w:rPr>
          <w:lang w:val="fr-CA"/>
        </w:rPr>
        <w:t>UNEP/OzL.Pro/ExCom/87/9</w:t>
      </w:r>
      <w:r w:rsidR="00023070">
        <w:rPr>
          <w:lang w:val="fr-CA"/>
        </w:rPr>
        <w:t xml:space="preserve"> </w:t>
      </w:r>
      <w:r w:rsidRPr="002C2DB0">
        <w:rPr>
          <w:lang w:val="fr-CA"/>
        </w:rPr>
        <w:t xml:space="preserve">; </w:t>
      </w:r>
      <w:r w:rsidR="00023070">
        <w:rPr>
          <w:lang w:val="fr-CA"/>
        </w:rPr>
        <w:t>et</w:t>
      </w:r>
    </w:p>
    <w:p w14:paraId="2F3F7F90" w14:textId="77777777" w:rsidR="00FE2783" w:rsidRPr="002C2DB0" w:rsidRDefault="00FE2783" w:rsidP="00FE2783">
      <w:pPr>
        <w:pStyle w:val="Heading2"/>
        <w:rPr>
          <w:lang w:val="fr-CA"/>
        </w:rPr>
      </w:pPr>
      <w:r w:rsidRPr="002C2DB0">
        <w:rPr>
          <w:lang w:val="fr-CA"/>
        </w:rPr>
        <w:t>Demander au gouvernement de la Jamaïque et au PNUD de remettre à la 88</w:t>
      </w:r>
      <w:r w:rsidRPr="002C2DB0">
        <w:rPr>
          <w:vertAlign w:val="superscript"/>
          <w:lang w:val="fr-CA"/>
        </w:rPr>
        <w:t>e</w:t>
      </w:r>
      <w:r w:rsidRPr="002C2DB0">
        <w:rPr>
          <w:lang w:val="fr-CA"/>
        </w:rPr>
        <w:t xml:space="preserve"> réunion, un compte rendu </w:t>
      </w:r>
      <w:r>
        <w:rPr>
          <w:lang w:val="fr-CA"/>
        </w:rPr>
        <w:t>d</w:t>
      </w:r>
      <w:r w:rsidRPr="002C2DB0">
        <w:rPr>
          <w:lang w:val="fr-CA"/>
        </w:rPr>
        <w:t>es mesures supplémentaires appliquées en lien avec les recomman</w:t>
      </w:r>
      <w:r>
        <w:rPr>
          <w:lang w:val="fr-CA"/>
        </w:rPr>
        <w:t>dations contenues d</w:t>
      </w:r>
      <w:r w:rsidRPr="002C2DB0">
        <w:rPr>
          <w:lang w:val="fr-CA"/>
        </w:rPr>
        <w:t>ans le rapport de vérification remis à la 85</w:t>
      </w:r>
      <w:r w:rsidRPr="002C2DB0">
        <w:rPr>
          <w:vertAlign w:val="superscript"/>
          <w:lang w:val="fr-CA"/>
        </w:rPr>
        <w:t>e</w:t>
      </w:r>
      <w:r w:rsidRPr="002C2DB0">
        <w:rPr>
          <w:lang w:val="fr-CA"/>
        </w:rPr>
        <w:t xml:space="preserve"> réunion.</w:t>
      </w:r>
    </w:p>
    <w:p w14:paraId="320D91AD" w14:textId="77777777" w:rsidR="00FE2783" w:rsidRPr="002C2DB0" w:rsidRDefault="00FE2783" w:rsidP="00FE2783">
      <w:pPr>
        <w:pStyle w:val="StyleHeader4Para4Left0Firstline0"/>
        <w:keepNext/>
        <w:keepLines/>
        <w:widowControl/>
        <w:numPr>
          <w:ilvl w:val="0"/>
          <w:numId w:val="0"/>
        </w:numPr>
        <w:rPr>
          <w:sz w:val="22"/>
          <w:u w:val="single"/>
          <w:lang w:val="fr-CA"/>
        </w:rPr>
      </w:pPr>
      <w:r w:rsidRPr="00023070">
        <w:rPr>
          <w:sz w:val="22"/>
          <w:u w:val="single"/>
          <w:lang w:val="fr-CA"/>
        </w:rPr>
        <w:t>Jordanie : Plan de gestion de l'élimination des HCFC (phase II : changement de technologie dans cinq entreprises</w:t>
      </w:r>
      <w:r w:rsidRPr="00023070">
        <w:rPr>
          <w:sz w:val="22"/>
          <w:lang w:val="fr-CA"/>
        </w:rPr>
        <w:t xml:space="preserve"> (Banque mondiale et ONUDI)</w:t>
      </w:r>
      <w:r w:rsidRPr="002C2DB0">
        <w:rPr>
          <w:sz w:val="22"/>
          <w:lang w:val="fr-CA"/>
        </w:rPr>
        <w:t xml:space="preserve"> </w:t>
      </w:r>
    </w:p>
    <w:p w14:paraId="4D9A75EF" w14:textId="77777777" w:rsidR="00FE2783" w:rsidRPr="002C2DB0" w:rsidRDefault="00FE2783" w:rsidP="00FE2783">
      <w:pPr>
        <w:pStyle w:val="StyleHeader4Para4Left0Firstline0"/>
        <w:keepNext/>
        <w:keepLines/>
        <w:widowControl/>
        <w:numPr>
          <w:ilvl w:val="0"/>
          <w:numId w:val="0"/>
        </w:numPr>
        <w:rPr>
          <w:b/>
          <w:sz w:val="22"/>
          <w:lang w:val="fr-CA"/>
        </w:rPr>
      </w:pPr>
      <w:r w:rsidRPr="002C2DB0">
        <w:rPr>
          <w:b/>
          <w:sz w:val="22"/>
          <w:lang w:val="fr-CA"/>
        </w:rPr>
        <w:t>Contexte</w:t>
      </w:r>
    </w:p>
    <w:p w14:paraId="39AB34BB" w14:textId="77217099" w:rsidR="00FE2783" w:rsidRPr="002C2DB0" w:rsidRDefault="00FE2783" w:rsidP="00FE2783">
      <w:pPr>
        <w:pStyle w:val="Heading1"/>
        <w:rPr>
          <w:lang w:val="fr-CA"/>
        </w:rPr>
      </w:pPr>
      <w:r w:rsidRPr="002C2DB0">
        <w:rPr>
          <w:lang w:val="fr-CA"/>
        </w:rPr>
        <w:t>Le Comité exécutif, à sa 77</w:t>
      </w:r>
      <w:r w:rsidRPr="002C2DB0">
        <w:rPr>
          <w:vertAlign w:val="superscript"/>
          <w:lang w:val="fr-CA"/>
        </w:rPr>
        <w:t>e</w:t>
      </w:r>
      <w:r w:rsidRPr="002C2DB0">
        <w:rPr>
          <w:lang w:val="fr-CA"/>
        </w:rPr>
        <w:t xml:space="preserve"> réunion, a approuvé, en principe, la phase II du PGEH pour la Jordanie</w:t>
      </w:r>
      <w:r w:rsidRPr="002C2DB0">
        <w:rPr>
          <w:vertAlign w:val="superscript"/>
          <w:lang w:val="fr-CA"/>
        </w:rPr>
        <w:footnoteReference w:id="20"/>
      </w:r>
      <w:r w:rsidRPr="002C2DB0">
        <w:rPr>
          <w:lang w:val="fr-CA"/>
        </w:rPr>
        <w:t xml:space="preserve"> pour la période 2017 à 2022, afin de réduire la consommation de HCFC</w:t>
      </w:r>
      <w:r>
        <w:rPr>
          <w:lang w:val="fr-CA"/>
        </w:rPr>
        <w:t xml:space="preserve"> </w:t>
      </w:r>
      <w:r w:rsidRPr="002C2DB0">
        <w:rPr>
          <w:lang w:val="fr-CA"/>
        </w:rPr>
        <w:t>de 50 pour</w:t>
      </w:r>
      <w:r>
        <w:rPr>
          <w:lang w:val="fr-CA"/>
        </w:rPr>
        <w:t xml:space="preserve"> cent de la valeur de référence</w:t>
      </w:r>
      <w:r w:rsidRPr="002C2DB0">
        <w:rPr>
          <w:lang w:val="fr-CA"/>
        </w:rPr>
        <w:t>, pour la somme de 3 289 919 $US, comprenant 2 075 236 $US plus les coûts d’appui à l’agence de 145 267 $US pour la Banque mondiale et 999 455 $US plus les coûts d’appui à l’agence de 69 961 $US pour l’ONUDI. En approuvant la phase II, le Comité exécutif a précisé que le gouvernement de la Jordanie jouirait d’une certaine souplesse dans l’affectation des sommes approuvées pour le secteur de la mousse de polyuréthanne</w:t>
      </w:r>
      <w:r>
        <w:rPr>
          <w:lang w:val="fr-CA"/>
        </w:rPr>
        <w:t>,</w:t>
      </w:r>
      <w:r w:rsidRPr="002C2DB0">
        <w:rPr>
          <w:lang w:val="fr-CA"/>
        </w:rPr>
        <w:t xml:space="preserve"> afin d’éliminer le HCFC-141 avec fluidité et efficacité, conformément à l’</w:t>
      </w:r>
      <w:r w:rsidR="005B7EC6">
        <w:rPr>
          <w:lang w:val="fr-CA"/>
        </w:rPr>
        <w:t>Accord</w:t>
      </w:r>
      <w:r w:rsidRPr="002C2DB0">
        <w:rPr>
          <w:lang w:val="fr-CA"/>
        </w:rPr>
        <w:t xml:space="preserve"> avec le Comité exécutif (décision 77/45 a) et b) iii)). </w:t>
      </w:r>
    </w:p>
    <w:p w14:paraId="7812BAC7" w14:textId="77777777" w:rsidR="00FE2783" w:rsidRPr="002C2DB0" w:rsidRDefault="00FE2783" w:rsidP="00FE2783">
      <w:pPr>
        <w:pStyle w:val="Heading1"/>
        <w:rPr>
          <w:lang w:val="fr-CA"/>
        </w:rPr>
      </w:pPr>
      <w:r w:rsidRPr="002C2DB0">
        <w:rPr>
          <w:lang w:val="fr-CA"/>
        </w:rPr>
        <w:t xml:space="preserve">Le plan de la phase II pour le secteur de la mousse de polyuréthanne comprend la reconversion de trois grandes entreprises, Jordan Pioneer pour l’industrie du métal (Jordan Pioneer), Al </w:t>
      </w:r>
      <w:proofErr w:type="spellStart"/>
      <w:r w:rsidRPr="002C2DB0">
        <w:rPr>
          <w:lang w:val="fr-CA"/>
        </w:rPr>
        <w:t>Safa</w:t>
      </w:r>
      <w:proofErr w:type="spellEnd"/>
      <w:r>
        <w:rPr>
          <w:lang w:val="fr-CA"/>
        </w:rPr>
        <w:t>,</w:t>
      </w:r>
      <w:r w:rsidRPr="002C2DB0">
        <w:rPr>
          <w:lang w:val="fr-CA"/>
        </w:rPr>
        <w:t xml:space="preserve"> pour l’industrie du métal en feuille et Panel Co (Al </w:t>
      </w:r>
      <w:proofErr w:type="spellStart"/>
      <w:r w:rsidRPr="002C2DB0">
        <w:rPr>
          <w:lang w:val="fr-CA"/>
        </w:rPr>
        <w:t>Safa</w:t>
      </w:r>
      <w:proofErr w:type="spellEnd"/>
      <w:r w:rsidRPr="002C2DB0">
        <w:rPr>
          <w:lang w:val="fr-CA"/>
        </w:rPr>
        <w:t>)</w:t>
      </w:r>
      <w:r>
        <w:rPr>
          <w:lang w:val="fr-CA"/>
        </w:rPr>
        <w:t>,</w:t>
      </w:r>
      <w:r w:rsidRPr="002C2DB0">
        <w:rPr>
          <w:lang w:val="fr-CA"/>
        </w:rPr>
        <w:t xml:space="preserve"> et Jordan </w:t>
      </w:r>
      <w:proofErr w:type="spellStart"/>
      <w:r w:rsidRPr="002C2DB0">
        <w:rPr>
          <w:lang w:val="fr-CA"/>
        </w:rPr>
        <w:t>Manufacturing</w:t>
      </w:r>
      <w:proofErr w:type="spellEnd"/>
      <w:r w:rsidRPr="002C2DB0">
        <w:rPr>
          <w:lang w:val="fr-CA"/>
        </w:rPr>
        <w:t xml:space="preserve"> and Services Solutions (JMSS), </w:t>
      </w:r>
      <w:r>
        <w:rPr>
          <w:lang w:val="fr-CA"/>
        </w:rPr>
        <w:t xml:space="preserve">ainsi que </w:t>
      </w:r>
      <w:r w:rsidRPr="002C2DB0">
        <w:rPr>
          <w:lang w:val="fr-CA"/>
        </w:rPr>
        <w:t>43 PME et six entreprises de mousse à vaporiser. La quantité totale à éliminer approuvée dans le plan du secteur des mousses était de 33,07 tonnes PAO.</w:t>
      </w:r>
    </w:p>
    <w:p w14:paraId="01946420" w14:textId="77777777" w:rsidR="00FE2783" w:rsidRPr="002C2DB0" w:rsidRDefault="00FE2783" w:rsidP="00FE2783">
      <w:pPr>
        <w:pStyle w:val="Heading1"/>
        <w:rPr>
          <w:lang w:val="fr-CA"/>
        </w:rPr>
      </w:pPr>
      <w:r>
        <w:rPr>
          <w:lang w:val="fr-CA"/>
        </w:rPr>
        <w:t xml:space="preserve">Jordan Pionner, une des </w:t>
      </w:r>
      <w:r w:rsidRPr="002C2DB0">
        <w:rPr>
          <w:lang w:val="fr-CA"/>
        </w:rPr>
        <w:t xml:space="preserve">52 entreprises </w:t>
      </w:r>
      <w:r>
        <w:rPr>
          <w:lang w:val="fr-CA"/>
        </w:rPr>
        <w:t>du secteur de la</w:t>
      </w:r>
      <w:r w:rsidRPr="002C2DB0">
        <w:rPr>
          <w:lang w:val="fr-CA"/>
        </w:rPr>
        <w:t xml:space="preserve"> mousse </w:t>
      </w:r>
      <w:r>
        <w:rPr>
          <w:lang w:val="fr-CA"/>
        </w:rPr>
        <w:t>de polyuréthanne</w:t>
      </w:r>
      <w:r w:rsidRPr="002C2DB0">
        <w:rPr>
          <w:lang w:val="fr-CA"/>
        </w:rPr>
        <w:t>, a convenu de reconvertir ses activités au cyclopentane comme agent de gonflage lors de la soumission de la phase II. Les entreprises suivantes ont décidé d’adopter des formules à base de cyclopentane au lieu de formules à base de HF</w:t>
      </w:r>
      <w:r>
        <w:rPr>
          <w:lang w:val="fr-CA"/>
        </w:rPr>
        <w:t>O</w:t>
      </w:r>
      <w:r w:rsidRPr="002C2DB0">
        <w:rPr>
          <w:lang w:val="fr-CA"/>
        </w:rPr>
        <w:t xml:space="preserve"> lors de la mise en œuvre de la phase II, à c</w:t>
      </w:r>
      <w:r>
        <w:rPr>
          <w:lang w:val="fr-CA"/>
        </w:rPr>
        <w:t>ause des difficultés que pose l’approvisionnement en technologies à base de HFO</w:t>
      </w:r>
      <w:r w:rsidRPr="002C2DB0">
        <w:rPr>
          <w:lang w:val="fr-CA"/>
        </w:rPr>
        <w:t xml:space="preserve"> : Al </w:t>
      </w:r>
      <w:proofErr w:type="spellStart"/>
      <w:r w:rsidRPr="002C2DB0">
        <w:rPr>
          <w:lang w:val="fr-CA"/>
        </w:rPr>
        <w:t>Safa</w:t>
      </w:r>
      <w:proofErr w:type="spellEnd"/>
      <w:r w:rsidRPr="002C2DB0">
        <w:rPr>
          <w:lang w:val="fr-CA"/>
        </w:rPr>
        <w:t xml:space="preserve">, </w:t>
      </w:r>
      <w:proofErr w:type="spellStart"/>
      <w:r w:rsidRPr="002C2DB0">
        <w:rPr>
          <w:lang w:val="fr-CA"/>
        </w:rPr>
        <w:t>Shams</w:t>
      </w:r>
      <w:proofErr w:type="spellEnd"/>
      <w:r w:rsidRPr="002C2DB0">
        <w:rPr>
          <w:lang w:val="fr-CA"/>
        </w:rPr>
        <w:t xml:space="preserve"> Al-ram Tri, Atelier Yousef pour l’industrie du métal, Al-</w:t>
      </w:r>
      <w:proofErr w:type="spellStart"/>
      <w:r w:rsidRPr="002C2DB0">
        <w:rPr>
          <w:lang w:val="fr-CA"/>
        </w:rPr>
        <w:t>Qanadee</w:t>
      </w:r>
      <w:r>
        <w:rPr>
          <w:lang w:val="fr-CA"/>
        </w:rPr>
        <w:t>l</w:t>
      </w:r>
      <w:proofErr w:type="spellEnd"/>
      <w:r>
        <w:rPr>
          <w:lang w:val="fr-CA"/>
        </w:rPr>
        <w:t>, Bâtiments préfabriqués (</w:t>
      </w:r>
      <w:proofErr w:type="spellStart"/>
      <w:r>
        <w:rPr>
          <w:lang w:val="fr-CA"/>
        </w:rPr>
        <w:t>M</w:t>
      </w:r>
      <w:r w:rsidRPr="002C2DB0">
        <w:rPr>
          <w:lang w:val="fr-CA"/>
        </w:rPr>
        <w:t>aani</w:t>
      </w:r>
      <w:proofErr w:type="spellEnd"/>
      <w:r w:rsidRPr="002C2DB0">
        <w:rPr>
          <w:lang w:val="fr-CA"/>
        </w:rPr>
        <w:t xml:space="preserve">) et Abu </w:t>
      </w:r>
      <w:proofErr w:type="spellStart"/>
      <w:r w:rsidRPr="002C2DB0">
        <w:rPr>
          <w:lang w:val="fr-CA"/>
        </w:rPr>
        <w:t>Haltam</w:t>
      </w:r>
      <w:proofErr w:type="spellEnd"/>
      <w:r w:rsidRPr="002C2DB0">
        <w:rPr>
          <w:lang w:val="fr-CA"/>
        </w:rPr>
        <w:t>.</w:t>
      </w:r>
      <w:r>
        <w:rPr>
          <w:lang w:val="fr-CA"/>
        </w:rPr>
        <w:t xml:space="preserve"> Le Comité exécutif a approuvé l</w:t>
      </w:r>
      <w:r w:rsidRPr="002C2DB0">
        <w:rPr>
          <w:lang w:val="fr-CA"/>
        </w:rPr>
        <w:t xml:space="preserve">e changement de technologie </w:t>
      </w:r>
      <w:r>
        <w:rPr>
          <w:lang w:val="fr-CA"/>
        </w:rPr>
        <w:t xml:space="preserve">dans ces entreprises </w:t>
      </w:r>
      <w:r w:rsidRPr="002C2DB0">
        <w:rPr>
          <w:lang w:val="fr-CA"/>
        </w:rPr>
        <w:t>aux 83</w:t>
      </w:r>
      <w:r w:rsidRPr="002C2DB0">
        <w:rPr>
          <w:vertAlign w:val="superscript"/>
          <w:lang w:val="fr-CA"/>
        </w:rPr>
        <w:t>e</w:t>
      </w:r>
      <w:r w:rsidRPr="002C2DB0">
        <w:rPr>
          <w:lang w:val="fr-CA"/>
        </w:rPr>
        <w:t> </w:t>
      </w:r>
      <w:r w:rsidRPr="002C2DB0">
        <w:rPr>
          <w:rStyle w:val="FootnoteReference"/>
          <w:lang w:val="fr-CA"/>
        </w:rPr>
        <w:footnoteReference w:id="21"/>
      </w:r>
      <w:r w:rsidRPr="002C2DB0">
        <w:rPr>
          <w:lang w:val="fr-CA"/>
        </w:rPr>
        <w:t xml:space="preserve"> et 86</w:t>
      </w:r>
      <w:r w:rsidRPr="002C2DB0">
        <w:rPr>
          <w:vertAlign w:val="superscript"/>
          <w:lang w:val="fr-CA"/>
        </w:rPr>
        <w:t>e</w:t>
      </w:r>
      <w:r w:rsidRPr="002C2DB0">
        <w:rPr>
          <w:lang w:val="fr-CA"/>
        </w:rPr>
        <w:t xml:space="preserve"> réunions.</w:t>
      </w:r>
      <w:r w:rsidRPr="002C2DB0">
        <w:rPr>
          <w:rStyle w:val="FootnoteReference"/>
          <w:lang w:val="fr-CA"/>
        </w:rPr>
        <w:footnoteReference w:id="22"/>
      </w:r>
    </w:p>
    <w:p w14:paraId="34D1CE9B" w14:textId="77777777" w:rsidR="00FE2783" w:rsidRPr="002C2DB0" w:rsidRDefault="00FE2783" w:rsidP="00FE2783">
      <w:pPr>
        <w:pStyle w:val="Heading1"/>
        <w:rPr>
          <w:lang w:val="fr-CA"/>
        </w:rPr>
      </w:pPr>
      <w:r w:rsidRPr="002C2DB0">
        <w:rPr>
          <w:lang w:val="fr-CA"/>
        </w:rPr>
        <w:lastRenderedPageBreak/>
        <w:t>Par la suite, cinq autres entreprises de mousse</w:t>
      </w:r>
      <w:r>
        <w:rPr>
          <w:lang w:val="fr-CA"/>
        </w:rPr>
        <w:t xml:space="preserve"> </w:t>
      </w:r>
      <w:r w:rsidRPr="002C2DB0">
        <w:rPr>
          <w:lang w:val="fr-CA"/>
        </w:rPr>
        <w:t>qui fabriquent des panneaux et autres produits</w:t>
      </w:r>
      <w:r>
        <w:rPr>
          <w:lang w:val="fr-CA"/>
        </w:rPr>
        <w:t xml:space="preserve"> et dont la consommation de HCFC-141b est très faible, nota</w:t>
      </w:r>
      <w:r w:rsidRPr="002C2DB0">
        <w:rPr>
          <w:lang w:val="fr-CA"/>
        </w:rPr>
        <w:t xml:space="preserve">mment </w:t>
      </w:r>
      <w:proofErr w:type="spellStart"/>
      <w:r w:rsidRPr="002C2DB0">
        <w:rPr>
          <w:lang w:val="fr-CA"/>
        </w:rPr>
        <w:t>Asr</w:t>
      </w:r>
      <w:proofErr w:type="spellEnd"/>
      <w:r w:rsidRPr="002C2DB0">
        <w:rPr>
          <w:lang w:val="fr-CA"/>
        </w:rPr>
        <w:t xml:space="preserve"> </w:t>
      </w:r>
      <w:r>
        <w:rPr>
          <w:lang w:val="fr-CA"/>
        </w:rPr>
        <w:t xml:space="preserve">Al </w:t>
      </w:r>
      <w:proofErr w:type="spellStart"/>
      <w:r w:rsidRPr="002C2DB0">
        <w:rPr>
          <w:lang w:val="fr-CA"/>
        </w:rPr>
        <w:t>Nahda</w:t>
      </w:r>
      <w:proofErr w:type="spellEnd"/>
      <w:r w:rsidRPr="002C2DB0">
        <w:rPr>
          <w:lang w:val="fr-CA"/>
        </w:rPr>
        <w:t xml:space="preserve"> Co., </w:t>
      </w:r>
      <w:proofErr w:type="spellStart"/>
      <w:r w:rsidRPr="002C2DB0">
        <w:rPr>
          <w:lang w:val="fr-CA"/>
        </w:rPr>
        <w:t>Alfaqeer</w:t>
      </w:r>
      <w:proofErr w:type="spellEnd"/>
      <w:r w:rsidRPr="002C2DB0">
        <w:rPr>
          <w:lang w:val="fr-CA"/>
        </w:rPr>
        <w:t xml:space="preserve"> </w:t>
      </w:r>
      <w:proofErr w:type="spellStart"/>
      <w:r w:rsidRPr="002C2DB0">
        <w:rPr>
          <w:lang w:val="fr-CA"/>
        </w:rPr>
        <w:t>Industrial</w:t>
      </w:r>
      <w:proofErr w:type="spellEnd"/>
      <w:r w:rsidRPr="002C2DB0">
        <w:rPr>
          <w:lang w:val="fr-CA"/>
        </w:rPr>
        <w:t xml:space="preserve"> Co. Ltd., </w:t>
      </w:r>
      <w:proofErr w:type="spellStart"/>
      <w:r w:rsidRPr="002C2DB0">
        <w:rPr>
          <w:lang w:val="fr-CA"/>
        </w:rPr>
        <w:t>Majed</w:t>
      </w:r>
      <w:proofErr w:type="spellEnd"/>
      <w:r w:rsidRPr="002C2DB0">
        <w:rPr>
          <w:lang w:val="fr-CA"/>
        </w:rPr>
        <w:t xml:space="preserve"> </w:t>
      </w:r>
      <w:proofErr w:type="spellStart"/>
      <w:r w:rsidRPr="002C2DB0">
        <w:rPr>
          <w:lang w:val="fr-CA"/>
        </w:rPr>
        <w:t>Ghoche</w:t>
      </w:r>
      <w:proofErr w:type="spellEnd"/>
      <w:r w:rsidRPr="002C2DB0">
        <w:rPr>
          <w:lang w:val="fr-CA"/>
        </w:rPr>
        <w:t xml:space="preserve"> </w:t>
      </w:r>
      <w:r>
        <w:rPr>
          <w:lang w:val="fr-CA"/>
        </w:rPr>
        <w:t>et partenaires</w:t>
      </w:r>
      <w:r w:rsidRPr="002C2DB0">
        <w:rPr>
          <w:lang w:val="fr-CA"/>
        </w:rPr>
        <w:t xml:space="preserve">, </w:t>
      </w:r>
      <w:proofErr w:type="spellStart"/>
      <w:r w:rsidRPr="002C2DB0">
        <w:rPr>
          <w:lang w:val="fr-CA"/>
        </w:rPr>
        <w:t>Wab</w:t>
      </w:r>
      <w:r>
        <w:rPr>
          <w:lang w:val="fr-CA"/>
        </w:rPr>
        <w:t>b</w:t>
      </w:r>
      <w:r w:rsidRPr="002C2DB0">
        <w:rPr>
          <w:lang w:val="fr-CA"/>
        </w:rPr>
        <w:t>beh</w:t>
      </w:r>
      <w:proofErr w:type="spellEnd"/>
      <w:r w:rsidRPr="002C2DB0">
        <w:rPr>
          <w:lang w:val="fr-CA"/>
        </w:rPr>
        <w:t xml:space="preserve"> Aluminium Co., et Volets en aluminium </w:t>
      </w:r>
      <w:proofErr w:type="spellStart"/>
      <w:r w:rsidRPr="002C2DB0">
        <w:rPr>
          <w:lang w:val="fr-CA"/>
        </w:rPr>
        <w:t>Sharori</w:t>
      </w:r>
      <w:proofErr w:type="spellEnd"/>
      <w:r>
        <w:rPr>
          <w:lang w:val="fr-CA"/>
        </w:rPr>
        <w:t>,</w:t>
      </w:r>
      <w:r w:rsidRPr="002C2DB0">
        <w:rPr>
          <w:lang w:val="fr-CA"/>
        </w:rPr>
        <w:t xml:space="preserve"> ont demandé de changer la tech</w:t>
      </w:r>
      <w:r>
        <w:rPr>
          <w:lang w:val="fr-CA"/>
        </w:rPr>
        <w:t>nologie proposée, le HFO-1233zd(E),</w:t>
      </w:r>
      <w:r w:rsidRPr="002C2DB0">
        <w:rPr>
          <w:lang w:val="fr-CA"/>
        </w:rPr>
        <w:t xml:space="preserve"> à une technologie de gonflage à l’eau, </w:t>
      </w:r>
      <w:r>
        <w:rPr>
          <w:lang w:val="fr-CA"/>
        </w:rPr>
        <w:t xml:space="preserve">car </w:t>
      </w:r>
      <w:r w:rsidRPr="002C2DB0">
        <w:rPr>
          <w:lang w:val="fr-CA"/>
        </w:rPr>
        <w:t>les sociétés de formulation de la région</w:t>
      </w:r>
      <w:r>
        <w:rPr>
          <w:lang w:val="fr-CA"/>
        </w:rPr>
        <w:t xml:space="preserve"> ne vendent pas la technologie à base de HFO</w:t>
      </w:r>
      <w:r w:rsidRPr="002C2DB0">
        <w:rPr>
          <w:lang w:val="fr-CA"/>
        </w:rPr>
        <w:t xml:space="preserve">. La technologie de gonflage à l’eau permettra aux entreprises d’achever leur reconversion dans les délais prévus, </w:t>
      </w:r>
      <w:r>
        <w:rPr>
          <w:lang w:val="fr-CA"/>
        </w:rPr>
        <w:t>car elles sont conscientes</w:t>
      </w:r>
      <w:r w:rsidRPr="002C2DB0">
        <w:rPr>
          <w:lang w:val="fr-CA"/>
        </w:rPr>
        <w:t xml:space="preserve"> </w:t>
      </w:r>
      <w:r>
        <w:rPr>
          <w:lang w:val="fr-CA"/>
        </w:rPr>
        <w:t>que la</w:t>
      </w:r>
      <w:r w:rsidRPr="002C2DB0">
        <w:rPr>
          <w:lang w:val="fr-CA"/>
        </w:rPr>
        <w:t xml:space="preserve"> réglementation interdisant l’importation de HCFC-141b en vrac et contenu dans des polyols </w:t>
      </w:r>
      <w:proofErr w:type="spellStart"/>
      <w:r w:rsidRPr="002C2DB0">
        <w:rPr>
          <w:lang w:val="fr-CA"/>
        </w:rPr>
        <w:t>prémélangés</w:t>
      </w:r>
      <w:proofErr w:type="spellEnd"/>
      <w:r w:rsidRPr="002C2DB0">
        <w:rPr>
          <w:lang w:val="fr-CA"/>
        </w:rPr>
        <w:t xml:space="preserve"> importés entrera en vigueur le 1</w:t>
      </w:r>
      <w:r w:rsidRPr="002C2DB0">
        <w:rPr>
          <w:vertAlign w:val="superscript"/>
          <w:lang w:val="fr-CA"/>
        </w:rPr>
        <w:t>er</w:t>
      </w:r>
      <w:r>
        <w:rPr>
          <w:lang w:val="fr-CA"/>
        </w:rPr>
        <w:t xml:space="preserve"> janvier 2022</w:t>
      </w:r>
      <w:r w:rsidRPr="002C2DB0">
        <w:rPr>
          <w:lang w:val="fr-CA"/>
        </w:rPr>
        <w:t>.</w:t>
      </w:r>
    </w:p>
    <w:p w14:paraId="6FEFE5E0" w14:textId="143D4671" w:rsidR="00FE2783" w:rsidRPr="002C2DB0" w:rsidRDefault="00FE2783" w:rsidP="00FE2783">
      <w:pPr>
        <w:pStyle w:val="Heading1"/>
        <w:rPr>
          <w:lang w:val="fr-CA"/>
        </w:rPr>
      </w:pPr>
      <w:r w:rsidRPr="002C2DB0">
        <w:rPr>
          <w:lang w:val="fr-CA"/>
        </w:rPr>
        <w:t>Conf</w:t>
      </w:r>
      <w:r>
        <w:rPr>
          <w:lang w:val="fr-CA"/>
        </w:rPr>
        <w:t xml:space="preserve">ormément au paragraphe 7 a) </w:t>
      </w:r>
      <w:proofErr w:type="spellStart"/>
      <w:r>
        <w:rPr>
          <w:lang w:val="fr-CA"/>
        </w:rPr>
        <w:t>vvi</w:t>
      </w:r>
      <w:proofErr w:type="spellEnd"/>
      <w:r>
        <w:rPr>
          <w:lang w:val="fr-CA"/>
        </w:rPr>
        <w:t>)</w:t>
      </w:r>
      <w:r w:rsidRPr="002C2DB0">
        <w:rPr>
          <w:lang w:val="fr-CA"/>
        </w:rPr>
        <w:t xml:space="preserve"> de l’</w:t>
      </w:r>
      <w:r w:rsidR="005B7EC6">
        <w:rPr>
          <w:lang w:val="fr-CA"/>
        </w:rPr>
        <w:t>Accord</w:t>
      </w:r>
      <w:r w:rsidRPr="002C2DB0">
        <w:rPr>
          <w:lang w:val="fr-CA"/>
        </w:rPr>
        <w:t xml:space="preserve"> entre le gouvernement de la Jordanie et le Comité exécutif, le gouvernement, par l’intermédiaire de la Banque mondiale, a présenté une demande de changement de technologie pour cinq entreprises, pour passer</w:t>
      </w:r>
      <w:r>
        <w:rPr>
          <w:lang w:val="fr-CA"/>
        </w:rPr>
        <w:t xml:space="preserve"> d’une technologie à base de HFO</w:t>
      </w:r>
      <w:r w:rsidRPr="002C2DB0">
        <w:rPr>
          <w:lang w:val="fr-CA"/>
        </w:rPr>
        <w:t xml:space="preserve"> à une technologie de gonflage à l’eau.</w:t>
      </w:r>
    </w:p>
    <w:p w14:paraId="6152B859" w14:textId="77777777" w:rsidR="00FE2783" w:rsidRPr="002C2DB0" w:rsidRDefault="00FE2783" w:rsidP="00FE2783">
      <w:pPr>
        <w:pStyle w:val="StyleHeader4Para4Left0Firstline0"/>
        <w:numPr>
          <w:ilvl w:val="0"/>
          <w:numId w:val="0"/>
        </w:numPr>
        <w:spacing w:after="0"/>
        <w:rPr>
          <w:b/>
          <w:sz w:val="22"/>
          <w:lang w:val="fr-CA"/>
        </w:rPr>
      </w:pPr>
      <w:r w:rsidRPr="002C2DB0">
        <w:rPr>
          <w:b/>
          <w:sz w:val="22"/>
          <w:lang w:val="fr-CA"/>
        </w:rPr>
        <w:t>Observations du Secrétariat</w:t>
      </w:r>
    </w:p>
    <w:p w14:paraId="3D771B34" w14:textId="77777777" w:rsidR="00FE2783" w:rsidRPr="002C2DB0" w:rsidRDefault="00FE2783" w:rsidP="00FE2783">
      <w:pPr>
        <w:pStyle w:val="StyleHeader4Para4Left0Firstline0"/>
        <w:numPr>
          <w:ilvl w:val="0"/>
          <w:numId w:val="0"/>
        </w:numPr>
        <w:spacing w:after="0"/>
        <w:rPr>
          <w:b/>
          <w:sz w:val="22"/>
          <w:lang w:val="fr-CA"/>
        </w:rPr>
      </w:pPr>
    </w:p>
    <w:p w14:paraId="1D5B70CF" w14:textId="77777777" w:rsidR="00FE2783" w:rsidRPr="002C2DB0" w:rsidRDefault="00FE2783" w:rsidP="00FE2783">
      <w:pPr>
        <w:pStyle w:val="Heading1"/>
        <w:rPr>
          <w:lang w:val="fr-CA"/>
        </w:rPr>
      </w:pPr>
      <w:r w:rsidRPr="002C2DB0">
        <w:rPr>
          <w:lang w:val="fr-CA"/>
        </w:rPr>
        <w:t xml:space="preserve">Le Secrétariat a demandé à </w:t>
      </w:r>
      <w:r>
        <w:rPr>
          <w:lang w:val="fr-CA"/>
        </w:rPr>
        <w:t>connaître</w:t>
      </w:r>
      <w:r w:rsidRPr="002C2DB0">
        <w:rPr>
          <w:lang w:val="fr-CA"/>
        </w:rPr>
        <w:t xml:space="preserve"> les conséquences de ce changement sur les autres projets de reconversion de l’industrie. La Banque mondiale a expliqué que les entreprises restantes du secteur de la mousse envisageaient l’utilisation</w:t>
      </w:r>
      <w:r>
        <w:rPr>
          <w:lang w:val="fr-CA"/>
        </w:rPr>
        <w:t xml:space="preserve"> d’une technologie à base de HFO</w:t>
      </w:r>
      <w:r w:rsidRPr="002C2DB0">
        <w:rPr>
          <w:lang w:val="fr-CA"/>
        </w:rPr>
        <w:t xml:space="preserve"> car elle offre de meilleures propriétés isolantes et </w:t>
      </w:r>
      <w:r>
        <w:rPr>
          <w:lang w:val="fr-CA"/>
        </w:rPr>
        <w:t>que la technologie à base de HFO</w:t>
      </w:r>
      <w:r w:rsidRPr="002C2DB0">
        <w:rPr>
          <w:lang w:val="fr-CA"/>
        </w:rPr>
        <w:t xml:space="preserve"> </w:t>
      </w:r>
      <w:r>
        <w:rPr>
          <w:lang w:val="fr-CA"/>
        </w:rPr>
        <w:t>destinée à la fabrication de mousse isolante est vendue sur le marché</w:t>
      </w:r>
      <w:r w:rsidRPr="002C2DB0">
        <w:rPr>
          <w:lang w:val="fr-CA"/>
        </w:rPr>
        <w:t xml:space="preserve">. </w:t>
      </w:r>
    </w:p>
    <w:p w14:paraId="580383A6" w14:textId="31D7AD29" w:rsidR="00FE2783" w:rsidRPr="002C2DB0" w:rsidRDefault="00FE2783" w:rsidP="00FE2783">
      <w:pPr>
        <w:pStyle w:val="Heading1"/>
        <w:rPr>
          <w:lang w:val="fr-CA"/>
        </w:rPr>
      </w:pPr>
      <w:r w:rsidRPr="002C2DB0">
        <w:rPr>
          <w:lang w:val="fr-CA"/>
        </w:rPr>
        <w:t>La Banque mondiale a aussi confirmé que la technologie de gonflage à l’eau pour la fabrication de volets roulants est vendue en Jordanie par les sociétés de formulation régionales de l’Égypte, des Émirats arabes unis et autres pays</w:t>
      </w:r>
      <w:r w:rsidR="00023070">
        <w:rPr>
          <w:lang w:val="fr-CA"/>
        </w:rPr>
        <w:t xml:space="preserve"> </w:t>
      </w:r>
      <w:r w:rsidRPr="002C2DB0">
        <w:rPr>
          <w:lang w:val="fr-CA"/>
        </w:rPr>
        <w:t>; le soutien technique sera offert par les sociétés de formulation afin de faire l’essai et d’évaluer la technologie dans les entreprises et de répondre à des besoins particuliers. Ce soutien devrait garantir l’adoption durable de la technologie de gonflage à l’eau dans les entreprises.</w:t>
      </w:r>
    </w:p>
    <w:p w14:paraId="19DE57F7" w14:textId="135A051F" w:rsidR="00FE2783" w:rsidRPr="002C2DB0" w:rsidRDefault="00FE2783" w:rsidP="00FE2783">
      <w:pPr>
        <w:pStyle w:val="Heading1"/>
        <w:rPr>
          <w:lang w:val="fr-CA"/>
        </w:rPr>
      </w:pPr>
      <w:r w:rsidRPr="002C2DB0">
        <w:rPr>
          <w:lang w:val="fr-CA"/>
        </w:rPr>
        <w:t>Le Secrétariat a examiné les coûts de la reconversion de ces cinq entreprises en fonction d’une technologie de gonflage à l’eau</w:t>
      </w:r>
      <w:r w:rsidR="00023070">
        <w:rPr>
          <w:lang w:val="fr-CA"/>
        </w:rPr>
        <w:t xml:space="preserve"> </w:t>
      </w:r>
      <w:r w:rsidRPr="002C2DB0">
        <w:rPr>
          <w:lang w:val="fr-CA"/>
        </w:rPr>
        <w:t>; le changement de technologie dans trois entreprises entraînerait une réduction des coûts de 78 393 $US à 46 522 $US, et deux entreprises auraient besoin d’une assista</w:t>
      </w:r>
      <w:r>
        <w:rPr>
          <w:lang w:val="fr-CA"/>
        </w:rPr>
        <w:t>nce technique supplémentaire de la part des</w:t>
      </w:r>
      <w:r w:rsidRPr="002C2DB0">
        <w:rPr>
          <w:lang w:val="fr-CA"/>
        </w:rPr>
        <w:t xml:space="preserve"> sociétés de formulation concernant les formules et les essais, comme indiqué dans le tableau 4.</w:t>
      </w:r>
    </w:p>
    <w:p w14:paraId="01E15E59" w14:textId="3B7AD9FB" w:rsidR="00FE2783" w:rsidRPr="002C2DB0" w:rsidRDefault="00FE2783" w:rsidP="00FE2783">
      <w:pPr>
        <w:pStyle w:val="StyleHeader4Para4Left0Firstline0"/>
        <w:numPr>
          <w:ilvl w:val="0"/>
          <w:numId w:val="0"/>
        </w:numPr>
        <w:spacing w:after="0"/>
        <w:rPr>
          <w:b/>
          <w:sz w:val="22"/>
          <w:lang w:val="fr-CA"/>
        </w:rPr>
      </w:pPr>
      <w:r w:rsidRPr="002C2DB0">
        <w:rPr>
          <w:b/>
          <w:sz w:val="22"/>
          <w:lang w:val="fr-CA"/>
        </w:rPr>
        <w:t>Tableau 4. Surcoûts révisés de la reconversion à une technol</w:t>
      </w:r>
      <w:r w:rsidR="00023070">
        <w:rPr>
          <w:b/>
          <w:sz w:val="22"/>
          <w:lang w:val="fr-CA"/>
        </w:rPr>
        <w:t>ogie de gonflage à l’eau ($US)</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4"/>
        <w:gridCol w:w="2845"/>
        <w:gridCol w:w="2845"/>
      </w:tblGrid>
      <w:tr w:rsidR="00FE2783" w:rsidRPr="0049199D" w14:paraId="77814F58" w14:textId="77777777" w:rsidTr="00FE2783">
        <w:trPr>
          <w:trHeight w:val="185"/>
        </w:trPr>
        <w:tc>
          <w:tcPr>
            <w:tcW w:w="3664" w:type="dxa"/>
            <w:noWrap/>
            <w:tcMar>
              <w:top w:w="0" w:type="dxa"/>
              <w:left w:w="108" w:type="dxa"/>
              <w:bottom w:w="0" w:type="dxa"/>
              <w:right w:w="108" w:type="dxa"/>
            </w:tcMar>
            <w:hideMark/>
          </w:tcPr>
          <w:p w14:paraId="3DED37FA" w14:textId="77777777" w:rsidR="00FE2783" w:rsidRPr="002C2DB0" w:rsidRDefault="00FE2783" w:rsidP="00FE2783">
            <w:pPr>
              <w:rPr>
                <w:b/>
                <w:sz w:val="20"/>
                <w:szCs w:val="20"/>
                <w:lang w:val="fr-CA"/>
              </w:rPr>
            </w:pPr>
            <w:r w:rsidRPr="002C2DB0">
              <w:rPr>
                <w:b/>
                <w:sz w:val="20"/>
                <w:szCs w:val="20"/>
                <w:lang w:val="fr-CA"/>
              </w:rPr>
              <w:t>Nom de l’entreprise</w:t>
            </w:r>
          </w:p>
        </w:tc>
        <w:tc>
          <w:tcPr>
            <w:tcW w:w="2845" w:type="dxa"/>
          </w:tcPr>
          <w:p w14:paraId="50893BC7" w14:textId="77777777" w:rsidR="00FE2783" w:rsidRPr="002C2DB0" w:rsidRDefault="00FE2783" w:rsidP="00FE2783">
            <w:pPr>
              <w:jc w:val="center"/>
              <w:rPr>
                <w:b/>
                <w:sz w:val="20"/>
                <w:szCs w:val="20"/>
                <w:lang w:val="fr-CA"/>
              </w:rPr>
            </w:pPr>
            <w:r w:rsidRPr="002C2DB0">
              <w:rPr>
                <w:b/>
                <w:sz w:val="20"/>
                <w:szCs w:val="20"/>
                <w:lang w:val="fr-CA"/>
              </w:rPr>
              <w:t>Sommes allouées pour le</w:t>
            </w:r>
          </w:p>
          <w:p w14:paraId="3BC7167D" w14:textId="77777777" w:rsidR="00FE2783" w:rsidRPr="002C2DB0" w:rsidRDefault="00FE2783" w:rsidP="00FE2783">
            <w:pPr>
              <w:jc w:val="center"/>
              <w:rPr>
                <w:b/>
                <w:sz w:val="20"/>
                <w:szCs w:val="20"/>
                <w:lang w:val="fr-CA"/>
              </w:rPr>
            </w:pPr>
            <w:r w:rsidRPr="002C2DB0">
              <w:rPr>
                <w:b/>
                <w:sz w:val="20"/>
                <w:szCs w:val="20"/>
                <w:lang w:val="fr-CA"/>
              </w:rPr>
              <w:t>HFO-1233zd(E)</w:t>
            </w:r>
          </w:p>
        </w:tc>
        <w:tc>
          <w:tcPr>
            <w:tcW w:w="2845" w:type="dxa"/>
          </w:tcPr>
          <w:p w14:paraId="5FB6810A" w14:textId="77777777" w:rsidR="00FE2783" w:rsidRPr="002C2DB0" w:rsidRDefault="00FE2783" w:rsidP="00FE2783">
            <w:pPr>
              <w:jc w:val="center"/>
              <w:rPr>
                <w:b/>
                <w:sz w:val="20"/>
                <w:szCs w:val="20"/>
                <w:lang w:val="fr-CA"/>
              </w:rPr>
            </w:pPr>
            <w:r w:rsidRPr="002C2DB0">
              <w:rPr>
                <w:b/>
                <w:sz w:val="20"/>
                <w:szCs w:val="20"/>
                <w:lang w:val="fr-CA"/>
              </w:rPr>
              <w:t>Sommes allouées pour la technologie de gonflage à l’eau</w:t>
            </w:r>
          </w:p>
        </w:tc>
      </w:tr>
      <w:tr w:rsidR="00FE2783" w:rsidRPr="002C2DB0" w14:paraId="068098C6" w14:textId="77777777" w:rsidTr="00FE2783">
        <w:trPr>
          <w:trHeight w:val="197"/>
        </w:trPr>
        <w:tc>
          <w:tcPr>
            <w:tcW w:w="3664" w:type="dxa"/>
            <w:noWrap/>
            <w:tcMar>
              <w:top w:w="0" w:type="dxa"/>
              <w:left w:w="108" w:type="dxa"/>
              <w:bottom w:w="0" w:type="dxa"/>
              <w:right w:w="108" w:type="dxa"/>
            </w:tcMar>
            <w:hideMark/>
          </w:tcPr>
          <w:p w14:paraId="36CDE6B2" w14:textId="77777777" w:rsidR="00FE2783" w:rsidRPr="002C2DB0" w:rsidRDefault="00FE2783" w:rsidP="00FE2783">
            <w:pPr>
              <w:rPr>
                <w:sz w:val="20"/>
                <w:szCs w:val="20"/>
                <w:lang w:val="fr-CA"/>
              </w:rPr>
            </w:pPr>
            <w:proofErr w:type="spellStart"/>
            <w:r w:rsidRPr="002C2DB0">
              <w:rPr>
                <w:sz w:val="20"/>
                <w:szCs w:val="20"/>
                <w:lang w:val="fr-CA"/>
              </w:rPr>
              <w:t>Asr</w:t>
            </w:r>
            <w:proofErr w:type="spellEnd"/>
            <w:r w:rsidRPr="002C2DB0">
              <w:rPr>
                <w:sz w:val="20"/>
                <w:szCs w:val="20"/>
                <w:lang w:val="fr-CA"/>
              </w:rPr>
              <w:t xml:space="preserve"> Al </w:t>
            </w:r>
            <w:proofErr w:type="spellStart"/>
            <w:r w:rsidRPr="002C2DB0">
              <w:rPr>
                <w:sz w:val="20"/>
                <w:szCs w:val="20"/>
                <w:lang w:val="fr-CA"/>
              </w:rPr>
              <w:t>Nahda</w:t>
            </w:r>
            <w:proofErr w:type="spellEnd"/>
            <w:r w:rsidRPr="002C2DB0">
              <w:rPr>
                <w:sz w:val="20"/>
                <w:szCs w:val="20"/>
                <w:lang w:val="fr-CA"/>
              </w:rPr>
              <w:t xml:space="preserve"> Co. </w:t>
            </w:r>
          </w:p>
        </w:tc>
        <w:tc>
          <w:tcPr>
            <w:tcW w:w="2845" w:type="dxa"/>
          </w:tcPr>
          <w:p w14:paraId="1417FABB" w14:textId="77777777" w:rsidR="00FE2783" w:rsidRPr="002C2DB0" w:rsidRDefault="00FE2783" w:rsidP="00FE2783">
            <w:pPr>
              <w:ind w:right="1016"/>
              <w:jc w:val="right"/>
              <w:rPr>
                <w:sz w:val="20"/>
                <w:szCs w:val="20"/>
                <w:lang w:val="fr-CA"/>
              </w:rPr>
            </w:pPr>
            <w:r w:rsidRPr="002C2DB0">
              <w:rPr>
                <w:sz w:val="20"/>
                <w:szCs w:val="20"/>
                <w:lang w:val="fr-CA"/>
              </w:rPr>
              <w:t>24 824</w:t>
            </w:r>
          </w:p>
        </w:tc>
        <w:tc>
          <w:tcPr>
            <w:tcW w:w="2845" w:type="dxa"/>
          </w:tcPr>
          <w:p w14:paraId="76FA9705" w14:textId="77777777" w:rsidR="00FE2783" w:rsidRPr="002C2DB0" w:rsidRDefault="00FE2783" w:rsidP="00FE2783">
            <w:pPr>
              <w:ind w:right="1072"/>
              <w:jc w:val="right"/>
              <w:rPr>
                <w:sz w:val="20"/>
                <w:szCs w:val="20"/>
                <w:lang w:val="fr-CA"/>
              </w:rPr>
            </w:pPr>
            <w:r w:rsidRPr="002C2DB0">
              <w:rPr>
                <w:sz w:val="20"/>
                <w:szCs w:val="20"/>
                <w:lang w:val="fr-CA"/>
              </w:rPr>
              <w:t>17 788</w:t>
            </w:r>
          </w:p>
        </w:tc>
      </w:tr>
      <w:tr w:rsidR="00FE2783" w:rsidRPr="002C2DB0" w14:paraId="4544F3EA" w14:textId="77777777" w:rsidTr="00FE2783">
        <w:trPr>
          <w:trHeight w:val="214"/>
        </w:trPr>
        <w:tc>
          <w:tcPr>
            <w:tcW w:w="3664" w:type="dxa"/>
            <w:noWrap/>
            <w:tcMar>
              <w:top w:w="0" w:type="dxa"/>
              <w:left w:w="108" w:type="dxa"/>
              <w:bottom w:w="0" w:type="dxa"/>
              <w:right w:w="108" w:type="dxa"/>
            </w:tcMar>
            <w:hideMark/>
          </w:tcPr>
          <w:p w14:paraId="0E71A472" w14:textId="77777777" w:rsidR="00FE2783" w:rsidRPr="002C2DB0" w:rsidRDefault="00FE2783" w:rsidP="00FE2783">
            <w:pPr>
              <w:rPr>
                <w:sz w:val="20"/>
                <w:szCs w:val="20"/>
                <w:lang w:val="fr-CA"/>
              </w:rPr>
            </w:pPr>
            <w:proofErr w:type="spellStart"/>
            <w:r w:rsidRPr="002C2DB0">
              <w:rPr>
                <w:sz w:val="20"/>
                <w:szCs w:val="20"/>
                <w:lang w:val="fr-CA"/>
              </w:rPr>
              <w:t>Alfaqeer</w:t>
            </w:r>
            <w:proofErr w:type="spellEnd"/>
            <w:r w:rsidRPr="002C2DB0">
              <w:rPr>
                <w:sz w:val="20"/>
                <w:szCs w:val="20"/>
                <w:lang w:val="fr-CA"/>
              </w:rPr>
              <w:t xml:space="preserve"> </w:t>
            </w:r>
            <w:proofErr w:type="spellStart"/>
            <w:r w:rsidRPr="002C2DB0">
              <w:rPr>
                <w:sz w:val="20"/>
                <w:szCs w:val="20"/>
                <w:lang w:val="fr-CA"/>
              </w:rPr>
              <w:t>Industrial</w:t>
            </w:r>
            <w:proofErr w:type="spellEnd"/>
            <w:r w:rsidRPr="002C2DB0">
              <w:rPr>
                <w:sz w:val="20"/>
                <w:szCs w:val="20"/>
                <w:lang w:val="fr-CA"/>
              </w:rPr>
              <w:t xml:space="preserve"> Co. Ltd.</w:t>
            </w:r>
          </w:p>
        </w:tc>
        <w:tc>
          <w:tcPr>
            <w:tcW w:w="2845" w:type="dxa"/>
          </w:tcPr>
          <w:p w14:paraId="38BE6BF3" w14:textId="77777777" w:rsidR="00FE2783" w:rsidRPr="002C2DB0" w:rsidRDefault="00FE2783" w:rsidP="00FE2783">
            <w:pPr>
              <w:ind w:right="1016"/>
              <w:jc w:val="right"/>
              <w:rPr>
                <w:sz w:val="20"/>
                <w:szCs w:val="20"/>
                <w:lang w:val="fr-CA"/>
              </w:rPr>
            </w:pPr>
            <w:r w:rsidRPr="002C2DB0">
              <w:rPr>
                <w:sz w:val="20"/>
                <w:szCs w:val="20"/>
                <w:lang w:val="fr-CA"/>
              </w:rPr>
              <w:t>21 005</w:t>
            </w:r>
          </w:p>
        </w:tc>
        <w:tc>
          <w:tcPr>
            <w:tcW w:w="2845" w:type="dxa"/>
          </w:tcPr>
          <w:p w14:paraId="7C402E81" w14:textId="77777777" w:rsidR="00FE2783" w:rsidRPr="002C2DB0" w:rsidRDefault="00FE2783" w:rsidP="00FE2783">
            <w:pPr>
              <w:ind w:right="1072"/>
              <w:jc w:val="right"/>
              <w:rPr>
                <w:sz w:val="20"/>
                <w:szCs w:val="20"/>
                <w:lang w:val="fr-CA"/>
              </w:rPr>
            </w:pPr>
            <w:r w:rsidRPr="002C2DB0">
              <w:rPr>
                <w:color w:val="000000"/>
                <w:sz w:val="20"/>
                <w:szCs w:val="20"/>
                <w:lang w:val="fr-CA"/>
              </w:rPr>
              <w:t>15 051</w:t>
            </w:r>
          </w:p>
        </w:tc>
      </w:tr>
      <w:tr w:rsidR="00FE2783" w:rsidRPr="002C2DB0" w14:paraId="7E3AE576" w14:textId="77777777" w:rsidTr="00FE2783">
        <w:trPr>
          <w:trHeight w:val="232"/>
        </w:trPr>
        <w:tc>
          <w:tcPr>
            <w:tcW w:w="3664" w:type="dxa"/>
            <w:noWrap/>
            <w:tcMar>
              <w:top w:w="0" w:type="dxa"/>
              <w:left w:w="108" w:type="dxa"/>
              <w:bottom w:w="0" w:type="dxa"/>
              <w:right w:w="108" w:type="dxa"/>
            </w:tcMar>
            <w:hideMark/>
          </w:tcPr>
          <w:p w14:paraId="014E24F7" w14:textId="77777777" w:rsidR="00FE2783" w:rsidRPr="002C2DB0" w:rsidRDefault="00FE2783" w:rsidP="00FE2783">
            <w:pPr>
              <w:rPr>
                <w:sz w:val="20"/>
                <w:szCs w:val="20"/>
                <w:lang w:val="fr-CA"/>
              </w:rPr>
            </w:pPr>
            <w:proofErr w:type="spellStart"/>
            <w:r w:rsidRPr="002C2DB0">
              <w:rPr>
                <w:sz w:val="20"/>
                <w:szCs w:val="20"/>
                <w:lang w:val="fr-CA"/>
              </w:rPr>
              <w:t>Majed</w:t>
            </w:r>
            <w:proofErr w:type="spellEnd"/>
            <w:r w:rsidRPr="002C2DB0">
              <w:rPr>
                <w:sz w:val="20"/>
                <w:szCs w:val="20"/>
                <w:lang w:val="fr-CA"/>
              </w:rPr>
              <w:t xml:space="preserve"> </w:t>
            </w:r>
            <w:proofErr w:type="spellStart"/>
            <w:r w:rsidRPr="002C2DB0">
              <w:rPr>
                <w:sz w:val="20"/>
                <w:szCs w:val="20"/>
                <w:lang w:val="fr-CA"/>
              </w:rPr>
              <w:t>Ghoche</w:t>
            </w:r>
            <w:proofErr w:type="spellEnd"/>
            <w:r w:rsidRPr="002C2DB0">
              <w:rPr>
                <w:sz w:val="20"/>
                <w:szCs w:val="20"/>
                <w:lang w:val="fr-CA"/>
              </w:rPr>
              <w:t xml:space="preserve"> et partenaires </w:t>
            </w:r>
          </w:p>
        </w:tc>
        <w:tc>
          <w:tcPr>
            <w:tcW w:w="2845" w:type="dxa"/>
          </w:tcPr>
          <w:p w14:paraId="2DECB9C0" w14:textId="77777777" w:rsidR="00FE2783" w:rsidRPr="002C2DB0" w:rsidRDefault="00FE2783" w:rsidP="00FE2783">
            <w:pPr>
              <w:ind w:right="1016"/>
              <w:jc w:val="right"/>
              <w:rPr>
                <w:sz w:val="20"/>
                <w:szCs w:val="20"/>
                <w:lang w:val="fr-CA"/>
              </w:rPr>
            </w:pPr>
            <w:r w:rsidRPr="002C2DB0">
              <w:rPr>
                <w:sz w:val="20"/>
                <w:szCs w:val="20"/>
                <w:lang w:val="fr-CA"/>
              </w:rPr>
              <w:t>19 096</w:t>
            </w:r>
          </w:p>
        </w:tc>
        <w:tc>
          <w:tcPr>
            <w:tcW w:w="2845" w:type="dxa"/>
          </w:tcPr>
          <w:p w14:paraId="6D9EC00F" w14:textId="77777777" w:rsidR="00FE2783" w:rsidRPr="002C2DB0" w:rsidRDefault="00FE2783" w:rsidP="00FE2783">
            <w:pPr>
              <w:ind w:right="1072"/>
              <w:jc w:val="right"/>
              <w:rPr>
                <w:sz w:val="20"/>
                <w:szCs w:val="20"/>
                <w:lang w:val="fr-CA"/>
              </w:rPr>
            </w:pPr>
            <w:r w:rsidRPr="002C2DB0">
              <w:rPr>
                <w:sz w:val="20"/>
                <w:szCs w:val="20"/>
                <w:lang w:val="fr-CA"/>
              </w:rPr>
              <w:t>13 683</w:t>
            </w:r>
          </w:p>
        </w:tc>
      </w:tr>
      <w:tr w:rsidR="00FE2783" w:rsidRPr="002C2DB0" w14:paraId="7F11C1B6" w14:textId="77777777" w:rsidTr="00FE2783">
        <w:trPr>
          <w:trHeight w:val="179"/>
        </w:trPr>
        <w:tc>
          <w:tcPr>
            <w:tcW w:w="3664" w:type="dxa"/>
            <w:noWrap/>
            <w:tcMar>
              <w:top w:w="0" w:type="dxa"/>
              <w:left w:w="108" w:type="dxa"/>
              <w:bottom w:w="0" w:type="dxa"/>
              <w:right w:w="108" w:type="dxa"/>
            </w:tcMar>
            <w:hideMark/>
          </w:tcPr>
          <w:p w14:paraId="3481D894" w14:textId="77777777" w:rsidR="00FE2783" w:rsidRPr="002C2DB0" w:rsidRDefault="00FE2783" w:rsidP="00FE2783">
            <w:pPr>
              <w:rPr>
                <w:sz w:val="20"/>
                <w:szCs w:val="20"/>
                <w:lang w:val="fr-CA"/>
              </w:rPr>
            </w:pPr>
            <w:proofErr w:type="spellStart"/>
            <w:r w:rsidRPr="002C2DB0">
              <w:rPr>
                <w:sz w:val="20"/>
                <w:szCs w:val="20"/>
                <w:lang w:val="fr-CA"/>
              </w:rPr>
              <w:t>Wabbbeh</w:t>
            </w:r>
            <w:proofErr w:type="spellEnd"/>
            <w:r w:rsidRPr="002C2DB0">
              <w:rPr>
                <w:sz w:val="20"/>
                <w:szCs w:val="20"/>
                <w:lang w:val="fr-CA"/>
              </w:rPr>
              <w:t xml:space="preserve"> </w:t>
            </w:r>
            <w:proofErr w:type="spellStart"/>
            <w:r w:rsidRPr="002C2DB0">
              <w:rPr>
                <w:sz w:val="20"/>
                <w:szCs w:val="20"/>
                <w:lang w:val="fr-CA"/>
              </w:rPr>
              <w:t>Aluminum</w:t>
            </w:r>
            <w:proofErr w:type="spellEnd"/>
            <w:r w:rsidRPr="002C2DB0">
              <w:rPr>
                <w:sz w:val="20"/>
                <w:szCs w:val="20"/>
                <w:lang w:val="fr-CA"/>
              </w:rPr>
              <w:t xml:space="preserve"> Co. </w:t>
            </w:r>
          </w:p>
        </w:tc>
        <w:tc>
          <w:tcPr>
            <w:tcW w:w="2845" w:type="dxa"/>
          </w:tcPr>
          <w:p w14:paraId="745E7137" w14:textId="77777777" w:rsidR="00FE2783" w:rsidRPr="002C2DB0" w:rsidRDefault="00FE2783" w:rsidP="00FE2783">
            <w:pPr>
              <w:ind w:right="1016"/>
              <w:jc w:val="right"/>
              <w:rPr>
                <w:sz w:val="20"/>
                <w:szCs w:val="20"/>
                <w:lang w:val="fr-CA"/>
              </w:rPr>
            </w:pPr>
            <w:r w:rsidRPr="002C2DB0">
              <w:rPr>
                <w:sz w:val="20"/>
                <w:szCs w:val="20"/>
                <w:lang w:val="fr-CA"/>
              </w:rPr>
              <w:t>9 273</w:t>
            </w:r>
          </w:p>
        </w:tc>
        <w:tc>
          <w:tcPr>
            <w:tcW w:w="2845" w:type="dxa"/>
          </w:tcPr>
          <w:p w14:paraId="662A47CF" w14:textId="77777777" w:rsidR="00FE2783" w:rsidRPr="002C2DB0" w:rsidRDefault="00FE2783" w:rsidP="00FE2783">
            <w:pPr>
              <w:ind w:right="1072"/>
              <w:jc w:val="right"/>
              <w:rPr>
                <w:sz w:val="20"/>
                <w:szCs w:val="20"/>
                <w:lang w:val="fr-CA"/>
              </w:rPr>
            </w:pPr>
            <w:r w:rsidRPr="002C2DB0">
              <w:rPr>
                <w:sz w:val="20"/>
                <w:szCs w:val="20"/>
                <w:lang w:val="fr-CA"/>
              </w:rPr>
              <w:t>*</w:t>
            </w:r>
          </w:p>
        </w:tc>
      </w:tr>
      <w:tr w:rsidR="00FE2783" w:rsidRPr="002C2DB0" w14:paraId="3A80D33F" w14:textId="77777777" w:rsidTr="00FE2783">
        <w:trPr>
          <w:trHeight w:val="206"/>
        </w:trPr>
        <w:tc>
          <w:tcPr>
            <w:tcW w:w="3664" w:type="dxa"/>
            <w:noWrap/>
            <w:tcMar>
              <w:top w:w="0" w:type="dxa"/>
              <w:left w:w="108" w:type="dxa"/>
              <w:bottom w:w="0" w:type="dxa"/>
              <w:right w:w="108" w:type="dxa"/>
            </w:tcMar>
            <w:hideMark/>
          </w:tcPr>
          <w:p w14:paraId="67416A70" w14:textId="77777777" w:rsidR="00FE2783" w:rsidRPr="002C2DB0" w:rsidRDefault="00FE2783" w:rsidP="00FE2783">
            <w:pPr>
              <w:rPr>
                <w:sz w:val="20"/>
                <w:szCs w:val="20"/>
                <w:lang w:val="fr-CA"/>
              </w:rPr>
            </w:pPr>
            <w:r w:rsidRPr="002C2DB0">
              <w:rPr>
                <w:sz w:val="20"/>
                <w:szCs w:val="20"/>
                <w:lang w:val="fr-CA"/>
              </w:rPr>
              <w:t xml:space="preserve">Volets en aluminium </w:t>
            </w:r>
            <w:proofErr w:type="spellStart"/>
            <w:r w:rsidRPr="002C2DB0">
              <w:rPr>
                <w:sz w:val="20"/>
                <w:szCs w:val="20"/>
                <w:lang w:val="fr-CA"/>
              </w:rPr>
              <w:t>Sharori</w:t>
            </w:r>
            <w:proofErr w:type="spellEnd"/>
            <w:r w:rsidRPr="002C2DB0">
              <w:rPr>
                <w:sz w:val="20"/>
                <w:szCs w:val="20"/>
                <w:lang w:val="fr-CA"/>
              </w:rPr>
              <w:t xml:space="preserve"> </w:t>
            </w:r>
          </w:p>
        </w:tc>
        <w:tc>
          <w:tcPr>
            <w:tcW w:w="2845" w:type="dxa"/>
          </w:tcPr>
          <w:p w14:paraId="539D2653" w14:textId="77777777" w:rsidR="00FE2783" w:rsidRPr="002C2DB0" w:rsidRDefault="00FE2783" w:rsidP="00FE2783">
            <w:pPr>
              <w:ind w:right="1016"/>
              <w:jc w:val="right"/>
              <w:rPr>
                <w:sz w:val="20"/>
                <w:szCs w:val="20"/>
                <w:lang w:val="fr-CA"/>
              </w:rPr>
            </w:pPr>
            <w:r w:rsidRPr="002C2DB0">
              <w:rPr>
                <w:color w:val="000000"/>
                <w:sz w:val="20"/>
                <w:szCs w:val="20"/>
                <w:lang w:val="fr-CA"/>
              </w:rPr>
              <w:t>4 195</w:t>
            </w:r>
          </w:p>
        </w:tc>
        <w:tc>
          <w:tcPr>
            <w:tcW w:w="2845" w:type="dxa"/>
          </w:tcPr>
          <w:p w14:paraId="4ED41D9C" w14:textId="77777777" w:rsidR="00FE2783" w:rsidRPr="002C2DB0" w:rsidRDefault="00FE2783" w:rsidP="00FE2783">
            <w:pPr>
              <w:ind w:right="1072"/>
              <w:jc w:val="right"/>
              <w:rPr>
                <w:sz w:val="20"/>
                <w:szCs w:val="20"/>
                <w:lang w:val="fr-CA"/>
              </w:rPr>
            </w:pPr>
            <w:r w:rsidRPr="002C2DB0">
              <w:rPr>
                <w:sz w:val="20"/>
                <w:szCs w:val="20"/>
                <w:lang w:val="fr-CA"/>
              </w:rPr>
              <w:t>*</w:t>
            </w:r>
          </w:p>
        </w:tc>
      </w:tr>
      <w:tr w:rsidR="00FE2783" w:rsidRPr="002C2DB0" w14:paraId="1BF12D02" w14:textId="77777777" w:rsidTr="00FE2783">
        <w:trPr>
          <w:trHeight w:val="206"/>
        </w:trPr>
        <w:tc>
          <w:tcPr>
            <w:tcW w:w="3664" w:type="dxa"/>
            <w:noWrap/>
            <w:tcMar>
              <w:top w:w="0" w:type="dxa"/>
              <w:left w:w="108" w:type="dxa"/>
              <w:bottom w:w="0" w:type="dxa"/>
              <w:right w:w="108" w:type="dxa"/>
            </w:tcMar>
          </w:tcPr>
          <w:p w14:paraId="7B34EF1A" w14:textId="77777777" w:rsidR="00FE2783" w:rsidRPr="002C2DB0" w:rsidRDefault="00FE2783" w:rsidP="00FE2783">
            <w:pPr>
              <w:rPr>
                <w:sz w:val="20"/>
                <w:szCs w:val="20"/>
                <w:lang w:val="fr-CA"/>
              </w:rPr>
            </w:pPr>
            <w:r w:rsidRPr="002C2DB0">
              <w:rPr>
                <w:sz w:val="20"/>
                <w:szCs w:val="20"/>
                <w:lang w:val="fr-CA"/>
              </w:rPr>
              <w:t>Coût total</w:t>
            </w:r>
          </w:p>
        </w:tc>
        <w:tc>
          <w:tcPr>
            <w:tcW w:w="2845" w:type="dxa"/>
          </w:tcPr>
          <w:p w14:paraId="38C5A2C5" w14:textId="77777777" w:rsidR="00FE2783" w:rsidRPr="002C2DB0" w:rsidRDefault="00FE2783" w:rsidP="00FE2783">
            <w:pPr>
              <w:ind w:right="1016"/>
              <w:jc w:val="right"/>
              <w:rPr>
                <w:color w:val="000000"/>
                <w:sz w:val="20"/>
                <w:szCs w:val="20"/>
                <w:lang w:val="fr-CA"/>
              </w:rPr>
            </w:pPr>
            <w:r w:rsidRPr="002C2DB0">
              <w:rPr>
                <w:sz w:val="20"/>
                <w:szCs w:val="20"/>
                <w:lang w:val="fr-CA"/>
              </w:rPr>
              <w:t>78 393</w:t>
            </w:r>
          </w:p>
        </w:tc>
        <w:tc>
          <w:tcPr>
            <w:tcW w:w="2845" w:type="dxa"/>
          </w:tcPr>
          <w:p w14:paraId="11022FD1" w14:textId="77777777" w:rsidR="00FE2783" w:rsidRPr="002C2DB0" w:rsidRDefault="00FE2783" w:rsidP="00FE2783">
            <w:pPr>
              <w:ind w:right="1072"/>
              <w:jc w:val="right"/>
              <w:rPr>
                <w:sz w:val="20"/>
                <w:szCs w:val="20"/>
                <w:lang w:val="fr-CA"/>
              </w:rPr>
            </w:pPr>
            <w:r w:rsidRPr="002C2DB0">
              <w:rPr>
                <w:sz w:val="20"/>
                <w:szCs w:val="20"/>
                <w:lang w:val="fr-CA"/>
              </w:rPr>
              <w:t>46 522</w:t>
            </w:r>
          </w:p>
        </w:tc>
      </w:tr>
    </w:tbl>
    <w:p w14:paraId="0E587587" w14:textId="77777777" w:rsidR="00FE2783" w:rsidRPr="002C2DB0" w:rsidRDefault="00FE2783" w:rsidP="00FE2783">
      <w:pPr>
        <w:pStyle w:val="StyleHeader4Para4Left0Firstline0"/>
        <w:numPr>
          <w:ilvl w:val="0"/>
          <w:numId w:val="0"/>
        </w:numPr>
        <w:spacing w:after="0"/>
        <w:rPr>
          <w:sz w:val="19"/>
          <w:szCs w:val="19"/>
          <w:lang w:val="fr-CA"/>
        </w:rPr>
      </w:pPr>
      <w:r w:rsidRPr="002C2DB0">
        <w:rPr>
          <w:sz w:val="19"/>
          <w:szCs w:val="19"/>
          <w:lang w:val="fr-CA"/>
        </w:rPr>
        <w:t>*L’assistance technique et le soutien à la reconversion pour ces entreprises à très faible consommation de HCFC-141b seraient offerts par les sociétés de formulation.</w:t>
      </w:r>
    </w:p>
    <w:p w14:paraId="72A180AD" w14:textId="77777777" w:rsidR="00FE2783" w:rsidRPr="002C2DB0" w:rsidRDefault="00FE2783" w:rsidP="00FE2783">
      <w:pPr>
        <w:pStyle w:val="StyleHeader4Para4Left0Firstline0"/>
        <w:numPr>
          <w:ilvl w:val="0"/>
          <w:numId w:val="0"/>
        </w:numPr>
        <w:spacing w:after="0"/>
        <w:rPr>
          <w:sz w:val="22"/>
          <w:lang w:val="fr-CA"/>
        </w:rPr>
      </w:pPr>
    </w:p>
    <w:p w14:paraId="38D25560" w14:textId="77777777" w:rsidR="00FE2783" w:rsidRPr="002C2DB0" w:rsidRDefault="00FE2783" w:rsidP="00FE2783">
      <w:pPr>
        <w:pStyle w:val="Heading1"/>
        <w:rPr>
          <w:lang w:val="fr-CA"/>
        </w:rPr>
      </w:pPr>
      <w:r w:rsidRPr="002C2DB0">
        <w:rPr>
          <w:lang w:val="fr-CA"/>
        </w:rPr>
        <w:t xml:space="preserve">Le plan du secteur </w:t>
      </w:r>
      <w:r>
        <w:rPr>
          <w:lang w:val="fr-CA"/>
        </w:rPr>
        <w:t>de la mousse de polyuréthanne</w:t>
      </w:r>
      <w:r w:rsidRPr="002C2DB0">
        <w:rPr>
          <w:lang w:val="fr-CA"/>
        </w:rPr>
        <w:t xml:space="preserve"> approuvé au titre de la phase II du PGEH comprenait 21 petites et microentreprises (qui consommaient moins d’une tonne de HCFC-141b) ayant des compétences techniques limitées</w:t>
      </w:r>
      <w:r>
        <w:rPr>
          <w:lang w:val="fr-CA"/>
        </w:rPr>
        <w:t>,</w:t>
      </w:r>
      <w:r w:rsidRPr="002C2DB0">
        <w:rPr>
          <w:lang w:val="fr-CA"/>
        </w:rPr>
        <w:t xml:space="preserve"> qui nécessiteraient une assistance technique pour le développement de formules à base d</w:t>
      </w:r>
      <w:r>
        <w:rPr>
          <w:lang w:val="fr-CA"/>
        </w:rPr>
        <w:t>’</w:t>
      </w:r>
      <w:r w:rsidRPr="002C2DB0">
        <w:rPr>
          <w:lang w:val="fr-CA"/>
        </w:rPr>
        <w:t xml:space="preserve">agents de gonflage de remplacement et les essais. Compte tenu de la souplesse dont jouit le gouvernement de la Jordanie </w:t>
      </w:r>
      <w:r>
        <w:rPr>
          <w:lang w:val="fr-CA"/>
        </w:rPr>
        <w:t>dans l’allocation d</w:t>
      </w:r>
      <w:r w:rsidRPr="002C2DB0">
        <w:rPr>
          <w:lang w:val="fr-CA"/>
        </w:rPr>
        <w:t xml:space="preserve">es sommes approuvées pour les différentes entreprises, </w:t>
      </w:r>
      <w:r>
        <w:rPr>
          <w:lang w:val="fr-CA"/>
        </w:rPr>
        <w:t>pour</w:t>
      </w:r>
      <w:r w:rsidRPr="002C2DB0">
        <w:rPr>
          <w:lang w:val="fr-CA"/>
        </w:rPr>
        <w:t xml:space="preserve"> que le plan du secteur soit mis en œuvre de manière fluide et efficace, et compte tenu également que la reconversion de plusieurs petites et microentreprises du plan du secteur de la mousse est en cours, le Secrétariat estime que le gouvernement devrait fournir des informations détaillées sur la somme totale </w:t>
      </w:r>
      <w:r w:rsidRPr="002C2DB0">
        <w:rPr>
          <w:lang w:val="fr-CA"/>
        </w:rPr>
        <w:lastRenderedPageBreak/>
        <w:t>utilisée lors de l’achèvement de la mise en œuvre du plan et restituer les soldes conformément aux lignes directrices du Comité exécutif.</w:t>
      </w:r>
    </w:p>
    <w:p w14:paraId="78220655" w14:textId="77777777" w:rsidR="00FE2783" w:rsidRPr="002C2DB0" w:rsidRDefault="00FE2783" w:rsidP="00FE2783">
      <w:pPr>
        <w:pStyle w:val="Heading1"/>
        <w:rPr>
          <w:lang w:val="fr-CA"/>
        </w:rPr>
      </w:pPr>
      <w:r w:rsidRPr="002C2DB0">
        <w:rPr>
          <w:lang w:val="fr-CA"/>
        </w:rPr>
        <w:t xml:space="preserve">Le Secrétariat a pris note que le changement de technologie aboutirait à l’adoption de technologies à faible PRG dans les applications de mousse dans ces entreprises et faciliterait l’atteinte des cibles de conformité en Jordanie, tout en prenant note que le gouvernement a publié </w:t>
      </w:r>
      <w:r>
        <w:rPr>
          <w:lang w:val="fr-CA"/>
        </w:rPr>
        <w:t xml:space="preserve">dans la gazette </w:t>
      </w:r>
      <w:r w:rsidRPr="002C2DB0">
        <w:rPr>
          <w:lang w:val="fr-CA"/>
        </w:rPr>
        <w:t xml:space="preserve">l’interdiction d’importer du HCFC-141b en vrac ou contenu dans des polyols </w:t>
      </w:r>
      <w:proofErr w:type="spellStart"/>
      <w:r w:rsidRPr="002C2DB0">
        <w:rPr>
          <w:lang w:val="fr-CA"/>
        </w:rPr>
        <w:t>prémélangés</w:t>
      </w:r>
      <w:proofErr w:type="spellEnd"/>
      <w:r w:rsidRPr="002C2DB0">
        <w:rPr>
          <w:lang w:val="fr-CA"/>
        </w:rPr>
        <w:t xml:space="preserve"> à compter du 31 décembre </w:t>
      </w:r>
      <w:r>
        <w:rPr>
          <w:lang w:val="fr-CA"/>
        </w:rPr>
        <w:t>2021</w:t>
      </w:r>
      <w:r w:rsidRPr="002C2DB0">
        <w:rPr>
          <w:lang w:val="fr-CA"/>
        </w:rPr>
        <w:t>. Étant donné qu</w:t>
      </w:r>
      <w:r>
        <w:rPr>
          <w:lang w:val="fr-CA"/>
        </w:rPr>
        <w:t>e les technologies à base de HFO</w:t>
      </w:r>
      <w:r w:rsidRPr="002C2DB0">
        <w:rPr>
          <w:lang w:val="fr-CA"/>
        </w:rPr>
        <w:t xml:space="preserve"> et de gonflage à l’eau sont toutes les deux des technologies à faible PRG, l’impact sur les gaz à effet de serre devrait être négligeable.</w:t>
      </w:r>
    </w:p>
    <w:p w14:paraId="4C59EF80" w14:textId="77777777" w:rsidR="00FE2783" w:rsidRPr="002C2DB0" w:rsidRDefault="00FE2783" w:rsidP="00FE2783">
      <w:pPr>
        <w:pStyle w:val="StyleHeader4Para4Left0Firstline0"/>
        <w:numPr>
          <w:ilvl w:val="0"/>
          <w:numId w:val="0"/>
        </w:numPr>
        <w:spacing w:after="0"/>
        <w:rPr>
          <w:b/>
          <w:sz w:val="22"/>
          <w:lang w:val="fr-CA"/>
        </w:rPr>
      </w:pPr>
      <w:r w:rsidRPr="002C2DB0">
        <w:rPr>
          <w:b/>
          <w:sz w:val="22"/>
          <w:lang w:val="fr-CA"/>
        </w:rPr>
        <w:t xml:space="preserve">Recommandation </w:t>
      </w:r>
    </w:p>
    <w:p w14:paraId="3145EED2" w14:textId="77777777" w:rsidR="00FE2783" w:rsidRPr="002C2DB0" w:rsidRDefault="00FE2783" w:rsidP="00FE2783">
      <w:pPr>
        <w:pStyle w:val="StyleHeader4Para4Left0Firstline0"/>
        <w:numPr>
          <w:ilvl w:val="0"/>
          <w:numId w:val="0"/>
        </w:numPr>
        <w:spacing w:after="0"/>
        <w:rPr>
          <w:sz w:val="22"/>
          <w:lang w:val="fr-CA"/>
        </w:rPr>
      </w:pPr>
    </w:p>
    <w:p w14:paraId="62E7C8A7" w14:textId="77777777" w:rsidR="00FE2783" w:rsidRPr="002C2DB0" w:rsidRDefault="00FE2783" w:rsidP="00FE2783">
      <w:pPr>
        <w:pStyle w:val="Heading1"/>
        <w:rPr>
          <w:lang w:val="fr-CA"/>
        </w:rPr>
      </w:pPr>
      <w:r w:rsidRPr="002C2DB0">
        <w:rPr>
          <w:lang w:val="fr-CA"/>
        </w:rPr>
        <w:t xml:space="preserve">Le Comité exécutif pourrait souhaiter : </w:t>
      </w:r>
    </w:p>
    <w:p w14:paraId="71098AC1" w14:textId="34D2134E" w:rsidR="00FE2783" w:rsidRPr="002C2DB0" w:rsidRDefault="00FE2783" w:rsidP="00FE2783">
      <w:pPr>
        <w:pStyle w:val="Heading2"/>
        <w:rPr>
          <w:lang w:val="fr-CA"/>
        </w:rPr>
      </w:pPr>
      <w:r w:rsidRPr="002C2DB0">
        <w:rPr>
          <w:lang w:val="fr-CA"/>
        </w:rPr>
        <w:t>Prendre note de la demande formulé</w:t>
      </w:r>
      <w:r>
        <w:rPr>
          <w:lang w:val="fr-CA"/>
        </w:rPr>
        <w:t>e par la Banque mondiale au nom</w:t>
      </w:r>
      <w:r w:rsidRPr="002C2DB0">
        <w:rPr>
          <w:lang w:val="fr-CA"/>
        </w:rPr>
        <w:t xml:space="preserve"> du gouvernement de la Jordanie de changer de technologie dans la reconversion de cinq entreprises, d’une technologie à base de </w:t>
      </w:r>
      <w:r>
        <w:rPr>
          <w:lang w:val="fr-CA"/>
        </w:rPr>
        <w:t xml:space="preserve">HFO-1233zd(E) </w:t>
      </w:r>
      <w:r w:rsidRPr="002C2DB0">
        <w:rPr>
          <w:lang w:val="fr-CA"/>
        </w:rPr>
        <w:t>à une technologie de gonflage à l’eau à la phase II du plan de gestion de l'élimination des HCFC pour la Jordanie</w:t>
      </w:r>
      <w:r>
        <w:rPr>
          <w:lang w:val="fr-CA"/>
        </w:rPr>
        <w:t>,</w:t>
      </w:r>
      <w:r w:rsidRPr="002C2DB0">
        <w:rPr>
          <w:lang w:val="fr-CA"/>
        </w:rPr>
        <w:t xml:space="preserve"> présentée dans le document UNEP/OzL.Pro/ExCom/87/9</w:t>
      </w:r>
      <w:r w:rsidR="00023070">
        <w:rPr>
          <w:lang w:val="fr-CA"/>
        </w:rPr>
        <w:t xml:space="preserve"> </w:t>
      </w:r>
      <w:r w:rsidRPr="002C2DB0">
        <w:rPr>
          <w:lang w:val="fr-CA"/>
        </w:rPr>
        <w:t xml:space="preserve">; </w:t>
      </w:r>
    </w:p>
    <w:p w14:paraId="161CF106" w14:textId="6850AF5D" w:rsidR="00FE2783" w:rsidRPr="002C2DB0" w:rsidRDefault="00FE2783" w:rsidP="00FE2783">
      <w:pPr>
        <w:pStyle w:val="Heading2"/>
        <w:rPr>
          <w:lang w:val="fr-CA"/>
        </w:rPr>
      </w:pPr>
      <w:r w:rsidRPr="002C2DB0">
        <w:rPr>
          <w:lang w:val="fr-CA"/>
        </w:rPr>
        <w:t>Approuver le changement de technologie mentionné à l’alinéa a), ci-dessus</w:t>
      </w:r>
      <w:r w:rsidR="00023070">
        <w:rPr>
          <w:lang w:val="fr-CA"/>
        </w:rPr>
        <w:t xml:space="preserve"> </w:t>
      </w:r>
      <w:r w:rsidRPr="002C2DB0">
        <w:rPr>
          <w:lang w:val="fr-CA"/>
        </w:rPr>
        <w:t>;</w:t>
      </w:r>
      <w:r w:rsidR="00023070">
        <w:rPr>
          <w:lang w:val="fr-CA"/>
        </w:rPr>
        <w:t xml:space="preserve"> et</w:t>
      </w:r>
    </w:p>
    <w:p w14:paraId="6F571DA9" w14:textId="77777777" w:rsidR="00FE2783" w:rsidRPr="002C2DB0" w:rsidRDefault="00FE2783" w:rsidP="00FE2783">
      <w:pPr>
        <w:pStyle w:val="Heading2"/>
        <w:rPr>
          <w:lang w:val="fr-CA"/>
        </w:rPr>
      </w:pPr>
      <w:r w:rsidRPr="002C2DB0">
        <w:rPr>
          <w:lang w:val="fr-CA"/>
        </w:rPr>
        <w:t>Demander au gouvernement de la Jordanie et à la Banque mondiale de restituer les soldes du plan du secteur de la mousse de polyuréthanne au Fonds multilatéral lorsque la reconversion sera terminée dans toutes les entreprises visées par le plan.</w:t>
      </w:r>
    </w:p>
    <w:p w14:paraId="7C19DC38" w14:textId="77777777" w:rsidR="00FE2783" w:rsidRPr="002C2DB0" w:rsidRDefault="00FE2783" w:rsidP="00FE2783">
      <w:pPr>
        <w:keepNext/>
        <w:spacing w:after="240"/>
        <w:rPr>
          <w:lang w:val="fr-CA"/>
        </w:rPr>
      </w:pPr>
      <w:r w:rsidRPr="00023070">
        <w:rPr>
          <w:u w:val="single"/>
          <w:lang w:val="fr-CA"/>
        </w:rPr>
        <w:t>République démocratique populaire lao : Plan de gestion de l'élimination des HCFC (phase I : demande de prorogation)</w:t>
      </w:r>
      <w:r w:rsidRPr="00023070">
        <w:rPr>
          <w:lang w:val="fr-CA"/>
        </w:rPr>
        <w:t xml:space="preserve"> (PNUE et gouvernement de la France)</w:t>
      </w:r>
    </w:p>
    <w:p w14:paraId="07224C0E" w14:textId="77777777" w:rsidR="00FE2783" w:rsidRPr="002C2DB0" w:rsidRDefault="00FE2783" w:rsidP="00FE2783">
      <w:pPr>
        <w:keepNext/>
        <w:spacing w:after="240"/>
        <w:rPr>
          <w:b/>
          <w:lang w:val="fr-CA"/>
        </w:rPr>
      </w:pPr>
      <w:r w:rsidRPr="002C2DB0">
        <w:rPr>
          <w:b/>
          <w:lang w:val="fr-CA"/>
        </w:rPr>
        <w:t>Contexte</w:t>
      </w:r>
    </w:p>
    <w:p w14:paraId="49CC645E" w14:textId="77777777" w:rsidR="00FE2783" w:rsidRPr="002C2DB0" w:rsidRDefault="00FE2783" w:rsidP="00FE2783">
      <w:pPr>
        <w:numPr>
          <w:ilvl w:val="0"/>
          <w:numId w:val="1"/>
        </w:numPr>
        <w:spacing w:after="240"/>
        <w:outlineLvl w:val="0"/>
        <w:rPr>
          <w:lang w:val="fr-CA"/>
        </w:rPr>
      </w:pPr>
      <w:r w:rsidRPr="002C2DB0">
        <w:rPr>
          <w:lang w:val="fr-CA"/>
        </w:rPr>
        <w:t xml:space="preserve">Le PNUE, en qualité d’agence d’exécution principale, a présenté une demande de prorogation de la mise en œuvre de la phase I </w:t>
      </w:r>
      <w:r>
        <w:rPr>
          <w:lang w:val="fr-CA"/>
        </w:rPr>
        <w:t>du</w:t>
      </w:r>
      <w:r w:rsidRPr="002C2DB0">
        <w:rPr>
          <w:lang w:val="fr-CA"/>
        </w:rPr>
        <w:t xml:space="preserve"> PGEH au nom du gouvernement de la République démocratique populaire lao.</w:t>
      </w:r>
    </w:p>
    <w:p w14:paraId="4133353A" w14:textId="39BD0E8C" w:rsidR="00FE2783" w:rsidRPr="002C2DB0" w:rsidRDefault="00FE2783" w:rsidP="00FE2783">
      <w:pPr>
        <w:pStyle w:val="Heading1"/>
        <w:autoSpaceDE w:val="0"/>
        <w:autoSpaceDN w:val="0"/>
        <w:adjustRightInd w:val="0"/>
        <w:rPr>
          <w:lang w:val="fr-CA"/>
        </w:rPr>
      </w:pPr>
      <w:r w:rsidRPr="002C2DB0">
        <w:rPr>
          <w:lang w:val="fr-CA"/>
        </w:rPr>
        <w:t>La phase I du PGEH a été approuvée à la 63</w:t>
      </w:r>
      <w:r w:rsidRPr="00AE54F0">
        <w:rPr>
          <w:vertAlign w:val="superscript"/>
          <w:lang w:val="fr-CA"/>
        </w:rPr>
        <w:t>e</w:t>
      </w:r>
      <w:r w:rsidRPr="002C2DB0">
        <w:rPr>
          <w:lang w:val="fr-CA"/>
        </w:rPr>
        <w:t xml:space="preserve"> réunion</w:t>
      </w:r>
      <w:r w:rsidRPr="002C2DB0">
        <w:rPr>
          <w:rStyle w:val="FootnoteReference"/>
          <w:lang w:val="fr-CA"/>
        </w:rPr>
        <w:footnoteReference w:id="23"/>
      </w:r>
      <w:r w:rsidRPr="002C2DB0">
        <w:rPr>
          <w:lang w:val="fr-CA"/>
        </w:rPr>
        <w:t xml:space="preserve"> afin d’atteindre l’objectif de réduction de 35 pour cent de la valeur de référence avant 2020, pour la somme totale de 280 000 $US plus</w:t>
      </w:r>
      <w:r>
        <w:rPr>
          <w:lang w:val="fr-CA"/>
        </w:rPr>
        <w:t xml:space="preserve"> les coûts d’appui à l’agence</w:t>
      </w:r>
      <w:r w:rsidRPr="002C2DB0">
        <w:rPr>
          <w:lang w:val="fr-CA"/>
        </w:rPr>
        <w:t>, et d’éliminer 0,80 tonne PAO de HCFC utilisé dans le secteur de l’entretien de l’équipement de réfrigération et climatisation. Les trois tranches prévues à la phase I ont été approuvées, la dernière tranche ayant été approuvée dans le cadre du processus d’approbation intersessions de la 85</w:t>
      </w:r>
      <w:r w:rsidRPr="002C2DB0">
        <w:rPr>
          <w:vertAlign w:val="superscript"/>
          <w:lang w:val="fr-CA"/>
        </w:rPr>
        <w:t>e</w:t>
      </w:r>
      <w:r w:rsidRPr="002C2DB0">
        <w:rPr>
          <w:lang w:val="fr-CA"/>
        </w:rPr>
        <w:t> réunion</w:t>
      </w:r>
      <w:r w:rsidRPr="002C2DB0">
        <w:rPr>
          <w:rStyle w:val="FootnoteReference"/>
          <w:lang w:val="fr-CA"/>
        </w:rPr>
        <w:footnoteReference w:id="24"/>
      </w:r>
      <w:r w:rsidRPr="002C2DB0">
        <w:rPr>
          <w:lang w:val="fr-CA"/>
        </w:rPr>
        <w:t xml:space="preserve"> en mai 2020. Conformément au paragraphe 14 de l’</w:t>
      </w:r>
      <w:r w:rsidR="005B7EC6">
        <w:rPr>
          <w:lang w:val="fr-CA"/>
        </w:rPr>
        <w:t>Accord</w:t>
      </w:r>
      <w:r w:rsidRPr="002C2DB0">
        <w:rPr>
          <w:lang w:val="fr-CA"/>
        </w:rPr>
        <w:t xml:space="preserve"> entre le gouvernement et le Comité exécutif, le projet devrait être mené à terme d’ici la fin de 2021.</w:t>
      </w:r>
    </w:p>
    <w:p w14:paraId="648DCC0F" w14:textId="612A40AE" w:rsidR="00FE2783" w:rsidRPr="002C2DB0" w:rsidRDefault="00FE2783" w:rsidP="00FE2783">
      <w:pPr>
        <w:pStyle w:val="Heading1"/>
        <w:rPr>
          <w:lang w:val="fr-CA"/>
        </w:rPr>
      </w:pPr>
      <w:r w:rsidRPr="002C2DB0">
        <w:rPr>
          <w:lang w:val="fr-CA"/>
        </w:rPr>
        <w:t>Plusieurs activités de la phase I du PGEH ont été achevées</w:t>
      </w:r>
      <w:r w:rsidR="00023070">
        <w:rPr>
          <w:lang w:val="fr-CA"/>
        </w:rPr>
        <w:t xml:space="preserve"> </w:t>
      </w:r>
      <w:r w:rsidRPr="002C2DB0">
        <w:rPr>
          <w:lang w:val="fr-CA"/>
        </w:rPr>
        <w:t xml:space="preserve">; par contre, la mise en œuvre des programmes de formation des techniciens en manipulation des frigorigènes inflammables et l’offre d’équipement aux centres de formation, prévues </w:t>
      </w:r>
      <w:proofErr w:type="gramStart"/>
      <w:r w:rsidRPr="002C2DB0">
        <w:rPr>
          <w:lang w:val="fr-CA"/>
        </w:rPr>
        <w:t>à la deuxième et troisième tranches</w:t>
      </w:r>
      <w:proofErr w:type="gramEnd"/>
      <w:r>
        <w:rPr>
          <w:lang w:val="fr-CA"/>
        </w:rPr>
        <w:t>,</w:t>
      </w:r>
      <w:r w:rsidRPr="002C2DB0">
        <w:rPr>
          <w:lang w:val="fr-CA"/>
        </w:rPr>
        <w:t xml:space="preserve"> ont été retardé</w:t>
      </w:r>
      <w:r>
        <w:rPr>
          <w:lang w:val="fr-CA"/>
        </w:rPr>
        <w:t>e</w:t>
      </w:r>
      <w:r w:rsidRPr="002C2DB0">
        <w:rPr>
          <w:lang w:val="fr-CA"/>
        </w:rPr>
        <w:t xml:space="preserve">s à cause de la </w:t>
      </w:r>
      <w:r>
        <w:rPr>
          <w:lang w:val="fr-CA"/>
        </w:rPr>
        <w:t xml:space="preserve">pandémie de la </w:t>
      </w:r>
      <w:r w:rsidRPr="002C2DB0">
        <w:rPr>
          <w:lang w:val="fr-CA"/>
        </w:rPr>
        <w:t>COVID-19. Compte tenu de l’incertitude entourant les délais de rétablissement de la pandémie, le gouvernement demande l</w:t>
      </w:r>
      <w:r>
        <w:rPr>
          <w:lang w:val="fr-CA"/>
        </w:rPr>
        <w:t>a</w:t>
      </w:r>
      <w:r w:rsidRPr="002C2DB0">
        <w:rPr>
          <w:lang w:val="fr-CA"/>
        </w:rPr>
        <w:t xml:space="preserve"> prorogation de la date d’achèvement au 31 décembre 2022.</w:t>
      </w:r>
    </w:p>
    <w:p w14:paraId="2EDA3B0F" w14:textId="77777777" w:rsidR="00FE2783" w:rsidRPr="002C2DB0" w:rsidRDefault="00FE2783" w:rsidP="00FE2783">
      <w:pPr>
        <w:keepNext/>
        <w:keepLines/>
        <w:spacing w:after="240"/>
        <w:rPr>
          <w:i/>
          <w:lang w:val="fr-CA"/>
        </w:rPr>
      </w:pPr>
      <w:r w:rsidRPr="002C2DB0">
        <w:rPr>
          <w:i/>
          <w:lang w:val="fr-CA"/>
        </w:rPr>
        <w:lastRenderedPageBreak/>
        <w:t>Consommation de HCFC</w:t>
      </w:r>
    </w:p>
    <w:p w14:paraId="05187F9A" w14:textId="7101253A" w:rsidR="00FE2783" w:rsidRPr="002C2DB0" w:rsidRDefault="00023070" w:rsidP="00FE2783">
      <w:pPr>
        <w:pStyle w:val="Heading1"/>
        <w:rPr>
          <w:lang w:val="fr-CA"/>
        </w:rPr>
      </w:pPr>
      <w:r>
        <w:rPr>
          <w:lang w:val="fr-CA"/>
        </w:rPr>
        <w:t>Les</w:t>
      </w:r>
      <w:r w:rsidR="00FE2783" w:rsidRPr="002C2DB0">
        <w:rPr>
          <w:lang w:val="fr-CA"/>
        </w:rPr>
        <w:t xml:space="preserve"> données sur la consommation de HCFC pour l’année 2020 n’ont pas encore été communiquées en vertu de l’article 7 du Protocole de Montréal ni dans le rapport de mise en œuvre du programme de pays, et les données sur les HFC sont en voie d’être mises au point. Dans sa demande de prorogation, le gouvernement a toutefois fait état d’une consommation de 1,42 tonne PAO de HCFC en 2020, ce qui représente 5 pour cent de moins que l’objectif de 1,50 tonne PAO du PGEH pour l’année 2020 et 38 pour cent de moins que la valeur de référence établie de 2,30 tonnes PAO. La consommation déclarée pour 2020 </w:t>
      </w:r>
      <w:r w:rsidR="00FE2783">
        <w:rPr>
          <w:lang w:val="fr-CA"/>
        </w:rPr>
        <w:t>démontre</w:t>
      </w:r>
      <w:r w:rsidR="00FE2783" w:rsidRPr="002C2DB0">
        <w:rPr>
          <w:lang w:val="fr-CA"/>
        </w:rPr>
        <w:t xml:space="preserve"> que le pays a atteint l’objectif de réduction de 35 pour cent, conformément au Protocole de Montréal.</w:t>
      </w:r>
    </w:p>
    <w:p w14:paraId="17E3DF8F" w14:textId="77777777" w:rsidR="00FE2783" w:rsidRPr="002C2DB0" w:rsidRDefault="00FE2783" w:rsidP="00FE2783">
      <w:pPr>
        <w:keepNext/>
        <w:keepLines/>
        <w:spacing w:after="240"/>
        <w:rPr>
          <w:b/>
          <w:lang w:val="fr-CA"/>
        </w:rPr>
      </w:pPr>
      <w:r w:rsidRPr="002C2DB0">
        <w:rPr>
          <w:b/>
          <w:lang w:val="fr-CA"/>
        </w:rPr>
        <w:t xml:space="preserve">Rapport sur la mise en œuvre de la phase I </w:t>
      </w:r>
    </w:p>
    <w:p w14:paraId="1C0435A9" w14:textId="77777777" w:rsidR="00FE2783" w:rsidRPr="002C2DB0" w:rsidRDefault="00FE2783" w:rsidP="00FE2783">
      <w:pPr>
        <w:pStyle w:val="Heading1"/>
        <w:rPr>
          <w:lang w:val="fr-CA"/>
        </w:rPr>
      </w:pPr>
      <w:r w:rsidRPr="002C2DB0">
        <w:rPr>
          <w:lang w:val="fr-CA"/>
        </w:rPr>
        <w:t>Le pays applique son programme de permis et de quotas d’importation de HCFC. Une interdiction d’importer tous les CFC, les halons, le bromure de méthyle et tous les HCFC sauf le HCFC-22 a été émise en novembre 2016. Le HCFC-22, les HFC et les mélanges à base d</w:t>
      </w:r>
      <w:r>
        <w:rPr>
          <w:lang w:val="fr-CA"/>
        </w:rPr>
        <w:t>e HFC sont réglementé</w:t>
      </w:r>
      <w:r w:rsidRPr="002C2DB0">
        <w:rPr>
          <w:lang w:val="fr-CA"/>
        </w:rPr>
        <w:t>s par le programme de permis. L’interdi</w:t>
      </w:r>
      <w:r>
        <w:rPr>
          <w:lang w:val="fr-CA"/>
        </w:rPr>
        <w:t>ction d’importer et d’exporter d</w:t>
      </w:r>
      <w:r w:rsidRPr="002C2DB0">
        <w:rPr>
          <w:lang w:val="fr-CA"/>
        </w:rPr>
        <w:t>es refroidisseurs d’une capacité refroidissante de plus de 20 tonnes de réfrigération</w:t>
      </w:r>
      <w:r>
        <w:rPr>
          <w:lang w:val="fr-CA"/>
        </w:rPr>
        <w:t>,</w:t>
      </w:r>
      <w:r w:rsidRPr="002C2DB0">
        <w:rPr>
          <w:lang w:val="fr-CA"/>
        </w:rPr>
        <w:t xml:space="preserve"> à base de HFC</w:t>
      </w:r>
      <w:r>
        <w:rPr>
          <w:lang w:val="fr-CA"/>
        </w:rPr>
        <w:t>,</w:t>
      </w:r>
      <w:r w:rsidRPr="002C2DB0">
        <w:rPr>
          <w:lang w:val="fr-CA"/>
        </w:rPr>
        <w:t xml:space="preserve"> a été rédigée et devrait être approuvée par décision ministérielle d’ici à mai 2021. Une interdiction d’importer tous les types d’équipement à base de HCFC devrait entrer en vigueur le 1</w:t>
      </w:r>
      <w:r w:rsidRPr="002C2DB0">
        <w:rPr>
          <w:vertAlign w:val="superscript"/>
          <w:lang w:val="fr-CA"/>
        </w:rPr>
        <w:t>er</w:t>
      </w:r>
      <w:r w:rsidRPr="002C2DB0">
        <w:rPr>
          <w:lang w:val="fr-CA"/>
        </w:rPr>
        <w:t xml:space="preserve"> janvier 2023. Cent quatre-vingt-quatre douaniers et agents d’application ont été formés à ce jour au titre de la phase I. </w:t>
      </w:r>
    </w:p>
    <w:p w14:paraId="688B5D86" w14:textId="77777777" w:rsidR="00FE2783" w:rsidRPr="002C2DB0" w:rsidRDefault="00FE2783" w:rsidP="00FE2783">
      <w:pPr>
        <w:pStyle w:val="Heading1"/>
        <w:rPr>
          <w:lang w:val="fr-CA"/>
        </w:rPr>
      </w:pPr>
      <w:r w:rsidRPr="002C2DB0">
        <w:rPr>
          <w:lang w:val="fr-CA"/>
        </w:rPr>
        <w:t>Des ateliers de formation ont été offerts et ont mené à la forma</w:t>
      </w:r>
      <w:r>
        <w:rPr>
          <w:lang w:val="fr-CA"/>
        </w:rPr>
        <w:t>tion de 70 maîtres formateurs à</w:t>
      </w:r>
      <w:r w:rsidRPr="002C2DB0">
        <w:rPr>
          <w:lang w:val="fr-CA"/>
        </w:rPr>
        <w:t xml:space="preserve"> ce jour et de 247 techniciens en installation et entretien d’équipement de réfrigération et climatisation, en manipulation sécuritaire de frigorigènes inflammables, et en sensibilisation au maintien de l’efficacité énergétique de l’équipement par l’application de bonnes pratiques d’entretien. L’achat d’équipement et d’outils pour l’Institut Lao-Corée pour le développement des compétences est en cours, afin de faciliter la formation durable des techniciens. Des efforts ont été entrepris pour intégrer les bonnes pratiques d’entretien de l’équipement de réfrigération et climatisation aux programmes de formation professionnelle existants dans le cadre du Programme d’enseignement et de formation technique et professionnelle.</w:t>
      </w:r>
    </w:p>
    <w:p w14:paraId="458FC24F" w14:textId="77777777" w:rsidR="00FE2783" w:rsidRPr="002C2DB0" w:rsidRDefault="00FE2783" w:rsidP="00FE2783">
      <w:pPr>
        <w:keepNext/>
        <w:numPr>
          <w:ilvl w:val="0"/>
          <w:numId w:val="1"/>
        </w:numPr>
        <w:spacing w:after="240"/>
        <w:outlineLvl w:val="0"/>
        <w:rPr>
          <w:lang w:val="fr-CA"/>
        </w:rPr>
      </w:pPr>
      <w:r w:rsidRPr="002C2DB0">
        <w:rPr>
          <w:lang w:val="fr-CA"/>
        </w:rPr>
        <w:t>Un SSFA a été signé entre le gouvernement de la République démocratique populaire lao et le PNUE depuis l’approbation de la troisième tranche à la 85</w:t>
      </w:r>
      <w:r w:rsidRPr="002C2DB0">
        <w:rPr>
          <w:vertAlign w:val="superscript"/>
          <w:lang w:val="fr-CA"/>
        </w:rPr>
        <w:t>e</w:t>
      </w:r>
      <w:r w:rsidRPr="002C2DB0">
        <w:rPr>
          <w:lang w:val="fr-CA"/>
        </w:rPr>
        <w:t xml:space="preserve"> réunion, afin de préciser les responsabilités légales de la mise en œuvre </w:t>
      </w:r>
      <w:r>
        <w:rPr>
          <w:lang w:val="fr-CA"/>
        </w:rPr>
        <w:t>et</w:t>
      </w:r>
      <w:r w:rsidRPr="002C2DB0">
        <w:rPr>
          <w:lang w:val="fr-CA"/>
        </w:rPr>
        <w:t xml:space="preserve"> de l’établissement de rapports, et le premier paiement de 11 750 $US a été décaissé. Le projet d’accord sur l’achat d’équipement et d’outils pour le centre de formation au titre du </w:t>
      </w:r>
      <w:r>
        <w:rPr>
          <w:lang w:val="fr-CA"/>
        </w:rPr>
        <w:t>volet de la France a été finalis</w:t>
      </w:r>
      <w:r w:rsidRPr="002C2DB0">
        <w:rPr>
          <w:lang w:val="fr-CA"/>
        </w:rPr>
        <w:t xml:space="preserve">é aux fins d’examen </w:t>
      </w:r>
      <w:r>
        <w:rPr>
          <w:lang w:val="fr-CA"/>
        </w:rPr>
        <w:t>et de</w:t>
      </w:r>
      <w:r w:rsidRPr="002C2DB0">
        <w:rPr>
          <w:lang w:val="fr-CA"/>
        </w:rPr>
        <w:t xml:space="preserve"> signature. L’équipement devrait être livré vers la fin de 2021.</w:t>
      </w:r>
    </w:p>
    <w:p w14:paraId="371E285E" w14:textId="77777777" w:rsidR="00FE2783" w:rsidRPr="002C2DB0" w:rsidRDefault="00FE2783" w:rsidP="00FE2783">
      <w:pPr>
        <w:pStyle w:val="Heading1"/>
        <w:rPr>
          <w:lang w:val="fr-CA"/>
        </w:rPr>
      </w:pPr>
      <w:r w:rsidRPr="002C2DB0">
        <w:rPr>
          <w:lang w:val="fr-CA"/>
        </w:rPr>
        <w:t>Le gouvernement a mis en œuvre des activités de facilitation pour la réduction progressive des HFC</w:t>
      </w:r>
      <w:r>
        <w:rPr>
          <w:lang w:val="fr-CA"/>
        </w:rPr>
        <w:t>,</w:t>
      </w:r>
      <w:r w:rsidRPr="002C2DB0">
        <w:rPr>
          <w:lang w:val="fr-CA"/>
        </w:rPr>
        <w:t xml:space="preserve"> et les HFC ont été inclus dans le programme de permis et de quotas et dans l’établissement de rapport</w:t>
      </w:r>
      <w:r>
        <w:rPr>
          <w:lang w:val="fr-CA"/>
        </w:rPr>
        <w:t>s</w:t>
      </w:r>
      <w:r w:rsidRPr="002C2DB0">
        <w:rPr>
          <w:lang w:val="fr-CA"/>
        </w:rPr>
        <w:t xml:space="preserve"> sur le programme de pays. La République démocratique populaire lao a ratifié l’Amendement de Kigali le 16 novembre 2017.</w:t>
      </w:r>
    </w:p>
    <w:p w14:paraId="1AFF658F" w14:textId="77777777" w:rsidR="00FE2783" w:rsidRPr="002C2DB0" w:rsidRDefault="00FE2783" w:rsidP="00FE2783">
      <w:pPr>
        <w:spacing w:after="240"/>
        <w:outlineLvl w:val="0"/>
        <w:rPr>
          <w:u w:val="single"/>
          <w:lang w:val="fr-CA"/>
        </w:rPr>
      </w:pPr>
      <w:r w:rsidRPr="002C2DB0">
        <w:rPr>
          <w:u w:val="single"/>
          <w:lang w:val="fr-CA"/>
        </w:rPr>
        <w:t>Niveau de décaissement</w:t>
      </w:r>
    </w:p>
    <w:p w14:paraId="52E7D665" w14:textId="593E5F01" w:rsidR="00FE2783" w:rsidRPr="002C2DB0" w:rsidRDefault="00FE2783" w:rsidP="00FE2783">
      <w:pPr>
        <w:numPr>
          <w:ilvl w:val="0"/>
          <w:numId w:val="1"/>
        </w:numPr>
        <w:spacing w:after="240"/>
        <w:outlineLvl w:val="0"/>
        <w:rPr>
          <w:lang w:val="fr-CA"/>
        </w:rPr>
      </w:pPr>
      <w:r w:rsidRPr="002C2DB0">
        <w:rPr>
          <w:lang w:val="fr-CA"/>
        </w:rPr>
        <w:t>Le PNUE a décaissé une part de 205 000 $US des 280 000 $US approuvés à ce jour. Les 45 000 $US approuvés pour le gouvernement de la France ont servi à l’achat d’équipement pour l’institut de formatio</w:t>
      </w:r>
      <w:r w:rsidR="00023070">
        <w:rPr>
          <w:lang w:val="fr-CA"/>
        </w:rPr>
        <w:t>n, qui devrait être livré d’ici</w:t>
      </w:r>
      <w:r w:rsidRPr="002C2DB0">
        <w:rPr>
          <w:lang w:val="fr-CA"/>
        </w:rPr>
        <w:t xml:space="preserve"> la fin de 2021. </w:t>
      </w:r>
    </w:p>
    <w:p w14:paraId="2318CA6B" w14:textId="77777777" w:rsidR="00FE2783" w:rsidRPr="002C2DB0" w:rsidRDefault="00FE2783" w:rsidP="00FE2783">
      <w:pPr>
        <w:keepNext/>
        <w:spacing w:after="240"/>
        <w:rPr>
          <w:b/>
          <w:lang w:val="fr-CA"/>
        </w:rPr>
      </w:pPr>
      <w:r>
        <w:rPr>
          <w:b/>
          <w:lang w:val="fr-CA"/>
        </w:rPr>
        <w:t>Observations du Secrétariat</w:t>
      </w:r>
    </w:p>
    <w:p w14:paraId="091A29AA" w14:textId="77777777" w:rsidR="00FE2783" w:rsidRPr="002C2DB0" w:rsidRDefault="00FE2783" w:rsidP="00FE2783">
      <w:pPr>
        <w:numPr>
          <w:ilvl w:val="0"/>
          <w:numId w:val="1"/>
        </w:numPr>
        <w:spacing w:after="240"/>
        <w:outlineLvl w:val="0"/>
        <w:rPr>
          <w:lang w:val="fr-CA"/>
        </w:rPr>
      </w:pPr>
      <w:r w:rsidRPr="002C2DB0">
        <w:rPr>
          <w:lang w:val="fr-CA"/>
        </w:rPr>
        <w:t xml:space="preserve">Le Secrétariat a pris note des efforts déployés par le gouvernement de la République démocratique populaire lao, le PNUE et le gouvernement de la France pour achever les activités prévues à la troisième </w:t>
      </w:r>
      <w:r w:rsidRPr="002C2DB0">
        <w:rPr>
          <w:lang w:val="fr-CA"/>
        </w:rPr>
        <w:lastRenderedPageBreak/>
        <w:t>tranche de la phase I d</w:t>
      </w:r>
      <w:r>
        <w:rPr>
          <w:lang w:val="fr-CA"/>
        </w:rPr>
        <w:t>u PGEH avant le 31 décembre 2021</w:t>
      </w:r>
      <w:r w:rsidRPr="002C2DB0">
        <w:rPr>
          <w:lang w:val="fr-CA"/>
        </w:rPr>
        <w:t xml:space="preserve">. Nonobstant ces efforts, il est peu probable que le projet soit achevé d’ici à la fin de 2021 à cause des retards causés par la </w:t>
      </w:r>
      <w:r>
        <w:rPr>
          <w:lang w:val="fr-CA"/>
        </w:rPr>
        <w:t xml:space="preserve">pandémie de la </w:t>
      </w:r>
      <w:r w:rsidRPr="002C2DB0">
        <w:rPr>
          <w:lang w:val="fr-CA"/>
        </w:rPr>
        <w:t>COVID-19. Le PNUE a expliqué que le pays subit une nouvelle vague de la COVID-19 plus grave qu’en 2020, ce qui crée d’importants retards dans la mise en œuvre des activités du PGEH. En particulier, les ateliers de formation des techniciens (prévus à la troisième tranche) ne peuvent pas être organisés car les rassemblements public</w:t>
      </w:r>
      <w:r>
        <w:rPr>
          <w:lang w:val="fr-CA"/>
        </w:rPr>
        <w:t>s ne sont pas permis et les expe</w:t>
      </w:r>
      <w:r w:rsidRPr="002C2DB0">
        <w:rPr>
          <w:lang w:val="fr-CA"/>
        </w:rPr>
        <w:t>rts offrant un soutien technique ne peuvent pas voyager à l’étranger; l’accord entre les gouvernements de la République démocratique populaire lao et de la France (coopération bilatérale) n’a pas encore été signé; et le virement de fonds pour l’achat d’équipement pour les centres de formation est en cours d’approbation par le ministère de la Planification et des Investissements, qui est occupé avec la COVID-19.</w:t>
      </w:r>
    </w:p>
    <w:p w14:paraId="4BBD1A7A" w14:textId="77777777" w:rsidR="00FE2783" w:rsidRPr="002C2DB0" w:rsidRDefault="00FE2783" w:rsidP="00FE2783">
      <w:pPr>
        <w:numPr>
          <w:ilvl w:val="0"/>
          <w:numId w:val="1"/>
        </w:numPr>
        <w:spacing w:after="240"/>
        <w:outlineLvl w:val="0"/>
        <w:rPr>
          <w:lang w:val="fr-CA"/>
        </w:rPr>
      </w:pPr>
      <w:r w:rsidRPr="002C2DB0">
        <w:rPr>
          <w:lang w:val="fr-CA"/>
        </w:rPr>
        <w:t>Le Secrétariat a pris note que la prorogation d’un an de la date d’achèvement de la phase I du PGEH permettrait au gouvernement de la République démocratique populaire lao, au PNUE et au gouvernement de la France d’achever toutes les activités restantes du PGEH.</w:t>
      </w:r>
    </w:p>
    <w:p w14:paraId="30AD8B3E" w14:textId="77777777" w:rsidR="00FE2783" w:rsidRPr="002C2DB0" w:rsidRDefault="00FE2783" w:rsidP="00FE2783">
      <w:pPr>
        <w:keepNext/>
        <w:keepLines/>
        <w:spacing w:after="240"/>
        <w:rPr>
          <w:b/>
          <w:lang w:val="fr-CA"/>
        </w:rPr>
      </w:pPr>
      <w:r w:rsidRPr="002C2DB0">
        <w:rPr>
          <w:b/>
          <w:lang w:val="fr-CA"/>
        </w:rPr>
        <w:t>Recommandation</w:t>
      </w:r>
    </w:p>
    <w:p w14:paraId="0CC3A9F6" w14:textId="77777777" w:rsidR="00FE2783" w:rsidRPr="002C2DB0" w:rsidRDefault="00FE2783" w:rsidP="00FE2783">
      <w:pPr>
        <w:numPr>
          <w:ilvl w:val="0"/>
          <w:numId w:val="1"/>
        </w:numPr>
        <w:spacing w:after="240"/>
        <w:outlineLvl w:val="0"/>
        <w:rPr>
          <w:lang w:val="fr-CA"/>
        </w:rPr>
      </w:pPr>
      <w:r w:rsidRPr="002C2DB0">
        <w:rPr>
          <w:lang w:val="fr-CA"/>
        </w:rPr>
        <w:t>Le Comité exécutif pourrait souhaiter :</w:t>
      </w:r>
    </w:p>
    <w:p w14:paraId="495BED13" w14:textId="06B2BD4D" w:rsidR="00FE2783" w:rsidRPr="002C2DB0" w:rsidRDefault="00FE2783" w:rsidP="00FE2783">
      <w:pPr>
        <w:widowControl w:val="0"/>
        <w:numPr>
          <w:ilvl w:val="1"/>
          <w:numId w:val="1"/>
        </w:numPr>
        <w:tabs>
          <w:tab w:val="num" w:pos="557"/>
        </w:tabs>
        <w:spacing w:after="240"/>
        <w:outlineLvl w:val="1"/>
        <w:rPr>
          <w:lang w:val="fr-CA"/>
        </w:rPr>
      </w:pPr>
      <w:r w:rsidRPr="002C2DB0">
        <w:rPr>
          <w:lang w:val="fr-CA"/>
        </w:rPr>
        <w:t xml:space="preserve">Prendre note du rapport périodique sur la mise en œuvre du programme de travail de la phase I du plan de gestion de l'élimination des HCFC (PGEH) pour la République démocratique populaire lao et de la demande de prorogation soumise par le </w:t>
      </w:r>
      <w:r w:rsidR="00023070" w:rsidRPr="002C2DB0">
        <w:rPr>
          <w:lang w:val="fr-CA"/>
        </w:rPr>
        <w:t>PNUE, présentés</w:t>
      </w:r>
      <w:r w:rsidRPr="002C2DB0">
        <w:rPr>
          <w:lang w:val="fr-CA"/>
        </w:rPr>
        <w:t xml:space="preserve"> dans le document UNEP/OzL.Pro/ExCom/87/9</w:t>
      </w:r>
      <w:r w:rsidR="00023070">
        <w:rPr>
          <w:lang w:val="fr-CA"/>
        </w:rPr>
        <w:t xml:space="preserve"> </w:t>
      </w:r>
      <w:r w:rsidRPr="002C2DB0">
        <w:rPr>
          <w:lang w:val="fr-CA"/>
        </w:rPr>
        <w:t>;</w:t>
      </w:r>
    </w:p>
    <w:p w14:paraId="66A2E045" w14:textId="7670FBA8" w:rsidR="00FE2783" w:rsidRPr="002C2DB0" w:rsidRDefault="00FE2783" w:rsidP="00FE2783">
      <w:pPr>
        <w:pStyle w:val="Heading2"/>
        <w:rPr>
          <w:lang w:val="fr-CA"/>
        </w:rPr>
      </w:pPr>
      <w:r w:rsidRPr="002C2DB0">
        <w:rPr>
          <w:lang w:val="fr-CA"/>
        </w:rPr>
        <w:t xml:space="preserve">Proroger, à titre exceptionnel, la date d’achèvement de la phase I du PGEH de la République démocratique populaire lao au 31 décembre 2022, à cause des retards </w:t>
      </w:r>
      <w:r>
        <w:rPr>
          <w:lang w:val="fr-CA"/>
        </w:rPr>
        <w:t>causés</w:t>
      </w:r>
      <w:r w:rsidRPr="002C2DB0">
        <w:rPr>
          <w:lang w:val="fr-CA"/>
        </w:rPr>
        <w:t xml:space="preserve"> par la pandémie de la COVID-19, étant entendu qu’aucune autre prorogation ne serait demandée</w:t>
      </w:r>
      <w:r w:rsidR="00023070">
        <w:rPr>
          <w:lang w:val="fr-CA"/>
        </w:rPr>
        <w:t xml:space="preserve"> </w:t>
      </w:r>
      <w:r w:rsidRPr="002C2DB0">
        <w:rPr>
          <w:lang w:val="fr-CA"/>
        </w:rPr>
        <w:t>;</w:t>
      </w:r>
      <w:r w:rsidR="00023070">
        <w:rPr>
          <w:lang w:val="fr-CA"/>
        </w:rPr>
        <w:t xml:space="preserve"> et</w:t>
      </w:r>
    </w:p>
    <w:p w14:paraId="1182A643" w14:textId="77777777" w:rsidR="00FE2783" w:rsidRPr="002C2DB0" w:rsidRDefault="00FE2783" w:rsidP="00FE2783">
      <w:pPr>
        <w:widowControl w:val="0"/>
        <w:numPr>
          <w:ilvl w:val="1"/>
          <w:numId w:val="1"/>
        </w:numPr>
        <w:tabs>
          <w:tab w:val="num" w:pos="557"/>
        </w:tabs>
        <w:spacing w:after="240"/>
        <w:outlineLvl w:val="1"/>
        <w:rPr>
          <w:lang w:val="fr-CA"/>
        </w:rPr>
      </w:pPr>
      <w:r w:rsidRPr="002C2DB0">
        <w:rPr>
          <w:lang w:val="fr-CA"/>
        </w:rPr>
        <w:t xml:space="preserve">Demander au gouvernement de la République démocratique populaire lao, au PNUE et au gouvernement de la France de </w:t>
      </w:r>
      <w:r>
        <w:rPr>
          <w:lang w:val="fr-CA"/>
        </w:rPr>
        <w:t>remettre</w:t>
      </w:r>
      <w:r w:rsidRPr="002C2DB0">
        <w:rPr>
          <w:lang w:val="fr-CA"/>
        </w:rPr>
        <w:t xml:space="preserve"> un rapport d’achèvement de projet à la première réunion de 2023.</w:t>
      </w:r>
    </w:p>
    <w:p w14:paraId="5C312118" w14:textId="77777777" w:rsidR="00FE2783" w:rsidRPr="002C2DB0" w:rsidRDefault="00FE2783" w:rsidP="00FE2783">
      <w:pPr>
        <w:keepNext/>
        <w:keepLines/>
        <w:spacing w:after="240"/>
        <w:rPr>
          <w:lang w:val="fr-CA"/>
        </w:rPr>
      </w:pPr>
      <w:r w:rsidRPr="00023070">
        <w:rPr>
          <w:u w:val="single"/>
          <w:lang w:val="fr-CA"/>
        </w:rPr>
        <w:t>Malaisie : Plan de gestion de l'élimination des HCFC (phase II : changement de technologie dans neuf entreprises et réaffectation des fonds</w:t>
      </w:r>
      <w:r w:rsidRPr="00023070">
        <w:rPr>
          <w:lang w:val="fr-CA"/>
        </w:rPr>
        <w:t xml:space="preserve"> (PNUD)</w:t>
      </w:r>
    </w:p>
    <w:p w14:paraId="63CF7DDE" w14:textId="77777777" w:rsidR="00FE2783" w:rsidRPr="002C2DB0" w:rsidRDefault="00FE2783" w:rsidP="00FE2783">
      <w:pPr>
        <w:keepNext/>
        <w:keepLines/>
        <w:widowControl w:val="0"/>
        <w:spacing w:after="240"/>
        <w:rPr>
          <w:b/>
          <w:lang w:val="fr-CA"/>
        </w:rPr>
      </w:pPr>
      <w:r w:rsidRPr="002C2DB0">
        <w:rPr>
          <w:b/>
          <w:lang w:val="fr-CA"/>
        </w:rPr>
        <w:t>Contexte</w:t>
      </w:r>
    </w:p>
    <w:p w14:paraId="2A1C99EC" w14:textId="77777777" w:rsidR="00FE2783" w:rsidRPr="002C2DB0" w:rsidRDefault="00FE2783" w:rsidP="00FE2783">
      <w:pPr>
        <w:numPr>
          <w:ilvl w:val="0"/>
          <w:numId w:val="1"/>
        </w:numPr>
        <w:spacing w:after="240"/>
        <w:outlineLvl w:val="0"/>
        <w:rPr>
          <w:lang w:val="fr-CA"/>
        </w:rPr>
      </w:pPr>
      <w:r w:rsidRPr="002C2DB0">
        <w:rPr>
          <w:lang w:val="fr-CA"/>
        </w:rPr>
        <w:t>Le Comité exécutif, à sa 77</w:t>
      </w:r>
      <w:r w:rsidRPr="002C2DB0">
        <w:rPr>
          <w:vertAlign w:val="superscript"/>
          <w:lang w:val="fr-CA"/>
        </w:rPr>
        <w:t>e</w:t>
      </w:r>
      <w:r w:rsidRPr="002C2DB0">
        <w:rPr>
          <w:lang w:val="fr-CA"/>
        </w:rPr>
        <w:t xml:space="preserve"> réunion, a approuv</w:t>
      </w:r>
      <w:r>
        <w:rPr>
          <w:lang w:val="fr-CA"/>
        </w:rPr>
        <w:t>é,</w:t>
      </w:r>
      <w:r w:rsidRPr="002C2DB0">
        <w:rPr>
          <w:lang w:val="fr-CA"/>
        </w:rPr>
        <w:t xml:space="preserve"> en principe</w:t>
      </w:r>
      <w:r>
        <w:rPr>
          <w:lang w:val="fr-CA"/>
        </w:rPr>
        <w:t>,</w:t>
      </w:r>
      <w:r w:rsidRPr="002C2DB0">
        <w:rPr>
          <w:lang w:val="fr-CA"/>
        </w:rPr>
        <w:t xml:space="preserve"> la phase II du PGEH pour la Malaisie</w:t>
      </w:r>
      <w:r w:rsidRPr="002C2DB0">
        <w:rPr>
          <w:vertAlign w:val="superscript"/>
          <w:lang w:val="fr-CA"/>
        </w:rPr>
        <w:footnoteReference w:id="25"/>
      </w:r>
      <w:r w:rsidRPr="002C2DB0">
        <w:rPr>
          <w:lang w:val="fr-CA"/>
        </w:rPr>
        <w:t xml:space="preserve"> pour la période 2016 à 2022 afin de réduire </w:t>
      </w:r>
      <w:r>
        <w:rPr>
          <w:lang w:val="fr-CA"/>
        </w:rPr>
        <w:t xml:space="preserve">sa </w:t>
      </w:r>
      <w:r w:rsidRPr="002C2DB0">
        <w:rPr>
          <w:lang w:val="fr-CA"/>
        </w:rPr>
        <w:t>consommation de HCFC de 42,9 pour cent par rapport à sa valeur de référence, pour la somme de 6 138</w:t>
      </w:r>
      <w:r>
        <w:rPr>
          <w:lang w:val="fr-CA"/>
        </w:rPr>
        <w:t> </w:t>
      </w:r>
      <w:r w:rsidRPr="002C2DB0">
        <w:rPr>
          <w:lang w:val="fr-CA"/>
        </w:rPr>
        <w:t>063</w:t>
      </w:r>
      <w:r>
        <w:rPr>
          <w:lang w:val="fr-CA"/>
        </w:rPr>
        <w:t xml:space="preserve"> $US</w:t>
      </w:r>
      <w:r w:rsidRPr="002C2DB0">
        <w:rPr>
          <w:lang w:val="fr-CA"/>
        </w:rPr>
        <w:t xml:space="preserve"> plus les coûts d’appui de 429 665 $U$ pour le PNUD.</w:t>
      </w:r>
    </w:p>
    <w:p w14:paraId="2649B845" w14:textId="44CB6670" w:rsidR="00FE2783" w:rsidRPr="002C2DB0" w:rsidRDefault="00FE2783" w:rsidP="00FE2783">
      <w:pPr>
        <w:numPr>
          <w:ilvl w:val="0"/>
          <w:numId w:val="1"/>
        </w:numPr>
        <w:spacing w:after="240"/>
        <w:outlineLvl w:val="0"/>
        <w:rPr>
          <w:rFonts w:eastAsia="SimSun"/>
          <w:lang w:val="fr-CA" w:eastAsia="zh-CN"/>
        </w:rPr>
      </w:pPr>
      <w:r w:rsidRPr="002C2DB0">
        <w:rPr>
          <w:lang w:val="fr-CA"/>
        </w:rPr>
        <w:t>La phase II comprenait le soutien financier pour la reconversion de 67 entreprises de mousse de polyuréthanne, dont 57 PME, à des technologies de remplacement à faible PRG</w:t>
      </w:r>
      <w:r w:rsidR="0074773B">
        <w:rPr>
          <w:lang w:val="fr-CA"/>
        </w:rPr>
        <w:t xml:space="preserve"> </w:t>
      </w:r>
      <w:r w:rsidRPr="002C2DB0">
        <w:rPr>
          <w:lang w:val="fr-CA"/>
        </w:rPr>
        <w:t xml:space="preserve">; dix entreprises </w:t>
      </w:r>
      <w:r>
        <w:rPr>
          <w:lang w:val="fr-CA"/>
        </w:rPr>
        <w:t xml:space="preserve">de plus qui n’étaient pas admissibles </w:t>
      </w:r>
      <w:r w:rsidRPr="002C2DB0">
        <w:rPr>
          <w:lang w:val="fr-CA"/>
        </w:rPr>
        <w:t xml:space="preserve">avaient prévu éliminer </w:t>
      </w:r>
      <w:r>
        <w:rPr>
          <w:lang w:val="fr-CA"/>
        </w:rPr>
        <w:t>leur consommation s</w:t>
      </w:r>
      <w:r w:rsidRPr="002C2DB0">
        <w:rPr>
          <w:lang w:val="fr-CA"/>
        </w:rPr>
        <w:t>ans le soutien du Fonds multilatéral, ce qui aboutirait à l’élimination complète du HCFC-141b dans le secteur de la mousse de polyuréthanne d’ici au 1</w:t>
      </w:r>
      <w:r w:rsidRPr="002C2DB0">
        <w:rPr>
          <w:vertAlign w:val="superscript"/>
          <w:lang w:val="fr-CA"/>
        </w:rPr>
        <w:t>er</w:t>
      </w:r>
      <w:r w:rsidRPr="002C2DB0">
        <w:rPr>
          <w:lang w:val="fr-CA"/>
        </w:rPr>
        <w:t xml:space="preserve"> janvier 2022. Une approche par étapes était prévue, dans le cadre de laquelle les grandes entreprises dont </w:t>
      </w:r>
      <w:r>
        <w:rPr>
          <w:lang w:val="fr-CA"/>
        </w:rPr>
        <w:t>la consommation était de 20 tonn</w:t>
      </w:r>
      <w:r w:rsidRPr="002C2DB0">
        <w:rPr>
          <w:lang w:val="fr-CA"/>
        </w:rPr>
        <w:t>es métrique</w:t>
      </w:r>
      <w:r>
        <w:rPr>
          <w:lang w:val="fr-CA"/>
        </w:rPr>
        <w:t>s</w:t>
      </w:r>
      <w:r w:rsidRPr="002C2DB0">
        <w:rPr>
          <w:lang w:val="fr-CA"/>
        </w:rPr>
        <w:t xml:space="preserve"> (</w:t>
      </w:r>
      <w:proofErr w:type="spellStart"/>
      <w:r w:rsidRPr="002C2DB0">
        <w:rPr>
          <w:lang w:val="fr-CA"/>
        </w:rPr>
        <w:t>tm</w:t>
      </w:r>
      <w:proofErr w:type="spellEnd"/>
      <w:r w:rsidRPr="002C2DB0">
        <w:rPr>
          <w:lang w:val="fr-CA"/>
        </w:rPr>
        <w:t xml:space="preserve">) ou plus reconvertiraient leurs </w:t>
      </w:r>
      <w:r w:rsidRPr="002C2DB0">
        <w:rPr>
          <w:lang w:val="fr-CA"/>
        </w:rPr>
        <w:lastRenderedPageBreak/>
        <w:t xml:space="preserve">activités au cyclopentane pur ou </w:t>
      </w:r>
      <w:proofErr w:type="spellStart"/>
      <w:r w:rsidRPr="002C2DB0">
        <w:rPr>
          <w:lang w:val="fr-CA"/>
        </w:rPr>
        <w:t>prémélangé</w:t>
      </w:r>
      <w:proofErr w:type="spellEnd"/>
      <w:r w:rsidRPr="002C2DB0">
        <w:rPr>
          <w:lang w:val="fr-CA"/>
        </w:rPr>
        <w:t xml:space="preserve"> dans des formules de polyols</w:t>
      </w:r>
      <w:r>
        <w:rPr>
          <w:lang w:val="fr-CA"/>
        </w:rPr>
        <w:t>,</w:t>
      </w:r>
      <w:r w:rsidRPr="002C2DB0">
        <w:rPr>
          <w:rStyle w:val="FootnoteReference"/>
          <w:lang w:val="fr-CA"/>
        </w:rPr>
        <w:footnoteReference w:id="26"/>
      </w:r>
      <w:r w:rsidRPr="002C2DB0">
        <w:rPr>
          <w:lang w:val="fr-CA"/>
        </w:rPr>
        <w:t xml:space="preserve"> et les plus petites entreprises reconvertiraient leurs activité</w:t>
      </w:r>
      <w:r>
        <w:rPr>
          <w:lang w:val="fr-CA"/>
        </w:rPr>
        <w:t>s à des formules réduites de HFO</w:t>
      </w:r>
      <w:r w:rsidRPr="002C2DB0">
        <w:rPr>
          <w:lang w:val="fr-CA"/>
        </w:rPr>
        <w:t xml:space="preserve"> ou même </w:t>
      </w:r>
      <w:r>
        <w:rPr>
          <w:lang w:val="fr-CA"/>
        </w:rPr>
        <w:t>au</w:t>
      </w:r>
      <w:r w:rsidRPr="002C2DB0">
        <w:rPr>
          <w:lang w:val="fr-CA"/>
        </w:rPr>
        <w:t xml:space="preserve"> </w:t>
      </w:r>
      <w:proofErr w:type="spellStart"/>
      <w:r w:rsidRPr="002C2DB0">
        <w:rPr>
          <w:lang w:val="fr-CA"/>
        </w:rPr>
        <w:t>méthylal</w:t>
      </w:r>
      <w:proofErr w:type="spellEnd"/>
      <w:r w:rsidRPr="002C2DB0">
        <w:rPr>
          <w:lang w:val="fr-CA"/>
        </w:rPr>
        <w:t xml:space="preserve">, aux deuxième et troisièmes tranches. </w:t>
      </w:r>
    </w:p>
    <w:p w14:paraId="752EF81E" w14:textId="51AC3DCC" w:rsidR="00FE2783" w:rsidRPr="002C2DB0" w:rsidRDefault="00FE2783" w:rsidP="00FE2783">
      <w:pPr>
        <w:widowControl w:val="0"/>
        <w:numPr>
          <w:ilvl w:val="0"/>
          <w:numId w:val="1"/>
        </w:numPr>
        <w:spacing w:after="240"/>
        <w:outlineLvl w:val="0"/>
        <w:rPr>
          <w:lang w:val="fr-CA"/>
        </w:rPr>
      </w:pPr>
      <w:r>
        <w:rPr>
          <w:lang w:val="fr-CA"/>
        </w:rPr>
        <w:t xml:space="preserve">Le </w:t>
      </w:r>
      <w:r w:rsidRPr="002C2DB0">
        <w:rPr>
          <w:lang w:val="fr-CA"/>
        </w:rPr>
        <w:t xml:space="preserve">PNUE a </w:t>
      </w:r>
      <w:r>
        <w:rPr>
          <w:lang w:val="fr-CA"/>
        </w:rPr>
        <w:t>informé la 84</w:t>
      </w:r>
      <w:r w:rsidRPr="009631F1">
        <w:rPr>
          <w:vertAlign w:val="superscript"/>
          <w:lang w:val="fr-CA"/>
        </w:rPr>
        <w:t>e</w:t>
      </w:r>
      <w:r>
        <w:rPr>
          <w:lang w:val="fr-CA"/>
        </w:rPr>
        <w:t xml:space="preserve"> réunion</w:t>
      </w:r>
      <w:r w:rsidRPr="002C2DB0">
        <w:rPr>
          <w:lang w:val="fr-CA"/>
        </w:rPr>
        <w:t xml:space="preserve"> que sept PME (</w:t>
      </w:r>
      <w:proofErr w:type="spellStart"/>
      <w:r w:rsidRPr="002C2DB0">
        <w:rPr>
          <w:lang w:val="fr-CA"/>
        </w:rPr>
        <w:t>Allied</w:t>
      </w:r>
      <w:proofErr w:type="spellEnd"/>
      <w:r w:rsidRPr="002C2DB0">
        <w:rPr>
          <w:lang w:val="fr-CA"/>
        </w:rPr>
        <w:t xml:space="preserve"> </w:t>
      </w:r>
      <w:proofErr w:type="spellStart"/>
      <w:r w:rsidRPr="002C2DB0">
        <w:rPr>
          <w:lang w:val="fr-CA"/>
        </w:rPr>
        <w:t>Foam</w:t>
      </w:r>
      <w:proofErr w:type="spellEnd"/>
      <w:r w:rsidRPr="002C2DB0">
        <w:rPr>
          <w:lang w:val="fr-CA"/>
        </w:rPr>
        <w:t xml:space="preserve">, </w:t>
      </w:r>
      <w:proofErr w:type="spellStart"/>
      <w:r w:rsidRPr="002C2DB0">
        <w:rPr>
          <w:lang w:val="fr-CA"/>
        </w:rPr>
        <w:t>Astino</w:t>
      </w:r>
      <w:proofErr w:type="spellEnd"/>
      <w:r w:rsidRPr="002C2DB0">
        <w:rPr>
          <w:lang w:val="fr-CA"/>
        </w:rPr>
        <w:t xml:space="preserve">, Century, Gai </w:t>
      </w:r>
      <w:proofErr w:type="spellStart"/>
      <w:r w:rsidRPr="002C2DB0">
        <w:rPr>
          <w:lang w:val="fr-CA"/>
        </w:rPr>
        <w:t>Hin</w:t>
      </w:r>
      <w:proofErr w:type="spellEnd"/>
      <w:r w:rsidRPr="002C2DB0">
        <w:rPr>
          <w:lang w:val="fr-CA"/>
        </w:rPr>
        <w:t xml:space="preserve">, </w:t>
      </w:r>
      <w:proofErr w:type="spellStart"/>
      <w:r w:rsidRPr="002C2DB0">
        <w:rPr>
          <w:lang w:val="fr-CA"/>
        </w:rPr>
        <w:t>Hewgant</w:t>
      </w:r>
      <w:proofErr w:type="spellEnd"/>
      <w:r w:rsidRPr="002C2DB0">
        <w:rPr>
          <w:lang w:val="fr-CA"/>
        </w:rPr>
        <w:t xml:space="preserve">, </w:t>
      </w:r>
      <w:proofErr w:type="spellStart"/>
      <w:r w:rsidRPr="002C2DB0">
        <w:rPr>
          <w:lang w:val="fr-CA"/>
        </w:rPr>
        <w:t>Insulated</w:t>
      </w:r>
      <w:proofErr w:type="spellEnd"/>
      <w:r w:rsidRPr="002C2DB0">
        <w:rPr>
          <w:lang w:val="fr-CA"/>
        </w:rPr>
        <w:t xml:space="preserve"> Box et Roto Speed) songeaient à c</w:t>
      </w:r>
      <w:r>
        <w:rPr>
          <w:lang w:val="fr-CA"/>
        </w:rPr>
        <w:t>hanger de technologie, des HFO</w:t>
      </w:r>
      <w:r w:rsidRPr="002C2DB0">
        <w:rPr>
          <w:lang w:val="fr-CA"/>
        </w:rPr>
        <w:t xml:space="preserve"> au cyclopentane </w:t>
      </w:r>
      <w:proofErr w:type="spellStart"/>
      <w:r w:rsidRPr="002C2DB0">
        <w:rPr>
          <w:lang w:val="fr-CA"/>
        </w:rPr>
        <w:t>prémélangé</w:t>
      </w:r>
      <w:proofErr w:type="spellEnd"/>
      <w:r>
        <w:rPr>
          <w:lang w:val="fr-CA"/>
        </w:rPr>
        <w:t>,</w:t>
      </w:r>
      <w:r w:rsidRPr="002C2DB0">
        <w:rPr>
          <w:lang w:val="fr-CA"/>
        </w:rPr>
        <w:t xml:space="preserve"> à cause de l’incertitude entourant un approvisionnement stable </w:t>
      </w:r>
      <w:r>
        <w:rPr>
          <w:lang w:val="fr-CA"/>
        </w:rPr>
        <w:t>en</w:t>
      </w:r>
      <w:r w:rsidRPr="002C2DB0">
        <w:rPr>
          <w:lang w:val="fr-CA"/>
        </w:rPr>
        <w:t xml:space="preserve"> agents de gonflage à base </w:t>
      </w:r>
      <w:r>
        <w:rPr>
          <w:lang w:val="fr-CA"/>
        </w:rPr>
        <w:t>de HFO</w:t>
      </w:r>
      <w:r w:rsidRPr="002C2DB0">
        <w:rPr>
          <w:lang w:val="fr-CA"/>
        </w:rPr>
        <w:t xml:space="preserve"> et </w:t>
      </w:r>
      <w:r>
        <w:rPr>
          <w:lang w:val="fr-CA"/>
        </w:rPr>
        <w:t xml:space="preserve">de </w:t>
      </w:r>
      <w:r w:rsidRPr="002C2DB0">
        <w:rPr>
          <w:lang w:val="fr-CA"/>
        </w:rPr>
        <w:t xml:space="preserve">la disponibilité immédiate </w:t>
      </w:r>
      <w:r>
        <w:rPr>
          <w:lang w:val="fr-CA"/>
        </w:rPr>
        <w:t xml:space="preserve">à des fins commerciales </w:t>
      </w:r>
      <w:r w:rsidRPr="002C2DB0">
        <w:rPr>
          <w:lang w:val="fr-CA"/>
        </w:rPr>
        <w:t xml:space="preserve">des formules de polyols </w:t>
      </w:r>
      <w:proofErr w:type="spellStart"/>
      <w:r w:rsidRPr="002C2DB0">
        <w:rPr>
          <w:lang w:val="fr-CA"/>
        </w:rPr>
        <w:t>prémélangés</w:t>
      </w:r>
      <w:proofErr w:type="spellEnd"/>
      <w:r w:rsidRPr="002C2DB0">
        <w:rPr>
          <w:lang w:val="fr-CA"/>
        </w:rPr>
        <w:t xml:space="preserve"> à base de cyclopentane dans les sociétés de formulation au pays; ces PME prendront une décision finale lorsque des essais auront été menés sur les différentes formules. Le PNUD a aussi confirmé que ces entreprises cofinanceraient les coûts supplémentaires, si elles </w:t>
      </w:r>
      <w:r>
        <w:rPr>
          <w:lang w:val="fr-CA"/>
        </w:rPr>
        <w:t>décidaient</w:t>
      </w:r>
      <w:r w:rsidRPr="002C2DB0">
        <w:rPr>
          <w:lang w:val="fr-CA"/>
        </w:rPr>
        <w:t xml:space="preserve"> de changer de technologie. Le Secrétariat a évalué les surcoûts admissibles de la reconversion aux formules de polyols </w:t>
      </w:r>
      <w:proofErr w:type="spellStart"/>
      <w:r w:rsidRPr="002C2DB0">
        <w:rPr>
          <w:lang w:val="fr-CA"/>
        </w:rPr>
        <w:t>prémélangés</w:t>
      </w:r>
      <w:proofErr w:type="spellEnd"/>
      <w:r w:rsidRPr="002C2DB0">
        <w:rPr>
          <w:lang w:val="fr-CA"/>
        </w:rPr>
        <w:t xml:space="preserve"> à base de cyclopentane au cours de processus d’examen, et a conclu que ce changement de technologie </w:t>
      </w:r>
      <w:r>
        <w:rPr>
          <w:lang w:val="fr-CA"/>
        </w:rPr>
        <w:t xml:space="preserve">n’entraînerait aucune économie. </w:t>
      </w:r>
      <w:r w:rsidRPr="002C2DB0">
        <w:rPr>
          <w:lang w:val="fr-CA"/>
        </w:rPr>
        <w:t xml:space="preserve">Le Comité exécutif a donc décidé que ces entreprises pourraient changer </w:t>
      </w:r>
      <w:r>
        <w:rPr>
          <w:lang w:val="fr-CA"/>
        </w:rPr>
        <w:t>pour une</w:t>
      </w:r>
      <w:r w:rsidRPr="002C2DB0">
        <w:rPr>
          <w:lang w:val="fr-CA"/>
        </w:rPr>
        <w:t xml:space="preserve"> technologie au cyclopentane </w:t>
      </w:r>
      <w:proofErr w:type="spellStart"/>
      <w:r w:rsidRPr="002C2DB0">
        <w:rPr>
          <w:lang w:val="fr-CA"/>
        </w:rPr>
        <w:t>prémélangé</w:t>
      </w:r>
      <w:proofErr w:type="spellEnd"/>
      <w:r w:rsidRPr="002C2DB0">
        <w:rPr>
          <w:lang w:val="fr-CA"/>
        </w:rPr>
        <w:t xml:space="preserve"> pendant la mise en œuvre, si elles le </w:t>
      </w:r>
      <w:r>
        <w:rPr>
          <w:lang w:val="fr-CA"/>
        </w:rPr>
        <w:t>souhaitaient</w:t>
      </w:r>
      <w:r w:rsidRPr="002C2DB0">
        <w:rPr>
          <w:lang w:val="fr-CA"/>
        </w:rPr>
        <w:t xml:space="preserve">, étant entendu que les reconversions ne </w:t>
      </w:r>
      <w:r>
        <w:rPr>
          <w:lang w:val="fr-CA"/>
        </w:rPr>
        <w:t>devront</w:t>
      </w:r>
      <w:r w:rsidRPr="002C2DB0">
        <w:rPr>
          <w:lang w:val="fr-CA"/>
        </w:rPr>
        <w:t xml:space="preserve"> pas être retardées et que tous les coûts supplémentaires engagés </w:t>
      </w:r>
      <w:r>
        <w:rPr>
          <w:lang w:val="fr-CA"/>
        </w:rPr>
        <w:t>devront être</w:t>
      </w:r>
      <w:r w:rsidRPr="002C2DB0">
        <w:rPr>
          <w:lang w:val="fr-CA"/>
        </w:rPr>
        <w:t xml:space="preserve"> payés par les entreprises</w:t>
      </w:r>
      <w:r w:rsidR="0074773B">
        <w:rPr>
          <w:lang w:val="fr-CA"/>
        </w:rPr>
        <w:t xml:space="preserve"> </w:t>
      </w:r>
      <w:r w:rsidRPr="002C2DB0">
        <w:rPr>
          <w:lang w:val="fr-CA"/>
        </w:rPr>
        <w:t xml:space="preserve">; le PNUE ferait rapport sur la question </w:t>
      </w:r>
      <w:r>
        <w:rPr>
          <w:lang w:val="fr-CA"/>
        </w:rPr>
        <w:t>en présentant</w:t>
      </w:r>
      <w:r w:rsidRPr="002C2DB0">
        <w:rPr>
          <w:lang w:val="fr-CA"/>
        </w:rPr>
        <w:t xml:space="preserve"> sa demande pour la troisième tranche du PGEH (décision 84/77 b)).</w:t>
      </w:r>
    </w:p>
    <w:p w14:paraId="25F19AED" w14:textId="77777777" w:rsidR="00FE2783" w:rsidRPr="002C2DB0" w:rsidRDefault="00FE2783" w:rsidP="00FE2783">
      <w:pPr>
        <w:numPr>
          <w:ilvl w:val="0"/>
          <w:numId w:val="1"/>
        </w:numPr>
        <w:spacing w:after="240"/>
        <w:outlineLvl w:val="0"/>
        <w:rPr>
          <w:lang w:val="fr-CA"/>
        </w:rPr>
      </w:pPr>
      <w:r w:rsidRPr="002C2DB0">
        <w:rPr>
          <w:lang w:val="fr-CA"/>
        </w:rPr>
        <w:t>Le PNUD a rapporté à la 85</w:t>
      </w:r>
      <w:r w:rsidRPr="002C2DB0">
        <w:rPr>
          <w:vertAlign w:val="superscript"/>
          <w:lang w:val="fr-CA"/>
        </w:rPr>
        <w:t>e</w:t>
      </w:r>
      <w:r w:rsidRPr="002C2DB0">
        <w:rPr>
          <w:lang w:val="fr-CA"/>
        </w:rPr>
        <w:t xml:space="preserve"> réunion que ces sept PME avaient confirmé leur changement de technologie au cyclopentane </w:t>
      </w:r>
      <w:proofErr w:type="spellStart"/>
      <w:r w:rsidRPr="002C2DB0">
        <w:rPr>
          <w:lang w:val="fr-CA"/>
        </w:rPr>
        <w:t>prémélangé</w:t>
      </w:r>
      <w:proofErr w:type="spellEnd"/>
      <w:r w:rsidRPr="002C2DB0">
        <w:rPr>
          <w:lang w:val="fr-CA"/>
        </w:rPr>
        <w:t>. Le PNUD a soumis une demande</w:t>
      </w:r>
      <w:r>
        <w:rPr>
          <w:lang w:val="fr-CA"/>
        </w:rPr>
        <w:t xml:space="preserve"> de changement de technologie des</w:t>
      </w:r>
      <w:r w:rsidRPr="002C2DB0">
        <w:rPr>
          <w:lang w:val="fr-CA"/>
        </w:rPr>
        <w:t xml:space="preserve"> HF</w:t>
      </w:r>
      <w:r>
        <w:rPr>
          <w:lang w:val="fr-CA"/>
        </w:rPr>
        <w:t>O</w:t>
      </w:r>
      <w:r w:rsidRPr="002C2DB0">
        <w:rPr>
          <w:lang w:val="fr-CA"/>
        </w:rPr>
        <w:t xml:space="preserve"> au</w:t>
      </w:r>
      <w:r>
        <w:rPr>
          <w:lang w:val="fr-CA"/>
        </w:rPr>
        <w:t>x</w:t>
      </w:r>
      <w:r w:rsidRPr="002C2DB0">
        <w:rPr>
          <w:lang w:val="fr-CA"/>
        </w:rPr>
        <w:t xml:space="preserve"> formules </w:t>
      </w:r>
      <w:proofErr w:type="spellStart"/>
      <w:r w:rsidRPr="002C2DB0">
        <w:rPr>
          <w:lang w:val="fr-CA"/>
        </w:rPr>
        <w:t>prémélangées</w:t>
      </w:r>
      <w:proofErr w:type="spellEnd"/>
      <w:r w:rsidRPr="002C2DB0">
        <w:rPr>
          <w:lang w:val="fr-CA"/>
        </w:rPr>
        <w:t xml:space="preserve"> à base de cyclopentane pour 25 PME supplémentaires aux 85</w:t>
      </w:r>
      <w:r w:rsidRPr="002C2DB0">
        <w:rPr>
          <w:vertAlign w:val="superscript"/>
          <w:lang w:val="fr-CA"/>
        </w:rPr>
        <w:t>e</w:t>
      </w:r>
      <w:r w:rsidRPr="002C2DB0">
        <w:rPr>
          <w:lang w:val="fr-CA"/>
        </w:rPr>
        <w:t xml:space="preserve"> et 86</w:t>
      </w:r>
      <w:r w:rsidRPr="002C2DB0">
        <w:rPr>
          <w:vertAlign w:val="superscript"/>
          <w:lang w:val="fr-CA"/>
        </w:rPr>
        <w:t>e</w:t>
      </w:r>
      <w:r w:rsidRPr="002C2DB0">
        <w:rPr>
          <w:lang w:val="fr-CA"/>
        </w:rPr>
        <w:t> réunions, que le Comité exécutif a approuvé, étant entendu que les reconversions ne devaient</w:t>
      </w:r>
      <w:r>
        <w:rPr>
          <w:lang w:val="fr-CA"/>
        </w:rPr>
        <w:t xml:space="preserve"> </w:t>
      </w:r>
      <w:r w:rsidRPr="002C2DB0">
        <w:rPr>
          <w:lang w:val="fr-CA"/>
        </w:rPr>
        <w:t>pas être retard</w:t>
      </w:r>
      <w:r>
        <w:rPr>
          <w:lang w:val="fr-CA"/>
        </w:rPr>
        <w:t>é</w:t>
      </w:r>
      <w:r w:rsidRPr="002C2DB0">
        <w:rPr>
          <w:lang w:val="fr-CA"/>
        </w:rPr>
        <w:t>es et que tous les coûts supplémentaires engagés seraient payés par les entreprises (décisions 85/11 b) et 86/27 b)).</w:t>
      </w:r>
    </w:p>
    <w:p w14:paraId="40D12BAC" w14:textId="77777777" w:rsidR="00FE2783" w:rsidRPr="002C2DB0" w:rsidRDefault="00FE2783" w:rsidP="00FE2783">
      <w:pPr>
        <w:spacing w:after="240"/>
        <w:rPr>
          <w:u w:val="single"/>
          <w:lang w:val="fr-CA"/>
        </w:rPr>
      </w:pPr>
      <w:r w:rsidRPr="002C2DB0">
        <w:rPr>
          <w:u w:val="single"/>
          <w:lang w:val="fr-CA"/>
        </w:rPr>
        <w:t>Demande de changement de technologie</w:t>
      </w:r>
    </w:p>
    <w:p w14:paraId="33853A74" w14:textId="549BDEA0" w:rsidR="00FE2783" w:rsidRPr="002C2DB0" w:rsidRDefault="00FE2783" w:rsidP="00FE2783">
      <w:pPr>
        <w:pStyle w:val="Heading1"/>
        <w:rPr>
          <w:lang w:val="fr-CA"/>
        </w:rPr>
      </w:pPr>
      <w:r w:rsidRPr="002C2DB0">
        <w:rPr>
          <w:lang w:val="fr-CA"/>
        </w:rPr>
        <w:t>Conformément au paragraphe 7 a) v) de l’</w:t>
      </w:r>
      <w:r w:rsidR="005B7EC6">
        <w:rPr>
          <w:lang w:val="fr-CA"/>
        </w:rPr>
        <w:t>Accord</w:t>
      </w:r>
      <w:r w:rsidRPr="002C2DB0">
        <w:rPr>
          <w:lang w:val="fr-CA"/>
        </w:rPr>
        <w:t xml:space="preserve"> entre le gouvernement de la Malaisie et le Comité exécutif, le gouvernement a soumis à la 87</w:t>
      </w:r>
      <w:r w:rsidRPr="002C2DB0">
        <w:rPr>
          <w:vertAlign w:val="superscript"/>
          <w:lang w:val="fr-CA"/>
        </w:rPr>
        <w:t>e</w:t>
      </w:r>
      <w:r w:rsidRPr="002C2DB0">
        <w:rPr>
          <w:lang w:val="fr-CA"/>
        </w:rPr>
        <w:t xml:space="preserve"> réunion, par l’entremise du PNUD, une demande de changement de technologie des HFO au cyclopentane </w:t>
      </w:r>
      <w:proofErr w:type="spellStart"/>
      <w:r w:rsidRPr="002C2DB0">
        <w:rPr>
          <w:lang w:val="fr-CA"/>
        </w:rPr>
        <w:t>prémélangé</w:t>
      </w:r>
      <w:proofErr w:type="spellEnd"/>
      <w:r w:rsidRPr="002C2DB0">
        <w:rPr>
          <w:lang w:val="fr-CA"/>
        </w:rPr>
        <w:t xml:space="preserve"> ou au </w:t>
      </w:r>
      <w:proofErr w:type="spellStart"/>
      <w:r w:rsidRPr="002C2DB0">
        <w:rPr>
          <w:lang w:val="fr-CA"/>
        </w:rPr>
        <w:t>méthylal</w:t>
      </w:r>
      <w:proofErr w:type="spellEnd"/>
      <w:r w:rsidRPr="002C2DB0">
        <w:rPr>
          <w:lang w:val="fr-CA"/>
        </w:rPr>
        <w:t xml:space="preserve"> pour neuf autres PME, comme indiqué dans le tableau 5. Deux autres PME (Water-Care Industries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et Composite Truck Body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dont la consommation totale est de 10,48 </w:t>
      </w:r>
      <w:proofErr w:type="spellStart"/>
      <w:r w:rsidRPr="002C2DB0">
        <w:rPr>
          <w:lang w:val="fr-CA"/>
        </w:rPr>
        <w:t>tm</w:t>
      </w:r>
      <w:proofErr w:type="spellEnd"/>
      <w:r w:rsidRPr="002C2DB0">
        <w:rPr>
          <w:lang w:val="fr-CA"/>
        </w:rPr>
        <w:t xml:space="preserve">) ont confirmé qu’elles continueront à participer au projet et qu’elles reconvertiront leurs activités à </w:t>
      </w:r>
      <w:r>
        <w:rPr>
          <w:lang w:val="fr-CA"/>
        </w:rPr>
        <w:t>la technologie convenue (les HFO</w:t>
      </w:r>
      <w:r w:rsidRPr="002C2DB0">
        <w:rPr>
          <w:lang w:val="fr-CA"/>
        </w:rPr>
        <w:t xml:space="preserve"> réduits). </w:t>
      </w:r>
    </w:p>
    <w:p w14:paraId="19204D3C" w14:textId="77777777" w:rsidR="00FE2783" w:rsidRPr="002C2DB0" w:rsidRDefault="00FE2783" w:rsidP="00FE2783">
      <w:pPr>
        <w:keepNext/>
        <w:keepLines/>
        <w:rPr>
          <w:b/>
          <w:lang w:val="fr-CA"/>
        </w:rPr>
      </w:pPr>
      <w:r w:rsidRPr="002C2DB0">
        <w:rPr>
          <w:b/>
          <w:lang w:val="fr-CA"/>
        </w:rPr>
        <w:t>Tableau 5. Neuf PME supplémentaires ayant demandé à la 87</w:t>
      </w:r>
      <w:r w:rsidRPr="002C2DB0">
        <w:rPr>
          <w:b/>
          <w:vertAlign w:val="superscript"/>
          <w:lang w:val="fr-CA"/>
        </w:rPr>
        <w:t>e</w:t>
      </w:r>
      <w:r w:rsidRPr="002C2DB0">
        <w:rPr>
          <w:b/>
          <w:lang w:val="fr-CA"/>
        </w:rPr>
        <w:t xml:space="preserve"> réunion de changer à une autre technologie à faible PRG</w:t>
      </w:r>
    </w:p>
    <w:tbl>
      <w:tblPr>
        <w:tblW w:w="9351" w:type="dxa"/>
        <w:tblLayout w:type="fixed"/>
        <w:tblLook w:val="04A0" w:firstRow="1" w:lastRow="0" w:firstColumn="1" w:lastColumn="0" w:noHBand="0" w:noVBand="1"/>
      </w:tblPr>
      <w:tblGrid>
        <w:gridCol w:w="2972"/>
        <w:gridCol w:w="2268"/>
        <w:gridCol w:w="1418"/>
        <w:gridCol w:w="1275"/>
        <w:gridCol w:w="1418"/>
      </w:tblGrid>
      <w:tr w:rsidR="00FE2783" w:rsidRPr="002C2DB0" w14:paraId="17F0F416" w14:textId="77777777" w:rsidTr="00FE2783">
        <w:trPr>
          <w:trHeight w:val="480"/>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073FA927" w14:textId="77777777" w:rsidR="00FE2783" w:rsidRPr="002C2DB0" w:rsidRDefault="00FE2783" w:rsidP="00FE2783">
            <w:pPr>
              <w:keepNext/>
              <w:keepLines/>
              <w:jc w:val="left"/>
              <w:rPr>
                <w:b/>
                <w:bCs/>
                <w:color w:val="000000"/>
                <w:sz w:val="20"/>
                <w:szCs w:val="20"/>
                <w:lang w:val="fr-CA"/>
              </w:rPr>
            </w:pPr>
            <w:r w:rsidRPr="002C2DB0">
              <w:rPr>
                <w:b/>
                <w:bCs/>
                <w:color w:val="000000"/>
                <w:sz w:val="20"/>
                <w:szCs w:val="20"/>
                <w:lang w:val="fr-CA"/>
              </w:rPr>
              <w:t>Entreprise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048F30B" w14:textId="77777777" w:rsidR="00FE2783" w:rsidRPr="002C2DB0" w:rsidRDefault="00FE2783" w:rsidP="00FE2783">
            <w:pPr>
              <w:keepNext/>
              <w:keepLines/>
              <w:jc w:val="center"/>
              <w:rPr>
                <w:b/>
                <w:bCs/>
                <w:color w:val="000000"/>
                <w:sz w:val="20"/>
                <w:szCs w:val="20"/>
                <w:lang w:val="fr-CA"/>
              </w:rPr>
            </w:pPr>
            <w:r w:rsidRPr="002C2DB0">
              <w:rPr>
                <w:b/>
                <w:bCs/>
                <w:color w:val="000000"/>
                <w:sz w:val="20"/>
                <w:szCs w:val="20"/>
                <w:lang w:val="fr-CA"/>
              </w:rPr>
              <w:t>Application</w:t>
            </w:r>
          </w:p>
        </w:tc>
        <w:tc>
          <w:tcPr>
            <w:tcW w:w="1418" w:type="dxa"/>
            <w:tcBorders>
              <w:top w:val="single" w:sz="4" w:space="0" w:color="auto"/>
              <w:left w:val="nil"/>
              <w:bottom w:val="single" w:sz="4" w:space="0" w:color="auto"/>
              <w:right w:val="single" w:sz="4" w:space="0" w:color="auto"/>
            </w:tcBorders>
          </w:tcPr>
          <w:p w14:paraId="79A0B779" w14:textId="77777777" w:rsidR="00FE2783" w:rsidRPr="002C2DB0" w:rsidRDefault="00FE2783" w:rsidP="00FE2783">
            <w:pPr>
              <w:keepNext/>
              <w:keepLines/>
              <w:jc w:val="center"/>
              <w:rPr>
                <w:b/>
                <w:bCs/>
                <w:color w:val="000000"/>
                <w:sz w:val="20"/>
                <w:szCs w:val="20"/>
                <w:lang w:val="fr-CA"/>
              </w:rPr>
            </w:pPr>
            <w:r w:rsidRPr="002C2DB0">
              <w:rPr>
                <w:b/>
                <w:bCs/>
                <w:color w:val="000000"/>
                <w:sz w:val="20"/>
                <w:szCs w:val="20"/>
                <w:lang w:val="fr-CA"/>
              </w:rPr>
              <w:t>Technologie proposée</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25AB8BEE" w14:textId="77777777" w:rsidR="00FE2783" w:rsidRPr="002C2DB0" w:rsidRDefault="00FE2783" w:rsidP="00FE2783">
            <w:pPr>
              <w:keepNext/>
              <w:keepLines/>
              <w:jc w:val="center"/>
              <w:rPr>
                <w:b/>
                <w:bCs/>
                <w:color w:val="000000"/>
                <w:sz w:val="20"/>
                <w:szCs w:val="20"/>
                <w:lang w:val="fr-CA"/>
              </w:rPr>
            </w:pPr>
            <w:r w:rsidRPr="002C2DB0">
              <w:rPr>
                <w:b/>
                <w:bCs/>
                <w:color w:val="000000"/>
                <w:sz w:val="20"/>
                <w:szCs w:val="20"/>
                <w:lang w:val="fr-CA"/>
              </w:rPr>
              <w:t>HCFC</w:t>
            </w:r>
            <w:r w:rsidRPr="002C2DB0">
              <w:rPr>
                <w:b/>
                <w:bCs/>
                <w:color w:val="000000"/>
                <w:sz w:val="20"/>
                <w:szCs w:val="20"/>
                <w:lang w:val="fr-CA"/>
              </w:rPr>
              <w:noBreakHyphen/>
              <w:t>141b (</w:t>
            </w:r>
            <w:proofErr w:type="spellStart"/>
            <w:r w:rsidRPr="002C2DB0">
              <w:rPr>
                <w:b/>
                <w:bCs/>
                <w:color w:val="000000"/>
                <w:sz w:val="20"/>
                <w:szCs w:val="20"/>
                <w:lang w:val="fr-CA"/>
              </w:rPr>
              <w:t>tm</w:t>
            </w:r>
            <w:proofErr w:type="spellEnd"/>
            <w:r w:rsidRPr="002C2DB0">
              <w:rPr>
                <w:b/>
                <w:bCs/>
                <w:color w:val="000000"/>
                <w:sz w:val="20"/>
                <w:szCs w:val="20"/>
                <w:lang w:val="fr-CA"/>
              </w:rPr>
              <w:t>) en 2015</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123DD63" w14:textId="77777777" w:rsidR="00FE2783" w:rsidRPr="002C2DB0" w:rsidRDefault="00FE2783" w:rsidP="00FE2783">
            <w:pPr>
              <w:keepNext/>
              <w:keepLines/>
              <w:jc w:val="center"/>
              <w:rPr>
                <w:b/>
                <w:bCs/>
                <w:color w:val="000000"/>
                <w:sz w:val="20"/>
                <w:szCs w:val="20"/>
                <w:lang w:val="fr-CA"/>
              </w:rPr>
            </w:pPr>
            <w:r w:rsidRPr="002C2DB0">
              <w:rPr>
                <w:b/>
                <w:bCs/>
                <w:color w:val="000000"/>
                <w:sz w:val="20"/>
                <w:szCs w:val="20"/>
                <w:lang w:val="fr-CA"/>
              </w:rPr>
              <w:t>Financement approuvé ($US)</w:t>
            </w:r>
          </w:p>
        </w:tc>
      </w:tr>
      <w:tr w:rsidR="00FE2783" w:rsidRPr="002C2DB0" w14:paraId="6D6D6AA1" w14:textId="77777777" w:rsidTr="00FE2783">
        <w:trPr>
          <w:trHeight w:val="98"/>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1D0B0A9" w14:textId="77777777" w:rsidR="00FE2783" w:rsidRPr="00FE2783" w:rsidRDefault="00FE2783" w:rsidP="00FE2783">
            <w:pPr>
              <w:keepNext/>
              <w:keepLines/>
              <w:jc w:val="left"/>
              <w:rPr>
                <w:color w:val="000000"/>
                <w:sz w:val="20"/>
                <w:szCs w:val="20"/>
                <w:lang w:val="en-US"/>
              </w:rPr>
            </w:pPr>
            <w:proofErr w:type="spellStart"/>
            <w:r w:rsidRPr="00FE2783">
              <w:rPr>
                <w:sz w:val="20"/>
                <w:szCs w:val="20"/>
                <w:lang w:val="en-US"/>
              </w:rPr>
              <w:t>Pipeco</w:t>
            </w:r>
            <w:proofErr w:type="spellEnd"/>
            <w:r w:rsidRPr="00FE2783">
              <w:rPr>
                <w:sz w:val="20"/>
                <w:szCs w:val="20"/>
                <w:lang w:val="en-US"/>
              </w:rPr>
              <w:t xml:space="preserve"> FRP Tanks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E15ED82" w14:textId="77777777" w:rsidR="00FE2783" w:rsidRPr="002C2DB0" w:rsidRDefault="00FE2783" w:rsidP="00FE2783">
            <w:pPr>
              <w:keepNext/>
              <w:keepLines/>
              <w:jc w:val="left"/>
              <w:rPr>
                <w:sz w:val="20"/>
                <w:szCs w:val="20"/>
                <w:lang w:val="fr-CA"/>
              </w:rPr>
            </w:pPr>
            <w:r w:rsidRPr="002C2DB0">
              <w:rPr>
                <w:sz w:val="20"/>
                <w:szCs w:val="20"/>
                <w:lang w:val="fr-CA"/>
              </w:rPr>
              <w:t>Panneaux en discontinu</w:t>
            </w:r>
          </w:p>
        </w:tc>
        <w:tc>
          <w:tcPr>
            <w:tcW w:w="1418" w:type="dxa"/>
            <w:tcBorders>
              <w:top w:val="single" w:sz="4" w:space="0" w:color="auto"/>
              <w:left w:val="nil"/>
              <w:bottom w:val="single" w:sz="4" w:space="0" w:color="auto"/>
              <w:right w:val="single" w:sz="4" w:space="0" w:color="auto"/>
            </w:tcBorders>
          </w:tcPr>
          <w:p w14:paraId="7A454AD9" w14:textId="77777777" w:rsidR="00FE2783" w:rsidRPr="002C2DB0" w:rsidRDefault="00FE2783" w:rsidP="00FE2783">
            <w:pPr>
              <w:keepNext/>
              <w:keepLines/>
              <w:ind w:right="28"/>
              <w:jc w:val="left"/>
              <w:rPr>
                <w:sz w:val="20"/>
                <w:szCs w:val="20"/>
                <w:lang w:val="fr-CA"/>
              </w:rPr>
            </w:pPr>
            <w:proofErr w:type="spellStart"/>
            <w:r w:rsidRPr="002C2DB0">
              <w:rPr>
                <w:sz w:val="20"/>
                <w:szCs w:val="20"/>
                <w:lang w:val="fr-CA"/>
              </w:rPr>
              <w:t>Méthylal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F5550A1" w14:textId="77777777" w:rsidR="00FE2783" w:rsidRPr="002C2DB0" w:rsidRDefault="00FE2783" w:rsidP="00FE2783">
            <w:pPr>
              <w:keepNext/>
              <w:keepLines/>
              <w:ind w:right="-108"/>
              <w:jc w:val="right"/>
              <w:rPr>
                <w:color w:val="000000"/>
                <w:sz w:val="20"/>
                <w:szCs w:val="20"/>
                <w:lang w:val="fr-CA"/>
              </w:rPr>
            </w:pPr>
            <w:r w:rsidRPr="002C2DB0">
              <w:rPr>
                <w:sz w:val="20"/>
                <w:szCs w:val="20"/>
                <w:lang w:val="fr-CA"/>
              </w:rPr>
              <w:t>8,75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7031C9D" w14:textId="77777777" w:rsidR="00FE2783" w:rsidRPr="002C2DB0" w:rsidRDefault="00FE2783" w:rsidP="00FE2783">
            <w:pPr>
              <w:keepNext/>
              <w:keepLines/>
              <w:ind w:right="-85"/>
              <w:jc w:val="right"/>
              <w:rPr>
                <w:bCs/>
                <w:sz w:val="20"/>
                <w:szCs w:val="20"/>
                <w:lang w:val="fr-CA"/>
              </w:rPr>
            </w:pPr>
            <w:r w:rsidRPr="002C2DB0">
              <w:rPr>
                <w:sz w:val="20"/>
                <w:szCs w:val="20"/>
                <w:lang w:val="fr-CA"/>
              </w:rPr>
              <w:t>54 340</w:t>
            </w:r>
          </w:p>
        </w:tc>
      </w:tr>
      <w:tr w:rsidR="00FE2783" w:rsidRPr="002C2DB0" w14:paraId="5CF19AE7" w14:textId="77777777" w:rsidTr="00FE2783">
        <w:trPr>
          <w:trHeight w:val="17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9A09A27" w14:textId="77777777" w:rsidR="00FE2783" w:rsidRPr="002C2DB0" w:rsidRDefault="00FE2783" w:rsidP="00FE2783">
            <w:pPr>
              <w:keepNext/>
              <w:keepLines/>
              <w:jc w:val="left"/>
              <w:rPr>
                <w:color w:val="000000"/>
                <w:sz w:val="20"/>
                <w:szCs w:val="20"/>
                <w:lang w:val="fr-CA"/>
              </w:rPr>
            </w:pPr>
            <w:r w:rsidRPr="002C2DB0">
              <w:rPr>
                <w:sz w:val="20"/>
                <w:szCs w:val="20"/>
                <w:lang w:val="fr-CA"/>
              </w:rPr>
              <w:t xml:space="preserve">Poly </w:t>
            </w:r>
            <w:proofErr w:type="spellStart"/>
            <w:r w:rsidRPr="002C2DB0">
              <w:rPr>
                <w:sz w:val="20"/>
                <w:szCs w:val="20"/>
                <w:lang w:val="fr-CA"/>
              </w:rPr>
              <w:t>Unifoam</w:t>
            </w:r>
            <w:proofErr w:type="spellEnd"/>
            <w:r w:rsidRPr="002C2DB0">
              <w:rPr>
                <w:sz w:val="20"/>
                <w:szCs w:val="20"/>
                <w:lang w:val="fr-CA"/>
              </w:rPr>
              <w:t xml:space="preserve">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14680CA" w14:textId="77777777" w:rsidR="00FE2783" w:rsidRPr="002C2DB0" w:rsidRDefault="00FE2783" w:rsidP="00FE2783">
            <w:pPr>
              <w:keepNext/>
              <w:keepLines/>
              <w:jc w:val="left"/>
              <w:rPr>
                <w:sz w:val="20"/>
                <w:szCs w:val="20"/>
                <w:lang w:val="fr-CA"/>
              </w:rPr>
            </w:pPr>
            <w:r w:rsidRPr="002C2DB0">
              <w:rPr>
                <w:sz w:val="20"/>
                <w:szCs w:val="20"/>
                <w:lang w:val="fr-CA"/>
              </w:rPr>
              <w:t>Tuyaux</w:t>
            </w:r>
          </w:p>
        </w:tc>
        <w:tc>
          <w:tcPr>
            <w:tcW w:w="1418" w:type="dxa"/>
            <w:tcBorders>
              <w:top w:val="single" w:sz="4" w:space="0" w:color="auto"/>
              <w:left w:val="nil"/>
              <w:bottom w:val="single" w:sz="4" w:space="0" w:color="auto"/>
              <w:right w:val="single" w:sz="4" w:space="0" w:color="auto"/>
            </w:tcBorders>
          </w:tcPr>
          <w:p w14:paraId="48C7AF2E" w14:textId="77777777" w:rsidR="00FE2783" w:rsidRPr="002C2DB0" w:rsidRDefault="00FE2783" w:rsidP="00FE2783">
            <w:pPr>
              <w:keepNext/>
              <w:keepLines/>
              <w:ind w:right="28"/>
              <w:jc w:val="left"/>
              <w:rPr>
                <w:sz w:val="20"/>
                <w:szCs w:val="20"/>
                <w:lang w:val="fr-CA"/>
              </w:rPr>
            </w:pPr>
            <w:proofErr w:type="spellStart"/>
            <w:r w:rsidRPr="002C2DB0">
              <w:rPr>
                <w:sz w:val="20"/>
                <w:szCs w:val="20"/>
                <w:lang w:val="fr-CA"/>
              </w:rPr>
              <w:t>Méthylal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F9863D5" w14:textId="77777777" w:rsidR="00FE2783" w:rsidRPr="002C2DB0" w:rsidRDefault="00FE2783" w:rsidP="00FE2783">
            <w:pPr>
              <w:keepNext/>
              <w:keepLines/>
              <w:ind w:right="-108"/>
              <w:jc w:val="right"/>
              <w:rPr>
                <w:color w:val="000000"/>
                <w:sz w:val="20"/>
                <w:szCs w:val="20"/>
                <w:lang w:val="fr-CA"/>
              </w:rPr>
            </w:pPr>
            <w:r w:rsidRPr="002C2DB0">
              <w:rPr>
                <w:sz w:val="20"/>
                <w:szCs w:val="20"/>
                <w:lang w:val="fr-CA"/>
              </w:rPr>
              <w:t>4,03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43AC058" w14:textId="77777777" w:rsidR="00FE2783" w:rsidRPr="002C2DB0" w:rsidRDefault="00FE2783" w:rsidP="00FE2783">
            <w:pPr>
              <w:keepNext/>
              <w:keepLines/>
              <w:ind w:right="-85"/>
              <w:jc w:val="right"/>
              <w:rPr>
                <w:bCs/>
                <w:sz w:val="20"/>
                <w:szCs w:val="20"/>
                <w:lang w:val="fr-CA"/>
              </w:rPr>
            </w:pPr>
            <w:r w:rsidRPr="002C2DB0">
              <w:rPr>
                <w:sz w:val="20"/>
                <w:szCs w:val="20"/>
                <w:lang w:val="fr-CA"/>
              </w:rPr>
              <w:t>28 052</w:t>
            </w:r>
          </w:p>
        </w:tc>
      </w:tr>
      <w:tr w:rsidR="00FE2783" w:rsidRPr="002C2DB0" w14:paraId="07350CC6" w14:textId="77777777" w:rsidTr="00FE2783">
        <w:trPr>
          <w:trHeight w:val="215"/>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3BD06CD4" w14:textId="77777777" w:rsidR="00FE2783" w:rsidRPr="003D412F" w:rsidRDefault="00FE2783" w:rsidP="00FE2783">
            <w:pPr>
              <w:keepNext/>
              <w:keepLines/>
              <w:jc w:val="left"/>
              <w:rPr>
                <w:color w:val="000000"/>
                <w:sz w:val="20"/>
                <w:szCs w:val="20"/>
                <w:lang w:val="en-US"/>
              </w:rPr>
            </w:pPr>
            <w:proofErr w:type="spellStart"/>
            <w:r w:rsidRPr="003D412F">
              <w:rPr>
                <w:sz w:val="20"/>
                <w:szCs w:val="20"/>
                <w:lang w:val="en-US"/>
              </w:rPr>
              <w:t>Frigotec</w:t>
            </w:r>
            <w:proofErr w:type="spellEnd"/>
            <w:r w:rsidRPr="003D412F">
              <w:rPr>
                <w:sz w:val="20"/>
                <w:szCs w:val="20"/>
                <w:lang w:val="en-US"/>
              </w:rPr>
              <w:t xml:space="preserve"> Engineering and Refrigeration </w:t>
            </w:r>
            <w:proofErr w:type="spellStart"/>
            <w:r w:rsidRPr="003D412F">
              <w:rPr>
                <w:sz w:val="20"/>
                <w:szCs w:val="20"/>
                <w:lang w:val="en-US"/>
              </w:rPr>
              <w:t>Sdn</w:t>
            </w:r>
            <w:proofErr w:type="spellEnd"/>
            <w:r w:rsidRPr="003D412F">
              <w:rPr>
                <w:sz w:val="20"/>
                <w:szCs w:val="20"/>
                <w:lang w:val="en-US"/>
              </w:rPr>
              <w:t xml:space="preserve"> </w:t>
            </w:r>
            <w:proofErr w:type="spellStart"/>
            <w:r w:rsidRPr="003D412F">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5EBE3D9" w14:textId="77777777" w:rsidR="00FE2783" w:rsidRPr="002C2DB0" w:rsidRDefault="00FE2783" w:rsidP="00FE2783">
            <w:pPr>
              <w:keepNext/>
              <w:keepLines/>
              <w:jc w:val="left"/>
              <w:rPr>
                <w:sz w:val="20"/>
                <w:szCs w:val="20"/>
                <w:lang w:val="fr-CA"/>
              </w:rPr>
            </w:pPr>
            <w:r w:rsidRPr="002C2DB0">
              <w:rPr>
                <w:sz w:val="20"/>
                <w:szCs w:val="20"/>
                <w:lang w:val="fr-CA"/>
              </w:rPr>
              <w:t>Transport</w:t>
            </w:r>
          </w:p>
        </w:tc>
        <w:tc>
          <w:tcPr>
            <w:tcW w:w="1418" w:type="dxa"/>
            <w:tcBorders>
              <w:top w:val="single" w:sz="4" w:space="0" w:color="auto"/>
              <w:left w:val="nil"/>
              <w:bottom w:val="single" w:sz="4" w:space="0" w:color="auto"/>
              <w:right w:val="single" w:sz="4" w:space="0" w:color="auto"/>
            </w:tcBorders>
          </w:tcPr>
          <w:p w14:paraId="0590C5B7" w14:textId="77777777" w:rsidR="00FE2783" w:rsidRPr="002C2DB0" w:rsidRDefault="00FE2783" w:rsidP="00FE2783">
            <w:pPr>
              <w:keepNext/>
              <w:keepLines/>
              <w:ind w:right="28"/>
              <w:jc w:val="left"/>
              <w:rPr>
                <w:sz w:val="20"/>
                <w:szCs w:val="20"/>
                <w:lang w:val="fr-CA"/>
              </w:rPr>
            </w:pPr>
            <w:r w:rsidRPr="002C2DB0">
              <w:rPr>
                <w:sz w:val="20"/>
                <w:szCs w:val="20"/>
                <w:lang w:val="fr-CA"/>
              </w:rPr>
              <w:t xml:space="preserve">Cyclopentane </w:t>
            </w:r>
            <w:proofErr w:type="spellStart"/>
            <w:r w:rsidRPr="002C2DB0">
              <w:rPr>
                <w:sz w:val="20"/>
                <w:szCs w:val="20"/>
                <w:lang w:val="fr-CA"/>
              </w:rPr>
              <w:t>prémélangé</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DFDB4B4" w14:textId="77777777" w:rsidR="00FE2783" w:rsidRPr="002C2DB0" w:rsidRDefault="00FE2783" w:rsidP="00FE2783">
            <w:pPr>
              <w:keepNext/>
              <w:keepLines/>
              <w:ind w:right="-108"/>
              <w:jc w:val="right"/>
              <w:rPr>
                <w:color w:val="000000"/>
                <w:sz w:val="20"/>
                <w:szCs w:val="20"/>
                <w:lang w:val="fr-CA"/>
              </w:rPr>
            </w:pPr>
            <w:r w:rsidRPr="002C2DB0">
              <w:rPr>
                <w:sz w:val="20"/>
                <w:szCs w:val="20"/>
                <w:lang w:val="fr-CA"/>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90A3236" w14:textId="77777777" w:rsidR="00FE2783" w:rsidRPr="002C2DB0" w:rsidRDefault="00FE2783" w:rsidP="00FE2783">
            <w:pPr>
              <w:keepNext/>
              <w:keepLines/>
              <w:ind w:right="-85"/>
              <w:jc w:val="right"/>
              <w:rPr>
                <w:bCs/>
                <w:sz w:val="20"/>
                <w:szCs w:val="20"/>
                <w:lang w:val="fr-CA"/>
              </w:rPr>
            </w:pPr>
            <w:r w:rsidRPr="002C2DB0">
              <w:rPr>
                <w:sz w:val="20"/>
                <w:szCs w:val="20"/>
                <w:lang w:val="fr-CA"/>
              </w:rPr>
              <w:t>27 913</w:t>
            </w:r>
          </w:p>
        </w:tc>
      </w:tr>
      <w:tr w:rsidR="00FE2783" w:rsidRPr="002C2DB0" w14:paraId="4A37A88C" w14:textId="77777777" w:rsidTr="00FE2783">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1937C287" w14:textId="77777777" w:rsidR="00FE2783" w:rsidRPr="00023070" w:rsidRDefault="00FE2783" w:rsidP="00FE2783">
            <w:pPr>
              <w:keepNext/>
              <w:keepLines/>
              <w:jc w:val="left"/>
              <w:rPr>
                <w:color w:val="000000"/>
                <w:sz w:val="20"/>
                <w:szCs w:val="20"/>
                <w:lang w:val="en-US"/>
              </w:rPr>
            </w:pPr>
            <w:r w:rsidRPr="00023070">
              <w:rPr>
                <w:sz w:val="20"/>
                <w:szCs w:val="20"/>
                <w:lang w:val="en-US"/>
              </w:rPr>
              <w:t xml:space="preserve">Min Soon Refrigeration </w:t>
            </w:r>
            <w:proofErr w:type="spellStart"/>
            <w:r w:rsidRPr="00023070">
              <w:rPr>
                <w:sz w:val="20"/>
                <w:szCs w:val="20"/>
                <w:lang w:val="en-US"/>
              </w:rPr>
              <w:t>Sdn</w:t>
            </w:r>
            <w:proofErr w:type="spellEnd"/>
            <w:r w:rsidRPr="00023070">
              <w:rPr>
                <w:sz w:val="20"/>
                <w:szCs w:val="20"/>
                <w:lang w:val="en-US"/>
              </w:rPr>
              <w:t xml:space="preserve"> </w:t>
            </w:r>
            <w:proofErr w:type="spellStart"/>
            <w:r w:rsidRPr="00023070">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0B2E6A2C" w14:textId="77777777" w:rsidR="00FE2783" w:rsidRPr="002C2DB0" w:rsidRDefault="00FE2783" w:rsidP="00FE2783">
            <w:pPr>
              <w:keepNext/>
              <w:keepLines/>
              <w:jc w:val="left"/>
              <w:rPr>
                <w:sz w:val="20"/>
                <w:szCs w:val="20"/>
                <w:lang w:val="fr-CA"/>
              </w:rPr>
            </w:pPr>
            <w:r w:rsidRPr="002C2DB0">
              <w:rPr>
                <w:sz w:val="20"/>
                <w:szCs w:val="20"/>
                <w:lang w:val="fr-CA"/>
              </w:rPr>
              <w:t>Panneaux en discontinu</w:t>
            </w:r>
          </w:p>
        </w:tc>
        <w:tc>
          <w:tcPr>
            <w:tcW w:w="1418" w:type="dxa"/>
            <w:tcBorders>
              <w:top w:val="single" w:sz="4" w:space="0" w:color="auto"/>
              <w:left w:val="nil"/>
              <w:bottom w:val="single" w:sz="4" w:space="0" w:color="auto"/>
              <w:right w:val="single" w:sz="4" w:space="0" w:color="auto"/>
            </w:tcBorders>
          </w:tcPr>
          <w:p w14:paraId="0EABC525" w14:textId="77777777" w:rsidR="00FE2783" w:rsidRPr="002C2DB0" w:rsidRDefault="00FE2783" w:rsidP="00FE2783">
            <w:pPr>
              <w:keepNext/>
              <w:keepLines/>
              <w:ind w:right="28"/>
              <w:jc w:val="left"/>
              <w:rPr>
                <w:sz w:val="20"/>
                <w:szCs w:val="20"/>
                <w:lang w:val="fr-CA"/>
              </w:rPr>
            </w:pPr>
            <w:proofErr w:type="spellStart"/>
            <w:r w:rsidRPr="002C2DB0">
              <w:rPr>
                <w:sz w:val="20"/>
                <w:szCs w:val="20"/>
                <w:lang w:val="fr-CA"/>
              </w:rPr>
              <w:t>Méthylal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EB6E7E4" w14:textId="77777777" w:rsidR="00FE2783" w:rsidRPr="002C2DB0" w:rsidRDefault="00FE2783" w:rsidP="00FE2783">
            <w:pPr>
              <w:keepNext/>
              <w:keepLines/>
              <w:ind w:right="-108"/>
              <w:jc w:val="right"/>
              <w:rPr>
                <w:color w:val="000000"/>
                <w:sz w:val="20"/>
                <w:szCs w:val="20"/>
                <w:lang w:val="fr-CA"/>
              </w:rPr>
            </w:pPr>
            <w:r w:rsidRPr="002C2DB0">
              <w:rPr>
                <w:sz w:val="20"/>
                <w:szCs w:val="20"/>
                <w:lang w:val="fr-CA"/>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9EB12A8" w14:textId="77777777" w:rsidR="00FE2783" w:rsidRPr="002C2DB0" w:rsidRDefault="00FE2783" w:rsidP="00FE2783">
            <w:pPr>
              <w:keepNext/>
              <w:keepLines/>
              <w:ind w:right="-85"/>
              <w:jc w:val="right"/>
              <w:rPr>
                <w:bCs/>
                <w:sz w:val="20"/>
                <w:szCs w:val="20"/>
                <w:lang w:val="fr-CA"/>
              </w:rPr>
            </w:pPr>
            <w:r w:rsidRPr="002C2DB0">
              <w:rPr>
                <w:sz w:val="20"/>
                <w:szCs w:val="20"/>
                <w:lang w:val="fr-CA"/>
              </w:rPr>
              <w:t>27 913</w:t>
            </w:r>
          </w:p>
        </w:tc>
      </w:tr>
      <w:tr w:rsidR="00FE2783" w:rsidRPr="002C2DB0" w14:paraId="3ED3D1BD" w14:textId="77777777" w:rsidTr="00FE2783">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5449E3E4" w14:textId="77777777" w:rsidR="00FE2783" w:rsidRPr="00FE2783" w:rsidRDefault="00FE2783" w:rsidP="00FE2783">
            <w:pPr>
              <w:jc w:val="left"/>
              <w:rPr>
                <w:color w:val="000000"/>
                <w:sz w:val="20"/>
                <w:szCs w:val="20"/>
                <w:lang w:val="en-US"/>
              </w:rPr>
            </w:pPr>
            <w:proofErr w:type="spellStart"/>
            <w:r w:rsidRPr="00FE2783">
              <w:rPr>
                <w:sz w:val="20"/>
                <w:szCs w:val="20"/>
                <w:lang w:val="en-US"/>
              </w:rPr>
              <w:t>Kitchentech</w:t>
            </w:r>
            <w:proofErr w:type="spellEnd"/>
            <w:r w:rsidRPr="00FE2783">
              <w:rPr>
                <w:sz w:val="20"/>
                <w:szCs w:val="20"/>
                <w:lang w:val="en-US"/>
              </w:rPr>
              <w:t xml:space="preserve"> Commercial Supply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31B88449" w14:textId="77777777" w:rsidR="00FE2783" w:rsidRPr="002C2DB0" w:rsidRDefault="00FE2783" w:rsidP="00FE2783">
            <w:pPr>
              <w:jc w:val="left"/>
              <w:rPr>
                <w:sz w:val="20"/>
                <w:szCs w:val="20"/>
                <w:lang w:val="fr-CA"/>
              </w:rPr>
            </w:pPr>
            <w:r w:rsidRPr="002C2DB0">
              <w:rPr>
                <w:sz w:val="20"/>
                <w:szCs w:val="20"/>
                <w:lang w:val="fr-CA"/>
              </w:rPr>
              <w:t>Réfrigération commerciale</w:t>
            </w:r>
          </w:p>
        </w:tc>
        <w:tc>
          <w:tcPr>
            <w:tcW w:w="1418" w:type="dxa"/>
            <w:tcBorders>
              <w:top w:val="single" w:sz="4" w:space="0" w:color="auto"/>
              <w:left w:val="nil"/>
              <w:bottom w:val="single" w:sz="4" w:space="0" w:color="auto"/>
              <w:right w:val="single" w:sz="4" w:space="0" w:color="auto"/>
            </w:tcBorders>
          </w:tcPr>
          <w:p w14:paraId="0EB7B1EC" w14:textId="77777777" w:rsidR="00FE2783" w:rsidRPr="002C2DB0" w:rsidRDefault="00FE2783" w:rsidP="00FE2783">
            <w:pPr>
              <w:ind w:right="28"/>
              <w:jc w:val="left"/>
              <w:rPr>
                <w:sz w:val="20"/>
                <w:szCs w:val="20"/>
                <w:lang w:val="fr-CA"/>
              </w:rPr>
            </w:pPr>
            <w:r w:rsidRPr="002C2DB0">
              <w:rPr>
                <w:sz w:val="20"/>
                <w:szCs w:val="20"/>
                <w:lang w:val="fr-CA"/>
              </w:rPr>
              <w:t xml:space="preserve">Cyclopentane </w:t>
            </w:r>
            <w:proofErr w:type="spellStart"/>
            <w:r w:rsidRPr="002C2DB0">
              <w:rPr>
                <w:sz w:val="20"/>
                <w:szCs w:val="20"/>
                <w:lang w:val="fr-CA"/>
              </w:rPr>
              <w:t>prémélangé</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8317690" w14:textId="77777777" w:rsidR="00FE2783" w:rsidRPr="002C2DB0" w:rsidRDefault="00FE2783" w:rsidP="00FE2783">
            <w:pPr>
              <w:ind w:right="-108"/>
              <w:jc w:val="right"/>
              <w:rPr>
                <w:color w:val="000000"/>
                <w:sz w:val="20"/>
                <w:szCs w:val="20"/>
                <w:lang w:val="fr-CA"/>
              </w:rPr>
            </w:pPr>
            <w:r w:rsidRPr="002C2DB0">
              <w:rPr>
                <w:sz w:val="20"/>
                <w:szCs w:val="20"/>
                <w:lang w:val="fr-CA"/>
              </w:rPr>
              <w:t>3,50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C9E4542" w14:textId="77777777" w:rsidR="00FE2783" w:rsidRPr="002C2DB0" w:rsidRDefault="00FE2783" w:rsidP="00FE2783">
            <w:pPr>
              <w:ind w:right="-85"/>
              <w:jc w:val="right"/>
              <w:rPr>
                <w:bCs/>
                <w:sz w:val="20"/>
                <w:szCs w:val="20"/>
                <w:lang w:val="fr-CA"/>
              </w:rPr>
            </w:pPr>
            <w:r w:rsidRPr="002C2DB0">
              <w:rPr>
                <w:sz w:val="20"/>
                <w:szCs w:val="20"/>
                <w:lang w:val="fr-CA"/>
              </w:rPr>
              <w:t>25 131</w:t>
            </w:r>
          </w:p>
        </w:tc>
      </w:tr>
      <w:tr w:rsidR="00FE2783" w:rsidRPr="002C2DB0" w14:paraId="254A50AF" w14:textId="77777777" w:rsidTr="00FE2783">
        <w:trPr>
          <w:trHeight w:val="134"/>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5F22148D" w14:textId="77777777" w:rsidR="00FE2783" w:rsidRPr="002C2DB0" w:rsidRDefault="00FE2783" w:rsidP="00FE2783">
            <w:pPr>
              <w:jc w:val="left"/>
              <w:rPr>
                <w:color w:val="000000"/>
                <w:sz w:val="20"/>
                <w:szCs w:val="20"/>
                <w:lang w:val="fr-CA"/>
              </w:rPr>
            </w:pPr>
            <w:r w:rsidRPr="002C2DB0">
              <w:rPr>
                <w:sz w:val="20"/>
                <w:szCs w:val="20"/>
                <w:lang w:val="fr-CA"/>
              </w:rPr>
              <w:t xml:space="preserve">Penang Trading </w:t>
            </w:r>
            <w:proofErr w:type="spellStart"/>
            <w:r w:rsidRPr="002C2DB0">
              <w:rPr>
                <w:sz w:val="20"/>
                <w:szCs w:val="20"/>
                <w:lang w:val="fr-CA"/>
              </w:rPr>
              <w:t>Company</w:t>
            </w:r>
            <w:proofErr w:type="spellEnd"/>
            <w:r w:rsidRPr="002C2DB0">
              <w:rPr>
                <w:sz w:val="20"/>
                <w:szCs w:val="20"/>
                <w:lang w:val="fr-CA"/>
              </w:rPr>
              <w:t xml:space="preserve"> </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tcPr>
          <w:p w14:paraId="397B5DB5" w14:textId="77777777" w:rsidR="00FE2783" w:rsidRPr="002C2DB0" w:rsidRDefault="00FE2783" w:rsidP="00FE2783">
            <w:pPr>
              <w:jc w:val="left"/>
              <w:rPr>
                <w:sz w:val="20"/>
                <w:szCs w:val="20"/>
                <w:lang w:val="fr-CA"/>
              </w:rPr>
            </w:pPr>
            <w:r w:rsidRPr="002C2DB0">
              <w:rPr>
                <w:sz w:val="20"/>
                <w:szCs w:val="20"/>
                <w:lang w:val="fr-CA"/>
              </w:rPr>
              <w:t>Panneaux en discontinu</w:t>
            </w:r>
          </w:p>
        </w:tc>
        <w:tc>
          <w:tcPr>
            <w:tcW w:w="1418" w:type="dxa"/>
            <w:tcBorders>
              <w:top w:val="single" w:sz="4" w:space="0" w:color="auto"/>
              <w:left w:val="nil"/>
              <w:bottom w:val="single" w:sz="4" w:space="0" w:color="auto"/>
              <w:right w:val="single" w:sz="4" w:space="0" w:color="auto"/>
            </w:tcBorders>
          </w:tcPr>
          <w:p w14:paraId="4CC6C597" w14:textId="77777777" w:rsidR="00FE2783" w:rsidRPr="002C2DB0" w:rsidRDefault="00FE2783" w:rsidP="00FE2783">
            <w:pPr>
              <w:ind w:right="28"/>
              <w:jc w:val="left"/>
              <w:rPr>
                <w:sz w:val="20"/>
                <w:szCs w:val="20"/>
                <w:lang w:val="fr-CA"/>
              </w:rPr>
            </w:pPr>
            <w:proofErr w:type="spellStart"/>
            <w:r w:rsidRPr="002C2DB0">
              <w:rPr>
                <w:sz w:val="20"/>
                <w:szCs w:val="20"/>
                <w:lang w:val="fr-CA"/>
              </w:rPr>
              <w:t>Méthylal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0970DB9" w14:textId="77777777" w:rsidR="00FE2783" w:rsidRPr="002C2DB0" w:rsidRDefault="00FE2783" w:rsidP="00FE2783">
            <w:pPr>
              <w:ind w:right="-108"/>
              <w:jc w:val="right"/>
              <w:rPr>
                <w:color w:val="000000"/>
                <w:sz w:val="20"/>
                <w:szCs w:val="20"/>
                <w:lang w:val="fr-CA"/>
              </w:rPr>
            </w:pPr>
            <w:r w:rsidRPr="002C2DB0">
              <w:rPr>
                <w:sz w:val="20"/>
                <w:szCs w:val="20"/>
                <w:lang w:val="fr-CA"/>
              </w:rPr>
              <w:t>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DF619D8" w14:textId="77777777" w:rsidR="00FE2783" w:rsidRPr="002C2DB0" w:rsidRDefault="00FE2783" w:rsidP="00FE2783">
            <w:pPr>
              <w:ind w:right="-85"/>
              <w:jc w:val="right"/>
              <w:rPr>
                <w:bCs/>
                <w:sz w:val="20"/>
                <w:szCs w:val="20"/>
                <w:lang w:val="fr-CA"/>
              </w:rPr>
            </w:pPr>
            <w:r w:rsidRPr="002C2DB0">
              <w:rPr>
                <w:sz w:val="20"/>
                <w:szCs w:val="20"/>
                <w:lang w:val="fr-CA"/>
              </w:rPr>
              <w:t>21 932</w:t>
            </w:r>
          </w:p>
        </w:tc>
      </w:tr>
      <w:tr w:rsidR="00FE2783" w:rsidRPr="002C2DB0" w14:paraId="34B38899" w14:textId="77777777" w:rsidTr="00FE2783">
        <w:trPr>
          <w:trHeight w:val="5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2F060704" w14:textId="77777777" w:rsidR="00FE2783" w:rsidRPr="002C2DB0" w:rsidRDefault="00FE2783" w:rsidP="00FE2783">
            <w:pPr>
              <w:jc w:val="left"/>
              <w:rPr>
                <w:color w:val="000000"/>
                <w:sz w:val="20"/>
                <w:szCs w:val="20"/>
                <w:lang w:val="fr-CA"/>
              </w:rPr>
            </w:pPr>
            <w:r w:rsidRPr="002C2DB0">
              <w:rPr>
                <w:sz w:val="20"/>
                <w:szCs w:val="20"/>
                <w:lang w:val="fr-CA"/>
              </w:rPr>
              <w:t>Tech-</w:t>
            </w:r>
            <w:proofErr w:type="spellStart"/>
            <w:r w:rsidRPr="002C2DB0">
              <w:rPr>
                <w:sz w:val="20"/>
                <w:szCs w:val="20"/>
                <w:lang w:val="fr-CA"/>
              </w:rPr>
              <w:t>Kool</w:t>
            </w:r>
            <w:proofErr w:type="spellEnd"/>
            <w:r w:rsidRPr="002C2DB0">
              <w:rPr>
                <w:sz w:val="20"/>
                <w:szCs w:val="20"/>
                <w:lang w:val="fr-CA"/>
              </w:rPr>
              <w:t xml:space="preserve"> </w:t>
            </w:r>
            <w:proofErr w:type="spellStart"/>
            <w:r w:rsidRPr="002C2DB0">
              <w:rPr>
                <w:sz w:val="20"/>
                <w:szCs w:val="20"/>
                <w:lang w:val="fr-CA"/>
              </w:rPr>
              <w:t>Refrigeration</w:t>
            </w:r>
            <w:proofErr w:type="spellEnd"/>
            <w:r w:rsidRPr="002C2DB0">
              <w:rPr>
                <w:sz w:val="20"/>
                <w:szCs w:val="20"/>
                <w:lang w:val="fr-CA"/>
              </w:rPr>
              <w:t xml:space="preserve">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1547FC32" w14:textId="77777777" w:rsidR="00FE2783" w:rsidRPr="002C2DB0" w:rsidRDefault="00FE2783" w:rsidP="00FE2783">
            <w:pPr>
              <w:jc w:val="left"/>
              <w:rPr>
                <w:sz w:val="20"/>
                <w:szCs w:val="20"/>
                <w:lang w:val="fr-CA"/>
              </w:rPr>
            </w:pPr>
            <w:r w:rsidRPr="002C2DB0">
              <w:rPr>
                <w:sz w:val="20"/>
                <w:szCs w:val="20"/>
                <w:lang w:val="fr-CA"/>
              </w:rPr>
              <w:t>Transport</w:t>
            </w:r>
          </w:p>
        </w:tc>
        <w:tc>
          <w:tcPr>
            <w:tcW w:w="1418" w:type="dxa"/>
            <w:tcBorders>
              <w:top w:val="single" w:sz="4" w:space="0" w:color="auto"/>
              <w:left w:val="nil"/>
              <w:bottom w:val="single" w:sz="4" w:space="0" w:color="auto"/>
              <w:right w:val="single" w:sz="4" w:space="0" w:color="auto"/>
            </w:tcBorders>
          </w:tcPr>
          <w:p w14:paraId="05A2D88B" w14:textId="77777777" w:rsidR="00FE2783" w:rsidRPr="002C2DB0" w:rsidRDefault="00FE2783" w:rsidP="00FE2783">
            <w:pPr>
              <w:ind w:right="28"/>
              <w:jc w:val="left"/>
              <w:rPr>
                <w:sz w:val="20"/>
                <w:szCs w:val="20"/>
                <w:lang w:val="fr-CA"/>
              </w:rPr>
            </w:pPr>
            <w:r w:rsidRPr="002C2DB0">
              <w:rPr>
                <w:sz w:val="20"/>
                <w:szCs w:val="20"/>
                <w:lang w:val="fr-CA"/>
              </w:rPr>
              <w:t xml:space="preserve">Cyclopentane </w:t>
            </w:r>
            <w:proofErr w:type="spellStart"/>
            <w:r w:rsidRPr="002C2DB0">
              <w:rPr>
                <w:sz w:val="20"/>
                <w:szCs w:val="20"/>
                <w:lang w:val="fr-CA"/>
              </w:rPr>
              <w:t>prémélangé</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359FFD2" w14:textId="77777777" w:rsidR="00FE2783" w:rsidRPr="002C2DB0" w:rsidRDefault="00FE2783" w:rsidP="00FE2783">
            <w:pPr>
              <w:ind w:right="-108"/>
              <w:jc w:val="right"/>
              <w:rPr>
                <w:color w:val="000000"/>
                <w:sz w:val="20"/>
                <w:szCs w:val="20"/>
                <w:lang w:val="fr-CA"/>
              </w:rPr>
            </w:pPr>
            <w:r w:rsidRPr="002C2DB0">
              <w:rPr>
                <w:sz w:val="20"/>
                <w:szCs w:val="20"/>
                <w:lang w:val="fr-CA"/>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EB80563" w14:textId="77777777" w:rsidR="00FE2783" w:rsidRPr="002C2DB0" w:rsidRDefault="00FE2783" w:rsidP="00FE2783">
            <w:pPr>
              <w:ind w:right="-85"/>
              <w:jc w:val="right"/>
              <w:rPr>
                <w:bCs/>
                <w:sz w:val="20"/>
                <w:szCs w:val="20"/>
                <w:lang w:val="fr-CA"/>
              </w:rPr>
            </w:pPr>
            <w:r w:rsidRPr="002C2DB0">
              <w:rPr>
                <w:sz w:val="20"/>
                <w:szCs w:val="20"/>
                <w:lang w:val="fr-CA"/>
              </w:rPr>
              <w:t>12 613</w:t>
            </w:r>
          </w:p>
        </w:tc>
      </w:tr>
      <w:tr w:rsidR="00FE2783" w:rsidRPr="002C2DB0" w14:paraId="3D760C6D" w14:textId="77777777" w:rsidTr="00FE2783">
        <w:trPr>
          <w:trHeight w:val="143"/>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668C230E" w14:textId="77777777" w:rsidR="00FE2783" w:rsidRPr="00FE2783" w:rsidRDefault="00FE2783" w:rsidP="00FE2783">
            <w:pPr>
              <w:jc w:val="left"/>
              <w:rPr>
                <w:color w:val="000000"/>
                <w:sz w:val="20"/>
                <w:szCs w:val="20"/>
                <w:lang w:val="en-US"/>
              </w:rPr>
            </w:pPr>
            <w:r w:rsidRPr="00FE2783">
              <w:rPr>
                <w:sz w:val="20"/>
                <w:szCs w:val="20"/>
                <w:lang w:val="en-US"/>
              </w:rPr>
              <w:t xml:space="preserve">Teck Guan Steel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2929C93F" w14:textId="77777777" w:rsidR="00FE2783" w:rsidRPr="002C2DB0" w:rsidRDefault="00FE2783" w:rsidP="00FE2783">
            <w:pPr>
              <w:jc w:val="left"/>
              <w:rPr>
                <w:sz w:val="20"/>
                <w:szCs w:val="20"/>
                <w:lang w:val="fr-CA"/>
              </w:rPr>
            </w:pPr>
            <w:r w:rsidRPr="002C2DB0">
              <w:rPr>
                <w:sz w:val="20"/>
                <w:szCs w:val="20"/>
                <w:lang w:val="fr-CA"/>
              </w:rPr>
              <w:t>Panneaux en discontinu</w:t>
            </w:r>
          </w:p>
        </w:tc>
        <w:tc>
          <w:tcPr>
            <w:tcW w:w="1418" w:type="dxa"/>
            <w:tcBorders>
              <w:top w:val="single" w:sz="4" w:space="0" w:color="auto"/>
              <w:left w:val="nil"/>
              <w:bottom w:val="single" w:sz="4" w:space="0" w:color="auto"/>
              <w:right w:val="single" w:sz="4" w:space="0" w:color="auto"/>
            </w:tcBorders>
          </w:tcPr>
          <w:p w14:paraId="431A44B6" w14:textId="77777777" w:rsidR="00FE2783" w:rsidRPr="002C2DB0" w:rsidRDefault="00FE2783" w:rsidP="00FE2783">
            <w:pPr>
              <w:ind w:right="28"/>
              <w:jc w:val="left"/>
              <w:rPr>
                <w:sz w:val="20"/>
                <w:szCs w:val="20"/>
                <w:lang w:val="fr-CA"/>
              </w:rPr>
            </w:pPr>
            <w:proofErr w:type="spellStart"/>
            <w:r w:rsidRPr="002C2DB0">
              <w:rPr>
                <w:sz w:val="20"/>
                <w:szCs w:val="20"/>
                <w:lang w:val="fr-CA"/>
              </w:rPr>
              <w:t>Méthylal</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1CAD740" w14:textId="77777777" w:rsidR="00FE2783" w:rsidRPr="002C2DB0" w:rsidRDefault="00FE2783" w:rsidP="00FE2783">
            <w:pPr>
              <w:ind w:right="-108"/>
              <w:jc w:val="right"/>
              <w:rPr>
                <w:color w:val="000000"/>
                <w:sz w:val="20"/>
                <w:szCs w:val="20"/>
                <w:lang w:val="fr-CA"/>
              </w:rPr>
            </w:pPr>
            <w:r w:rsidRPr="002C2DB0">
              <w:rPr>
                <w:sz w:val="20"/>
                <w:szCs w:val="20"/>
                <w:lang w:val="fr-CA"/>
              </w:rPr>
              <w:t>0,57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DB0A9FC" w14:textId="77777777" w:rsidR="00FE2783" w:rsidRPr="002C2DB0" w:rsidRDefault="00FE2783" w:rsidP="00FE2783">
            <w:pPr>
              <w:ind w:right="-85"/>
              <w:jc w:val="right"/>
              <w:rPr>
                <w:bCs/>
                <w:sz w:val="20"/>
                <w:szCs w:val="20"/>
                <w:lang w:val="fr-CA"/>
              </w:rPr>
            </w:pPr>
            <w:r w:rsidRPr="002C2DB0">
              <w:rPr>
                <w:sz w:val="20"/>
                <w:szCs w:val="20"/>
                <w:lang w:val="fr-CA"/>
              </w:rPr>
              <w:t>6 000</w:t>
            </w:r>
          </w:p>
        </w:tc>
      </w:tr>
      <w:tr w:rsidR="00FE2783" w:rsidRPr="002C2DB0" w14:paraId="1FE198D1" w14:textId="77777777" w:rsidTr="00FE2783">
        <w:trPr>
          <w:trHeight w:val="80"/>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74C7904E" w14:textId="77777777" w:rsidR="00FE2783" w:rsidRPr="00FE2783" w:rsidRDefault="00FE2783" w:rsidP="00FE2783">
            <w:pPr>
              <w:jc w:val="left"/>
              <w:rPr>
                <w:color w:val="000000"/>
                <w:sz w:val="20"/>
                <w:szCs w:val="20"/>
                <w:lang w:val="en-US"/>
              </w:rPr>
            </w:pPr>
            <w:proofErr w:type="spellStart"/>
            <w:r w:rsidRPr="00FE2783">
              <w:rPr>
                <w:sz w:val="20"/>
                <w:szCs w:val="20"/>
                <w:lang w:val="en-US"/>
              </w:rPr>
              <w:lastRenderedPageBreak/>
              <w:t>Wincool</w:t>
            </w:r>
            <w:proofErr w:type="spellEnd"/>
            <w:r w:rsidRPr="00FE2783">
              <w:rPr>
                <w:sz w:val="20"/>
                <w:szCs w:val="20"/>
                <w:lang w:val="en-US"/>
              </w:rPr>
              <w:t xml:space="preserve"> Refrigeration and</w:t>
            </w:r>
            <w:r w:rsidRPr="00FE2783">
              <w:rPr>
                <w:sz w:val="20"/>
                <w:szCs w:val="20"/>
                <w:lang w:val="en-US"/>
              </w:rPr>
              <w:br/>
              <w:t xml:space="preserve">Air-conditioning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26F7F0F4" w14:textId="77777777" w:rsidR="00FE2783" w:rsidRPr="002C2DB0" w:rsidRDefault="00FE2783" w:rsidP="00FE2783">
            <w:pPr>
              <w:jc w:val="left"/>
              <w:rPr>
                <w:sz w:val="20"/>
                <w:szCs w:val="20"/>
                <w:lang w:val="fr-CA"/>
              </w:rPr>
            </w:pPr>
            <w:r w:rsidRPr="002C2DB0">
              <w:rPr>
                <w:sz w:val="20"/>
                <w:szCs w:val="20"/>
                <w:lang w:val="fr-CA"/>
              </w:rPr>
              <w:t>Réfrigération commerciale</w:t>
            </w:r>
          </w:p>
        </w:tc>
        <w:tc>
          <w:tcPr>
            <w:tcW w:w="1418" w:type="dxa"/>
            <w:tcBorders>
              <w:top w:val="single" w:sz="4" w:space="0" w:color="auto"/>
              <w:left w:val="nil"/>
              <w:bottom w:val="single" w:sz="4" w:space="0" w:color="auto"/>
              <w:right w:val="single" w:sz="4" w:space="0" w:color="auto"/>
            </w:tcBorders>
          </w:tcPr>
          <w:p w14:paraId="10E39AC8" w14:textId="77777777" w:rsidR="00FE2783" w:rsidRPr="002C2DB0" w:rsidRDefault="00FE2783" w:rsidP="00FE2783">
            <w:pPr>
              <w:ind w:right="28"/>
              <w:jc w:val="left"/>
              <w:rPr>
                <w:sz w:val="20"/>
                <w:szCs w:val="20"/>
                <w:lang w:val="fr-CA"/>
              </w:rPr>
            </w:pPr>
            <w:r w:rsidRPr="002C2DB0">
              <w:rPr>
                <w:sz w:val="20"/>
                <w:szCs w:val="20"/>
                <w:lang w:val="fr-CA"/>
              </w:rPr>
              <w:t xml:space="preserve">Cyclopentane </w:t>
            </w:r>
            <w:proofErr w:type="spellStart"/>
            <w:r w:rsidRPr="002C2DB0">
              <w:rPr>
                <w:sz w:val="20"/>
                <w:szCs w:val="20"/>
                <w:lang w:val="fr-CA"/>
              </w:rPr>
              <w:t>prémélangé</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6B5B1D8" w14:textId="77777777" w:rsidR="00FE2783" w:rsidRPr="002C2DB0" w:rsidRDefault="00FE2783" w:rsidP="00FE2783">
            <w:pPr>
              <w:ind w:right="-108"/>
              <w:jc w:val="right"/>
              <w:rPr>
                <w:color w:val="000000"/>
                <w:sz w:val="20"/>
                <w:szCs w:val="20"/>
                <w:lang w:val="fr-CA"/>
              </w:rPr>
            </w:pPr>
            <w:r w:rsidRPr="002C2DB0">
              <w:rPr>
                <w:sz w:val="20"/>
                <w:szCs w:val="20"/>
                <w:lang w:val="fr-CA"/>
              </w:rPr>
              <w:t>0,44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3744E04" w14:textId="77777777" w:rsidR="00FE2783" w:rsidRPr="002C2DB0" w:rsidRDefault="00FE2783" w:rsidP="00FE2783">
            <w:pPr>
              <w:ind w:right="-85"/>
              <w:jc w:val="right"/>
              <w:rPr>
                <w:bCs/>
                <w:sz w:val="20"/>
                <w:szCs w:val="20"/>
                <w:lang w:val="fr-CA"/>
              </w:rPr>
            </w:pPr>
            <w:r w:rsidRPr="002C2DB0">
              <w:rPr>
                <w:sz w:val="20"/>
                <w:szCs w:val="20"/>
                <w:lang w:val="fr-CA"/>
              </w:rPr>
              <w:t>3 674</w:t>
            </w:r>
          </w:p>
        </w:tc>
      </w:tr>
      <w:tr w:rsidR="00FE2783" w:rsidRPr="002C2DB0" w14:paraId="066754CF" w14:textId="77777777" w:rsidTr="00FE2783">
        <w:trPr>
          <w:trHeight w:val="116"/>
        </w:trPr>
        <w:tc>
          <w:tcPr>
            <w:tcW w:w="2972"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2CB04798" w14:textId="77777777" w:rsidR="00FE2783" w:rsidRPr="002C2DB0" w:rsidRDefault="00FE2783" w:rsidP="00FE2783">
            <w:pPr>
              <w:jc w:val="left"/>
              <w:rPr>
                <w:b/>
                <w:color w:val="000000"/>
                <w:sz w:val="20"/>
                <w:szCs w:val="20"/>
                <w:lang w:val="fr-CA"/>
              </w:rPr>
            </w:pPr>
            <w:r w:rsidRPr="002C2DB0">
              <w:rPr>
                <w:b/>
                <w:color w:val="000000"/>
                <w:sz w:val="20"/>
                <w:szCs w:val="20"/>
                <w:lang w:val="fr-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01B75881" w14:textId="77777777" w:rsidR="00FE2783" w:rsidRPr="002C2DB0" w:rsidRDefault="00FE2783" w:rsidP="00FE2783">
            <w:pPr>
              <w:jc w:val="left"/>
              <w:rPr>
                <w:b/>
                <w:sz w:val="20"/>
                <w:szCs w:val="20"/>
                <w:lang w:val="fr-CA"/>
              </w:rPr>
            </w:pPr>
          </w:p>
        </w:tc>
        <w:tc>
          <w:tcPr>
            <w:tcW w:w="1418" w:type="dxa"/>
            <w:tcBorders>
              <w:top w:val="single" w:sz="4" w:space="0" w:color="auto"/>
              <w:left w:val="nil"/>
              <w:bottom w:val="single" w:sz="4" w:space="0" w:color="auto"/>
              <w:right w:val="single" w:sz="4" w:space="0" w:color="auto"/>
            </w:tcBorders>
          </w:tcPr>
          <w:p w14:paraId="71CB0EDF" w14:textId="77777777" w:rsidR="00FE2783" w:rsidRPr="002C2DB0" w:rsidRDefault="00FE2783" w:rsidP="00FE2783">
            <w:pPr>
              <w:ind w:right="-108"/>
              <w:jc w:val="right"/>
              <w:rPr>
                <w:b/>
                <w:bCs/>
                <w:color w:val="000000"/>
                <w:sz w:val="20"/>
                <w:szCs w:val="20"/>
                <w:lang w:val="fr-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6068231" w14:textId="77777777" w:rsidR="00FE2783" w:rsidRPr="002C2DB0" w:rsidRDefault="00FE2783" w:rsidP="00FE2783">
            <w:pPr>
              <w:ind w:right="-108"/>
              <w:jc w:val="right"/>
              <w:rPr>
                <w:b/>
                <w:bCs/>
                <w:color w:val="000000"/>
                <w:sz w:val="20"/>
                <w:szCs w:val="20"/>
                <w:lang w:val="fr-CA"/>
              </w:rPr>
            </w:pPr>
            <w:r w:rsidRPr="002C2DB0">
              <w:rPr>
                <w:b/>
                <w:bCs/>
                <w:color w:val="000000"/>
                <w:sz w:val="20"/>
                <w:szCs w:val="20"/>
                <w:lang w:val="fr-CA"/>
              </w:rPr>
              <w:t>29,47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2BD620D" w14:textId="77777777" w:rsidR="00FE2783" w:rsidRPr="002C2DB0" w:rsidRDefault="00FE2783" w:rsidP="00FE2783">
            <w:pPr>
              <w:ind w:right="-85"/>
              <w:jc w:val="right"/>
              <w:rPr>
                <w:b/>
                <w:bCs/>
                <w:color w:val="000000"/>
                <w:sz w:val="20"/>
                <w:szCs w:val="20"/>
                <w:lang w:val="fr-CA"/>
              </w:rPr>
            </w:pPr>
            <w:r w:rsidRPr="002C2DB0">
              <w:rPr>
                <w:b/>
                <w:bCs/>
                <w:color w:val="000000"/>
                <w:sz w:val="20"/>
                <w:szCs w:val="20"/>
                <w:lang w:val="fr-CA"/>
              </w:rPr>
              <w:t>207 568</w:t>
            </w:r>
          </w:p>
        </w:tc>
      </w:tr>
    </w:tbl>
    <w:p w14:paraId="452D32A2" w14:textId="77777777" w:rsidR="00FE2783" w:rsidRPr="002C2DB0" w:rsidRDefault="00FE2783" w:rsidP="00FE2783">
      <w:pPr>
        <w:rPr>
          <w:lang w:val="fr-CA"/>
        </w:rPr>
      </w:pPr>
    </w:p>
    <w:p w14:paraId="71FC5BD9" w14:textId="77777777" w:rsidR="00FE2783" w:rsidRPr="002C2DB0" w:rsidRDefault="00FE2783" w:rsidP="00FE2783">
      <w:pPr>
        <w:spacing w:after="240"/>
        <w:rPr>
          <w:u w:val="single"/>
          <w:lang w:val="fr-CA"/>
        </w:rPr>
      </w:pPr>
      <w:r w:rsidRPr="002C2DB0">
        <w:rPr>
          <w:u w:val="single"/>
          <w:lang w:val="fr-CA"/>
        </w:rPr>
        <w:t>Demande de retrait d’entreprises et de réaffectation des fonds</w:t>
      </w:r>
    </w:p>
    <w:p w14:paraId="795C7C5B" w14:textId="77777777" w:rsidR="00FE2783" w:rsidRPr="002C2DB0" w:rsidRDefault="00FE2783" w:rsidP="00FE2783">
      <w:pPr>
        <w:widowControl w:val="0"/>
        <w:numPr>
          <w:ilvl w:val="0"/>
          <w:numId w:val="1"/>
        </w:numPr>
        <w:spacing w:after="240"/>
        <w:outlineLvl w:val="0"/>
        <w:rPr>
          <w:b/>
          <w:lang w:val="fr-CA"/>
        </w:rPr>
      </w:pPr>
      <w:r w:rsidRPr="002C2DB0">
        <w:rPr>
          <w:lang w:val="fr-CA"/>
        </w:rPr>
        <w:t xml:space="preserve">Les 14 </w:t>
      </w:r>
      <w:r>
        <w:rPr>
          <w:lang w:val="fr-CA"/>
        </w:rPr>
        <w:t>PME</w:t>
      </w:r>
      <w:r w:rsidRPr="002C2DB0">
        <w:rPr>
          <w:lang w:val="fr-CA"/>
        </w:rPr>
        <w:t xml:space="preserve"> restantes, et une dont le changement de technologie avait été approuvé à la 85</w:t>
      </w:r>
      <w:r w:rsidRPr="002C2DB0">
        <w:rPr>
          <w:vertAlign w:val="superscript"/>
          <w:lang w:val="fr-CA"/>
        </w:rPr>
        <w:t>e</w:t>
      </w:r>
      <w:r w:rsidRPr="002C2DB0">
        <w:rPr>
          <w:lang w:val="fr-CA"/>
        </w:rPr>
        <w:t xml:space="preserve"> réunion, ont envisagé de reconvertir à des technologies de remplacement à faible PRG, dont le cyclopentane pur ou </w:t>
      </w:r>
      <w:proofErr w:type="spellStart"/>
      <w:r w:rsidRPr="002C2DB0">
        <w:rPr>
          <w:lang w:val="fr-CA"/>
        </w:rPr>
        <w:t>prémélangé</w:t>
      </w:r>
      <w:proofErr w:type="spellEnd"/>
      <w:r w:rsidRPr="002C2DB0">
        <w:rPr>
          <w:lang w:val="fr-CA"/>
        </w:rPr>
        <w:t xml:space="preserve"> dans des formules</w:t>
      </w:r>
      <w:r>
        <w:rPr>
          <w:lang w:val="fr-CA"/>
        </w:rPr>
        <w:t xml:space="preserve"> de polyols, des formules de HFO</w:t>
      </w:r>
      <w:r w:rsidRPr="002C2DB0">
        <w:rPr>
          <w:lang w:val="fr-CA"/>
        </w:rPr>
        <w:t xml:space="preserve"> réduits, le </w:t>
      </w:r>
      <w:proofErr w:type="spellStart"/>
      <w:r w:rsidRPr="002C2DB0">
        <w:rPr>
          <w:lang w:val="fr-CA"/>
        </w:rPr>
        <w:t>méthylal</w:t>
      </w:r>
      <w:proofErr w:type="spellEnd"/>
      <w:r w:rsidRPr="002C2DB0">
        <w:rPr>
          <w:lang w:val="fr-CA"/>
        </w:rPr>
        <w:t xml:space="preserve"> ou les formules de gonflage à l’eau. </w:t>
      </w:r>
      <w:r>
        <w:rPr>
          <w:lang w:val="fr-CA"/>
        </w:rPr>
        <w:t>Ces 15</w:t>
      </w:r>
      <w:r w:rsidRPr="002C2DB0">
        <w:rPr>
          <w:lang w:val="fr-CA"/>
        </w:rPr>
        <w:t xml:space="preserve"> PME ont déterminé que la reconversion à un agent de gonflage inflammable n’est pas économique, que les formules de </w:t>
      </w:r>
      <w:proofErr w:type="spellStart"/>
      <w:r w:rsidRPr="002C2DB0">
        <w:rPr>
          <w:lang w:val="fr-CA"/>
        </w:rPr>
        <w:t>méthylal</w:t>
      </w:r>
      <w:proofErr w:type="spellEnd"/>
      <w:r w:rsidRPr="002C2DB0">
        <w:rPr>
          <w:lang w:val="fr-CA"/>
        </w:rPr>
        <w:t xml:space="preserve"> </w:t>
      </w:r>
      <w:proofErr w:type="spellStart"/>
      <w:r w:rsidRPr="002C2DB0">
        <w:rPr>
          <w:lang w:val="fr-CA"/>
        </w:rPr>
        <w:t>prémélangées</w:t>
      </w:r>
      <w:proofErr w:type="spellEnd"/>
      <w:r w:rsidRPr="002C2DB0">
        <w:rPr>
          <w:lang w:val="fr-CA"/>
        </w:rPr>
        <w:t xml:space="preserve"> risquent d’être inflammables car le contenu en </w:t>
      </w:r>
      <w:proofErr w:type="spellStart"/>
      <w:r w:rsidRPr="002C2DB0">
        <w:rPr>
          <w:lang w:val="fr-CA"/>
        </w:rPr>
        <w:t>méthylal</w:t>
      </w:r>
      <w:proofErr w:type="spellEnd"/>
      <w:r w:rsidRPr="002C2DB0">
        <w:rPr>
          <w:lang w:val="fr-CA"/>
        </w:rPr>
        <w:t xml:space="preserve"> nécessaire pour les applications dans ces entreprises représente de 2 à 5 parts par centaine de part</w:t>
      </w:r>
      <w:r>
        <w:rPr>
          <w:lang w:val="fr-CA"/>
        </w:rPr>
        <w:t>s</w:t>
      </w:r>
      <w:r w:rsidRPr="002C2DB0">
        <w:rPr>
          <w:lang w:val="fr-CA"/>
        </w:rPr>
        <w:t xml:space="preserve"> de polyol (</w:t>
      </w:r>
      <w:proofErr w:type="spellStart"/>
      <w:r w:rsidRPr="002C2DB0">
        <w:rPr>
          <w:lang w:val="fr-CA"/>
        </w:rPr>
        <w:t>php</w:t>
      </w:r>
      <w:proofErr w:type="spellEnd"/>
      <w:r w:rsidRPr="002C2DB0">
        <w:rPr>
          <w:lang w:val="fr-CA"/>
        </w:rPr>
        <w:t>) et que le coût actuel des formules à base de HF</w:t>
      </w:r>
      <w:r>
        <w:rPr>
          <w:lang w:val="fr-CA"/>
        </w:rPr>
        <w:t>O</w:t>
      </w:r>
      <w:r w:rsidRPr="002C2DB0">
        <w:rPr>
          <w:lang w:val="fr-CA"/>
        </w:rPr>
        <w:t xml:space="preserve"> est exorbitant. Par conséquent, les entreprises ont décidé de se retirer du projet et prévoient plutôt re</w:t>
      </w:r>
      <w:r>
        <w:rPr>
          <w:lang w:val="fr-CA"/>
        </w:rPr>
        <w:t>convertir leurs activités au HFC</w:t>
      </w:r>
      <w:r w:rsidRPr="002C2DB0">
        <w:rPr>
          <w:lang w:val="fr-CA"/>
        </w:rPr>
        <w:t xml:space="preserve"> contenu dans des polyols </w:t>
      </w:r>
      <w:proofErr w:type="spellStart"/>
      <w:r w:rsidRPr="002C2DB0">
        <w:rPr>
          <w:lang w:val="fr-CA"/>
        </w:rPr>
        <w:t>prémélangés</w:t>
      </w:r>
      <w:proofErr w:type="spellEnd"/>
      <w:r w:rsidRPr="002C2DB0">
        <w:rPr>
          <w:lang w:val="fr-CA"/>
        </w:rPr>
        <w:t xml:space="preserve"> (surtout l’agent de gonflage à base de HFC-365mfc). La consommation globale de ces 15 entreprises est de 19,37 </w:t>
      </w:r>
      <w:proofErr w:type="spellStart"/>
      <w:r w:rsidRPr="002C2DB0">
        <w:rPr>
          <w:lang w:val="fr-CA"/>
        </w:rPr>
        <w:t>tm</w:t>
      </w:r>
      <w:proofErr w:type="spellEnd"/>
      <w:r w:rsidRPr="002C2DB0">
        <w:rPr>
          <w:lang w:val="fr-CA"/>
        </w:rPr>
        <w:t xml:space="preserve"> pour un financement total de 169 281 $US, comme indiqué dans le tableau 6.</w:t>
      </w:r>
    </w:p>
    <w:p w14:paraId="6C1B97E2" w14:textId="77777777" w:rsidR="00FE2783" w:rsidRPr="002C2DB0" w:rsidRDefault="00FE2783" w:rsidP="00FE2783">
      <w:pPr>
        <w:keepNext/>
        <w:keepLines/>
        <w:rPr>
          <w:b/>
          <w:lang w:val="fr-CA"/>
        </w:rPr>
      </w:pPr>
      <w:r w:rsidRPr="002C2DB0">
        <w:rPr>
          <w:b/>
          <w:lang w:val="fr-CA"/>
        </w:rPr>
        <w:t xml:space="preserve">Tableau 6. </w:t>
      </w:r>
      <w:r>
        <w:rPr>
          <w:b/>
          <w:lang w:val="fr-CA"/>
        </w:rPr>
        <w:t>PM</w:t>
      </w:r>
      <w:r w:rsidRPr="002C2DB0">
        <w:rPr>
          <w:b/>
          <w:lang w:val="fr-CA"/>
        </w:rPr>
        <w:t>E ayant décidé de se retirer de la phase II du PGEH</w:t>
      </w:r>
    </w:p>
    <w:tbl>
      <w:tblPr>
        <w:tblW w:w="9351" w:type="dxa"/>
        <w:tblLayout w:type="fixed"/>
        <w:tblLook w:val="04A0" w:firstRow="1" w:lastRow="0" w:firstColumn="1" w:lastColumn="0" w:noHBand="0" w:noVBand="1"/>
      </w:tblPr>
      <w:tblGrid>
        <w:gridCol w:w="4390"/>
        <w:gridCol w:w="2268"/>
        <w:gridCol w:w="1275"/>
        <w:gridCol w:w="1418"/>
      </w:tblGrid>
      <w:tr w:rsidR="00FE2783" w:rsidRPr="002C2DB0" w14:paraId="25CE70B0" w14:textId="77777777" w:rsidTr="00FE2783">
        <w:trPr>
          <w:trHeight w:val="480"/>
          <w:tblHeader/>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center"/>
            <w:hideMark/>
          </w:tcPr>
          <w:p w14:paraId="799E976F" w14:textId="77777777" w:rsidR="00FE2783" w:rsidRPr="002C2DB0" w:rsidRDefault="00FE2783" w:rsidP="00FE2783">
            <w:pPr>
              <w:widowControl w:val="0"/>
              <w:jc w:val="left"/>
              <w:rPr>
                <w:b/>
                <w:bCs/>
                <w:color w:val="000000"/>
                <w:sz w:val="20"/>
                <w:szCs w:val="20"/>
                <w:lang w:val="fr-CA"/>
              </w:rPr>
            </w:pPr>
            <w:r w:rsidRPr="002C2DB0">
              <w:rPr>
                <w:b/>
                <w:bCs/>
                <w:color w:val="000000"/>
                <w:sz w:val="20"/>
                <w:szCs w:val="20"/>
                <w:lang w:val="fr-CA"/>
              </w:rPr>
              <w:t>Entreprise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4247189" w14:textId="77777777" w:rsidR="00FE2783" w:rsidRPr="002C2DB0" w:rsidRDefault="00FE2783" w:rsidP="00FE2783">
            <w:pPr>
              <w:widowControl w:val="0"/>
              <w:jc w:val="center"/>
              <w:rPr>
                <w:b/>
                <w:bCs/>
                <w:color w:val="000000"/>
                <w:sz w:val="20"/>
                <w:szCs w:val="20"/>
                <w:lang w:val="fr-CA"/>
              </w:rPr>
            </w:pPr>
            <w:r w:rsidRPr="002C2DB0">
              <w:rPr>
                <w:b/>
                <w:bCs/>
                <w:color w:val="000000"/>
                <w:sz w:val="20"/>
                <w:szCs w:val="20"/>
                <w:lang w:val="fr-CA"/>
              </w:rPr>
              <w:t>Application</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14:paraId="15248A7C" w14:textId="77777777" w:rsidR="00FE2783" w:rsidRPr="002C2DB0" w:rsidRDefault="00FE2783" w:rsidP="00FE2783">
            <w:pPr>
              <w:widowControl w:val="0"/>
              <w:jc w:val="center"/>
              <w:rPr>
                <w:b/>
                <w:bCs/>
                <w:color w:val="000000"/>
                <w:sz w:val="20"/>
                <w:szCs w:val="20"/>
                <w:lang w:val="fr-CA"/>
              </w:rPr>
            </w:pPr>
            <w:r w:rsidRPr="002C2DB0">
              <w:rPr>
                <w:b/>
                <w:bCs/>
                <w:color w:val="000000"/>
                <w:sz w:val="20"/>
                <w:szCs w:val="20"/>
                <w:lang w:val="fr-CA"/>
              </w:rPr>
              <w:t>Technologie proposée</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5E1783C" w14:textId="77777777" w:rsidR="00FE2783" w:rsidRPr="002C2DB0" w:rsidRDefault="00FE2783" w:rsidP="00FE2783">
            <w:pPr>
              <w:widowControl w:val="0"/>
              <w:jc w:val="center"/>
              <w:rPr>
                <w:b/>
                <w:bCs/>
                <w:color w:val="000000"/>
                <w:sz w:val="20"/>
                <w:szCs w:val="20"/>
                <w:lang w:val="fr-CA"/>
              </w:rPr>
            </w:pPr>
            <w:r w:rsidRPr="002C2DB0">
              <w:rPr>
                <w:b/>
                <w:bCs/>
                <w:color w:val="000000"/>
                <w:sz w:val="20"/>
                <w:szCs w:val="20"/>
                <w:lang w:val="fr-CA"/>
              </w:rPr>
              <w:t>HCFC</w:t>
            </w:r>
            <w:r w:rsidRPr="002C2DB0">
              <w:rPr>
                <w:b/>
                <w:bCs/>
                <w:color w:val="000000"/>
                <w:sz w:val="20"/>
                <w:szCs w:val="20"/>
                <w:lang w:val="fr-CA"/>
              </w:rPr>
              <w:noBreakHyphen/>
              <w:t>141b (</w:t>
            </w:r>
            <w:proofErr w:type="spellStart"/>
            <w:r w:rsidRPr="002C2DB0">
              <w:rPr>
                <w:b/>
                <w:bCs/>
                <w:color w:val="000000"/>
                <w:sz w:val="20"/>
                <w:szCs w:val="20"/>
                <w:lang w:val="fr-CA"/>
              </w:rPr>
              <w:t>tm</w:t>
            </w:r>
            <w:proofErr w:type="spellEnd"/>
            <w:r w:rsidRPr="002C2DB0">
              <w:rPr>
                <w:b/>
                <w:bCs/>
                <w:color w:val="000000"/>
                <w:sz w:val="20"/>
                <w:szCs w:val="20"/>
                <w:lang w:val="fr-CA"/>
              </w:rPr>
              <w:t>) en 2015</w:t>
            </w:r>
          </w:p>
        </w:tc>
      </w:tr>
      <w:tr w:rsidR="00FE2783" w:rsidRPr="002C2DB0" w14:paraId="1F1FF55C" w14:textId="77777777" w:rsidTr="00FE2783">
        <w:trPr>
          <w:trHeight w:val="98"/>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BC5D013" w14:textId="77777777" w:rsidR="00FE2783" w:rsidRPr="002C2DB0" w:rsidRDefault="00FE2783" w:rsidP="00FE2783">
            <w:pPr>
              <w:widowControl w:val="0"/>
              <w:jc w:val="left"/>
              <w:rPr>
                <w:sz w:val="20"/>
                <w:szCs w:val="20"/>
                <w:lang w:val="fr-CA"/>
              </w:rPr>
            </w:pPr>
            <w:r w:rsidRPr="002C2DB0">
              <w:rPr>
                <w:sz w:val="20"/>
                <w:szCs w:val="20"/>
                <w:lang w:val="fr-CA"/>
              </w:rPr>
              <w:t xml:space="preserve">Hong Yun </w:t>
            </w:r>
            <w:proofErr w:type="spellStart"/>
            <w:r w:rsidRPr="002C2DB0">
              <w:rPr>
                <w:sz w:val="20"/>
                <w:szCs w:val="20"/>
                <w:lang w:val="fr-CA"/>
              </w:rPr>
              <w:t>Refrigeration</w:t>
            </w:r>
            <w:proofErr w:type="spellEnd"/>
            <w:r w:rsidRPr="002C2DB0">
              <w:rPr>
                <w:sz w:val="20"/>
                <w:szCs w:val="20"/>
                <w:lang w:val="fr-CA"/>
              </w:rPr>
              <w:t xml:space="preserve">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6ECC5552" w14:textId="77777777" w:rsidR="00FE2783" w:rsidRPr="002C2DB0" w:rsidRDefault="00FE2783" w:rsidP="00FE2783">
            <w:pPr>
              <w:widowControl w:val="0"/>
              <w:jc w:val="left"/>
              <w:rPr>
                <w:sz w:val="20"/>
                <w:szCs w:val="20"/>
                <w:lang w:val="fr-CA"/>
              </w:rPr>
            </w:pPr>
            <w:r w:rsidRPr="002C2DB0">
              <w:rPr>
                <w:sz w:val="20"/>
                <w:szCs w:val="20"/>
                <w:lang w:val="fr-CA"/>
              </w:rPr>
              <w:t>Panneaux en discontinu</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FF224B3" w14:textId="77777777" w:rsidR="00FE2783" w:rsidRPr="002C2DB0" w:rsidRDefault="00FE2783" w:rsidP="00FE2783">
            <w:pPr>
              <w:widowControl w:val="0"/>
              <w:ind w:right="57"/>
              <w:jc w:val="right"/>
              <w:rPr>
                <w:sz w:val="20"/>
                <w:szCs w:val="20"/>
                <w:lang w:val="fr-CA"/>
              </w:rPr>
            </w:pPr>
            <w:r w:rsidRPr="002C2DB0">
              <w:rPr>
                <w:sz w:val="20"/>
                <w:szCs w:val="20"/>
                <w:lang w:val="fr-CA"/>
              </w:rPr>
              <w:t>3</w:t>
            </w:r>
            <w:r>
              <w:rPr>
                <w:sz w:val="20"/>
                <w:szCs w:val="20"/>
                <w:lang w:val="fr-CA"/>
              </w:rPr>
              <w:t>,</w:t>
            </w:r>
            <w:r w:rsidRPr="002C2DB0">
              <w:rPr>
                <w:sz w:val="20"/>
                <w:szCs w:val="20"/>
                <w:lang w:val="fr-CA"/>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7776AEE1" w14:textId="77777777" w:rsidR="00FE2783" w:rsidRPr="002C2DB0" w:rsidRDefault="00FE2783" w:rsidP="00FE2783">
            <w:pPr>
              <w:widowControl w:val="0"/>
              <w:ind w:right="130"/>
              <w:jc w:val="right"/>
              <w:rPr>
                <w:sz w:val="20"/>
                <w:szCs w:val="20"/>
                <w:lang w:val="fr-CA"/>
              </w:rPr>
            </w:pPr>
            <w:r w:rsidRPr="002C2DB0">
              <w:rPr>
                <w:sz w:val="20"/>
                <w:szCs w:val="20"/>
                <w:lang w:val="fr-CA"/>
              </w:rPr>
              <w:t>23</w:t>
            </w:r>
            <w:r>
              <w:rPr>
                <w:sz w:val="20"/>
                <w:szCs w:val="20"/>
                <w:lang w:val="fr-CA"/>
              </w:rPr>
              <w:t xml:space="preserve"> </w:t>
            </w:r>
            <w:r w:rsidRPr="002C2DB0">
              <w:rPr>
                <w:sz w:val="20"/>
                <w:szCs w:val="20"/>
                <w:lang w:val="fr-CA"/>
              </w:rPr>
              <w:t>044</w:t>
            </w:r>
          </w:p>
        </w:tc>
      </w:tr>
      <w:tr w:rsidR="00FE2783" w:rsidRPr="002C2DB0" w14:paraId="1843C799" w14:textId="77777777" w:rsidTr="00FE2783">
        <w:trPr>
          <w:trHeight w:val="71"/>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8149B92" w14:textId="77777777" w:rsidR="00FE2783" w:rsidRPr="002C2DB0" w:rsidRDefault="00FE2783" w:rsidP="00FE2783">
            <w:pPr>
              <w:widowControl w:val="0"/>
              <w:jc w:val="left"/>
              <w:rPr>
                <w:sz w:val="20"/>
                <w:szCs w:val="20"/>
                <w:lang w:val="fr-CA"/>
              </w:rPr>
            </w:pPr>
            <w:r w:rsidRPr="002C2DB0">
              <w:rPr>
                <w:sz w:val="20"/>
                <w:szCs w:val="20"/>
                <w:lang w:val="fr-CA"/>
              </w:rPr>
              <w:t xml:space="preserve">Hai-Point Marketing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39A0FF04" w14:textId="77777777" w:rsidR="00FE2783" w:rsidRPr="002C2DB0" w:rsidRDefault="00FE2783" w:rsidP="00FE2783">
            <w:pPr>
              <w:widowControl w:val="0"/>
              <w:jc w:val="left"/>
              <w:rPr>
                <w:sz w:val="20"/>
                <w:szCs w:val="20"/>
                <w:lang w:val="fr-CA"/>
              </w:rPr>
            </w:pPr>
            <w:r w:rsidRPr="002C2DB0">
              <w:rPr>
                <w:sz w:val="20"/>
                <w:szCs w:val="20"/>
                <w:lang w:val="fr-CA"/>
              </w:rPr>
              <w:t>Panneaux en discontinu</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0640129" w14:textId="77777777" w:rsidR="00FE2783" w:rsidRPr="002C2DB0" w:rsidRDefault="00FE2783" w:rsidP="00FE2783">
            <w:pPr>
              <w:widowControl w:val="0"/>
              <w:ind w:right="57"/>
              <w:jc w:val="right"/>
              <w:rPr>
                <w:sz w:val="20"/>
                <w:szCs w:val="20"/>
                <w:lang w:val="fr-CA"/>
              </w:rPr>
            </w:pPr>
            <w:r w:rsidRPr="002C2DB0">
              <w:rPr>
                <w:sz w:val="20"/>
                <w:szCs w:val="20"/>
                <w:lang w:val="fr-CA"/>
              </w:rPr>
              <w:t>2</w:t>
            </w:r>
            <w:r>
              <w:rPr>
                <w:sz w:val="20"/>
                <w:szCs w:val="20"/>
                <w:lang w:val="fr-CA"/>
              </w:rPr>
              <w:t>,</w:t>
            </w:r>
            <w:r w:rsidRPr="002C2DB0">
              <w:rPr>
                <w:sz w:val="20"/>
                <w:szCs w:val="20"/>
                <w:lang w:val="fr-CA"/>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78D7163" w14:textId="77777777" w:rsidR="00FE2783" w:rsidRPr="002C2DB0" w:rsidRDefault="00FE2783" w:rsidP="00FE2783">
            <w:pPr>
              <w:widowControl w:val="0"/>
              <w:ind w:right="130"/>
              <w:jc w:val="right"/>
              <w:rPr>
                <w:sz w:val="20"/>
                <w:szCs w:val="20"/>
                <w:lang w:val="fr-CA"/>
              </w:rPr>
            </w:pPr>
            <w:r w:rsidRPr="002C2DB0">
              <w:rPr>
                <w:sz w:val="20"/>
                <w:szCs w:val="20"/>
                <w:lang w:val="fr-CA"/>
              </w:rPr>
              <w:t>20</w:t>
            </w:r>
            <w:r>
              <w:rPr>
                <w:sz w:val="20"/>
                <w:szCs w:val="20"/>
                <w:lang w:val="fr-CA"/>
              </w:rPr>
              <w:t xml:space="preserve"> </w:t>
            </w:r>
            <w:r w:rsidRPr="002C2DB0">
              <w:rPr>
                <w:sz w:val="20"/>
                <w:szCs w:val="20"/>
                <w:lang w:val="fr-CA"/>
              </w:rPr>
              <w:t>123</w:t>
            </w:r>
          </w:p>
        </w:tc>
      </w:tr>
      <w:tr w:rsidR="00FE2783" w:rsidRPr="002C2DB0" w14:paraId="5C891422" w14:textId="77777777" w:rsidTr="00FE2783">
        <w:trPr>
          <w:trHeight w:val="17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B4CE9E2" w14:textId="77777777" w:rsidR="00FE2783" w:rsidRPr="00FE2783" w:rsidRDefault="00FE2783" w:rsidP="00FE2783">
            <w:pPr>
              <w:widowControl w:val="0"/>
              <w:jc w:val="left"/>
              <w:rPr>
                <w:sz w:val="20"/>
                <w:szCs w:val="20"/>
                <w:lang w:val="en-US"/>
              </w:rPr>
            </w:pPr>
            <w:r w:rsidRPr="00FE2783">
              <w:rPr>
                <w:sz w:val="20"/>
                <w:szCs w:val="20"/>
                <w:lang w:val="en-US"/>
              </w:rPr>
              <w:t xml:space="preserve">Welcome Air-Tech (Malaysia)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50B570DF" w14:textId="77777777" w:rsidR="00FE2783" w:rsidRPr="002C2DB0" w:rsidRDefault="00FE2783" w:rsidP="00FE2783">
            <w:pPr>
              <w:widowControl w:val="0"/>
              <w:jc w:val="left"/>
              <w:rPr>
                <w:sz w:val="20"/>
                <w:szCs w:val="20"/>
                <w:lang w:val="fr-CA"/>
              </w:rPr>
            </w:pPr>
            <w:r w:rsidRPr="002C2DB0">
              <w:rPr>
                <w:sz w:val="20"/>
                <w:szCs w:val="20"/>
                <w:lang w:val="fr-CA"/>
              </w:rPr>
              <w:t>Panneaux en discontinu</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5BB7F8E5" w14:textId="77777777" w:rsidR="00FE2783" w:rsidRPr="002C2DB0" w:rsidRDefault="00FE2783" w:rsidP="00FE2783">
            <w:pPr>
              <w:widowControl w:val="0"/>
              <w:ind w:right="57"/>
              <w:jc w:val="right"/>
              <w:rPr>
                <w:sz w:val="20"/>
                <w:szCs w:val="20"/>
                <w:lang w:val="fr-CA"/>
              </w:rPr>
            </w:pPr>
            <w:r w:rsidRPr="002C2DB0">
              <w:rPr>
                <w:sz w:val="20"/>
                <w:szCs w:val="20"/>
                <w:lang w:val="fr-CA"/>
              </w:rPr>
              <w:t>2</w:t>
            </w:r>
            <w:r>
              <w:rPr>
                <w:sz w:val="20"/>
                <w:szCs w:val="20"/>
                <w:lang w:val="fr-CA"/>
              </w:rPr>
              <w:t>,</w:t>
            </w:r>
            <w:r w:rsidRPr="002C2DB0">
              <w:rPr>
                <w:sz w:val="20"/>
                <w:szCs w:val="20"/>
                <w:lang w:val="fr-CA"/>
              </w:rPr>
              <w:t>43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3BD459E2" w14:textId="77777777" w:rsidR="00FE2783" w:rsidRPr="002C2DB0" w:rsidRDefault="00FE2783" w:rsidP="00FE2783">
            <w:pPr>
              <w:widowControl w:val="0"/>
              <w:ind w:right="130"/>
              <w:jc w:val="right"/>
              <w:rPr>
                <w:sz w:val="20"/>
                <w:szCs w:val="20"/>
                <w:lang w:val="fr-CA"/>
              </w:rPr>
            </w:pPr>
            <w:r w:rsidRPr="002C2DB0">
              <w:rPr>
                <w:sz w:val="20"/>
                <w:szCs w:val="20"/>
                <w:lang w:val="fr-CA"/>
              </w:rPr>
              <w:t>19</w:t>
            </w:r>
            <w:r>
              <w:rPr>
                <w:sz w:val="20"/>
                <w:szCs w:val="20"/>
                <w:lang w:val="fr-CA"/>
              </w:rPr>
              <w:t xml:space="preserve"> </w:t>
            </w:r>
            <w:r w:rsidRPr="002C2DB0">
              <w:rPr>
                <w:sz w:val="20"/>
                <w:szCs w:val="20"/>
                <w:lang w:val="fr-CA"/>
              </w:rPr>
              <w:t>178</w:t>
            </w:r>
          </w:p>
        </w:tc>
      </w:tr>
      <w:tr w:rsidR="00FE2783" w:rsidRPr="002C2DB0" w14:paraId="50E50323" w14:textId="77777777" w:rsidTr="00FE2783">
        <w:trPr>
          <w:trHeight w:val="215"/>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11D63ECF" w14:textId="77777777" w:rsidR="00FE2783" w:rsidRPr="002C2DB0" w:rsidRDefault="00FE2783" w:rsidP="00FE2783">
            <w:pPr>
              <w:widowControl w:val="0"/>
              <w:jc w:val="left"/>
              <w:rPr>
                <w:sz w:val="20"/>
                <w:szCs w:val="20"/>
                <w:lang w:val="fr-CA"/>
              </w:rPr>
            </w:pPr>
            <w:proofErr w:type="spellStart"/>
            <w:r w:rsidRPr="002C2DB0">
              <w:rPr>
                <w:sz w:val="20"/>
                <w:szCs w:val="20"/>
                <w:lang w:val="fr-CA"/>
              </w:rPr>
              <w:t>Nobelane</w:t>
            </w:r>
            <w:proofErr w:type="spellEnd"/>
            <w:r w:rsidRPr="002C2DB0">
              <w:rPr>
                <w:sz w:val="20"/>
                <w:szCs w:val="20"/>
                <w:lang w:val="fr-CA"/>
              </w:rPr>
              <w:t xml:space="preserve"> Industries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63345899"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6A37D7C5" w14:textId="77777777" w:rsidR="00FE2783" w:rsidRPr="002C2DB0" w:rsidRDefault="00FE2783" w:rsidP="00FE2783">
            <w:pPr>
              <w:widowControl w:val="0"/>
              <w:ind w:right="57"/>
              <w:jc w:val="right"/>
              <w:rPr>
                <w:sz w:val="20"/>
                <w:szCs w:val="20"/>
                <w:lang w:val="fr-CA"/>
              </w:rPr>
            </w:pPr>
            <w:r w:rsidRPr="002C2DB0">
              <w:rPr>
                <w:sz w:val="20"/>
                <w:szCs w:val="20"/>
                <w:lang w:val="fr-CA"/>
              </w:rPr>
              <w:t>2</w:t>
            </w:r>
            <w:r>
              <w:rPr>
                <w:sz w:val="20"/>
                <w:szCs w:val="20"/>
                <w:lang w:val="fr-CA"/>
              </w:rPr>
              <w:t>,</w:t>
            </w:r>
            <w:r w:rsidRPr="002C2DB0">
              <w:rPr>
                <w:sz w:val="20"/>
                <w:szCs w:val="20"/>
                <w:lang w:val="fr-CA"/>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7B5D99DF" w14:textId="77777777" w:rsidR="00FE2783" w:rsidRPr="002C2DB0" w:rsidRDefault="00FE2783" w:rsidP="00FE2783">
            <w:pPr>
              <w:widowControl w:val="0"/>
              <w:ind w:right="130"/>
              <w:jc w:val="right"/>
              <w:rPr>
                <w:sz w:val="20"/>
                <w:szCs w:val="20"/>
                <w:lang w:val="fr-CA"/>
              </w:rPr>
            </w:pPr>
            <w:r w:rsidRPr="002C2DB0">
              <w:rPr>
                <w:sz w:val="20"/>
                <w:szCs w:val="20"/>
                <w:lang w:val="fr-CA"/>
              </w:rPr>
              <w:t>19</w:t>
            </w:r>
            <w:r>
              <w:rPr>
                <w:sz w:val="20"/>
                <w:szCs w:val="20"/>
                <w:lang w:val="fr-CA"/>
              </w:rPr>
              <w:t xml:space="preserve"> </w:t>
            </w:r>
            <w:r w:rsidRPr="002C2DB0">
              <w:rPr>
                <w:sz w:val="20"/>
                <w:szCs w:val="20"/>
                <w:lang w:val="fr-CA"/>
              </w:rPr>
              <w:t>011</w:t>
            </w:r>
          </w:p>
        </w:tc>
      </w:tr>
      <w:tr w:rsidR="00FE2783" w:rsidRPr="002C2DB0" w14:paraId="7B4D1FBC" w14:textId="77777777" w:rsidTr="00FE2783">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CB62AC1" w14:textId="77777777" w:rsidR="00FE2783" w:rsidRPr="002C2DB0" w:rsidRDefault="00FE2783" w:rsidP="00FE2783">
            <w:pPr>
              <w:widowControl w:val="0"/>
              <w:jc w:val="left"/>
              <w:rPr>
                <w:sz w:val="20"/>
                <w:szCs w:val="20"/>
                <w:lang w:val="fr-CA"/>
              </w:rPr>
            </w:pPr>
            <w:proofErr w:type="spellStart"/>
            <w:r w:rsidRPr="002C2DB0">
              <w:rPr>
                <w:sz w:val="20"/>
                <w:szCs w:val="20"/>
                <w:lang w:val="fr-CA"/>
              </w:rPr>
              <w:t>Miripoly</w:t>
            </w:r>
            <w:proofErr w:type="spellEnd"/>
            <w:r w:rsidRPr="002C2DB0">
              <w:rPr>
                <w:sz w:val="20"/>
                <w:szCs w:val="20"/>
                <w:lang w:val="fr-CA"/>
              </w:rPr>
              <w:t xml:space="preserve"> Industries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73933488" w14:textId="77777777" w:rsidR="00FE2783" w:rsidRPr="002C2DB0" w:rsidRDefault="00FE2783" w:rsidP="00FE2783">
            <w:pPr>
              <w:widowControl w:val="0"/>
              <w:jc w:val="left"/>
              <w:rPr>
                <w:sz w:val="20"/>
                <w:szCs w:val="20"/>
                <w:lang w:val="fr-CA"/>
              </w:rPr>
            </w:pPr>
            <w:r w:rsidRPr="002C2DB0">
              <w:rPr>
                <w:sz w:val="20"/>
                <w:szCs w:val="20"/>
                <w:lang w:val="fr-CA"/>
              </w:rPr>
              <w:t>Articles résistant à la chaleur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1534083" w14:textId="77777777" w:rsidR="00FE2783" w:rsidRPr="002C2DB0" w:rsidRDefault="00FE2783" w:rsidP="00FE2783">
            <w:pPr>
              <w:widowControl w:val="0"/>
              <w:ind w:right="57"/>
              <w:jc w:val="right"/>
              <w:rPr>
                <w:sz w:val="20"/>
                <w:szCs w:val="20"/>
                <w:lang w:val="fr-CA"/>
              </w:rPr>
            </w:pPr>
            <w:r w:rsidRPr="002C2DB0">
              <w:rPr>
                <w:sz w:val="20"/>
                <w:szCs w:val="20"/>
                <w:lang w:val="fr-CA"/>
              </w:rPr>
              <w:t>1</w:t>
            </w:r>
            <w:r>
              <w:rPr>
                <w:sz w:val="20"/>
                <w:szCs w:val="20"/>
                <w:lang w:val="fr-CA"/>
              </w:rPr>
              <w:t>,</w:t>
            </w:r>
            <w:r w:rsidRPr="002C2DB0">
              <w:rPr>
                <w:sz w:val="20"/>
                <w:szCs w:val="20"/>
                <w:lang w:val="fr-CA"/>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21DECC37" w14:textId="77777777" w:rsidR="00FE2783" w:rsidRPr="002C2DB0" w:rsidRDefault="00FE2783" w:rsidP="00FE2783">
            <w:pPr>
              <w:widowControl w:val="0"/>
              <w:ind w:right="130"/>
              <w:jc w:val="right"/>
              <w:rPr>
                <w:sz w:val="20"/>
                <w:szCs w:val="20"/>
                <w:lang w:val="fr-CA"/>
              </w:rPr>
            </w:pPr>
            <w:r w:rsidRPr="002C2DB0">
              <w:rPr>
                <w:sz w:val="20"/>
                <w:szCs w:val="20"/>
                <w:lang w:val="fr-CA"/>
              </w:rPr>
              <w:t>15</w:t>
            </w:r>
            <w:r>
              <w:rPr>
                <w:sz w:val="20"/>
                <w:szCs w:val="20"/>
                <w:lang w:val="fr-CA"/>
              </w:rPr>
              <w:t xml:space="preserve"> </w:t>
            </w:r>
            <w:r w:rsidRPr="002C2DB0">
              <w:rPr>
                <w:sz w:val="20"/>
                <w:szCs w:val="20"/>
                <w:lang w:val="fr-CA"/>
              </w:rPr>
              <w:t>450</w:t>
            </w:r>
          </w:p>
        </w:tc>
      </w:tr>
      <w:tr w:rsidR="00FE2783" w:rsidRPr="002C2DB0" w14:paraId="7C2F7BA3" w14:textId="77777777" w:rsidTr="00FE2783">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58C7739E" w14:textId="77777777" w:rsidR="00FE2783" w:rsidRPr="002C2DB0" w:rsidRDefault="00FE2783" w:rsidP="00FE2783">
            <w:pPr>
              <w:widowControl w:val="0"/>
              <w:jc w:val="left"/>
              <w:rPr>
                <w:sz w:val="20"/>
                <w:szCs w:val="20"/>
                <w:lang w:val="fr-CA"/>
              </w:rPr>
            </w:pPr>
            <w:proofErr w:type="spellStart"/>
            <w:r w:rsidRPr="002C2DB0">
              <w:rPr>
                <w:sz w:val="20"/>
                <w:szCs w:val="20"/>
                <w:lang w:val="fr-CA"/>
              </w:rPr>
              <w:t>SolidFoam</w:t>
            </w:r>
            <w:proofErr w:type="spellEnd"/>
            <w:r w:rsidRPr="002C2DB0">
              <w:rPr>
                <w:sz w:val="20"/>
                <w:szCs w:val="20"/>
                <w:lang w:val="fr-CA"/>
              </w:rPr>
              <w:t xml:space="preserve"> Industries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76AB6C35" w14:textId="77777777" w:rsidR="00FE2783" w:rsidRPr="002C2DB0" w:rsidRDefault="00FE2783" w:rsidP="00FE2783">
            <w:pPr>
              <w:widowControl w:val="0"/>
              <w:jc w:val="left"/>
              <w:rPr>
                <w:sz w:val="20"/>
                <w:szCs w:val="20"/>
                <w:lang w:val="fr-CA"/>
              </w:rPr>
            </w:pPr>
            <w:r w:rsidRPr="002C2DB0">
              <w:rPr>
                <w:sz w:val="20"/>
                <w:szCs w:val="20"/>
                <w:lang w:val="fr-CA"/>
              </w:rPr>
              <w:t>Pipes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963181A" w14:textId="77777777" w:rsidR="00FE2783" w:rsidRPr="002C2DB0" w:rsidRDefault="00FE2783" w:rsidP="00FE2783">
            <w:pPr>
              <w:widowControl w:val="0"/>
              <w:ind w:right="57"/>
              <w:jc w:val="right"/>
              <w:rPr>
                <w:sz w:val="20"/>
                <w:szCs w:val="20"/>
                <w:lang w:val="fr-CA"/>
              </w:rPr>
            </w:pPr>
            <w:r w:rsidRPr="002C2DB0">
              <w:rPr>
                <w:sz w:val="20"/>
                <w:szCs w:val="20"/>
                <w:lang w:val="fr-CA"/>
              </w:rPr>
              <w:t>1</w:t>
            </w:r>
            <w:r>
              <w:rPr>
                <w:sz w:val="20"/>
                <w:szCs w:val="20"/>
                <w:lang w:val="fr-CA"/>
              </w:rPr>
              <w:t>,</w:t>
            </w:r>
            <w:r w:rsidRPr="002C2DB0">
              <w:rPr>
                <w:sz w:val="20"/>
                <w:szCs w:val="20"/>
                <w:lang w:val="fr-CA"/>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9A0782F" w14:textId="77777777" w:rsidR="00FE2783" w:rsidRPr="002C2DB0" w:rsidRDefault="00FE2783" w:rsidP="00FE2783">
            <w:pPr>
              <w:widowControl w:val="0"/>
              <w:ind w:right="130"/>
              <w:jc w:val="right"/>
              <w:rPr>
                <w:sz w:val="20"/>
                <w:szCs w:val="20"/>
                <w:lang w:val="fr-CA"/>
              </w:rPr>
            </w:pPr>
            <w:r w:rsidRPr="002C2DB0">
              <w:rPr>
                <w:sz w:val="20"/>
                <w:szCs w:val="20"/>
                <w:lang w:val="fr-CA"/>
              </w:rPr>
              <w:t>13</w:t>
            </w:r>
            <w:r>
              <w:rPr>
                <w:sz w:val="20"/>
                <w:szCs w:val="20"/>
                <w:lang w:val="fr-CA"/>
              </w:rPr>
              <w:t xml:space="preserve"> </w:t>
            </w:r>
            <w:r w:rsidRPr="002C2DB0">
              <w:rPr>
                <w:sz w:val="20"/>
                <w:szCs w:val="20"/>
                <w:lang w:val="fr-CA"/>
              </w:rPr>
              <w:t>920</w:t>
            </w:r>
          </w:p>
        </w:tc>
      </w:tr>
      <w:tr w:rsidR="00FE2783" w:rsidRPr="002C2DB0" w14:paraId="3A9C506E" w14:textId="77777777" w:rsidTr="00FE2783">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44A710E1" w14:textId="77777777" w:rsidR="00FE2783" w:rsidRPr="00FE2783" w:rsidRDefault="00FE2783" w:rsidP="00FE2783">
            <w:pPr>
              <w:widowControl w:val="0"/>
              <w:jc w:val="left"/>
              <w:rPr>
                <w:sz w:val="20"/>
                <w:szCs w:val="20"/>
                <w:lang w:val="en-US"/>
              </w:rPr>
            </w:pPr>
            <w:proofErr w:type="spellStart"/>
            <w:r w:rsidRPr="00FE2783">
              <w:rPr>
                <w:sz w:val="20"/>
                <w:szCs w:val="20"/>
                <w:lang w:val="en-US"/>
              </w:rPr>
              <w:t>Lian</w:t>
            </w:r>
            <w:proofErr w:type="spellEnd"/>
            <w:r w:rsidRPr="00FE2783">
              <w:rPr>
                <w:sz w:val="20"/>
                <w:szCs w:val="20"/>
                <w:lang w:val="en-US"/>
              </w:rPr>
              <w:t xml:space="preserve"> Pang Refrigeration and Electrical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r w:rsidRPr="00FE2783">
              <w:rPr>
                <w:sz w:val="20"/>
                <w:szCs w:val="20"/>
                <w:lang w:val="en-US"/>
              </w:rPr>
              <w:t>*</w:t>
            </w:r>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583F5A88"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1810899" w14:textId="77777777" w:rsidR="00FE2783" w:rsidRPr="002C2DB0" w:rsidRDefault="00FE2783" w:rsidP="00FE2783">
            <w:pPr>
              <w:widowControl w:val="0"/>
              <w:ind w:right="57"/>
              <w:jc w:val="right"/>
              <w:rPr>
                <w:sz w:val="20"/>
                <w:szCs w:val="20"/>
                <w:lang w:val="fr-CA"/>
              </w:rPr>
            </w:pPr>
            <w:r w:rsidRPr="002C2DB0">
              <w:rPr>
                <w:sz w:val="20"/>
                <w:szCs w:val="20"/>
                <w:lang w:val="fr-CA"/>
              </w:rPr>
              <w:t>1</w:t>
            </w:r>
            <w:r>
              <w:rPr>
                <w:sz w:val="20"/>
                <w:szCs w:val="20"/>
                <w:lang w:val="fr-CA"/>
              </w:rPr>
              <w:t>,</w:t>
            </w:r>
            <w:r w:rsidRPr="002C2DB0">
              <w:rPr>
                <w:sz w:val="20"/>
                <w:szCs w:val="20"/>
                <w:lang w:val="fr-CA"/>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1E338C5B" w14:textId="77777777" w:rsidR="00FE2783" w:rsidRPr="002C2DB0" w:rsidRDefault="00FE2783" w:rsidP="00FE2783">
            <w:pPr>
              <w:widowControl w:val="0"/>
              <w:ind w:right="130"/>
              <w:jc w:val="right"/>
              <w:rPr>
                <w:sz w:val="20"/>
                <w:szCs w:val="20"/>
                <w:lang w:val="fr-CA"/>
              </w:rPr>
            </w:pPr>
            <w:r w:rsidRPr="002C2DB0">
              <w:rPr>
                <w:sz w:val="20"/>
                <w:szCs w:val="20"/>
                <w:lang w:val="fr-CA"/>
              </w:rPr>
              <w:t>12</w:t>
            </w:r>
            <w:r>
              <w:rPr>
                <w:sz w:val="20"/>
                <w:szCs w:val="20"/>
                <w:lang w:val="fr-CA"/>
              </w:rPr>
              <w:t xml:space="preserve"> </w:t>
            </w:r>
            <w:r w:rsidRPr="002C2DB0">
              <w:rPr>
                <w:sz w:val="20"/>
                <w:szCs w:val="20"/>
                <w:lang w:val="fr-CA"/>
              </w:rPr>
              <w:t>334</w:t>
            </w:r>
          </w:p>
        </w:tc>
      </w:tr>
      <w:tr w:rsidR="00FE2783" w:rsidRPr="002C2DB0" w14:paraId="4E968160" w14:textId="77777777" w:rsidTr="00FE2783">
        <w:trPr>
          <w:trHeight w:val="134"/>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19C66FD8" w14:textId="77777777" w:rsidR="00FE2783" w:rsidRPr="00FE2783" w:rsidRDefault="00FE2783" w:rsidP="00FE2783">
            <w:pPr>
              <w:widowControl w:val="0"/>
              <w:jc w:val="left"/>
              <w:rPr>
                <w:sz w:val="20"/>
                <w:szCs w:val="20"/>
                <w:lang w:val="en-US"/>
              </w:rPr>
            </w:pPr>
            <w:r w:rsidRPr="00FE2783">
              <w:rPr>
                <w:sz w:val="20"/>
                <w:szCs w:val="20"/>
                <w:lang w:val="en-US"/>
              </w:rPr>
              <w:t xml:space="preserve">F&amp;C Equipment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noWrap/>
            <w:tcMar>
              <w:left w:w="43" w:type="dxa"/>
              <w:right w:w="0" w:type="dxa"/>
            </w:tcMar>
            <w:vAlign w:val="bottom"/>
          </w:tcPr>
          <w:p w14:paraId="6CBD69D0"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991412E" w14:textId="77777777" w:rsidR="00FE2783" w:rsidRPr="002C2DB0" w:rsidRDefault="00FE2783" w:rsidP="00FE2783">
            <w:pPr>
              <w:widowControl w:val="0"/>
              <w:ind w:right="57"/>
              <w:jc w:val="right"/>
              <w:rPr>
                <w:sz w:val="20"/>
                <w:szCs w:val="20"/>
                <w:lang w:val="fr-CA"/>
              </w:rPr>
            </w:pPr>
            <w:r w:rsidRPr="002C2DB0">
              <w:rPr>
                <w:sz w:val="20"/>
                <w:szCs w:val="20"/>
                <w:lang w:val="fr-CA"/>
              </w:rPr>
              <w:t>1</w:t>
            </w:r>
            <w:r>
              <w:rPr>
                <w:sz w:val="20"/>
                <w:szCs w:val="20"/>
                <w:lang w:val="fr-CA"/>
              </w:rPr>
              <w:t>,</w:t>
            </w:r>
            <w:r w:rsidRPr="002C2DB0">
              <w:rPr>
                <w:sz w:val="20"/>
                <w:szCs w:val="20"/>
                <w:lang w:val="fr-CA"/>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147E5BDA" w14:textId="77777777" w:rsidR="00FE2783" w:rsidRPr="002C2DB0" w:rsidRDefault="00FE2783" w:rsidP="00FE2783">
            <w:pPr>
              <w:widowControl w:val="0"/>
              <w:ind w:right="130"/>
              <w:jc w:val="right"/>
              <w:rPr>
                <w:sz w:val="20"/>
                <w:szCs w:val="20"/>
                <w:lang w:val="fr-CA"/>
              </w:rPr>
            </w:pPr>
            <w:r w:rsidRPr="002C2DB0">
              <w:rPr>
                <w:sz w:val="20"/>
                <w:szCs w:val="20"/>
                <w:lang w:val="fr-CA"/>
              </w:rPr>
              <w:t>11</w:t>
            </w:r>
            <w:r>
              <w:rPr>
                <w:sz w:val="20"/>
                <w:szCs w:val="20"/>
                <w:lang w:val="fr-CA"/>
              </w:rPr>
              <w:t xml:space="preserve"> </w:t>
            </w:r>
            <w:r w:rsidRPr="002C2DB0">
              <w:rPr>
                <w:sz w:val="20"/>
                <w:szCs w:val="20"/>
                <w:lang w:val="fr-CA"/>
              </w:rPr>
              <w:t>371</w:t>
            </w:r>
          </w:p>
        </w:tc>
      </w:tr>
      <w:tr w:rsidR="00FE2783" w:rsidRPr="002C2DB0" w14:paraId="2F2089A2" w14:textId="77777777" w:rsidTr="00FE2783">
        <w:trPr>
          <w:trHeight w:val="5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7EEE2F24" w14:textId="77777777" w:rsidR="00FE2783" w:rsidRPr="002C2DB0" w:rsidRDefault="00FE2783" w:rsidP="00FE2783">
            <w:pPr>
              <w:widowControl w:val="0"/>
              <w:jc w:val="left"/>
              <w:rPr>
                <w:sz w:val="20"/>
                <w:szCs w:val="20"/>
                <w:lang w:val="fr-CA"/>
              </w:rPr>
            </w:pPr>
            <w:r w:rsidRPr="002C2DB0">
              <w:rPr>
                <w:sz w:val="20"/>
                <w:szCs w:val="20"/>
                <w:lang w:val="fr-CA"/>
              </w:rPr>
              <w:t>O.A.L. Enterprise</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12936E2B" w14:textId="77777777" w:rsidR="00FE2783" w:rsidRPr="002C2DB0" w:rsidRDefault="00FE2783" w:rsidP="00FE2783">
            <w:pPr>
              <w:widowControl w:val="0"/>
              <w:jc w:val="left"/>
              <w:rPr>
                <w:sz w:val="20"/>
                <w:szCs w:val="20"/>
                <w:lang w:val="fr-CA"/>
              </w:rPr>
            </w:pPr>
            <w:r w:rsidRPr="002C2DB0">
              <w:rPr>
                <w:sz w:val="20"/>
                <w:szCs w:val="20"/>
                <w:lang w:val="fr-CA"/>
              </w:rPr>
              <w:t>Panneaux en discontinu</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CF6254A" w14:textId="77777777" w:rsidR="00FE2783" w:rsidRPr="002C2DB0" w:rsidRDefault="00FE2783" w:rsidP="00FE2783">
            <w:pPr>
              <w:widowControl w:val="0"/>
              <w:ind w:right="57"/>
              <w:jc w:val="right"/>
              <w:rPr>
                <w:sz w:val="20"/>
                <w:szCs w:val="20"/>
                <w:lang w:val="fr-CA"/>
              </w:rPr>
            </w:pPr>
            <w:r w:rsidRPr="002C2DB0">
              <w:rPr>
                <w:sz w:val="20"/>
                <w:szCs w:val="20"/>
                <w:lang w:val="fr-CA"/>
              </w:rPr>
              <w:t>1</w:t>
            </w:r>
            <w:r>
              <w:rPr>
                <w:sz w:val="20"/>
                <w:szCs w:val="20"/>
                <w:lang w:val="fr-CA"/>
              </w:rPr>
              <w:t>,</w:t>
            </w:r>
            <w:r w:rsidRPr="002C2DB0">
              <w:rPr>
                <w:sz w:val="20"/>
                <w:szCs w:val="20"/>
                <w:lang w:val="fr-CA"/>
              </w:rPr>
              <w:t>06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A014E2A" w14:textId="77777777" w:rsidR="00FE2783" w:rsidRPr="002C2DB0" w:rsidRDefault="00FE2783" w:rsidP="00FE2783">
            <w:pPr>
              <w:widowControl w:val="0"/>
              <w:ind w:right="130"/>
              <w:jc w:val="right"/>
              <w:rPr>
                <w:sz w:val="20"/>
                <w:szCs w:val="20"/>
                <w:lang w:val="fr-CA"/>
              </w:rPr>
            </w:pPr>
            <w:r w:rsidRPr="002C2DB0">
              <w:rPr>
                <w:sz w:val="20"/>
                <w:szCs w:val="20"/>
                <w:lang w:val="fr-CA"/>
              </w:rPr>
              <w:t>10</w:t>
            </w:r>
            <w:r>
              <w:rPr>
                <w:sz w:val="20"/>
                <w:szCs w:val="20"/>
                <w:lang w:val="fr-CA"/>
              </w:rPr>
              <w:t xml:space="preserve"> </w:t>
            </w:r>
            <w:r w:rsidRPr="002C2DB0">
              <w:rPr>
                <w:sz w:val="20"/>
                <w:szCs w:val="20"/>
                <w:lang w:val="fr-CA"/>
              </w:rPr>
              <w:t>916</w:t>
            </w:r>
          </w:p>
        </w:tc>
      </w:tr>
      <w:tr w:rsidR="00FE2783" w:rsidRPr="002C2DB0" w14:paraId="3A50FB00" w14:textId="77777777" w:rsidTr="00FE2783">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E4CE6AB" w14:textId="77777777" w:rsidR="00FE2783" w:rsidRPr="00FE2783" w:rsidRDefault="00FE2783" w:rsidP="00FE2783">
            <w:pPr>
              <w:widowControl w:val="0"/>
              <w:jc w:val="left"/>
              <w:rPr>
                <w:sz w:val="20"/>
                <w:szCs w:val="20"/>
                <w:lang w:val="en-US"/>
              </w:rPr>
            </w:pPr>
            <w:r w:rsidRPr="00FE2783">
              <w:rPr>
                <w:sz w:val="20"/>
                <w:szCs w:val="20"/>
                <w:lang w:val="en-US"/>
              </w:rPr>
              <w:t xml:space="preserve">NKR Continental Manufacturing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3739E74B"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36AF26D"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78E312B1" w14:textId="77777777" w:rsidR="00FE2783" w:rsidRPr="002C2DB0" w:rsidRDefault="00FE2783" w:rsidP="00FE2783">
            <w:pPr>
              <w:widowControl w:val="0"/>
              <w:ind w:right="130"/>
              <w:jc w:val="right"/>
              <w:rPr>
                <w:sz w:val="20"/>
                <w:szCs w:val="20"/>
                <w:lang w:val="fr-CA"/>
              </w:rPr>
            </w:pPr>
            <w:r w:rsidRPr="002C2DB0">
              <w:rPr>
                <w:sz w:val="20"/>
                <w:szCs w:val="20"/>
                <w:lang w:val="fr-CA"/>
              </w:rPr>
              <w:t>6</w:t>
            </w:r>
            <w:r>
              <w:rPr>
                <w:sz w:val="20"/>
                <w:szCs w:val="20"/>
                <w:lang w:val="fr-CA"/>
              </w:rPr>
              <w:t xml:space="preserve"> </w:t>
            </w:r>
            <w:r w:rsidRPr="002C2DB0">
              <w:rPr>
                <w:sz w:val="20"/>
                <w:szCs w:val="20"/>
                <w:lang w:val="fr-CA"/>
              </w:rPr>
              <w:t>167</w:t>
            </w:r>
          </w:p>
        </w:tc>
      </w:tr>
      <w:tr w:rsidR="00FE2783" w:rsidRPr="002C2DB0" w14:paraId="308FF648" w14:textId="77777777" w:rsidTr="00FE2783">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4FB9FBA7" w14:textId="77777777" w:rsidR="00FE2783" w:rsidRPr="002C2DB0" w:rsidRDefault="00FE2783" w:rsidP="00FE2783">
            <w:pPr>
              <w:widowControl w:val="0"/>
              <w:jc w:val="left"/>
              <w:rPr>
                <w:sz w:val="20"/>
                <w:szCs w:val="20"/>
                <w:lang w:val="fr-CA"/>
              </w:rPr>
            </w:pPr>
            <w:r w:rsidRPr="002C2DB0">
              <w:rPr>
                <w:sz w:val="20"/>
                <w:szCs w:val="20"/>
                <w:lang w:val="fr-CA"/>
              </w:rPr>
              <w:t xml:space="preserve">COOLDEC Industries </w:t>
            </w:r>
            <w:proofErr w:type="spellStart"/>
            <w:r w:rsidRPr="002C2DB0">
              <w:rPr>
                <w:sz w:val="20"/>
                <w:szCs w:val="20"/>
                <w:lang w:val="fr-CA"/>
              </w:rPr>
              <w:t>Sdn</w:t>
            </w:r>
            <w:proofErr w:type="spellEnd"/>
            <w:r w:rsidRPr="002C2DB0">
              <w:rPr>
                <w:sz w:val="20"/>
                <w:szCs w:val="20"/>
                <w:lang w:val="fr-CA"/>
              </w:rPr>
              <w:t xml:space="preserve"> </w:t>
            </w:r>
            <w:proofErr w:type="spellStart"/>
            <w:r w:rsidRPr="002C2DB0">
              <w:rPr>
                <w:sz w:val="20"/>
                <w:szCs w:val="20"/>
                <w:lang w:val="fr-CA"/>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center"/>
          </w:tcPr>
          <w:p w14:paraId="2CF8088A" w14:textId="77777777" w:rsidR="00FE2783" w:rsidRPr="002C2DB0" w:rsidRDefault="00FE2783" w:rsidP="00FE2783">
            <w:pPr>
              <w:widowControl w:val="0"/>
              <w:jc w:val="left"/>
              <w:rPr>
                <w:sz w:val="20"/>
                <w:szCs w:val="20"/>
                <w:lang w:val="fr-CA"/>
              </w:rPr>
            </w:pPr>
            <w:r w:rsidRPr="002C2DB0">
              <w:rPr>
                <w:sz w:val="20"/>
                <w:szCs w:val="20"/>
                <w:lang w:val="fr-CA"/>
              </w:rPr>
              <w:t>Panneaux en discontinu</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426C6BED"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4753C1D" w14:textId="77777777" w:rsidR="00FE2783" w:rsidRPr="002C2DB0" w:rsidRDefault="00FE2783" w:rsidP="00FE2783">
            <w:pPr>
              <w:widowControl w:val="0"/>
              <w:ind w:right="130"/>
              <w:jc w:val="right"/>
              <w:rPr>
                <w:sz w:val="20"/>
                <w:szCs w:val="20"/>
                <w:lang w:val="fr-CA"/>
              </w:rPr>
            </w:pPr>
            <w:r w:rsidRPr="002C2DB0">
              <w:rPr>
                <w:sz w:val="20"/>
                <w:szCs w:val="20"/>
                <w:lang w:val="fr-CA"/>
              </w:rPr>
              <w:t>5</w:t>
            </w:r>
            <w:r>
              <w:rPr>
                <w:sz w:val="20"/>
                <w:szCs w:val="20"/>
                <w:lang w:val="fr-CA"/>
              </w:rPr>
              <w:t xml:space="preserve"> </w:t>
            </w:r>
            <w:r w:rsidRPr="002C2DB0">
              <w:rPr>
                <w:sz w:val="20"/>
                <w:szCs w:val="20"/>
                <w:lang w:val="fr-CA"/>
              </w:rPr>
              <w:t>889</w:t>
            </w:r>
          </w:p>
        </w:tc>
      </w:tr>
      <w:tr w:rsidR="00FE2783" w:rsidRPr="002C2DB0" w14:paraId="4B94B9FC" w14:textId="77777777" w:rsidTr="00FE2783">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1DE80884" w14:textId="77777777" w:rsidR="00FE2783" w:rsidRPr="00FE2783" w:rsidRDefault="00FE2783" w:rsidP="00FE2783">
            <w:pPr>
              <w:widowControl w:val="0"/>
              <w:jc w:val="left"/>
              <w:rPr>
                <w:sz w:val="20"/>
                <w:szCs w:val="20"/>
                <w:lang w:val="en-US"/>
              </w:rPr>
            </w:pPr>
            <w:proofErr w:type="spellStart"/>
            <w:r w:rsidRPr="00FE2783">
              <w:rPr>
                <w:sz w:val="20"/>
                <w:szCs w:val="20"/>
                <w:lang w:val="en-US"/>
              </w:rPr>
              <w:t>Edwincon</w:t>
            </w:r>
            <w:proofErr w:type="spellEnd"/>
            <w:r w:rsidRPr="00FE2783">
              <w:rPr>
                <w:sz w:val="20"/>
                <w:szCs w:val="20"/>
                <w:lang w:val="en-US"/>
              </w:rPr>
              <w:t xml:space="preserve"> Engineering and Trading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699B7A0E" w14:textId="77777777" w:rsidR="00FE2783" w:rsidRPr="002C2DB0" w:rsidRDefault="00FE2783" w:rsidP="00FE2783">
            <w:pPr>
              <w:widowControl w:val="0"/>
              <w:jc w:val="left"/>
              <w:rPr>
                <w:sz w:val="20"/>
                <w:szCs w:val="20"/>
                <w:lang w:val="fr-CA"/>
              </w:rPr>
            </w:pPr>
            <w:r w:rsidRPr="002C2DB0">
              <w:rPr>
                <w:sz w:val="20"/>
                <w:szCs w:val="20"/>
                <w:lang w:val="fr-CA"/>
              </w:rPr>
              <w:t>Pipes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0CA65D94"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6560BF38" w14:textId="77777777" w:rsidR="00FE2783" w:rsidRPr="002C2DB0" w:rsidRDefault="00FE2783" w:rsidP="00FE2783">
            <w:pPr>
              <w:widowControl w:val="0"/>
              <w:ind w:right="130"/>
              <w:jc w:val="right"/>
              <w:rPr>
                <w:sz w:val="20"/>
                <w:szCs w:val="20"/>
                <w:lang w:val="fr-CA"/>
              </w:rPr>
            </w:pPr>
            <w:r w:rsidRPr="002C2DB0">
              <w:rPr>
                <w:sz w:val="20"/>
                <w:szCs w:val="20"/>
                <w:lang w:val="fr-CA"/>
              </w:rPr>
              <w:t>5</w:t>
            </w:r>
            <w:r>
              <w:rPr>
                <w:sz w:val="20"/>
                <w:szCs w:val="20"/>
                <w:lang w:val="fr-CA"/>
              </w:rPr>
              <w:t xml:space="preserve"> </w:t>
            </w:r>
            <w:r w:rsidRPr="002C2DB0">
              <w:rPr>
                <w:sz w:val="20"/>
                <w:szCs w:val="20"/>
                <w:lang w:val="fr-CA"/>
              </w:rPr>
              <w:t>611</w:t>
            </w:r>
          </w:p>
        </w:tc>
      </w:tr>
      <w:tr w:rsidR="00FE2783" w:rsidRPr="002C2DB0" w14:paraId="157E338D" w14:textId="77777777" w:rsidTr="00FE2783">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3AFCEF1" w14:textId="77777777" w:rsidR="00FE2783" w:rsidRPr="00FE2783" w:rsidRDefault="00FE2783" w:rsidP="00FE2783">
            <w:pPr>
              <w:widowControl w:val="0"/>
              <w:jc w:val="left"/>
              <w:rPr>
                <w:sz w:val="20"/>
                <w:szCs w:val="20"/>
                <w:lang w:val="en-US"/>
              </w:rPr>
            </w:pPr>
            <w:r w:rsidRPr="00FE2783">
              <w:rPr>
                <w:sz w:val="20"/>
                <w:szCs w:val="20"/>
                <w:lang w:val="en-US"/>
              </w:rPr>
              <w:t xml:space="preserve">BEH Refrigeration and Electrical Works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vAlign w:val="bottom"/>
          </w:tcPr>
          <w:p w14:paraId="2AA2B796"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3F69CCA2"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58DC4635" w14:textId="77777777" w:rsidR="00FE2783" w:rsidRPr="002C2DB0" w:rsidRDefault="00FE2783" w:rsidP="00FE2783">
            <w:pPr>
              <w:widowControl w:val="0"/>
              <w:ind w:right="130"/>
              <w:jc w:val="right"/>
              <w:rPr>
                <w:sz w:val="20"/>
                <w:szCs w:val="20"/>
                <w:lang w:val="fr-CA"/>
              </w:rPr>
            </w:pPr>
            <w:r w:rsidRPr="002C2DB0">
              <w:rPr>
                <w:sz w:val="20"/>
                <w:szCs w:val="20"/>
                <w:lang w:val="fr-CA"/>
              </w:rPr>
              <w:t>2</w:t>
            </w:r>
            <w:r>
              <w:rPr>
                <w:sz w:val="20"/>
                <w:szCs w:val="20"/>
                <w:lang w:val="fr-CA"/>
              </w:rPr>
              <w:t xml:space="preserve"> </w:t>
            </w:r>
            <w:r w:rsidRPr="002C2DB0">
              <w:rPr>
                <w:sz w:val="20"/>
                <w:szCs w:val="20"/>
                <w:lang w:val="fr-CA"/>
              </w:rPr>
              <w:t>617</w:t>
            </w:r>
          </w:p>
        </w:tc>
      </w:tr>
      <w:tr w:rsidR="00FE2783" w:rsidRPr="002C2DB0" w14:paraId="6DE51925" w14:textId="77777777" w:rsidTr="00FE2783">
        <w:trPr>
          <w:trHeight w:val="143"/>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258C68F6" w14:textId="77777777" w:rsidR="00FE2783" w:rsidRPr="00FE2783" w:rsidRDefault="00FE2783" w:rsidP="00FE2783">
            <w:pPr>
              <w:widowControl w:val="0"/>
              <w:jc w:val="left"/>
              <w:rPr>
                <w:sz w:val="20"/>
                <w:szCs w:val="20"/>
                <w:lang w:val="en-US"/>
              </w:rPr>
            </w:pPr>
            <w:proofErr w:type="spellStart"/>
            <w:r w:rsidRPr="00FE2783">
              <w:rPr>
                <w:sz w:val="20"/>
                <w:szCs w:val="20"/>
                <w:lang w:val="en-US"/>
              </w:rPr>
              <w:t>Grandcold</w:t>
            </w:r>
            <w:proofErr w:type="spellEnd"/>
            <w:r w:rsidRPr="00FE2783">
              <w:rPr>
                <w:sz w:val="20"/>
                <w:szCs w:val="20"/>
                <w:lang w:val="en-US"/>
              </w:rPr>
              <w:t xml:space="preserve"> Refrigerator and Commercial Products </w:t>
            </w:r>
            <w:proofErr w:type="spellStart"/>
            <w:r w:rsidRPr="00FE2783">
              <w:rPr>
                <w:sz w:val="20"/>
                <w:szCs w:val="20"/>
                <w:lang w:val="en-US"/>
              </w:rPr>
              <w:t>Sdn</w:t>
            </w:r>
            <w:proofErr w:type="spellEnd"/>
            <w:r w:rsidRPr="00FE2783">
              <w:rPr>
                <w:sz w:val="20"/>
                <w:szCs w:val="20"/>
                <w:lang w:val="en-US"/>
              </w:rPr>
              <w:t xml:space="preserve"> </w:t>
            </w:r>
            <w:proofErr w:type="spellStart"/>
            <w:r w:rsidRPr="00FE2783">
              <w:rPr>
                <w:sz w:val="20"/>
                <w:szCs w:val="20"/>
                <w:lang w:val="en-US"/>
              </w:rPr>
              <w:t>Bhd</w:t>
            </w:r>
            <w:proofErr w:type="spellEnd"/>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16A37CD0"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8F7EA11"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9DB51FC" w14:textId="77777777" w:rsidR="00FE2783" w:rsidRPr="002C2DB0" w:rsidRDefault="00FE2783" w:rsidP="00FE2783">
            <w:pPr>
              <w:widowControl w:val="0"/>
              <w:ind w:right="130"/>
              <w:jc w:val="right"/>
              <w:rPr>
                <w:sz w:val="20"/>
                <w:szCs w:val="20"/>
                <w:lang w:val="fr-CA"/>
              </w:rPr>
            </w:pPr>
            <w:r w:rsidRPr="002C2DB0">
              <w:rPr>
                <w:sz w:val="20"/>
                <w:szCs w:val="20"/>
                <w:lang w:val="fr-CA"/>
              </w:rPr>
              <w:t>2</w:t>
            </w:r>
            <w:r>
              <w:rPr>
                <w:sz w:val="20"/>
                <w:szCs w:val="20"/>
                <w:lang w:val="fr-CA"/>
              </w:rPr>
              <w:t xml:space="preserve"> </w:t>
            </w:r>
            <w:r w:rsidRPr="002C2DB0">
              <w:rPr>
                <w:sz w:val="20"/>
                <w:szCs w:val="20"/>
                <w:lang w:val="fr-CA"/>
              </w:rPr>
              <w:t>617</w:t>
            </w:r>
          </w:p>
        </w:tc>
      </w:tr>
      <w:tr w:rsidR="00FE2783" w:rsidRPr="002C2DB0" w14:paraId="3A4F136E" w14:textId="77777777" w:rsidTr="00FE2783">
        <w:trPr>
          <w:trHeight w:val="80"/>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vAlign w:val="bottom"/>
          </w:tcPr>
          <w:p w14:paraId="0902902A" w14:textId="77777777" w:rsidR="00FE2783" w:rsidRPr="002C2DB0" w:rsidRDefault="00FE2783" w:rsidP="00FE2783">
            <w:pPr>
              <w:widowControl w:val="0"/>
              <w:jc w:val="left"/>
              <w:rPr>
                <w:sz w:val="20"/>
                <w:szCs w:val="20"/>
                <w:lang w:val="fr-CA"/>
              </w:rPr>
            </w:pPr>
            <w:r w:rsidRPr="002C2DB0">
              <w:rPr>
                <w:sz w:val="20"/>
                <w:szCs w:val="20"/>
                <w:lang w:val="fr-CA"/>
              </w:rPr>
              <w:t xml:space="preserve">Ban Lee </w:t>
            </w:r>
            <w:proofErr w:type="spellStart"/>
            <w:r w:rsidRPr="002C2DB0">
              <w:rPr>
                <w:sz w:val="20"/>
                <w:szCs w:val="20"/>
                <w:lang w:val="fr-CA"/>
              </w:rPr>
              <w:t>Refrigeration</w:t>
            </w:r>
            <w:proofErr w:type="spellEnd"/>
            <w:r w:rsidRPr="002C2DB0">
              <w:rPr>
                <w:sz w:val="20"/>
                <w:szCs w:val="20"/>
                <w:lang w:val="fr-CA"/>
              </w:rPr>
              <w:t xml:space="preserve"> Works</w:t>
            </w:r>
          </w:p>
        </w:tc>
        <w:tc>
          <w:tcPr>
            <w:tcW w:w="2268" w:type="dxa"/>
            <w:tcBorders>
              <w:top w:val="single" w:sz="4" w:space="0" w:color="auto"/>
              <w:left w:val="nil"/>
              <w:bottom w:val="single" w:sz="4" w:space="0" w:color="auto"/>
              <w:right w:val="single" w:sz="4" w:space="0" w:color="auto"/>
            </w:tcBorders>
            <w:shd w:val="clear" w:color="auto" w:fill="auto"/>
            <w:tcMar>
              <w:left w:w="43" w:type="dxa"/>
              <w:right w:w="0" w:type="dxa"/>
            </w:tcMar>
          </w:tcPr>
          <w:p w14:paraId="42614824" w14:textId="77777777" w:rsidR="00FE2783" w:rsidRPr="002C2DB0" w:rsidRDefault="00FE2783" w:rsidP="00FE2783">
            <w:pPr>
              <w:widowControl w:val="0"/>
              <w:jc w:val="left"/>
              <w:rPr>
                <w:sz w:val="20"/>
                <w:szCs w:val="20"/>
                <w:lang w:val="fr-CA"/>
              </w:rPr>
            </w:pPr>
            <w:r w:rsidRPr="002C2DB0">
              <w:rPr>
                <w:sz w:val="20"/>
                <w:szCs w:val="20"/>
                <w:lang w:val="fr-CA"/>
              </w:rPr>
              <w:t>Réfrigération commerciale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29195F5A" w14:textId="77777777" w:rsidR="00FE2783" w:rsidRPr="002C2DB0" w:rsidRDefault="00FE2783" w:rsidP="00FE2783">
            <w:pPr>
              <w:widowControl w:val="0"/>
              <w:ind w:right="57"/>
              <w:jc w:val="right"/>
              <w:rPr>
                <w:sz w:val="20"/>
                <w:szCs w:val="20"/>
                <w:lang w:val="fr-CA"/>
              </w:rPr>
            </w:pPr>
            <w:r w:rsidRPr="002C2DB0">
              <w:rPr>
                <w:sz w:val="20"/>
                <w:szCs w:val="20"/>
                <w:lang w:val="fr-CA"/>
              </w:rPr>
              <w:t>0</w:t>
            </w:r>
            <w:r>
              <w:rPr>
                <w:sz w:val="20"/>
                <w:szCs w:val="20"/>
                <w:lang w:val="fr-CA"/>
              </w:rPr>
              <w:t>,</w:t>
            </w:r>
            <w:r w:rsidRPr="002C2DB0">
              <w:rPr>
                <w:sz w:val="20"/>
                <w:szCs w:val="20"/>
                <w:lang w:val="fr-C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vAlign w:val="bottom"/>
          </w:tcPr>
          <w:p w14:paraId="4D6BC41B" w14:textId="77777777" w:rsidR="00FE2783" w:rsidRPr="002C2DB0" w:rsidRDefault="00FE2783" w:rsidP="00FE2783">
            <w:pPr>
              <w:widowControl w:val="0"/>
              <w:ind w:right="130"/>
              <w:jc w:val="right"/>
              <w:rPr>
                <w:sz w:val="20"/>
                <w:szCs w:val="20"/>
                <w:lang w:val="fr-CA"/>
              </w:rPr>
            </w:pPr>
            <w:r w:rsidRPr="002C2DB0">
              <w:rPr>
                <w:sz w:val="20"/>
                <w:szCs w:val="20"/>
                <w:lang w:val="fr-CA"/>
              </w:rPr>
              <w:t>1</w:t>
            </w:r>
            <w:r>
              <w:rPr>
                <w:sz w:val="20"/>
                <w:szCs w:val="20"/>
                <w:lang w:val="fr-CA"/>
              </w:rPr>
              <w:t xml:space="preserve"> </w:t>
            </w:r>
            <w:r w:rsidRPr="002C2DB0">
              <w:rPr>
                <w:sz w:val="20"/>
                <w:szCs w:val="20"/>
                <w:lang w:val="fr-CA"/>
              </w:rPr>
              <w:t>034</w:t>
            </w:r>
          </w:p>
        </w:tc>
      </w:tr>
      <w:tr w:rsidR="00FE2783" w:rsidRPr="002C2DB0" w14:paraId="0B18EA74" w14:textId="77777777" w:rsidTr="00FE2783">
        <w:trPr>
          <w:trHeight w:val="116"/>
        </w:trPr>
        <w:tc>
          <w:tcPr>
            <w:tcW w:w="4390" w:type="dxa"/>
            <w:tcBorders>
              <w:top w:val="single" w:sz="4" w:space="0" w:color="auto"/>
              <w:left w:val="single" w:sz="4" w:space="0" w:color="auto"/>
              <w:bottom w:val="single" w:sz="4" w:space="0" w:color="auto"/>
              <w:right w:val="single" w:sz="4" w:space="0" w:color="auto"/>
            </w:tcBorders>
            <w:shd w:val="clear" w:color="auto" w:fill="auto"/>
            <w:noWrap/>
            <w:tcMar>
              <w:left w:w="58" w:type="dxa"/>
              <w:right w:w="29" w:type="dxa"/>
            </w:tcMar>
          </w:tcPr>
          <w:p w14:paraId="06A931B7" w14:textId="77777777" w:rsidR="00FE2783" w:rsidRPr="002C2DB0" w:rsidRDefault="00FE2783" w:rsidP="00FE2783">
            <w:pPr>
              <w:widowControl w:val="0"/>
              <w:jc w:val="left"/>
              <w:rPr>
                <w:b/>
                <w:color w:val="000000"/>
                <w:sz w:val="20"/>
                <w:szCs w:val="20"/>
                <w:lang w:val="fr-CA"/>
              </w:rPr>
            </w:pPr>
            <w:r w:rsidRPr="002C2DB0">
              <w:rPr>
                <w:b/>
                <w:color w:val="000000"/>
                <w:sz w:val="20"/>
                <w:szCs w:val="20"/>
                <w:lang w:val="fr-CA"/>
              </w:rPr>
              <w:t>Total</w:t>
            </w:r>
          </w:p>
        </w:tc>
        <w:tc>
          <w:tcPr>
            <w:tcW w:w="2268" w:type="dxa"/>
            <w:tcBorders>
              <w:top w:val="single" w:sz="4" w:space="0" w:color="auto"/>
              <w:left w:val="nil"/>
              <w:bottom w:val="single" w:sz="4" w:space="0" w:color="auto"/>
              <w:right w:val="single" w:sz="4" w:space="0" w:color="auto"/>
            </w:tcBorders>
            <w:shd w:val="clear" w:color="auto" w:fill="auto"/>
            <w:noWrap/>
          </w:tcPr>
          <w:p w14:paraId="23E4E949" w14:textId="77777777" w:rsidR="00FE2783" w:rsidRPr="002C2DB0" w:rsidRDefault="00FE2783" w:rsidP="00FE2783">
            <w:pPr>
              <w:widowControl w:val="0"/>
              <w:jc w:val="left"/>
              <w:rPr>
                <w:b/>
                <w:sz w:val="20"/>
                <w:szCs w:val="20"/>
                <w:lang w:val="fr-C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1FD66B04" w14:textId="77777777" w:rsidR="00FE2783" w:rsidRPr="002C2DB0" w:rsidRDefault="00FE2783" w:rsidP="00FE2783">
            <w:pPr>
              <w:widowControl w:val="0"/>
              <w:ind w:right="57"/>
              <w:jc w:val="right"/>
              <w:rPr>
                <w:b/>
                <w:bCs/>
                <w:color w:val="000000"/>
                <w:sz w:val="20"/>
                <w:szCs w:val="20"/>
                <w:lang w:val="fr-CA"/>
              </w:rPr>
            </w:pPr>
            <w:r w:rsidRPr="002C2DB0">
              <w:rPr>
                <w:b/>
                <w:bCs/>
                <w:color w:val="000000"/>
                <w:sz w:val="20"/>
                <w:szCs w:val="20"/>
                <w:lang w:val="fr-CA"/>
              </w:rPr>
              <w:t>19</w:t>
            </w:r>
            <w:r>
              <w:rPr>
                <w:b/>
                <w:bCs/>
                <w:color w:val="000000"/>
                <w:sz w:val="20"/>
                <w:szCs w:val="20"/>
                <w:lang w:val="fr-CA"/>
              </w:rPr>
              <w:t>,</w:t>
            </w:r>
            <w:r w:rsidRPr="002C2DB0">
              <w:rPr>
                <w:b/>
                <w:bCs/>
                <w:color w:val="000000"/>
                <w:sz w:val="20"/>
                <w:szCs w:val="20"/>
                <w:lang w:val="fr-CA"/>
              </w:rPr>
              <w:t>37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FD43597" w14:textId="77777777" w:rsidR="00FE2783" w:rsidRPr="002C2DB0" w:rsidRDefault="00FE2783" w:rsidP="00FE2783">
            <w:pPr>
              <w:widowControl w:val="0"/>
              <w:ind w:right="130"/>
              <w:jc w:val="right"/>
              <w:rPr>
                <w:b/>
                <w:bCs/>
                <w:color w:val="000000"/>
                <w:sz w:val="20"/>
                <w:szCs w:val="20"/>
                <w:lang w:val="fr-CA"/>
              </w:rPr>
            </w:pPr>
            <w:r w:rsidRPr="002C2DB0">
              <w:rPr>
                <w:b/>
                <w:bCs/>
                <w:color w:val="000000"/>
                <w:sz w:val="20"/>
                <w:szCs w:val="20"/>
                <w:lang w:val="fr-CA"/>
              </w:rPr>
              <w:fldChar w:fldCharType="begin"/>
            </w:r>
            <w:r w:rsidRPr="002C2DB0">
              <w:rPr>
                <w:b/>
                <w:bCs/>
                <w:color w:val="000000"/>
                <w:sz w:val="20"/>
                <w:szCs w:val="20"/>
                <w:lang w:val="fr-CA"/>
              </w:rPr>
              <w:instrText xml:space="preserve"> =SUM(ABOVE) </w:instrText>
            </w:r>
            <w:r w:rsidRPr="002C2DB0">
              <w:rPr>
                <w:b/>
                <w:bCs/>
                <w:color w:val="000000"/>
                <w:sz w:val="20"/>
                <w:szCs w:val="20"/>
                <w:lang w:val="fr-CA"/>
              </w:rPr>
              <w:fldChar w:fldCharType="separate"/>
            </w:r>
            <w:r w:rsidRPr="002C2DB0">
              <w:rPr>
                <w:b/>
                <w:bCs/>
                <w:noProof/>
                <w:color w:val="000000"/>
                <w:sz w:val="20"/>
                <w:szCs w:val="20"/>
                <w:lang w:val="fr-CA"/>
              </w:rPr>
              <w:t>169</w:t>
            </w:r>
            <w:r>
              <w:rPr>
                <w:b/>
                <w:bCs/>
                <w:noProof/>
                <w:color w:val="000000"/>
                <w:sz w:val="20"/>
                <w:szCs w:val="20"/>
                <w:lang w:val="fr-CA"/>
              </w:rPr>
              <w:t xml:space="preserve"> </w:t>
            </w:r>
            <w:r w:rsidRPr="002C2DB0">
              <w:rPr>
                <w:b/>
                <w:bCs/>
                <w:color w:val="000000"/>
                <w:sz w:val="20"/>
                <w:szCs w:val="20"/>
                <w:lang w:val="fr-CA"/>
              </w:rPr>
              <w:fldChar w:fldCharType="end"/>
            </w:r>
            <w:r w:rsidRPr="002C2DB0">
              <w:rPr>
                <w:b/>
                <w:bCs/>
                <w:color w:val="000000"/>
                <w:sz w:val="20"/>
                <w:szCs w:val="20"/>
                <w:lang w:val="fr-CA"/>
              </w:rPr>
              <w:t>281</w:t>
            </w:r>
          </w:p>
        </w:tc>
      </w:tr>
    </w:tbl>
    <w:p w14:paraId="55E71CB6" w14:textId="6F8288FA" w:rsidR="00FE2783" w:rsidRPr="002C2DB0" w:rsidRDefault="00FE2783" w:rsidP="00FE2783">
      <w:pPr>
        <w:widowControl w:val="0"/>
        <w:spacing w:after="240"/>
        <w:outlineLvl w:val="0"/>
        <w:rPr>
          <w:bCs/>
          <w:sz w:val="19"/>
          <w:szCs w:val="19"/>
          <w:lang w:val="fr-CA"/>
        </w:rPr>
      </w:pPr>
      <w:r w:rsidRPr="002C2DB0">
        <w:rPr>
          <w:bCs/>
          <w:sz w:val="19"/>
          <w:szCs w:val="19"/>
          <w:lang w:val="fr-CA"/>
        </w:rPr>
        <w:t>* Le changement de technologie avait déjà été approuvé pour cette entreprise (décision 85/11 b)), mais celle-ci a</w:t>
      </w:r>
      <w:r w:rsidR="0074773B">
        <w:rPr>
          <w:bCs/>
          <w:sz w:val="19"/>
          <w:szCs w:val="19"/>
          <w:lang w:val="fr-CA"/>
        </w:rPr>
        <w:t xml:space="preserve"> décidé de se retirer du projet</w:t>
      </w:r>
      <w:r w:rsidRPr="002C2DB0">
        <w:rPr>
          <w:bCs/>
          <w:sz w:val="19"/>
          <w:szCs w:val="19"/>
          <w:lang w:val="fr-CA"/>
        </w:rPr>
        <w:t xml:space="preserve">. </w:t>
      </w:r>
    </w:p>
    <w:p w14:paraId="1E455147" w14:textId="6D573304" w:rsidR="00FE2783" w:rsidRPr="002C2DB0" w:rsidRDefault="00FE2783" w:rsidP="00FE2783">
      <w:pPr>
        <w:pStyle w:val="Heading1"/>
        <w:rPr>
          <w:bCs/>
          <w:lang w:val="fr-CA"/>
        </w:rPr>
      </w:pPr>
      <w:proofErr w:type="spellStart"/>
      <w:r w:rsidRPr="002C2DB0">
        <w:rPr>
          <w:lang w:val="fr-CA"/>
        </w:rPr>
        <w:t>Thermofoam</w:t>
      </w:r>
      <w:proofErr w:type="spellEnd"/>
      <w:r w:rsidRPr="002C2DB0">
        <w:rPr>
          <w:lang w:val="fr-CA"/>
        </w:rPr>
        <w:t xml:space="preserve"> Marketing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dont la consommation </w:t>
      </w:r>
      <w:r>
        <w:rPr>
          <w:lang w:val="fr-CA"/>
        </w:rPr>
        <w:t>a été de</w:t>
      </w:r>
      <w:r w:rsidRPr="002C2DB0">
        <w:rPr>
          <w:lang w:val="fr-CA"/>
        </w:rPr>
        <w:t xml:space="preserve"> 22,3 </w:t>
      </w:r>
      <w:proofErr w:type="spellStart"/>
      <w:r w:rsidRPr="002C2DB0">
        <w:rPr>
          <w:lang w:val="fr-CA"/>
        </w:rPr>
        <w:t>tm</w:t>
      </w:r>
      <w:proofErr w:type="spellEnd"/>
      <w:r>
        <w:rPr>
          <w:lang w:val="fr-CA"/>
        </w:rPr>
        <w:t xml:space="preserve"> en 2015</w:t>
      </w:r>
      <w:r w:rsidRPr="002C2DB0">
        <w:rPr>
          <w:lang w:val="fr-CA"/>
        </w:rPr>
        <w:t>, avait été considérée inadmissible lors de la préparation de la phase II, car l’entreprise avait été fondée après la date limite du 21 septembre</w:t>
      </w:r>
      <w:r>
        <w:rPr>
          <w:lang w:val="fr-CA"/>
        </w:rPr>
        <w:t xml:space="preserve"> 200</w:t>
      </w:r>
      <w:r w:rsidRPr="002C2DB0">
        <w:rPr>
          <w:lang w:val="fr-CA"/>
        </w:rPr>
        <w:t>7. Aucun soutien financier n’a été accordé pour la reconversion de cette entreprise. Le PNUD a déterminé par la suite que l’entreprise avait été fondée en 2003, sous un nom différent, et qu’elle était donc admissible</w:t>
      </w:r>
      <w:r w:rsidR="0074773B">
        <w:rPr>
          <w:lang w:val="fr-CA"/>
        </w:rPr>
        <w:t xml:space="preserve"> </w:t>
      </w:r>
      <w:r w:rsidRPr="002C2DB0">
        <w:rPr>
          <w:lang w:val="fr-CA"/>
        </w:rPr>
        <w:t xml:space="preserve">; pour cette raison, le PNUD a demandé </w:t>
      </w:r>
      <w:r>
        <w:rPr>
          <w:lang w:val="fr-CA"/>
        </w:rPr>
        <w:t>que</w:t>
      </w:r>
      <w:r w:rsidRPr="002C2DB0">
        <w:rPr>
          <w:lang w:val="fr-CA"/>
        </w:rPr>
        <w:t xml:space="preserve"> les économiques de 169 281 $US réalisé</w:t>
      </w:r>
      <w:r>
        <w:rPr>
          <w:lang w:val="fr-CA"/>
        </w:rPr>
        <w:t>e</w:t>
      </w:r>
      <w:r w:rsidRPr="002C2DB0">
        <w:rPr>
          <w:lang w:val="fr-CA"/>
        </w:rPr>
        <w:t xml:space="preserve">s par le retrait des 15 PME </w:t>
      </w:r>
      <w:r>
        <w:rPr>
          <w:lang w:val="fr-CA"/>
        </w:rPr>
        <w:t xml:space="preserve">soient réaffectées </w:t>
      </w:r>
      <w:r w:rsidRPr="002C2DB0">
        <w:rPr>
          <w:lang w:val="fr-CA"/>
        </w:rPr>
        <w:t>à la reconversion de l’entreprise</w:t>
      </w:r>
      <w:r>
        <w:rPr>
          <w:lang w:val="fr-CA"/>
        </w:rPr>
        <w:t>,</w:t>
      </w:r>
      <w:r w:rsidRPr="002C2DB0">
        <w:rPr>
          <w:lang w:val="fr-CA"/>
        </w:rPr>
        <w:t xml:space="preserve"> au cyclopentane </w:t>
      </w:r>
      <w:proofErr w:type="spellStart"/>
      <w:r w:rsidRPr="002C2DB0">
        <w:rPr>
          <w:lang w:val="fr-CA"/>
        </w:rPr>
        <w:t>prémélangé</w:t>
      </w:r>
      <w:proofErr w:type="spellEnd"/>
      <w:r w:rsidRPr="002C2DB0">
        <w:rPr>
          <w:bCs/>
          <w:lang w:val="fr-CA"/>
        </w:rPr>
        <w:t xml:space="preserve">. </w:t>
      </w:r>
    </w:p>
    <w:p w14:paraId="644BDE7E" w14:textId="77777777" w:rsidR="00FE2783" w:rsidRPr="002C2DB0" w:rsidRDefault="00FE2783" w:rsidP="008376CB">
      <w:pPr>
        <w:keepNext/>
        <w:keepLines/>
        <w:widowControl w:val="0"/>
        <w:spacing w:after="240"/>
        <w:outlineLvl w:val="0"/>
        <w:rPr>
          <w:b/>
          <w:lang w:val="fr-CA"/>
        </w:rPr>
      </w:pPr>
      <w:r w:rsidRPr="002C2DB0">
        <w:rPr>
          <w:b/>
          <w:lang w:val="fr-CA"/>
        </w:rPr>
        <w:lastRenderedPageBreak/>
        <w:t>Observations du Secrétariat</w:t>
      </w:r>
    </w:p>
    <w:p w14:paraId="4DA36F79" w14:textId="77777777" w:rsidR="00FE2783" w:rsidRPr="002C2DB0" w:rsidRDefault="00FE2783" w:rsidP="008376CB">
      <w:pPr>
        <w:keepNext/>
        <w:keepLines/>
        <w:numPr>
          <w:ilvl w:val="0"/>
          <w:numId w:val="1"/>
        </w:numPr>
        <w:spacing w:after="240"/>
        <w:outlineLvl w:val="0"/>
        <w:rPr>
          <w:lang w:val="fr-CA"/>
        </w:rPr>
      </w:pPr>
      <w:r w:rsidRPr="002C2DB0">
        <w:rPr>
          <w:lang w:val="fr-CA"/>
        </w:rPr>
        <w:t xml:space="preserve">Le PNUD a confirmé que cinq entreprises avaient la capacité de changer de technologie afin d’utiliser le cyclopentane </w:t>
      </w:r>
      <w:proofErr w:type="spellStart"/>
      <w:r w:rsidRPr="002C2DB0">
        <w:rPr>
          <w:lang w:val="fr-CA"/>
        </w:rPr>
        <w:t>prémélangé</w:t>
      </w:r>
      <w:proofErr w:type="spellEnd"/>
      <w:r w:rsidRPr="002C2DB0">
        <w:rPr>
          <w:lang w:val="fr-CA"/>
        </w:rPr>
        <w:t xml:space="preserve"> en toute sécurité et que quatre entreprises pouvaient faire de même et</w:t>
      </w:r>
      <w:r>
        <w:rPr>
          <w:lang w:val="fr-CA"/>
        </w:rPr>
        <w:t xml:space="preserve"> changer au </w:t>
      </w:r>
      <w:proofErr w:type="spellStart"/>
      <w:r>
        <w:rPr>
          <w:lang w:val="fr-CA"/>
        </w:rPr>
        <w:t>méthylal</w:t>
      </w:r>
      <w:proofErr w:type="spellEnd"/>
      <w:r>
        <w:rPr>
          <w:lang w:val="fr-CA"/>
        </w:rPr>
        <w:t>. À partir de ces informatio</w:t>
      </w:r>
      <w:r w:rsidRPr="002C2DB0">
        <w:rPr>
          <w:lang w:val="fr-CA"/>
        </w:rPr>
        <w:t>ns, le Secrétariat a effectué une évaluation détaillée des surcoûts de la reconversion des neuf entreprises, qui a confirmé que le changement de technologie n’entraîn</w:t>
      </w:r>
      <w:r>
        <w:rPr>
          <w:lang w:val="fr-CA"/>
        </w:rPr>
        <w:t>er</w:t>
      </w:r>
      <w:r w:rsidRPr="002C2DB0">
        <w:rPr>
          <w:lang w:val="fr-CA"/>
        </w:rPr>
        <w:t xml:space="preserve">ait aucune économie. Le PNUD a confirmé que les entreprises cofinanceraient les coûts supplémentaires engagés par le changement de technologie. Par conséquent, et prenant note que les formules de cyclopentane </w:t>
      </w:r>
      <w:proofErr w:type="spellStart"/>
      <w:r w:rsidRPr="002C2DB0">
        <w:rPr>
          <w:lang w:val="fr-CA"/>
        </w:rPr>
        <w:t>prémélangé</w:t>
      </w:r>
      <w:proofErr w:type="spellEnd"/>
      <w:r w:rsidRPr="002C2DB0">
        <w:rPr>
          <w:lang w:val="fr-CA"/>
        </w:rPr>
        <w:t xml:space="preserve"> et de </w:t>
      </w:r>
      <w:proofErr w:type="spellStart"/>
      <w:r w:rsidRPr="002C2DB0">
        <w:rPr>
          <w:lang w:val="fr-CA"/>
        </w:rPr>
        <w:t>méthylal</w:t>
      </w:r>
      <w:proofErr w:type="spellEnd"/>
      <w:r w:rsidRPr="002C2DB0">
        <w:rPr>
          <w:lang w:val="fr-CA"/>
        </w:rPr>
        <w:t xml:space="preserve"> sont vendues par les quatre sociétés de formulation au pays, le Secrétariat recommande l’approbation du changement de technologie dans neuf </w:t>
      </w:r>
      <w:r>
        <w:rPr>
          <w:lang w:val="fr-CA"/>
        </w:rPr>
        <w:t>PM</w:t>
      </w:r>
      <w:r w:rsidRPr="002C2DB0">
        <w:rPr>
          <w:lang w:val="fr-CA"/>
        </w:rPr>
        <w:t xml:space="preserve">E, étant entendu que </w:t>
      </w:r>
      <w:r>
        <w:rPr>
          <w:lang w:val="fr-CA"/>
        </w:rPr>
        <w:t>le changement de technologie ne retarderait pas</w:t>
      </w:r>
      <w:r w:rsidRPr="002C2DB0">
        <w:rPr>
          <w:lang w:val="fr-CA"/>
        </w:rPr>
        <w:t xml:space="preserve"> </w:t>
      </w:r>
      <w:r>
        <w:rPr>
          <w:lang w:val="fr-CA"/>
        </w:rPr>
        <w:t>l</w:t>
      </w:r>
      <w:r w:rsidRPr="002C2DB0">
        <w:rPr>
          <w:lang w:val="fr-CA"/>
        </w:rPr>
        <w:t>’achèvem</w:t>
      </w:r>
      <w:r>
        <w:rPr>
          <w:lang w:val="fr-CA"/>
        </w:rPr>
        <w:t>ent des projets de reconversion</w:t>
      </w:r>
      <w:r w:rsidRPr="002C2DB0">
        <w:rPr>
          <w:lang w:val="fr-CA"/>
        </w:rPr>
        <w:t>.</w:t>
      </w:r>
    </w:p>
    <w:p w14:paraId="11F85DC9" w14:textId="77777777" w:rsidR="00FE2783" w:rsidRPr="002C2DB0" w:rsidRDefault="00FE2783" w:rsidP="00FE2783">
      <w:pPr>
        <w:widowControl w:val="0"/>
        <w:numPr>
          <w:ilvl w:val="0"/>
          <w:numId w:val="1"/>
        </w:numPr>
        <w:spacing w:after="240"/>
        <w:outlineLvl w:val="0"/>
        <w:rPr>
          <w:lang w:val="fr-CA"/>
        </w:rPr>
      </w:pPr>
      <w:r w:rsidRPr="002C2DB0">
        <w:rPr>
          <w:lang w:val="fr-CA"/>
        </w:rPr>
        <w:t xml:space="preserve">Le PNUD a déclaré que bien que la reconversion de 32 PME pour lesquelles un changement de technologie avait été approuvé allait bon train, l’achèvement de ces reconversions </w:t>
      </w:r>
      <w:r>
        <w:rPr>
          <w:lang w:val="fr-CA"/>
        </w:rPr>
        <w:t>avait</w:t>
      </w:r>
      <w:r w:rsidRPr="002C2DB0">
        <w:rPr>
          <w:lang w:val="fr-CA"/>
        </w:rPr>
        <w:t xml:space="preserve"> été retardé à cause des perturbations créées par la pandémie de la COVID-19. Le gouvernement et le PNUD faisaient tout leur possible pour que les reconversions restantes dans le secteur de la mousse de polyuréthanne soient terminées avant le 1</w:t>
      </w:r>
      <w:r w:rsidRPr="002C2DB0">
        <w:rPr>
          <w:vertAlign w:val="superscript"/>
          <w:lang w:val="fr-CA"/>
        </w:rPr>
        <w:t>er</w:t>
      </w:r>
      <w:r w:rsidRPr="002C2DB0">
        <w:rPr>
          <w:lang w:val="fr-CA"/>
        </w:rPr>
        <w:t xml:space="preserve"> janvier 2022, </w:t>
      </w:r>
      <w:r>
        <w:rPr>
          <w:lang w:val="fr-CA"/>
        </w:rPr>
        <w:t xml:space="preserve">afin de respecter </w:t>
      </w:r>
      <w:r w:rsidRPr="002C2DB0">
        <w:rPr>
          <w:lang w:val="fr-CA"/>
        </w:rPr>
        <w:t xml:space="preserve">l’interdiction d’importer et d’utiliser le HCFC-141b contenu dans des polyols </w:t>
      </w:r>
      <w:proofErr w:type="spellStart"/>
      <w:r w:rsidRPr="002C2DB0">
        <w:rPr>
          <w:lang w:val="fr-CA"/>
        </w:rPr>
        <w:t>prémélangés</w:t>
      </w:r>
      <w:proofErr w:type="spellEnd"/>
      <w:r w:rsidRPr="002C2DB0">
        <w:rPr>
          <w:lang w:val="fr-CA"/>
        </w:rPr>
        <w:t xml:space="preserve"> et l’élimination des utilisations du HCFC-141b, sauf dans le secteur des solvants, </w:t>
      </w:r>
      <w:r>
        <w:rPr>
          <w:lang w:val="fr-CA"/>
        </w:rPr>
        <w:t>qui entreront en vigueur le</w:t>
      </w:r>
      <w:r w:rsidRPr="002C2DB0">
        <w:rPr>
          <w:lang w:val="fr-CA"/>
        </w:rPr>
        <w:t xml:space="preserve"> 1</w:t>
      </w:r>
      <w:r w:rsidRPr="002C2DB0">
        <w:rPr>
          <w:vertAlign w:val="superscript"/>
          <w:lang w:val="fr-CA"/>
        </w:rPr>
        <w:t>er</w:t>
      </w:r>
      <w:r w:rsidRPr="002C2DB0">
        <w:rPr>
          <w:lang w:val="fr-CA"/>
        </w:rPr>
        <w:t xml:space="preserve"> janvier 2022</w:t>
      </w:r>
      <w:r>
        <w:rPr>
          <w:lang w:val="fr-CA"/>
        </w:rPr>
        <w:t>. Cependant</w:t>
      </w:r>
      <w:r w:rsidRPr="002C2DB0">
        <w:rPr>
          <w:lang w:val="fr-CA"/>
        </w:rPr>
        <w:t xml:space="preserve">, au moment de finaliser le présent document, le pays était de nouveau confiné à cause de la pandémie de la COVID-19 et, par conséquent, la reconversion des entreprises pourrait n’être </w:t>
      </w:r>
      <w:proofErr w:type="spellStart"/>
      <w:r>
        <w:rPr>
          <w:lang w:val="fr-CA"/>
        </w:rPr>
        <w:t>acehvée</w:t>
      </w:r>
      <w:proofErr w:type="spellEnd"/>
      <w:r w:rsidRPr="002C2DB0">
        <w:rPr>
          <w:lang w:val="fr-CA"/>
        </w:rPr>
        <w:t xml:space="preserve"> qu’après le 1</w:t>
      </w:r>
      <w:r w:rsidRPr="002C2DB0">
        <w:rPr>
          <w:vertAlign w:val="superscript"/>
          <w:lang w:val="fr-CA"/>
        </w:rPr>
        <w:t>er</w:t>
      </w:r>
      <w:r w:rsidRPr="002C2DB0">
        <w:rPr>
          <w:lang w:val="fr-CA"/>
        </w:rPr>
        <w:t xml:space="preserve"> janvier 2022. Le PNUD présentera un compte rendu de la situation entourant la reconversion des entreprises de fabrication de mousse de polyuréthanne à la 88</w:t>
      </w:r>
      <w:r w:rsidRPr="002C2DB0">
        <w:rPr>
          <w:vertAlign w:val="superscript"/>
          <w:lang w:val="fr-CA"/>
        </w:rPr>
        <w:t>e</w:t>
      </w:r>
      <w:r>
        <w:rPr>
          <w:lang w:val="fr-CA"/>
        </w:rPr>
        <w:t> </w:t>
      </w:r>
      <w:r w:rsidRPr="002C2DB0">
        <w:rPr>
          <w:lang w:val="fr-CA"/>
        </w:rPr>
        <w:t xml:space="preserve">réunion, avec sa demande pour la troisième tranche de la phase II du PGEH. </w:t>
      </w:r>
    </w:p>
    <w:p w14:paraId="00329FEC" w14:textId="77777777" w:rsidR="00FE2783" w:rsidRPr="002C2DB0" w:rsidRDefault="00FE2783" w:rsidP="00FE2783">
      <w:pPr>
        <w:pStyle w:val="Heading1"/>
        <w:rPr>
          <w:lang w:val="fr-CA"/>
        </w:rPr>
      </w:pPr>
      <w:r w:rsidRPr="002C2DB0">
        <w:rPr>
          <w:lang w:val="fr-CA"/>
        </w:rPr>
        <w:t xml:space="preserve">Les 15 PME qui ont décidé de se retirer du projet ont des capacités techniques limitées et </w:t>
      </w:r>
      <w:r>
        <w:rPr>
          <w:lang w:val="fr-CA"/>
        </w:rPr>
        <w:t>pourraient donc vraisemblablement</w:t>
      </w:r>
      <w:r w:rsidRPr="002C2DB0">
        <w:rPr>
          <w:lang w:val="fr-CA"/>
        </w:rPr>
        <w:t xml:space="preserve"> </w:t>
      </w:r>
      <w:r>
        <w:rPr>
          <w:lang w:val="fr-CA"/>
        </w:rPr>
        <w:t>profiter de l’</w:t>
      </w:r>
      <w:r w:rsidRPr="002C2DB0">
        <w:rPr>
          <w:lang w:val="fr-CA"/>
        </w:rPr>
        <w:t>assistance du Fonds multilatéral</w:t>
      </w:r>
      <w:r>
        <w:rPr>
          <w:lang w:val="fr-CA"/>
        </w:rPr>
        <w:t xml:space="preserve"> pour la reconversion</w:t>
      </w:r>
      <w:r w:rsidRPr="002C2DB0">
        <w:rPr>
          <w:lang w:val="fr-CA"/>
        </w:rPr>
        <w:t>. Le Secrétariat a demandé si la possibilité d’un court retard avait été envisagée afin que les entreprises puissent reconvertir à des technologies de remplacement à faible PRG et recevoir un soutien financier au titre du PGEH. Le PNUD estime que les obstacles auxquels ces entreprises se sont heurtées ne changeront pas à court terme. De plus, une entreprise admissible prêt</w:t>
      </w:r>
      <w:r>
        <w:rPr>
          <w:lang w:val="fr-CA"/>
        </w:rPr>
        <w:t>e</w:t>
      </w:r>
      <w:r w:rsidRPr="002C2DB0">
        <w:rPr>
          <w:lang w:val="fr-CA"/>
        </w:rPr>
        <w:t xml:space="preserve"> à reconvertir à une solution de remplacement à faible PRG avait été identifiée et souhaitait participer au PGEH. Le gouvernement a donc décidé de réaffecter les économies associées au retrait des 15 entreprises à la reconversion de </w:t>
      </w:r>
      <w:proofErr w:type="spellStart"/>
      <w:r w:rsidRPr="002C2DB0">
        <w:rPr>
          <w:lang w:val="fr-CA"/>
        </w:rPr>
        <w:t>Thermofoam</w:t>
      </w:r>
      <w:proofErr w:type="spellEnd"/>
      <w:r w:rsidRPr="002C2DB0">
        <w:rPr>
          <w:lang w:val="fr-CA"/>
        </w:rPr>
        <w:t xml:space="preserve"> Marketing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et a confirmé que ces 15 entreprises ne recevront pas de soutien financier du Fonds multilatéral pour la réduction progressive des HFC. </w:t>
      </w:r>
    </w:p>
    <w:p w14:paraId="312DC12E" w14:textId="77777777" w:rsidR="00FE2783" w:rsidRPr="002C2DB0" w:rsidRDefault="00FE2783" w:rsidP="00FE2783">
      <w:pPr>
        <w:pStyle w:val="Heading1"/>
        <w:rPr>
          <w:lang w:val="fr-CA"/>
        </w:rPr>
      </w:pPr>
      <w:r w:rsidRPr="002C2DB0">
        <w:rPr>
          <w:lang w:val="fr-CA"/>
        </w:rPr>
        <w:t xml:space="preserve">Le PNUD a confirmé que </w:t>
      </w:r>
      <w:proofErr w:type="spellStart"/>
      <w:r w:rsidRPr="002C2DB0">
        <w:rPr>
          <w:lang w:val="fr-CA"/>
        </w:rPr>
        <w:t>Thermofoam</w:t>
      </w:r>
      <w:proofErr w:type="spellEnd"/>
      <w:r w:rsidRPr="002C2DB0">
        <w:rPr>
          <w:lang w:val="fr-CA"/>
        </w:rPr>
        <w:t xml:space="preserve"> </w:t>
      </w:r>
      <w:proofErr w:type="spellStart"/>
      <w:r w:rsidRPr="002C2DB0">
        <w:rPr>
          <w:lang w:val="fr-CA"/>
        </w:rPr>
        <w:t>Manufacturing</w:t>
      </w:r>
      <w:proofErr w:type="spellEnd"/>
      <w:r w:rsidRPr="002C2DB0">
        <w:rPr>
          <w:lang w:val="fr-CA"/>
        </w:rPr>
        <w:t xml:space="preserve">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appartient à part entière à des intérêts locaux et qu’elle consommait du HCFC-141b avant la date limite du 21 septembre 2007. </w:t>
      </w:r>
      <w:r>
        <w:rPr>
          <w:lang w:val="fr-CA"/>
        </w:rPr>
        <w:t xml:space="preserve">Le </w:t>
      </w:r>
      <w:r w:rsidRPr="002C2DB0">
        <w:rPr>
          <w:lang w:val="fr-CA"/>
        </w:rPr>
        <w:t xml:space="preserve">Secrétariat a </w:t>
      </w:r>
      <w:r>
        <w:rPr>
          <w:lang w:val="fr-CA"/>
        </w:rPr>
        <w:t xml:space="preserve">donc </w:t>
      </w:r>
      <w:r w:rsidRPr="002C2DB0">
        <w:rPr>
          <w:lang w:val="fr-CA"/>
        </w:rPr>
        <w:t xml:space="preserve">entrepris une évaluation détaillée des surcoûts admissibles de la reconversion de l’entreprise. L’entreprise serait admissible à recevoir jusqu’à 205 818 $US, conformément aux coûts convenus pour la reconversion à une technologie à base de cyclopentane pur ou </w:t>
      </w:r>
      <w:proofErr w:type="spellStart"/>
      <w:r w:rsidRPr="002C2DB0">
        <w:rPr>
          <w:lang w:val="fr-CA"/>
        </w:rPr>
        <w:t>prémélangé</w:t>
      </w:r>
      <w:proofErr w:type="spellEnd"/>
      <w:r>
        <w:rPr>
          <w:lang w:val="fr-CA"/>
        </w:rPr>
        <w:t xml:space="preserve"> </w:t>
      </w:r>
      <w:r w:rsidRPr="002C2DB0">
        <w:rPr>
          <w:lang w:val="fr-CA"/>
        </w:rPr>
        <w:t>de</w:t>
      </w:r>
      <w:r>
        <w:rPr>
          <w:lang w:val="fr-CA"/>
        </w:rPr>
        <w:t>s</w:t>
      </w:r>
      <w:r w:rsidRPr="002C2DB0">
        <w:rPr>
          <w:lang w:val="fr-CA"/>
        </w:rPr>
        <w:t xml:space="preserve"> entreprises de fabrication de mousse de polyuréthanne dont la consommation en 2015 était de plus</w:t>
      </w:r>
      <w:r>
        <w:rPr>
          <w:lang w:val="fr-CA"/>
        </w:rPr>
        <w:t xml:space="preserve"> de 20 </w:t>
      </w:r>
      <w:proofErr w:type="spellStart"/>
      <w:r>
        <w:rPr>
          <w:lang w:val="fr-CA"/>
        </w:rPr>
        <w:t>tm</w:t>
      </w:r>
      <w:proofErr w:type="spellEnd"/>
      <w:r w:rsidRPr="002C2DB0">
        <w:rPr>
          <w:lang w:val="fr-CA"/>
        </w:rPr>
        <w:t xml:space="preserve">. Le Secrétariat a donc recommandé de réaffecter les 169 281 $US associés au retrait de 15 PME figurant dans le tableau 6 à la reconversion de </w:t>
      </w:r>
      <w:proofErr w:type="spellStart"/>
      <w:r w:rsidRPr="002C2DB0">
        <w:rPr>
          <w:lang w:val="fr-CA"/>
        </w:rPr>
        <w:t>Thermofoam</w:t>
      </w:r>
      <w:proofErr w:type="spellEnd"/>
      <w:r w:rsidRPr="002C2DB0">
        <w:rPr>
          <w:lang w:val="fr-CA"/>
        </w:rPr>
        <w:t xml:space="preserve"> </w:t>
      </w:r>
      <w:proofErr w:type="spellStart"/>
      <w:r w:rsidRPr="002C2DB0">
        <w:rPr>
          <w:lang w:val="fr-CA"/>
        </w:rPr>
        <w:t>Manufacturing</w:t>
      </w:r>
      <w:proofErr w:type="spellEnd"/>
      <w:r w:rsidRPr="002C2DB0">
        <w:rPr>
          <w:lang w:val="fr-CA"/>
        </w:rPr>
        <w:t xml:space="preserve">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au cyclopentane </w:t>
      </w:r>
      <w:proofErr w:type="spellStart"/>
      <w:r w:rsidRPr="002C2DB0">
        <w:rPr>
          <w:lang w:val="fr-CA"/>
        </w:rPr>
        <w:t>prémélangé</w:t>
      </w:r>
      <w:proofErr w:type="spellEnd"/>
      <w:r w:rsidRPr="002C2DB0">
        <w:rPr>
          <w:lang w:val="fr-CA"/>
        </w:rPr>
        <w:t xml:space="preserve">. Le PNUD a confirmé que l’entreprise cofinancerait les 36 537 $US (c.-à-d., 205 818 $US moins 169 281 $US) auxquels elle aurait été admissible, </w:t>
      </w:r>
      <w:r>
        <w:rPr>
          <w:lang w:val="fr-CA"/>
        </w:rPr>
        <w:t xml:space="preserve">en </w:t>
      </w:r>
      <w:r w:rsidRPr="002C2DB0">
        <w:rPr>
          <w:lang w:val="fr-CA"/>
        </w:rPr>
        <w:t xml:space="preserve">plus </w:t>
      </w:r>
      <w:r>
        <w:rPr>
          <w:lang w:val="fr-CA"/>
        </w:rPr>
        <w:t xml:space="preserve">de </w:t>
      </w:r>
      <w:r w:rsidRPr="002C2DB0">
        <w:rPr>
          <w:lang w:val="fr-CA"/>
        </w:rPr>
        <w:t xml:space="preserve">tout coût supplémentaire associé à la reconversion. </w:t>
      </w:r>
    </w:p>
    <w:p w14:paraId="4358CE24" w14:textId="77777777" w:rsidR="00FE2783" w:rsidRPr="002C2DB0" w:rsidRDefault="00FE2783" w:rsidP="00FE2783">
      <w:pPr>
        <w:widowControl w:val="0"/>
        <w:spacing w:after="240"/>
        <w:rPr>
          <w:b/>
          <w:lang w:val="fr-CA"/>
        </w:rPr>
      </w:pPr>
      <w:r w:rsidRPr="002C2DB0">
        <w:rPr>
          <w:b/>
          <w:lang w:val="fr-CA"/>
        </w:rPr>
        <w:t>Recommandation</w:t>
      </w:r>
    </w:p>
    <w:p w14:paraId="40E9076E" w14:textId="77777777" w:rsidR="00FE2783" w:rsidRPr="002C2DB0" w:rsidRDefault="00FE2783" w:rsidP="00FE2783">
      <w:pPr>
        <w:widowControl w:val="0"/>
        <w:numPr>
          <w:ilvl w:val="0"/>
          <w:numId w:val="1"/>
        </w:numPr>
        <w:spacing w:after="240"/>
        <w:outlineLvl w:val="0"/>
        <w:rPr>
          <w:lang w:val="fr-CA"/>
        </w:rPr>
      </w:pPr>
      <w:r w:rsidRPr="002C2DB0">
        <w:rPr>
          <w:lang w:val="fr-CA"/>
        </w:rPr>
        <w:t>Le Comité exécutif pourrait souhaiter :</w:t>
      </w:r>
    </w:p>
    <w:p w14:paraId="46CEE452" w14:textId="50000441" w:rsidR="00FE2783" w:rsidRPr="002C2DB0" w:rsidRDefault="00FE2783" w:rsidP="00FE2783">
      <w:pPr>
        <w:pStyle w:val="Heading2"/>
        <w:rPr>
          <w:lang w:val="fr-CA"/>
        </w:rPr>
      </w:pPr>
      <w:r w:rsidRPr="002C2DB0">
        <w:rPr>
          <w:lang w:val="fr-CA"/>
        </w:rPr>
        <w:t>Prendre note des demandes soumises par le PNUD a</w:t>
      </w:r>
      <w:r>
        <w:rPr>
          <w:lang w:val="fr-CA"/>
        </w:rPr>
        <w:t>u</w:t>
      </w:r>
      <w:r w:rsidRPr="002C2DB0">
        <w:rPr>
          <w:lang w:val="fr-CA"/>
        </w:rPr>
        <w:t xml:space="preserve"> nom du gouvernement de la Malaisie concernant le changement de technologie dans neuf entreprises au titre de la phase II du plan de gestion de l'élimination des HCFC (PGEH) et la reconversion d’une entreprise de </w:t>
      </w:r>
      <w:r w:rsidRPr="002C2DB0">
        <w:rPr>
          <w:lang w:val="fr-CA"/>
        </w:rPr>
        <w:lastRenderedPageBreak/>
        <w:t>mousse supplémentaire n’ayant pas été incluse à la phase II, contenues dans le document UNEP/OzL.Pro/ExCom/87/9</w:t>
      </w:r>
      <w:r w:rsidR="0074773B">
        <w:rPr>
          <w:lang w:val="fr-CA"/>
        </w:rPr>
        <w:t xml:space="preserve"> </w:t>
      </w:r>
      <w:r w:rsidRPr="002C2DB0">
        <w:rPr>
          <w:lang w:val="fr-CA"/>
        </w:rPr>
        <w:t>;</w:t>
      </w:r>
    </w:p>
    <w:p w14:paraId="0A1A0412" w14:textId="77777777" w:rsidR="00FE2783" w:rsidRPr="002C2DB0" w:rsidRDefault="00FE2783" w:rsidP="00FE2783">
      <w:pPr>
        <w:pStyle w:val="Heading2"/>
        <w:rPr>
          <w:lang w:val="fr-CA"/>
        </w:rPr>
      </w:pPr>
      <w:r w:rsidRPr="002C2DB0">
        <w:rPr>
          <w:lang w:val="fr-CA"/>
        </w:rPr>
        <w:t>De prendre note également :</w:t>
      </w:r>
    </w:p>
    <w:p w14:paraId="231AD7B2" w14:textId="566079BA" w:rsidR="00FE2783" w:rsidRPr="002C2DB0" w:rsidRDefault="00FE2783" w:rsidP="00FE2783">
      <w:pPr>
        <w:pStyle w:val="Heading3"/>
        <w:rPr>
          <w:lang w:val="fr-CA"/>
        </w:rPr>
      </w:pPr>
      <w:r w:rsidRPr="002C2DB0">
        <w:rPr>
          <w:lang w:val="fr-CA"/>
        </w:rPr>
        <w:t xml:space="preserve">Du changement de technologie des </w:t>
      </w:r>
      <w:proofErr w:type="spellStart"/>
      <w:r w:rsidRPr="002C2DB0">
        <w:rPr>
          <w:lang w:val="fr-CA"/>
        </w:rPr>
        <w:t>hydrofluorooléfines</w:t>
      </w:r>
      <w:proofErr w:type="spellEnd"/>
      <w:r w:rsidRPr="002C2DB0">
        <w:rPr>
          <w:lang w:val="fr-CA"/>
        </w:rPr>
        <w:t xml:space="preserve"> (HFO) au cyclopentane pour quatre entreprises et au </w:t>
      </w:r>
      <w:proofErr w:type="spellStart"/>
      <w:r w:rsidRPr="002C2DB0">
        <w:rPr>
          <w:lang w:val="fr-CA"/>
        </w:rPr>
        <w:t>méthylal</w:t>
      </w:r>
      <w:proofErr w:type="spellEnd"/>
      <w:r w:rsidRPr="002C2DB0">
        <w:rPr>
          <w:lang w:val="fr-CA"/>
        </w:rPr>
        <w:t xml:space="preserve"> pour cinq entreprises, dans le contexte de la phase II du PGEH</w:t>
      </w:r>
      <w:r w:rsidR="0074773B">
        <w:rPr>
          <w:lang w:val="fr-CA"/>
        </w:rPr>
        <w:t xml:space="preserve"> </w:t>
      </w:r>
      <w:r w:rsidRPr="002C2DB0">
        <w:rPr>
          <w:lang w:val="fr-CA"/>
        </w:rPr>
        <w:t>;</w:t>
      </w:r>
    </w:p>
    <w:p w14:paraId="57D18122" w14:textId="1037BED7" w:rsidR="00FE2783" w:rsidRPr="002C2DB0" w:rsidRDefault="00FE2783" w:rsidP="00FE2783">
      <w:pPr>
        <w:pStyle w:val="Heading3"/>
        <w:rPr>
          <w:lang w:val="fr-CA"/>
        </w:rPr>
      </w:pPr>
      <w:r w:rsidRPr="002C2DB0">
        <w:rPr>
          <w:lang w:val="fr-CA"/>
        </w:rPr>
        <w:t xml:space="preserve">Du retrait de 15 petites entreprises </w:t>
      </w:r>
      <w:r>
        <w:rPr>
          <w:lang w:val="fr-CA"/>
        </w:rPr>
        <w:t xml:space="preserve">du secteur des mousses </w:t>
      </w:r>
      <w:r w:rsidRPr="002C2DB0">
        <w:rPr>
          <w:lang w:val="fr-CA"/>
        </w:rPr>
        <w:t>de la phase I</w:t>
      </w:r>
      <w:r>
        <w:rPr>
          <w:lang w:val="fr-CA"/>
        </w:rPr>
        <w:t>I</w:t>
      </w:r>
      <w:r w:rsidRPr="002C2DB0">
        <w:rPr>
          <w:lang w:val="fr-CA"/>
        </w:rPr>
        <w:t xml:space="preserve"> du PGEH</w:t>
      </w:r>
      <w:r w:rsidR="0074773B">
        <w:rPr>
          <w:lang w:val="fr-CA"/>
        </w:rPr>
        <w:t xml:space="preserve"> </w:t>
      </w:r>
      <w:r w:rsidRPr="002C2DB0">
        <w:rPr>
          <w:lang w:val="fr-CA"/>
        </w:rPr>
        <w:t xml:space="preserve">; </w:t>
      </w:r>
    </w:p>
    <w:p w14:paraId="1B53DB68" w14:textId="61EA4B10" w:rsidR="00FE2783" w:rsidRPr="002C2DB0" w:rsidRDefault="00FE2783" w:rsidP="00FE2783">
      <w:pPr>
        <w:pStyle w:val="Heading3"/>
        <w:rPr>
          <w:lang w:val="fr-CA"/>
        </w:rPr>
      </w:pPr>
      <w:r w:rsidRPr="002C2DB0">
        <w:rPr>
          <w:lang w:val="fr-CA"/>
        </w:rPr>
        <w:t xml:space="preserve">De la réaffectation de 169 281 $US en économies associées au retrait des 15 entreprises dont il est question à l’alinéa b) ii) ci-dessus à la reconversion de </w:t>
      </w:r>
      <w:proofErr w:type="spellStart"/>
      <w:r w:rsidRPr="002C2DB0">
        <w:rPr>
          <w:lang w:val="fr-CA"/>
        </w:rPr>
        <w:t>Thermofoam</w:t>
      </w:r>
      <w:proofErr w:type="spellEnd"/>
      <w:r w:rsidRPr="002C2DB0">
        <w:rPr>
          <w:lang w:val="fr-CA"/>
        </w:rPr>
        <w:t xml:space="preserve"> </w:t>
      </w:r>
      <w:proofErr w:type="spellStart"/>
      <w:r w:rsidRPr="002C2DB0">
        <w:rPr>
          <w:lang w:val="fr-CA"/>
        </w:rPr>
        <w:t>Manufacturing</w:t>
      </w:r>
      <w:proofErr w:type="spellEnd"/>
      <w:r w:rsidRPr="002C2DB0">
        <w:rPr>
          <w:lang w:val="fr-CA"/>
        </w:rPr>
        <w:t xml:space="preserve">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au cyclopentane </w:t>
      </w:r>
      <w:proofErr w:type="spellStart"/>
      <w:r w:rsidRPr="002C2DB0">
        <w:rPr>
          <w:lang w:val="fr-CA"/>
        </w:rPr>
        <w:t>prémélangé</w:t>
      </w:r>
      <w:proofErr w:type="spellEnd"/>
      <w:r w:rsidR="0074773B">
        <w:rPr>
          <w:lang w:val="fr-CA"/>
        </w:rPr>
        <w:t xml:space="preserve"> </w:t>
      </w:r>
      <w:r w:rsidRPr="002C2DB0">
        <w:rPr>
          <w:lang w:val="fr-CA"/>
        </w:rPr>
        <w:t xml:space="preserve">; </w:t>
      </w:r>
    </w:p>
    <w:p w14:paraId="7B14E764" w14:textId="1922548C" w:rsidR="00FE2783" w:rsidRPr="002C2DB0" w:rsidRDefault="00FE2783" w:rsidP="00FE2783">
      <w:pPr>
        <w:pStyle w:val="Heading3"/>
        <w:rPr>
          <w:lang w:val="fr-CA"/>
        </w:rPr>
      </w:pPr>
      <w:r w:rsidRPr="002C2DB0">
        <w:rPr>
          <w:lang w:val="fr-CA"/>
        </w:rPr>
        <w:t>Que le PNUD soumettra un compte rendu de l’état des reconversions dans l</w:t>
      </w:r>
      <w:r>
        <w:rPr>
          <w:lang w:val="fr-CA"/>
        </w:rPr>
        <w:t>e secteur de l</w:t>
      </w:r>
      <w:r w:rsidRPr="002C2DB0">
        <w:rPr>
          <w:lang w:val="fr-CA"/>
        </w:rPr>
        <w:t>a fabrication de la</w:t>
      </w:r>
      <w:r>
        <w:rPr>
          <w:lang w:val="fr-CA"/>
        </w:rPr>
        <w:t xml:space="preserve"> mousse de polyuréthanne à la 88</w:t>
      </w:r>
      <w:r w:rsidRPr="002C2DB0">
        <w:rPr>
          <w:vertAlign w:val="superscript"/>
          <w:lang w:val="fr-CA"/>
        </w:rPr>
        <w:t>e</w:t>
      </w:r>
      <w:r w:rsidRPr="002C2DB0">
        <w:rPr>
          <w:lang w:val="fr-CA"/>
        </w:rPr>
        <w:t xml:space="preserve"> réunion avec sa demande de la troisième tranche de la phase II du PGEH</w:t>
      </w:r>
      <w:r w:rsidR="0074773B">
        <w:rPr>
          <w:lang w:val="fr-CA"/>
        </w:rPr>
        <w:t xml:space="preserve"> </w:t>
      </w:r>
      <w:r w:rsidRPr="002C2DB0">
        <w:rPr>
          <w:lang w:val="fr-CA"/>
        </w:rPr>
        <w:t xml:space="preserve">; </w:t>
      </w:r>
    </w:p>
    <w:p w14:paraId="6BFDD386" w14:textId="77777777" w:rsidR="00FE2783" w:rsidRPr="002C2DB0" w:rsidRDefault="00FE2783" w:rsidP="00FE2783">
      <w:pPr>
        <w:keepNext/>
        <w:keepLines/>
        <w:widowControl w:val="0"/>
        <w:numPr>
          <w:ilvl w:val="1"/>
          <w:numId w:val="1"/>
        </w:numPr>
        <w:spacing w:after="240"/>
        <w:outlineLvl w:val="1"/>
        <w:rPr>
          <w:lang w:val="fr-CA"/>
        </w:rPr>
      </w:pPr>
      <w:r w:rsidRPr="002C2DB0">
        <w:rPr>
          <w:lang w:val="fr-CA"/>
        </w:rPr>
        <w:t>Approuver :</w:t>
      </w:r>
    </w:p>
    <w:p w14:paraId="03A8A09D" w14:textId="72780267" w:rsidR="00FE2783" w:rsidRDefault="00FE2783" w:rsidP="00FE2783">
      <w:pPr>
        <w:pStyle w:val="Heading3"/>
        <w:rPr>
          <w:lang w:val="fr-CA"/>
        </w:rPr>
      </w:pPr>
      <w:r w:rsidRPr="002C2DB0">
        <w:rPr>
          <w:lang w:val="fr-CA"/>
        </w:rPr>
        <w:t>Le c</w:t>
      </w:r>
      <w:r>
        <w:rPr>
          <w:lang w:val="fr-CA"/>
        </w:rPr>
        <w:t>hangement de technologie des HFO</w:t>
      </w:r>
      <w:r w:rsidRPr="002C2DB0">
        <w:rPr>
          <w:lang w:val="fr-CA"/>
        </w:rPr>
        <w:t xml:space="preserve"> au cyclopentane </w:t>
      </w:r>
      <w:proofErr w:type="spellStart"/>
      <w:r w:rsidRPr="002C2DB0">
        <w:rPr>
          <w:lang w:val="fr-CA"/>
        </w:rPr>
        <w:t>prémélangé</w:t>
      </w:r>
      <w:proofErr w:type="spellEnd"/>
      <w:r w:rsidRPr="002C2DB0">
        <w:rPr>
          <w:lang w:val="fr-CA"/>
        </w:rPr>
        <w:t xml:space="preserve"> pour quatre entreprises et au </w:t>
      </w:r>
      <w:proofErr w:type="spellStart"/>
      <w:r w:rsidRPr="002C2DB0">
        <w:rPr>
          <w:lang w:val="fr-CA"/>
        </w:rPr>
        <w:t>méthylal</w:t>
      </w:r>
      <w:proofErr w:type="spellEnd"/>
      <w:r w:rsidRPr="002C2DB0">
        <w:rPr>
          <w:lang w:val="fr-CA"/>
        </w:rPr>
        <w:t xml:space="preserve"> pour cinq entreprises, étant entendu que les entreprises paieraient les coûts supplémentaires et que le changement de technologie ne </w:t>
      </w:r>
      <w:r>
        <w:rPr>
          <w:lang w:val="fr-CA"/>
        </w:rPr>
        <w:t>retarderait</w:t>
      </w:r>
      <w:r w:rsidRPr="002C2DB0">
        <w:rPr>
          <w:lang w:val="fr-CA"/>
        </w:rPr>
        <w:t xml:space="preserve"> pas la date d’achèvement du projet</w:t>
      </w:r>
      <w:r w:rsidR="0074773B">
        <w:rPr>
          <w:lang w:val="fr-CA"/>
        </w:rPr>
        <w:t xml:space="preserve"> </w:t>
      </w:r>
      <w:r w:rsidRPr="002C2DB0">
        <w:rPr>
          <w:lang w:val="fr-CA"/>
        </w:rPr>
        <w:t>;</w:t>
      </w:r>
      <w:r w:rsidR="0074773B">
        <w:rPr>
          <w:lang w:val="fr-CA"/>
        </w:rPr>
        <w:t xml:space="preserve"> et</w:t>
      </w:r>
      <w:r w:rsidRPr="002C2DB0">
        <w:rPr>
          <w:lang w:val="fr-CA"/>
        </w:rPr>
        <w:t xml:space="preserve"> </w:t>
      </w:r>
    </w:p>
    <w:p w14:paraId="105684C6" w14:textId="5D59535A" w:rsidR="00FE2783" w:rsidRDefault="00FE2783" w:rsidP="00283EF3">
      <w:pPr>
        <w:pStyle w:val="Heading3"/>
        <w:rPr>
          <w:lang w:val="fr-CA"/>
        </w:rPr>
      </w:pPr>
      <w:r w:rsidRPr="002C2DB0">
        <w:rPr>
          <w:lang w:val="fr-CA"/>
        </w:rPr>
        <w:t>La réaffectation de 169 281 $US en économ</w:t>
      </w:r>
      <w:r>
        <w:rPr>
          <w:lang w:val="fr-CA"/>
        </w:rPr>
        <w:t>ies associées au retrait des 15 </w:t>
      </w:r>
      <w:r w:rsidRPr="002C2DB0">
        <w:rPr>
          <w:lang w:val="fr-CA"/>
        </w:rPr>
        <w:t xml:space="preserve">entreprises dont il est question à l’alinéa b) ii) ci-dessus à la reconversion de </w:t>
      </w:r>
      <w:proofErr w:type="spellStart"/>
      <w:r w:rsidRPr="002C2DB0">
        <w:rPr>
          <w:lang w:val="fr-CA"/>
        </w:rPr>
        <w:t>Thermofoam</w:t>
      </w:r>
      <w:proofErr w:type="spellEnd"/>
      <w:r w:rsidRPr="002C2DB0">
        <w:rPr>
          <w:lang w:val="fr-CA"/>
        </w:rPr>
        <w:t xml:space="preserve"> </w:t>
      </w:r>
      <w:proofErr w:type="spellStart"/>
      <w:r w:rsidRPr="002C2DB0">
        <w:rPr>
          <w:lang w:val="fr-CA"/>
        </w:rPr>
        <w:t>Manufacturing</w:t>
      </w:r>
      <w:proofErr w:type="spellEnd"/>
      <w:r w:rsidRPr="002C2DB0">
        <w:rPr>
          <w:lang w:val="fr-CA"/>
        </w:rPr>
        <w:t xml:space="preserve"> </w:t>
      </w:r>
      <w:proofErr w:type="spellStart"/>
      <w:r w:rsidRPr="002C2DB0">
        <w:rPr>
          <w:lang w:val="fr-CA"/>
        </w:rPr>
        <w:t>Sdn</w:t>
      </w:r>
      <w:proofErr w:type="spellEnd"/>
      <w:r w:rsidRPr="002C2DB0">
        <w:rPr>
          <w:lang w:val="fr-CA"/>
        </w:rPr>
        <w:t xml:space="preserve"> </w:t>
      </w:r>
      <w:proofErr w:type="spellStart"/>
      <w:r w:rsidRPr="002C2DB0">
        <w:rPr>
          <w:lang w:val="fr-CA"/>
        </w:rPr>
        <w:t>Bhd</w:t>
      </w:r>
      <w:proofErr w:type="spellEnd"/>
      <w:r w:rsidRPr="002C2DB0">
        <w:rPr>
          <w:lang w:val="fr-CA"/>
        </w:rPr>
        <w:t xml:space="preserve"> au cyclopentane </w:t>
      </w:r>
      <w:proofErr w:type="spellStart"/>
      <w:r w:rsidRPr="002C2DB0">
        <w:rPr>
          <w:lang w:val="fr-CA"/>
        </w:rPr>
        <w:t>prémélangé</w:t>
      </w:r>
      <w:proofErr w:type="spellEnd"/>
      <w:r w:rsidRPr="002C2DB0">
        <w:rPr>
          <w:lang w:val="fr-CA"/>
        </w:rPr>
        <w:t>, étant entendu que l’entreprise paiera les coûts supplémentaires de la reconversion et que les 15</w:t>
      </w:r>
      <w:r>
        <w:rPr>
          <w:lang w:val="fr-CA"/>
        </w:rPr>
        <w:t> entreprises dont il est questi</w:t>
      </w:r>
      <w:r w:rsidRPr="002C2DB0">
        <w:rPr>
          <w:lang w:val="fr-CA"/>
        </w:rPr>
        <w:t>on à l’alinéa b) ii), ci-dessus, ne recevront pas de soutien financ</w:t>
      </w:r>
      <w:r w:rsidR="00283EF3">
        <w:rPr>
          <w:lang w:val="fr-CA"/>
        </w:rPr>
        <w:t xml:space="preserve">ier du Fonds multilatéral pour </w:t>
      </w:r>
      <w:r w:rsidR="00283EF3" w:rsidRPr="002C2DB0">
        <w:rPr>
          <w:lang w:val="fr-CA"/>
        </w:rPr>
        <w:t>la réduction p</w:t>
      </w:r>
      <w:r w:rsidR="00283EF3">
        <w:rPr>
          <w:lang w:val="fr-CA"/>
        </w:rPr>
        <w:t>rogressive des HFC.</w:t>
      </w:r>
    </w:p>
    <w:p w14:paraId="5A89AD28" w14:textId="77777777" w:rsidR="00937816" w:rsidRPr="00805C4C" w:rsidRDefault="00937816" w:rsidP="00937816">
      <w:pPr>
        <w:keepNext/>
        <w:keepLines/>
        <w:spacing w:after="240"/>
        <w:rPr>
          <w:lang w:val="fr-CA"/>
        </w:rPr>
      </w:pPr>
      <w:r w:rsidRPr="0074773B">
        <w:rPr>
          <w:u w:val="single"/>
          <w:lang w:val="fr-CA"/>
        </w:rPr>
        <w:t xml:space="preserve">Mexique : Plan de gestion de l'élimination des HCFC (phase I : rapport périodique) </w:t>
      </w:r>
      <w:r w:rsidRPr="0074773B">
        <w:rPr>
          <w:lang w:val="fr-CA"/>
        </w:rPr>
        <w:t>(ONUDI et PNUD)</w:t>
      </w:r>
    </w:p>
    <w:p w14:paraId="6EC4AE98" w14:textId="77777777" w:rsidR="00937816" w:rsidRPr="00805C4C" w:rsidRDefault="00937816" w:rsidP="00937816">
      <w:pPr>
        <w:keepNext/>
        <w:keepLines/>
        <w:spacing w:after="240"/>
        <w:rPr>
          <w:b/>
          <w:lang w:val="fr-CA"/>
        </w:rPr>
      </w:pPr>
      <w:r w:rsidRPr="00805C4C">
        <w:rPr>
          <w:b/>
          <w:lang w:val="fr-CA"/>
        </w:rPr>
        <w:t>Contexte</w:t>
      </w:r>
    </w:p>
    <w:p w14:paraId="0A6AFFF9" w14:textId="77777777" w:rsidR="00937816" w:rsidRPr="00805C4C" w:rsidRDefault="00937816" w:rsidP="00937816">
      <w:pPr>
        <w:pStyle w:val="Heading1"/>
        <w:rPr>
          <w:lang w:val="fr-CA"/>
        </w:rPr>
      </w:pPr>
      <w:r w:rsidRPr="00805C4C">
        <w:rPr>
          <w:lang w:val="fr-CA"/>
        </w:rPr>
        <w:t>Le Comité exécutif, à sa 84</w:t>
      </w:r>
      <w:r w:rsidRPr="00805C4C">
        <w:rPr>
          <w:vertAlign w:val="superscript"/>
          <w:lang w:val="fr-CA"/>
        </w:rPr>
        <w:t>e</w:t>
      </w:r>
      <w:r w:rsidRPr="00805C4C">
        <w:rPr>
          <w:lang w:val="fr-CA"/>
        </w:rPr>
        <w:t xml:space="preserve"> réunion, a examiné le dernier rapport périodique </w:t>
      </w:r>
      <w:r>
        <w:rPr>
          <w:lang w:val="fr-CA"/>
        </w:rPr>
        <w:t xml:space="preserve">annuel </w:t>
      </w:r>
      <w:r w:rsidRPr="00805C4C">
        <w:rPr>
          <w:lang w:val="fr-CA"/>
        </w:rPr>
        <w:t>sur la mise en œuvre du programme de travail de la cinquième et dernière tranche du PGEH pour le Mexique,</w:t>
      </w:r>
      <w:r w:rsidRPr="00805C4C">
        <w:rPr>
          <w:vertAlign w:val="superscript"/>
          <w:lang w:val="fr-CA"/>
        </w:rPr>
        <w:footnoteReference w:id="27"/>
      </w:r>
      <w:r w:rsidRPr="00805C4C">
        <w:rPr>
          <w:lang w:val="fr-CA"/>
        </w:rPr>
        <w:t xml:space="preserve"> conformément à la décision 75/29 a).</w:t>
      </w:r>
      <w:r w:rsidRPr="00805C4C">
        <w:rPr>
          <w:vertAlign w:val="superscript"/>
          <w:lang w:val="fr-CA"/>
        </w:rPr>
        <w:footnoteReference w:id="28"/>
      </w:r>
      <w:r w:rsidRPr="00805C4C">
        <w:rPr>
          <w:lang w:val="fr-CA"/>
        </w:rPr>
        <w:t xml:space="preserve"> </w:t>
      </w:r>
    </w:p>
    <w:p w14:paraId="45EAA596" w14:textId="115FB396" w:rsidR="00937816" w:rsidRPr="00805C4C" w:rsidRDefault="00937816" w:rsidP="00937816">
      <w:pPr>
        <w:pStyle w:val="Heading1"/>
        <w:rPr>
          <w:lang w:val="fr-CA"/>
        </w:rPr>
      </w:pPr>
      <w:r w:rsidRPr="00805C4C">
        <w:rPr>
          <w:lang w:val="fr-CA"/>
        </w:rPr>
        <w:t>Le rapport indiquait que toutes les activités d’investissement étaient terminées, les activités du secteur de l’entretien de l’équipement de réfrigération étaient presque terminées, les sommes associées à une entreprise de mousse de polystyrène extrudé (</w:t>
      </w:r>
      <w:proofErr w:type="spellStart"/>
      <w:r w:rsidRPr="00805C4C">
        <w:rPr>
          <w:lang w:val="fr-CA"/>
        </w:rPr>
        <w:t>Plasticos</w:t>
      </w:r>
      <w:proofErr w:type="spellEnd"/>
      <w:r w:rsidRPr="00805C4C">
        <w:rPr>
          <w:lang w:val="fr-CA"/>
        </w:rPr>
        <w:t xml:space="preserve"> </w:t>
      </w:r>
      <w:proofErr w:type="spellStart"/>
      <w:r w:rsidRPr="00805C4C">
        <w:rPr>
          <w:lang w:val="fr-CA"/>
        </w:rPr>
        <w:t>Espumados</w:t>
      </w:r>
      <w:proofErr w:type="spellEnd"/>
      <w:r w:rsidRPr="00805C4C">
        <w:rPr>
          <w:lang w:val="fr-CA"/>
        </w:rPr>
        <w:t>), qui n’a pas participé au plan</w:t>
      </w:r>
      <w:r>
        <w:rPr>
          <w:lang w:val="fr-CA"/>
        </w:rPr>
        <w:t>,</w:t>
      </w:r>
      <w:r w:rsidRPr="00805C4C">
        <w:rPr>
          <w:lang w:val="fr-CA"/>
        </w:rPr>
        <w:t xml:space="preserve"> allaient être restituées au Fonds et que conformément à l’</w:t>
      </w:r>
      <w:r w:rsidR="005B7EC6">
        <w:rPr>
          <w:lang w:val="fr-CA"/>
        </w:rPr>
        <w:t>Accord</w:t>
      </w:r>
      <w:r w:rsidRPr="00805C4C">
        <w:rPr>
          <w:lang w:val="fr-CA"/>
        </w:rPr>
        <w:t xml:space="preserve"> entre le gouvernement et le Comité exécutif, le volet opérationnel de la phase I du PGEH serait terminé avant le 31 décembre 2019 et le rapport </w:t>
      </w:r>
      <w:r w:rsidRPr="00805C4C">
        <w:rPr>
          <w:lang w:val="fr-CA"/>
        </w:rPr>
        <w:lastRenderedPageBreak/>
        <w:t>d’achèvement de projet serait remis avant le 30 juin 2020, au plus tard, conformément à la décision 82/33 c). Par conséquent, le Comité exécutif a décidé de prendre note :</w:t>
      </w:r>
    </w:p>
    <w:p w14:paraId="55DF32D3" w14:textId="5694CA51" w:rsidR="00937816" w:rsidRPr="00805C4C" w:rsidRDefault="00937816" w:rsidP="00937816">
      <w:pPr>
        <w:pStyle w:val="Heading2"/>
        <w:rPr>
          <w:lang w:val="fr-CA"/>
        </w:rPr>
      </w:pPr>
      <w:r w:rsidRPr="00805C4C">
        <w:rPr>
          <w:lang w:val="fr-CA"/>
        </w:rPr>
        <w:t xml:space="preserve">Que l’entreprise </w:t>
      </w:r>
      <w:proofErr w:type="spellStart"/>
      <w:r w:rsidRPr="00805C4C">
        <w:rPr>
          <w:lang w:val="fr-CA"/>
        </w:rPr>
        <w:t>Plasticos</w:t>
      </w:r>
      <w:proofErr w:type="spellEnd"/>
      <w:r w:rsidRPr="00805C4C">
        <w:rPr>
          <w:lang w:val="fr-CA"/>
        </w:rPr>
        <w:t xml:space="preserve"> </w:t>
      </w:r>
      <w:proofErr w:type="spellStart"/>
      <w:r w:rsidRPr="00805C4C">
        <w:rPr>
          <w:lang w:val="fr-CA"/>
        </w:rPr>
        <w:t>Espumados</w:t>
      </w:r>
      <w:proofErr w:type="spellEnd"/>
      <w:r w:rsidRPr="00805C4C">
        <w:rPr>
          <w:lang w:val="fr-CA"/>
        </w:rPr>
        <w:t xml:space="preserve"> n’a pas participé à la phase I du PGEH et</w:t>
      </w:r>
      <w:r>
        <w:rPr>
          <w:lang w:val="fr-CA"/>
        </w:rPr>
        <w:t xml:space="preserve"> que la somme approuvée de 683 3</w:t>
      </w:r>
      <w:r w:rsidRPr="00805C4C">
        <w:rPr>
          <w:lang w:val="fr-CA"/>
        </w:rPr>
        <w:t>00 $US serait restituée au Fonds à la 87</w:t>
      </w:r>
      <w:r w:rsidRPr="00805C4C">
        <w:rPr>
          <w:vertAlign w:val="superscript"/>
          <w:lang w:val="fr-CA"/>
        </w:rPr>
        <w:t>e</w:t>
      </w:r>
      <w:r w:rsidRPr="00805C4C">
        <w:rPr>
          <w:lang w:val="fr-CA"/>
        </w:rPr>
        <w:t xml:space="preserve"> réunion, lors de l’achèvement de la phase I du PGEH</w:t>
      </w:r>
      <w:r w:rsidR="0074773B">
        <w:rPr>
          <w:lang w:val="fr-CA"/>
        </w:rPr>
        <w:t xml:space="preserve"> </w:t>
      </w:r>
      <w:r w:rsidRPr="00805C4C">
        <w:rPr>
          <w:lang w:val="fr-CA"/>
        </w:rPr>
        <w:t>;</w:t>
      </w:r>
    </w:p>
    <w:p w14:paraId="6EAD9F7E" w14:textId="2A8B61D8" w:rsidR="00937816" w:rsidRPr="00805C4C" w:rsidRDefault="00937816" w:rsidP="00937816">
      <w:pPr>
        <w:widowControl w:val="0"/>
        <w:numPr>
          <w:ilvl w:val="1"/>
          <w:numId w:val="1"/>
        </w:numPr>
        <w:spacing w:after="240"/>
        <w:outlineLvl w:val="1"/>
        <w:rPr>
          <w:lang w:val="fr-CA"/>
        </w:rPr>
      </w:pPr>
      <w:r w:rsidRPr="00805C4C">
        <w:rPr>
          <w:lang w:val="fr-CA"/>
        </w:rPr>
        <w:t>Du solde de 24 $US que l’ONUDI restituerait à la 85</w:t>
      </w:r>
      <w:r w:rsidRPr="00805C4C">
        <w:rPr>
          <w:vertAlign w:val="superscript"/>
          <w:lang w:val="fr-CA"/>
        </w:rPr>
        <w:t>e</w:t>
      </w:r>
      <w:r w:rsidRPr="00805C4C">
        <w:rPr>
          <w:lang w:val="fr-CA"/>
        </w:rPr>
        <w:t xml:space="preserve"> réunion, et du solde estimatif de 300 000 $US ainsi que de tout solde du secteur de l’entretien, qui seraient restitués respectivement par le PNUD et l’ONUDI, à la 87</w:t>
      </w:r>
      <w:r w:rsidRPr="00805C4C">
        <w:rPr>
          <w:vertAlign w:val="superscript"/>
          <w:lang w:val="fr-CA"/>
        </w:rPr>
        <w:t>e</w:t>
      </w:r>
      <w:r w:rsidRPr="00805C4C">
        <w:rPr>
          <w:lang w:val="fr-CA"/>
        </w:rPr>
        <w:t xml:space="preserve"> réunion, à l’achèvement du volet financier de la phase I du PGEH</w:t>
      </w:r>
      <w:r w:rsidR="0074773B">
        <w:rPr>
          <w:lang w:val="fr-CA"/>
        </w:rPr>
        <w:t xml:space="preserve"> </w:t>
      </w:r>
      <w:r w:rsidRPr="00805C4C">
        <w:rPr>
          <w:lang w:val="fr-CA"/>
        </w:rPr>
        <w:t>;</w:t>
      </w:r>
      <w:r w:rsidR="0074773B">
        <w:rPr>
          <w:lang w:val="fr-CA"/>
        </w:rPr>
        <w:t xml:space="preserve"> et</w:t>
      </w:r>
    </w:p>
    <w:p w14:paraId="15CC929F" w14:textId="77777777" w:rsidR="00937816" w:rsidRPr="00805C4C" w:rsidRDefault="00937816" w:rsidP="00937816">
      <w:pPr>
        <w:pStyle w:val="Heading2"/>
        <w:rPr>
          <w:lang w:val="fr-CA"/>
        </w:rPr>
      </w:pPr>
      <w:r w:rsidRPr="00805C4C">
        <w:rPr>
          <w:lang w:val="fr-CA"/>
        </w:rPr>
        <w:t xml:space="preserve">Que le PNUD et l’ONUDI remettraient le rapport final sur l’achèvement des activités restantes de la phase I du PGEH dans le cadre du rapport périodique subséquent sur la phase II du PGEH et le rapport d’achèvement de la phase I </w:t>
      </w:r>
      <w:r>
        <w:rPr>
          <w:lang w:val="fr-CA"/>
        </w:rPr>
        <w:t xml:space="preserve">du projet </w:t>
      </w:r>
      <w:r w:rsidRPr="00805C4C">
        <w:rPr>
          <w:lang w:val="fr-CA"/>
        </w:rPr>
        <w:t>au plus tard le 30 juin 2020, conformément à la décision 82/33 c) (décision 84/22).</w:t>
      </w:r>
    </w:p>
    <w:p w14:paraId="64219C53" w14:textId="77777777" w:rsidR="00937816" w:rsidRPr="00805C4C" w:rsidRDefault="00937816" w:rsidP="00937816">
      <w:pPr>
        <w:pStyle w:val="Heading1"/>
        <w:rPr>
          <w:lang w:val="fr-CA"/>
        </w:rPr>
      </w:pPr>
      <w:r w:rsidRPr="00805C4C">
        <w:rPr>
          <w:lang w:val="fr-CA"/>
        </w:rPr>
        <w:t>En réponse à la décision 84/22 b) et c), l’ONUDI a remis le rapport d’achèvement de projet de la phase I du PGEH le 3 juillet 2020 et a restitué les soldes de ses projets dans les secteurs des mousses et de l’entretien de l’équipement de réfrigération à la 86</w:t>
      </w:r>
      <w:r w:rsidRPr="00805C4C">
        <w:rPr>
          <w:vertAlign w:val="superscript"/>
          <w:lang w:val="fr-CA"/>
        </w:rPr>
        <w:t>e</w:t>
      </w:r>
      <w:r w:rsidRPr="00805C4C">
        <w:rPr>
          <w:lang w:val="fr-CA"/>
        </w:rPr>
        <w:t xml:space="preserve"> réunion,</w:t>
      </w:r>
      <w:r w:rsidRPr="00805C4C">
        <w:rPr>
          <w:rStyle w:val="FootnoteReference"/>
          <w:lang w:val="fr-CA"/>
        </w:rPr>
        <w:footnoteReference w:id="29"/>
      </w:r>
      <w:r w:rsidRPr="00805C4C">
        <w:rPr>
          <w:lang w:val="fr-CA"/>
        </w:rPr>
        <w:t xml:space="preserve"> à savoir 3 615 $US plus les coûts d’appui à l’agence de 271 $US de la première tranche</w:t>
      </w:r>
      <w:r w:rsidRPr="00805C4C">
        <w:rPr>
          <w:rStyle w:val="FootnoteReference"/>
          <w:lang w:val="fr-CA"/>
        </w:rPr>
        <w:footnoteReference w:id="30"/>
      </w:r>
      <w:r w:rsidRPr="00805C4C">
        <w:rPr>
          <w:lang w:val="fr-CA"/>
        </w:rPr>
        <w:t xml:space="preserve"> et 11 701 $US plus les coûts d’appui de 878 $US de la cinquième tranche.</w:t>
      </w:r>
      <w:r w:rsidRPr="00805C4C">
        <w:rPr>
          <w:rStyle w:val="FootnoteReference"/>
          <w:lang w:val="fr-CA"/>
        </w:rPr>
        <w:footnoteReference w:id="31"/>
      </w:r>
      <w:r w:rsidRPr="00805C4C">
        <w:rPr>
          <w:lang w:val="fr-CA"/>
        </w:rPr>
        <w:t xml:space="preserve"> Aucune information n’a toutefois été reçue du PNUD.</w:t>
      </w:r>
    </w:p>
    <w:p w14:paraId="78770FB0" w14:textId="77777777" w:rsidR="00937816" w:rsidRPr="00805C4C" w:rsidRDefault="00937816" w:rsidP="00937816">
      <w:pPr>
        <w:keepNext/>
        <w:keepLines/>
        <w:spacing w:after="240"/>
        <w:outlineLvl w:val="0"/>
        <w:rPr>
          <w:b/>
          <w:lang w:val="fr-CA"/>
        </w:rPr>
      </w:pPr>
      <w:r w:rsidRPr="00805C4C">
        <w:rPr>
          <w:b/>
          <w:lang w:val="fr-CA"/>
        </w:rPr>
        <w:t>Observations du Secrétariat</w:t>
      </w:r>
    </w:p>
    <w:p w14:paraId="0AA1D697" w14:textId="04A37C78" w:rsidR="00937816" w:rsidRPr="00805C4C" w:rsidRDefault="00937816" w:rsidP="00937816">
      <w:pPr>
        <w:pStyle w:val="Heading1"/>
        <w:rPr>
          <w:lang w:val="fr-CA"/>
        </w:rPr>
      </w:pPr>
      <w:r w:rsidRPr="00805C4C">
        <w:rPr>
          <w:lang w:val="fr-CA"/>
        </w:rPr>
        <w:t xml:space="preserve">Le Secrétariat a fait le suivi auprès du PNUD concernant la restitution de 683 300 $US de l’entreprise de mousse de polystyrène extrudé </w:t>
      </w:r>
      <w:proofErr w:type="spellStart"/>
      <w:r w:rsidRPr="00805C4C">
        <w:rPr>
          <w:lang w:val="fr-CA"/>
        </w:rPr>
        <w:t>Plasticos</w:t>
      </w:r>
      <w:proofErr w:type="spellEnd"/>
      <w:r w:rsidRPr="00805C4C">
        <w:rPr>
          <w:lang w:val="fr-CA"/>
        </w:rPr>
        <w:t xml:space="preserve"> </w:t>
      </w:r>
      <w:proofErr w:type="spellStart"/>
      <w:r w:rsidRPr="00805C4C">
        <w:rPr>
          <w:lang w:val="fr-CA"/>
        </w:rPr>
        <w:t>Espumados</w:t>
      </w:r>
      <w:proofErr w:type="spellEnd"/>
      <w:r w:rsidRPr="00805C4C">
        <w:rPr>
          <w:lang w:val="fr-CA"/>
        </w:rPr>
        <w:t>, qui n’a pas participé à la phase I du PGEH</w:t>
      </w:r>
      <w:r w:rsidR="0074773B">
        <w:rPr>
          <w:lang w:val="fr-CA"/>
        </w:rPr>
        <w:t xml:space="preserve"> </w:t>
      </w:r>
      <w:r w:rsidRPr="00805C4C">
        <w:rPr>
          <w:lang w:val="fr-CA"/>
        </w:rPr>
        <w:t xml:space="preserve">; le solde du plan du secteur de la mousse de polyuréthanne est évalué à 300 000 $US et les autres soldes d’activités achevées au titre de la phase I du PGEH. </w:t>
      </w:r>
    </w:p>
    <w:p w14:paraId="7DB217DF" w14:textId="77777777" w:rsidR="00937816" w:rsidRPr="00805C4C" w:rsidRDefault="00937816" w:rsidP="00937816">
      <w:pPr>
        <w:pStyle w:val="Heading1"/>
        <w:rPr>
          <w:lang w:val="fr-CA"/>
        </w:rPr>
      </w:pPr>
      <w:r w:rsidRPr="00805C4C">
        <w:rPr>
          <w:lang w:val="fr-CA"/>
        </w:rPr>
        <w:t>Le PNUD a exp</w:t>
      </w:r>
      <w:r>
        <w:rPr>
          <w:lang w:val="fr-CA"/>
        </w:rPr>
        <w:t>liqué que le volet opérationnel</w:t>
      </w:r>
      <w:r w:rsidRPr="00805C4C">
        <w:rPr>
          <w:lang w:val="fr-CA"/>
        </w:rPr>
        <w:t xml:space="preserve"> du plan a été achevé à la fin de 2019, comme convenu. Cependant, la vérification sur place pour évaluer la sécurité et autoriser le dernier paiement à la dernière entreprise de mousse reconvertie, qui devait avoir lieu en décembre 2019, a été reportée au début de 2020 à cause d’un incendie dans </w:t>
      </w:r>
      <w:r>
        <w:rPr>
          <w:lang w:val="fr-CA"/>
        </w:rPr>
        <w:t>l’u</w:t>
      </w:r>
      <w:r w:rsidRPr="00805C4C">
        <w:rPr>
          <w:lang w:val="fr-CA"/>
        </w:rPr>
        <w:t>sine avoisinante. Par la suite. Le PNUD n’a pu effectuer l’inspection finale et la vérification de la sécurité qu’au début de 2021, à cause des contraintes liées à la pandémie de la COVID-19. Le PNUD a confirmé qu’il est en voie de mettre fin au volet financier du projet et que les sommes seraient restituées à la 88</w:t>
      </w:r>
      <w:r w:rsidRPr="00805C4C">
        <w:rPr>
          <w:vertAlign w:val="superscript"/>
          <w:lang w:val="fr-CA"/>
        </w:rPr>
        <w:t>e</w:t>
      </w:r>
      <w:r w:rsidRPr="00805C4C">
        <w:rPr>
          <w:lang w:val="fr-CA"/>
        </w:rPr>
        <w:t xml:space="preserve"> réunion. </w:t>
      </w:r>
    </w:p>
    <w:p w14:paraId="344ACEFB" w14:textId="77777777" w:rsidR="00937816" w:rsidRPr="00805C4C" w:rsidRDefault="00937816" w:rsidP="00937816">
      <w:pPr>
        <w:rPr>
          <w:b/>
          <w:lang w:val="fr-CA"/>
        </w:rPr>
      </w:pPr>
      <w:r w:rsidRPr="00805C4C">
        <w:rPr>
          <w:b/>
          <w:lang w:val="fr-CA"/>
        </w:rPr>
        <w:t>Recommandation</w:t>
      </w:r>
    </w:p>
    <w:p w14:paraId="34F34E86" w14:textId="77777777" w:rsidR="00937816" w:rsidRPr="00805C4C" w:rsidRDefault="00937816" w:rsidP="00937816">
      <w:pPr>
        <w:rPr>
          <w:lang w:val="fr-CA"/>
        </w:rPr>
      </w:pPr>
    </w:p>
    <w:p w14:paraId="75182E43" w14:textId="77777777" w:rsidR="00937816" w:rsidRPr="00805C4C" w:rsidRDefault="00937816" w:rsidP="00937816">
      <w:pPr>
        <w:pStyle w:val="Heading1"/>
        <w:rPr>
          <w:lang w:val="fr-CA"/>
        </w:rPr>
      </w:pPr>
      <w:r w:rsidRPr="00805C4C">
        <w:rPr>
          <w:lang w:val="fr-CA"/>
        </w:rPr>
        <w:t xml:space="preserve">Le Comité exécutif pourrait souhaiter prendre note : </w:t>
      </w:r>
    </w:p>
    <w:p w14:paraId="3BB3BA66" w14:textId="229A9F21" w:rsidR="00937816" w:rsidRPr="00805C4C" w:rsidRDefault="00937816" w:rsidP="00937816">
      <w:pPr>
        <w:pStyle w:val="Heading2"/>
        <w:rPr>
          <w:lang w:val="fr-CA"/>
        </w:rPr>
      </w:pPr>
      <w:r w:rsidRPr="00805C4C">
        <w:rPr>
          <w:lang w:val="fr-CA"/>
        </w:rPr>
        <w:t xml:space="preserve">Que le PNUD a été incapable de terminer le volet financier de la phase I du plan de gestion de l'élimination des HCFC (PGEH) pour le </w:t>
      </w:r>
      <w:r>
        <w:rPr>
          <w:lang w:val="fr-CA"/>
        </w:rPr>
        <w:t>Mexique au 31 décembre 2020 et de r</w:t>
      </w:r>
      <w:r w:rsidRPr="00805C4C">
        <w:rPr>
          <w:lang w:val="fr-CA"/>
        </w:rPr>
        <w:t>etourner les soldes à la 87</w:t>
      </w:r>
      <w:r w:rsidRPr="00805C4C">
        <w:rPr>
          <w:vertAlign w:val="superscript"/>
          <w:lang w:val="fr-CA"/>
        </w:rPr>
        <w:t>e</w:t>
      </w:r>
      <w:r w:rsidRPr="00805C4C">
        <w:rPr>
          <w:lang w:val="fr-CA"/>
        </w:rPr>
        <w:t xml:space="preserve"> réunion, conformément à la décision 84/22 a) et b)</w:t>
      </w:r>
      <w:r>
        <w:rPr>
          <w:lang w:val="fr-CA"/>
        </w:rPr>
        <w:t>,</w:t>
      </w:r>
      <w:r w:rsidRPr="00805C4C">
        <w:rPr>
          <w:lang w:val="fr-CA"/>
        </w:rPr>
        <w:t xml:space="preserve"> car les restrictions impo</w:t>
      </w:r>
      <w:r>
        <w:rPr>
          <w:lang w:val="fr-CA"/>
        </w:rPr>
        <w:t>sées par la pandémie de la COVID</w:t>
      </w:r>
      <w:r w:rsidRPr="00805C4C">
        <w:rPr>
          <w:lang w:val="fr-CA"/>
        </w:rPr>
        <w:t>-19 ont entraîné des retards dans l’exécution de la dernière vérification et le paiement à une entreprise</w:t>
      </w:r>
      <w:r w:rsidR="0074773B">
        <w:rPr>
          <w:lang w:val="fr-CA"/>
        </w:rPr>
        <w:t xml:space="preserve"> </w:t>
      </w:r>
      <w:r w:rsidRPr="00805C4C">
        <w:rPr>
          <w:lang w:val="fr-CA"/>
        </w:rPr>
        <w:t>;</w:t>
      </w:r>
      <w:r w:rsidR="0074773B">
        <w:rPr>
          <w:lang w:val="fr-CA"/>
        </w:rPr>
        <w:t xml:space="preserve"> et</w:t>
      </w:r>
      <w:r w:rsidRPr="00805C4C">
        <w:rPr>
          <w:lang w:val="fr-CA"/>
        </w:rPr>
        <w:t xml:space="preserve"> </w:t>
      </w:r>
    </w:p>
    <w:p w14:paraId="7902B0D8" w14:textId="77777777" w:rsidR="00937816" w:rsidRPr="00805C4C" w:rsidRDefault="00937816" w:rsidP="00937816">
      <w:pPr>
        <w:pStyle w:val="Heading2"/>
        <w:rPr>
          <w:lang w:val="fr-CA"/>
        </w:rPr>
      </w:pPr>
      <w:r w:rsidRPr="00805C4C">
        <w:rPr>
          <w:lang w:val="fr-CA"/>
        </w:rPr>
        <w:t>Que le PNUD terminera le volet financier du PGEH pour le Mexique avant la 88</w:t>
      </w:r>
      <w:r w:rsidRPr="00805C4C">
        <w:rPr>
          <w:vertAlign w:val="superscript"/>
          <w:lang w:val="fr-CA"/>
        </w:rPr>
        <w:t>e</w:t>
      </w:r>
      <w:r w:rsidRPr="00805C4C">
        <w:rPr>
          <w:lang w:val="fr-CA"/>
        </w:rPr>
        <w:t xml:space="preserve"> réunion et restituera la somme approuvée de 683 300 $US pour l’entreprise </w:t>
      </w:r>
      <w:proofErr w:type="spellStart"/>
      <w:r w:rsidRPr="00805C4C">
        <w:rPr>
          <w:lang w:val="fr-CA"/>
        </w:rPr>
        <w:t>Plasticos</w:t>
      </w:r>
      <w:proofErr w:type="spellEnd"/>
      <w:r w:rsidRPr="00805C4C">
        <w:rPr>
          <w:lang w:val="fr-CA"/>
        </w:rPr>
        <w:t xml:space="preserve"> </w:t>
      </w:r>
      <w:proofErr w:type="spellStart"/>
      <w:r w:rsidRPr="00805C4C">
        <w:rPr>
          <w:lang w:val="fr-CA"/>
        </w:rPr>
        <w:t>Espumados</w:t>
      </w:r>
      <w:proofErr w:type="spellEnd"/>
      <w:r w:rsidRPr="00805C4C">
        <w:rPr>
          <w:lang w:val="fr-CA"/>
        </w:rPr>
        <w:t xml:space="preserve">, </w:t>
      </w:r>
      <w:r w:rsidRPr="00805C4C">
        <w:rPr>
          <w:lang w:val="fr-CA"/>
        </w:rPr>
        <w:lastRenderedPageBreak/>
        <w:t>qui n’a pas participé à la phase I du PGEH, ainsi que le solde estimatif de 300 000 $US et tout solde restant de la phase I du PGEH au Fonds multilatéral</w:t>
      </w:r>
      <w:r>
        <w:rPr>
          <w:lang w:val="fr-CA"/>
        </w:rPr>
        <w:t>,</w:t>
      </w:r>
      <w:r w:rsidRPr="00805C4C">
        <w:rPr>
          <w:lang w:val="fr-CA"/>
        </w:rPr>
        <w:t xml:space="preserve"> à la 88</w:t>
      </w:r>
      <w:r w:rsidRPr="00805C4C">
        <w:rPr>
          <w:vertAlign w:val="superscript"/>
          <w:lang w:val="fr-CA"/>
        </w:rPr>
        <w:t>e</w:t>
      </w:r>
      <w:r w:rsidRPr="00805C4C">
        <w:rPr>
          <w:lang w:val="fr-CA"/>
        </w:rPr>
        <w:t> réunion.</w:t>
      </w:r>
    </w:p>
    <w:p w14:paraId="77474DD8" w14:textId="77777777" w:rsidR="00937816" w:rsidRPr="00805C4C" w:rsidRDefault="00937816" w:rsidP="00937816">
      <w:pPr>
        <w:keepNext/>
        <w:spacing w:after="240"/>
        <w:rPr>
          <w:lang w:val="fr-CA"/>
        </w:rPr>
      </w:pPr>
      <w:r w:rsidRPr="0074773B">
        <w:rPr>
          <w:u w:val="single"/>
          <w:lang w:val="fr-CA"/>
        </w:rPr>
        <w:t>Maroc : Plan de gestion de l'élimination des HCFC (phase I : rapport périodique final)</w:t>
      </w:r>
      <w:r w:rsidRPr="0074773B">
        <w:rPr>
          <w:lang w:val="fr-CA"/>
        </w:rPr>
        <w:t xml:space="preserve"> (ONUDI)</w:t>
      </w:r>
    </w:p>
    <w:p w14:paraId="05824F95" w14:textId="77777777" w:rsidR="00937816" w:rsidRPr="00805C4C" w:rsidRDefault="00937816" w:rsidP="00937816">
      <w:pPr>
        <w:keepNext/>
        <w:spacing w:after="240"/>
        <w:rPr>
          <w:b/>
          <w:lang w:val="fr-CA"/>
        </w:rPr>
      </w:pPr>
      <w:r w:rsidRPr="00805C4C">
        <w:rPr>
          <w:b/>
          <w:lang w:val="fr-CA"/>
        </w:rPr>
        <w:t>Contexte</w:t>
      </w:r>
    </w:p>
    <w:p w14:paraId="7333C132" w14:textId="77777777" w:rsidR="00937816" w:rsidRPr="00C027B3" w:rsidRDefault="00937816" w:rsidP="00937816">
      <w:pPr>
        <w:pStyle w:val="Heading1"/>
        <w:rPr>
          <w:lang w:val="fr-CA"/>
        </w:rPr>
      </w:pPr>
      <w:r w:rsidRPr="00805C4C">
        <w:rPr>
          <w:lang w:val="fr-CA"/>
        </w:rPr>
        <w:t>L’ONUDI, en qualité d’agence d’exécution principale, a soumis le rapport périodique final sur la mise en œuvre de la phase I du PGEH au nom du gouvernement du Mexique,</w:t>
      </w:r>
      <w:r w:rsidRPr="00805C4C">
        <w:rPr>
          <w:rStyle w:val="FootnoteReference"/>
          <w:lang w:val="fr-CA"/>
        </w:rPr>
        <w:footnoteReference w:id="32"/>
      </w:r>
      <w:r w:rsidRPr="00805C4C">
        <w:rPr>
          <w:lang w:val="fr-CA"/>
        </w:rPr>
        <w:t xml:space="preserve"> </w:t>
      </w:r>
      <w:r>
        <w:rPr>
          <w:lang w:val="fr-CA"/>
        </w:rPr>
        <w:t>conformément à la décision </w:t>
      </w:r>
      <w:r w:rsidRPr="00805C4C">
        <w:rPr>
          <w:lang w:val="fr-CA"/>
        </w:rPr>
        <w:t>83/57d).</w:t>
      </w:r>
      <w:r w:rsidRPr="00805C4C">
        <w:rPr>
          <w:rStyle w:val="FootnoteReference"/>
          <w:lang w:val="fr-CA"/>
        </w:rPr>
        <w:footnoteReference w:id="33"/>
      </w:r>
    </w:p>
    <w:p w14:paraId="2387929A" w14:textId="77777777" w:rsidR="00937816" w:rsidRPr="00805C4C" w:rsidRDefault="00937816" w:rsidP="0074773B">
      <w:pPr>
        <w:keepNext/>
        <w:keepLines/>
        <w:spacing w:after="240"/>
        <w:rPr>
          <w:i/>
          <w:lang w:val="fr-CA"/>
        </w:rPr>
      </w:pPr>
      <w:r w:rsidRPr="00805C4C">
        <w:rPr>
          <w:i/>
          <w:lang w:val="fr-CA"/>
        </w:rPr>
        <w:t>Consommation de HCFC</w:t>
      </w:r>
    </w:p>
    <w:p w14:paraId="230FE61A" w14:textId="77777777" w:rsidR="00937816" w:rsidRPr="00805C4C" w:rsidRDefault="00937816" w:rsidP="00937816">
      <w:pPr>
        <w:pStyle w:val="Heading1"/>
        <w:rPr>
          <w:lang w:val="fr-CA"/>
        </w:rPr>
      </w:pPr>
      <w:r w:rsidRPr="00805C4C">
        <w:rPr>
          <w:lang w:val="fr-CA"/>
        </w:rPr>
        <w:t>Le gouvernement du Maroc a</w:t>
      </w:r>
      <w:r>
        <w:rPr>
          <w:lang w:val="fr-CA"/>
        </w:rPr>
        <w:t xml:space="preserve"> déclaré une consommation de 25,</w:t>
      </w:r>
      <w:r w:rsidRPr="00805C4C">
        <w:rPr>
          <w:lang w:val="fr-CA"/>
        </w:rPr>
        <w:t xml:space="preserve">23 tonnes PAO de HCFC en vertu de l’article 7 </w:t>
      </w:r>
      <w:r>
        <w:rPr>
          <w:lang w:val="fr-CA"/>
        </w:rPr>
        <w:t xml:space="preserve">du Protocole de Montréal </w:t>
      </w:r>
      <w:r w:rsidRPr="00805C4C">
        <w:rPr>
          <w:lang w:val="fr-CA"/>
        </w:rPr>
        <w:t xml:space="preserve">pour l’année 2020, ce qui représente 24 pour cent de moins que l’objectif de réglementation du Protocole de Montréal de 33,38 tonnes PAO pour l’année en question et 51 pour cent de moins que la valeur de référence établie de 51,35 tonnes PAO. </w:t>
      </w:r>
    </w:p>
    <w:p w14:paraId="33FB4A37" w14:textId="38BAC6E8" w:rsidR="00937816" w:rsidRPr="00805C4C" w:rsidRDefault="00937816" w:rsidP="00937816">
      <w:pPr>
        <w:numPr>
          <w:ilvl w:val="0"/>
          <w:numId w:val="1"/>
        </w:numPr>
        <w:spacing w:after="240"/>
        <w:outlineLvl w:val="0"/>
        <w:rPr>
          <w:lang w:val="fr-CA"/>
        </w:rPr>
      </w:pPr>
      <w:r w:rsidRPr="00805C4C">
        <w:rPr>
          <w:lang w:val="fr-CA"/>
        </w:rPr>
        <w:t xml:space="preserve">Les données sur </w:t>
      </w:r>
      <w:r w:rsidR="0074773B" w:rsidRPr="00805C4C">
        <w:rPr>
          <w:lang w:val="fr-CA"/>
        </w:rPr>
        <w:t>la consommation relative</w:t>
      </w:r>
      <w:r w:rsidRPr="00805C4C">
        <w:rPr>
          <w:lang w:val="fr-CA"/>
        </w:rPr>
        <w:t xml:space="preserve"> au programme de pays pour l’année 2019 communiquées par le gouvernement correspondent aux données déclarées en vertu de l’article 7 du Protocole de Montréal. </w:t>
      </w:r>
    </w:p>
    <w:p w14:paraId="4A5AE07E" w14:textId="77777777" w:rsidR="00937816" w:rsidRPr="00805C4C" w:rsidRDefault="00937816" w:rsidP="00937816">
      <w:pPr>
        <w:keepNext/>
        <w:keepLines/>
        <w:spacing w:after="240"/>
        <w:rPr>
          <w:b/>
          <w:lang w:val="fr-CA"/>
        </w:rPr>
      </w:pPr>
      <w:r w:rsidRPr="00805C4C">
        <w:rPr>
          <w:b/>
          <w:lang w:val="fr-CA"/>
        </w:rPr>
        <w:t xml:space="preserve">Rapport périodique sur la mise en œuvre de la phase I </w:t>
      </w:r>
    </w:p>
    <w:p w14:paraId="1B632AAD" w14:textId="77777777" w:rsidR="00937816" w:rsidRPr="00805C4C" w:rsidRDefault="00937816" w:rsidP="00937816">
      <w:pPr>
        <w:pStyle w:val="Heading1"/>
        <w:rPr>
          <w:lang w:val="fr-CA"/>
        </w:rPr>
      </w:pPr>
      <w:r w:rsidRPr="00805C4C">
        <w:rPr>
          <w:lang w:val="fr-CA"/>
        </w:rPr>
        <w:t xml:space="preserve">Le pays applique le programme de permis et de quotas afin de contrôler l’importation des HCFC. Un programme de permis électronique a été lancé en 2014 et </w:t>
      </w:r>
      <w:r>
        <w:rPr>
          <w:lang w:val="fr-CA"/>
        </w:rPr>
        <w:t>est entré en vigueur</w:t>
      </w:r>
      <w:r w:rsidRPr="00805C4C">
        <w:rPr>
          <w:lang w:val="fr-CA"/>
        </w:rPr>
        <w:t xml:space="preserve"> en 2015, </w:t>
      </w:r>
      <w:r>
        <w:rPr>
          <w:lang w:val="fr-CA"/>
        </w:rPr>
        <w:t xml:space="preserve">et </w:t>
      </w:r>
      <w:r w:rsidRPr="00805C4C">
        <w:rPr>
          <w:lang w:val="fr-CA"/>
        </w:rPr>
        <w:t>le HCFC-141b pur est interdit au Maroc depuis le 1</w:t>
      </w:r>
      <w:r w:rsidRPr="00805C4C">
        <w:rPr>
          <w:vertAlign w:val="superscript"/>
          <w:lang w:val="fr-CA"/>
        </w:rPr>
        <w:t>er</w:t>
      </w:r>
      <w:r w:rsidRPr="00805C4C">
        <w:rPr>
          <w:lang w:val="fr-CA"/>
        </w:rPr>
        <w:t xml:space="preserve"> janvier 2015, </w:t>
      </w:r>
      <w:r>
        <w:rPr>
          <w:lang w:val="fr-CA"/>
        </w:rPr>
        <w:t>depuis</w:t>
      </w:r>
      <w:r w:rsidRPr="00805C4C">
        <w:rPr>
          <w:lang w:val="fr-CA"/>
        </w:rPr>
        <w:t xml:space="preserve"> l’achèvement du projet de reconversion de la mousse à Manar </w:t>
      </w:r>
      <w:proofErr w:type="spellStart"/>
      <w:r w:rsidRPr="00805C4C">
        <w:rPr>
          <w:lang w:val="fr-CA"/>
        </w:rPr>
        <w:t>Company</w:t>
      </w:r>
      <w:proofErr w:type="spellEnd"/>
      <w:r w:rsidRPr="00805C4C">
        <w:rPr>
          <w:lang w:val="fr-CA"/>
        </w:rPr>
        <w:t xml:space="preserve">. Le Maroc se prépare à inclure les HFC dans le programme de permis au titre de l’Amendement de Kigali. </w:t>
      </w:r>
    </w:p>
    <w:p w14:paraId="4668EDB6" w14:textId="77777777" w:rsidR="00937816" w:rsidRPr="00805C4C" w:rsidRDefault="00937816" w:rsidP="00937816">
      <w:pPr>
        <w:pStyle w:val="Heading1"/>
        <w:rPr>
          <w:lang w:val="fr-CA"/>
        </w:rPr>
      </w:pPr>
      <w:r w:rsidRPr="00805C4C">
        <w:rPr>
          <w:lang w:val="fr-CA"/>
        </w:rPr>
        <w:t>La mise en œuvre de la troisième tranche va bon train. Les outils d’entretien de l’équipement de réfrigération et climatisation ont été achetés et livrés au Bureau national de l’ozone. La formation des techniciens en bonnes pratiques d’entretien, nouvelles technologies de remp</w:t>
      </w:r>
      <w:r>
        <w:rPr>
          <w:lang w:val="fr-CA"/>
        </w:rPr>
        <w:t>lacement, questions de sécurité</w:t>
      </w:r>
      <w:r w:rsidRPr="00805C4C">
        <w:rPr>
          <w:lang w:val="fr-CA"/>
        </w:rPr>
        <w:t xml:space="preserve"> et bonne gestion des frigorigènes inflammables pendant l’entretien a été prévue et sera offerte dès que les restrictions sur les rassemblements et les déplacements causés par la pandémie de la COVID-19 seront levées. </w:t>
      </w:r>
    </w:p>
    <w:p w14:paraId="4274482B" w14:textId="77777777" w:rsidR="00937816" w:rsidRPr="00805C4C" w:rsidRDefault="00937816" w:rsidP="00937816">
      <w:pPr>
        <w:pStyle w:val="Heading1"/>
        <w:widowControl w:val="0"/>
        <w:rPr>
          <w:lang w:val="fr-CA"/>
        </w:rPr>
      </w:pPr>
      <w:r w:rsidRPr="00805C4C">
        <w:rPr>
          <w:lang w:val="fr-CA"/>
        </w:rPr>
        <w:t xml:space="preserve">Seize identifiants de frigorigènes </w:t>
      </w:r>
      <w:r>
        <w:rPr>
          <w:lang w:val="fr-CA"/>
        </w:rPr>
        <w:t xml:space="preserve">supplémentaires </w:t>
      </w:r>
      <w:r w:rsidRPr="00805C4C">
        <w:rPr>
          <w:lang w:val="fr-CA"/>
        </w:rPr>
        <w:t xml:space="preserve">ont été achetés et livrés au pays en 2020. Ces identifiants de frigorigènes répondront aux besoins des autorités douanières, aideront l’association de réfrigération à lutter contre les frigorigènes contrefaits et soutiendront l’Institut (Institut spécialisé du génie thermique et du froid) dans sa formation des douaniers. </w:t>
      </w:r>
    </w:p>
    <w:p w14:paraId="0201666D" w14:textId="77777777" w:rsidR="00937816" w:rsidRPr="00805C4C" w:rsidRDefault="00937816" w:rsidP="00937816">
      <w:pPr>
        <w:pStyle w:val="Heading1"/>
        <w:rPr>
          <w:lang w:val="fr-CA"/>
        </w:rPr>
      </w:pPr>
      <w:r w:rsidRPr="00805C4C">
        <w:rPr>
          <w:lang w:val="fr-CA"/>
        </w:rPr>
        <w:t xml:space="preserve">Le matériel de formation sur la qualité des frigorigènes a été mis à jour et traduit en arabe et en français. Des exemplaires du matériel ont été remis à l’Association de réfrigération aux fins d’utilisation pour la formation. </w:t>
      </w:r>
    </w:p>
    <w:p w14:paraId="0AC31E0C" w14:textId="77777777" w:rsidR="00937816" w:rsidRPr="00805C4C" w:rsidRDefault="00937816" w:rsidP="00937816">
      <w:pPr>
        <w:spacing w:after="240"/>
        <w:outlineLvl w:val="0"/>
        <w:rPr>
          <w:lang w:val="fr-CA"/>
        </w:rPr>
      </w:pPr>
      <w:r w:rsidRPr="00805C4C">
        <w:rPr>
          <w:u w:val="single"/>
          <w:lang w:val="fr-CA"/>
        </w:rPr>
        <w:t>Niveau de décaissement</w:t>
      </w:r>
    </w:p>
    <w:p w14:paraId="7A64598C" w14:textId="77777777" w:rsidR="00937816" w:rsidRPr="00805C4C" w:rsidRDefault="00937816" w:rsidP="00937816">
      <w:pPr>
        <w:pStyle w:val="Heading1"/>
        <w:rPr>
          <w:lang w:val="fr-CA"/>
        </w:rPr>
      </w:pPr>
      <w:r w:rsidRPr="00805C4C">
        <w:rPr>
          <w:lang w:val="fr-CA"/>
        </w:rPr>
        <w:lastRenderedPageBreak/>
        <w:t xml:space="preserve">Une part de 316 886 $US (95 pour cent) des 335 000 $US approuvés a été décaissée en date d’avril 2021. Les 18 114 $US restants seront décaissés en 2021.  </w:t>
      </w:r>
    </w:p>
    <w:p w14:paraId="76CC409D" w14:textId="77777777" w:rsidR="00937816" w:rsidRPr="00805C4C" w:rsidRDefault="00937816" w:rsidP="00937816">
      <w:pPr>
        <w:rPr>
          <w:u w:val="single"/>
          <w:lang w:val="fr-CA"/>
        </w:rPr>
      </w:pPr>
      <w:r w:rsidRPr="00805C4C">
        <w:rPr>
          <w:u w:val="single"/>
          <w:lang w:val="fr-CA"/>
        </w:rPr>
        <w:t>Achèvement de la phase I</w:t>
      </w:r>
    </w:p>
    <w:p w14:paraId="14D7C631" w14:textId="77777777" w:rsidR="00937816" w:rsidRPr="00805C4C" w:rsidRDefault="00937816" w:rsidP="00937816">
      <w:pPr>
        <w:rPr>
          <w:lang w:val="fr-CA"/>
        </w:rPr>
      </w:pPr>
    </w:p>
    <w:p w14:paraId="34DB02B8" w14:textId="0B7E36E7" w:rsidR="00937816" w:rsidRPr="00805C4C" w:rsidRDefault="00937816" w:rsidP="00937816">
      <w:pPr>
        <w:pStyle w:val="Heading1"/>
        <w:rPr>
          <w:lang w:val="fr-CA"/>
        </w:rPr>
      </w:pPr>
      <w:r w:rsidRPr="00805C4C">
        <w:rPr>
          <w:lang w:val="fr-CA"/>
        </w:rPr>
        <w:t>L’ONUDI a indiqué que la phase I du PGEH pour le Maroc sera achevée d’ici la fin de 2021, conformément au paragraphe 14 de l’</w:t>
      </w:r>
      <w:r w:rsidR="005B7EC6">
        <w:rPr>
          <w:lang w:val="fr-CA"/>
        </w:rPr>
        <w:t>Accord</w:t>
      </w:r>
      <w:r w:rsidRPr="00805C4C">
        <w:rPr>
          <w:lang w:val="fr-CA"/>
        </w:rPr>
        <w:t xml:space="preserve">. </w:t>
      </w:r>
    </w:p>
    <w:p w14:paraId="51041A2B" w14:textId="77777777" w:rsidR="00937816" w:rsidRPr="00805C4C" w:rsidRDefault="00937816" w:rsidP="00937816">
      <w:pPr>
        <w:keepNext/>
        <w:spacing w:after="240"/>
        <w:rPr>
          <w:b/>
          <w:lang w:val="fr-CA"/>
        </w:rPr>
      </w:pPr>
      <w:r w:rsidRPr="00805C4C">
        <w:rPr>
          <w:b/>
          <w:lang w:val="fr-CA"/>
        </w:rPr>
        <w:t>Observations du Secrétariat</w:t>
      </w:r>
    </w:p>
    <w:p w14:paraId="256CCED8" w14:textId="77777777" w:rsidR="00937816" w:rsidRPr="00805C4C" w:rsidRDefault="00937816" w:rsidP="00937816">
      <w:pPr>
        <w:keepNext/>
        <w:numPr>
          <w:ilvl w:val="0"/>
          <w:numId w:val="1"/>
        </w:numPr>
        <w:spacing w:after="240"/>
        <w:outlineLvl w:val="0"/>
        <w:rPr>
          <w:lang w:val="fr-CA"/>
        </w:rPr>
      </w:pPr>
      <w:r w:rsidRPr="00805C4C">
        <w:rPr>
          <w:lang w:val="fr-CA"/>
        </w:rPr>
        <w:t xml:space="preserve">Le Secrétariat a pris note avec inquiétude que la vérification de la consommation de 2020 n’a pas été soumise. L’ONUDI a expliqué </w:t>
      </w:r>
      <w:r>
        <w:rPr>
          <w:lang w:val="fr-CA"/>
        </w:rPr>
        <w:t>qu’un</w:t>
      </w:r>
      <w:r w:rsidRPr="00805C4C">
        <w:rPr>
          <w:lang w:val="fr-CA"/>
        </w:rPr>
        <w:t xml:space="preserve"> consultant national </w:t>
      </w:r>
      <w:r>
        <w:rPr>
          <w:lang w:val="fr-CA"/>
        </w:rPr>
        <w:t xml:space="preserve">devait être recruté </w:t>
      </w:r>
      <w:r w:rsidRPr="00805C4C">
        <w:rPr>
          <w:lang w:val="fr-CA"/>
        </w:rPr>
        <w:t>pour effectuer la vérification</w:t>
      </w:r>
      <w:r>
        <w:rPr>
          <w:lang w:val="fr-CA"/>
        </w:rPr>
        <w:t xml:space="preserve">, mais que cela n’a pas été fait </w:t>
      </w:r>
      <w:r w:rsidRPr="00805C4C">
        <w:rPr>
          <w:lang w:val="fr-CA"/>
        </w:rPr>
        <w:t>au cours du premier trimestre de 2021 à cause de la pénurie de consultants locaux. Le rapport de vérification sera remis à la 88</w:t>
      </w:r>
      <w:r w:rsidRPr="00805C4C">
        <w:rPr>
          <w:vertAlign w:val="superscript"/>
          <w:lang w:val="fr-CA"/>
        </w:rPr>
        <w:t>e</w:t>
      </w:r>
      <w:r w:rsidRPr="00805C4C">
        <w:rPr>
          <w:lang w:val="fr-CA"/>
        </w:rPr>
        <w:t xml:space="preserve"> réunion avec la demande de la phase II du PGEH. Le Secrétariat estime qu’il est important </w:t>
      </w:r>
      <w:r>
        <w:rPr>
          <w:lang w:val="fr-CA"/>
        </w:rPr>
        <w:t>que</w:t>
      </w:r>
      <w:r w:rsidRPr="00805C4C">
        <w:rPr>
          <w:lang w:val="fr-CA"/>
        </w:rPr>
        <w:t xml:space="preserve"> les donnée</w:t>
      </w:r>
      <w:r>
        <w:rPr>
          <w:lang w:val="fr-CA"/>
        </w:rPr>
        <w:t>s</w:t>
      </w:r>
      <w:r w:rsidRPr="00805C4C">
        <w:rPr>
          <w:lang w:val="fr-CA"/>
        </w:rPr>
        <w:t xml:space="preserve"> sur la consommation de 2020 </w:t>
      </w:r>
      <w:r>
        <w:rPr>
          <w:lang w:val="fr-CA"/>
        </w:rPr>
        <w:t xml:space="preserve">aient déjà été vérifiées </w:t>
      </w:r>
      <w:r w:rsidRPr="00805C4C">
        <w:rPr>
          <w:lang w:val="fr-CA"/>
        </w:rPr>
        <w:t>lors de l’examen de la phase II du PGEH. Par conséquent, la phase II du PGEH ne ser</w:t>
      </w:r>
      <w:r>
        <w:rPr>
          <w:lang w:val="fr-CA"/>
        </w:rPr>
        <w:t>a pas examinée si</w:t>
      </w:r>
      <w:r w:rsidRPr="00805C4C">
        <w:rPr>
          <w:lang w:val="fr-CA"/>
        </w:rPr>
        <w:t xml:space="preserve"> le rapport de vérification n’est pas remis à la 88</w:t>
      </w:r>
      <w:r w:rsidRPr="00805C4C">
        <w:rPr>
          <w:vertAlign w:val="superscript"/>
          <w:lang w:val="fr-CA"/>
        </w:rPr>
        <w:t>e</w:t>
      </w:r>
      <w:r w:rsidRPr="00805C4C">
        <w:rPr>
          <w:lang w:val="fr-CA"/>
        </w:rPr>
        <w:t xml:space="preserve"> réunion</w:t>
      </w:r>
      <w:r w:rsidRPr="00805C4C">
        <w:rPr>
          <w:bCs/>
          <w:lang w:val="fr-CA"/>
        </w:rPr>
        <w:t>.</w:t>
      </w:r>
    </w:p>
    <w:p w14:paraId="5A480B89" w14:textId="1FD9EB58" w:rsidR="00937816" w:rsidRPr="00805C4C" w:rsidRDefault="00937816" w:rsidP="00937816">
      <w:pPr>
        <w:pStyle w:val="Heading1"/>
        <w:rPr>
          <w:lang w:val="fr-CA"/>
        </w:rPr>
      </w:pPr>
      <w:r w:rsidRPr="00805C4C">
        <w:rPr>
          <w:lang w:val="fr-CA"/>
        </w:rPr>
        <w:t>Au cours de l’examen de la phase I, le Secrétariat a relevé une erreur involontaire dans l’</w:t>
      </w:r>
      <w:r w:rsidR="005B7EC6">
        <w:rPr>
          <w:lang w:val="fr-CA"/>
        </w:rPr>
        <w:t>Accord</w:t>
      </w:r>
      <w:r w:rsidRPr="00805C4C">
        <w:rPr>
          <w:lang w:val="fr-CA"/>
        </w:rPr>
        <w:t xml:space="preserve"> révisé entre le gouvernement du Maroc et le Comité exécutif. Les cibles pour l’année 2020 dans l’Appendice 2-A de l’</w:t>
      </w:r>
      <w:r w:rsidR="005B7EC6">
        <w:rPr>
          <w:lang w:val="fr-CA"/>
        </w:rPr>
        <w:t>Accord</w:t>
      </w:r>
      <w:r w:rsidRPr="00805C4C">
        <w:rPr>
          <w:lang w:val="fr-CA"/>
        </w:rPr>
        <w:t xml:space="preserve"> sont plus élevées que celles du calendrier d’élimination du Protocole de Montréal. La question a été abordée avec le gouvernement par l’intermédiaire de l’ONUDI et il a été convenu de corriger l’Appendice 2-A de l’</w:t>
      </w:r>
      <w:r w:rsidR="005B7EC6">
        <w:rPr>
          <w:lang w:val="fr-CA"/>
        </w:rPr>
        <w:t>Accord</w:t>
      </w:r>
      <w:r w:rsidRPr="00805C4C">
        <w:rPr>
          <w:lang w:val="fr-CA"/>
        </w:rPr>
        <w:t xml:space="preserve"> actualisé joint à l’annexe X au document  UNEP/OzL.Pro/ExCom/83/48,</w:t>
      </w:r>
      <w:r w:rsidRPr="00805C4C">
        <w:rPr>
          <w:rStyle w:val="FootnoteReference"/>
          <w:lang w:val="fr-CA"/>
        </w:rPr>
        <w:footnoteReference w:id="34"/>
      </w:r>
      <w:r w:rsidRPr="00805C4C">
        <w:rPr>
          <w:lang w:val="fr-CA"/>
        </w:rPr>
        <w:t xml:space="preserve"> comme suit</w:t>
      </w:r>
      <w:r w:rsidRPr="00805C4C">
        <w:rPr>
          <w:rStyle w:val="FootnoteReference"/>
          <w:lang w:val="fr-CA"/>
        </w:rPr>
        <w:footnoteReference w:id="35"/>
      </w:r>
      <w:r w:rsidRPr="00805C4C">
        <w:rPr>
          <w:lang w:val="fr-CA"/>
        </w:rPr>
        <w:t>:</w:t>
      </w:r>
    </w:p>
    <w:p w14:paraId="18EF6329" w14:textId="3A5C436B" w:rsidR="00937816" w:rsidRPr="00805C4C" w:rsidRDefault="00937816" w:rsidP="00937816">
      <w:pPr>
        <w:pStyle w:val="Heading2"/>
        <w:rPr>
          <w:lang w:val="fr-CA"/>
        </w:rPr>
      </w:pPr>
      <w:r w:rsidRPr="00805C4C">
        <w:rPr>
          <w:lang w:val="fr-CA"/>
        </w:rPr>
        <w:t xml:space="preserve">Remplacer respectivement les chiffres 43,33 tonnes PAO et 41,08 tonnes PAO </w:t>
      </w:r>
      <w:r>
        <w:rPr>
          <w:lang w:val="fr-CA"/>
        </w:rPr>
        <w:t>sur</w:t>
      </w:r>
      <w:r w:rsidRPr="00805C4C">
        <w:rPr>
          <w:lang w:val="fr-CA"/>
        </w:rPr>
        <w:t xml:space="preserve"> la ligne 1.1 et 1.2 par 33,38 tonnes PAO pour l’année 2020</w:t>
      </w:r>
      <w:r w:rsidR="0074773B">
        <w:rPr>
          <w:lang w:val="fr-CA"/>
        </w:rPr>
        <w:t xml:space="preserve"> </w:t>
      </w:r>
      <w:r w:rsidRPr="00805C4C">
        <w:rPr>
          <w:lang w:val="fr-CA"/>
        </w:rPr>
        <w:t xml:space="preserve">; </w:t>
      </w:r>
    </w:p>
    <w:p w14:paraId="32BBCDF3" w14:textId="4FFB9401" w:rsidR="00937816" w:rsidRPr="00805C4C" w:rsidRDefault="00937816" w:rsidP="00937816">
      <w:pPr>
        <w:pStyle w:val="Heading2"/>
        <w:rPr>
          <w:lang w:val="fr-CA"/>
        </w:rPr>
      </w:pPr>
      <w:r w:rsidRPr="00805C4C">
        <w:rPr>
          <w:lang w:val="fr-CA"/>
        </w:rPr>
        <w:t xml:space="preserve">Remplacer le chiffre 2,57 tonnes PAO </w:t>
      </w:r>
      <w:r>
        <w:rPr>
          <w:lang w:val="fr-CA"/>
        </w:rPr>
        <w:t xml:space="preserve">sur la </w:t>
      </w:r>
      <w:r w:rsidRPr="00805C4C">
        <w:rPr>
          <w:lang w:val="fr-CA"/>
        </w:rPr>
        <w:t>ligne 4.1.1 par 12,50 tonnes PAO</w:t>
      </w:r>
      <w:r w:rsidR="0074773B">
        <w:rPr>
          <w:lang w:val="fr-CA"/>
        </w:rPr>
        <w:t xml:space="preserve"> </w:t>
      </w:r>
      <w:r w:rsidRPr="00805C4C">
        <w:rPr>
          <w:lang w:val="fr-CA"/>
        </w:rPr>
        <w:t xml:space="preserve">; </w:t>
      </w:r>
    </w:p>
    <w:p w14:paraId="69D8A3A3" w14:textId="3981ADEB" w:rsidR="00937816" w:rsidRPr="00805C4C" w:rsidRDefault="00937816" w:rsidP="00937816">
      <w:pPr>
        <w:pStyle w:val="Heading2"/>
        <w:rPr>
          <w:lang w:val="fr-CA"/>
        </w:rPr>
      </w:pPr>
      <w:r w:rsidRPr="00805C4C">
        <w:rPr>
          <w:lang w:val="fr-CA"/>
        </w:rPr>
        <w:t xml:space="preserve">Remplacer le chiffre 43,31 tonnes PAO </w:t>
      </w:r>
      <w:r>
        <w:rPr>
          <w:lang w:val="fr-CA"/>
        </w:rPr>
        <w:t>sur</w:t>
      </w:r>
      <w:r w:rsidRPr="00805C4C">
        <w:rPr>
          <w:lang w:val="fr-CA"/>
        </w:rPr>
        <w:t xml:space="preserve"> la ligne 4.1.3 par 33,38 tonnes PAO</w:t>
      </w:r>
      <w:r w:rsidR="0074773B">
        <w:rPr>
          <w:lang w:val="fr-CA"/>
        </w:rPr>
        <w:t xml:space="preserve"> </w:t>
      </w:r>
      <w:r w:rsidRPr="00805C4C">
        <w:rPr>
          <w:lang w:val="fr-CA"/>
        </w:rPr>
        <w:t>;</w:t>
      </w:r>
      <w:r w:rsidR="0074773B">
        <w:rPr>
          <w:lang w:val="fr-CA"/>
        </w:rPr>
        <w:t xml:space="preserve"> et</w:t>
      </w:r>
    </w:p>
    <w:p w14:paraId="370AA58B" w14:textId="77777777" w:rsidR="00937816" w:rsidRPr="00805C4C" w:rsidRDefault="00937816" w:rsidP="00937816">
      <w:pPr>
        <w:pStyle w:val="Heading2"/>
        <w:rPr>
          <w:lang w:val="fr-CA"/>
        </w:rPr>
      </w:pPr>
      <w:r w:rsidRPr="00805C4C">
        <w:rPr>
          <w:lang w:val="fr-CA"/>
        </w:rPr>
        <w:t xml:space="preserve">Remplacer le chiffre 8,10 tonnes PAO </w:t>
      </w:r>
      <w:r>
        <w:rPr>
          <w:lang w:val="fr-CA"/>
        </w:rPr>
        <w:t>sur</w:t>
      </w:r>
      <w:r w:rsidRPr="00805C4C">
        <w:rPr>
          <w:lang w:val="fr-CA"/>
        </w:rPr>
        <w:t xml:space="preserve"> la ligne 4.3.3. </w:t>
      </w:r>
      <w:proofErr w:type="gramStart"/>
      <w:r w:rsidRPr="00805C4C">
        <w:rPr>
          <w:lang w:val="fr-CA"/>
        </w:rPr>
        <w:t>par</w:t>
      </w:r>
      <w:proofErr w:type="gramEnd"/>
      <w:r w:rsidRPr="00805C4C">
        <w:rPr>
          <w:lang w:val="fr-CA"/>
        </w:rPr>
        <w:t xml:space="preserve"> 7,90 tonnes PAO. </w:t>
      </w:r>
    </w:p>
    <w:p w14:paraId="2E7D8C9B" w14:textId="77777777" w:rsidR="00937816" w:rsidRPr="00805C4C" w:rsidRDefault="00937816" w:rsidP="00937816">
      <w:pPr>
        <w:keepNext/>
        <w:keepLines/>
        <w:spacing w:after="240"/>
        <w:outlineLvl w:val="0"/>
        <w:rPr>
          <w:b/>
          <w:lang w:val="fr-CA"/>
        </w:rPr>
      </w:pPr>
      <w:r w:rsidRPr="00805C4C">
        <w:rPr>
          <w:b/>
          <w:lang w:val="fr-CA"/>
        </w:rPr>
        <w:t>Recommandation</w:t>
      </w:r>
    </w:p>
    <w:p w14:paraId="2187D83F" w14:textId="77777777" w:rsidR="00937816" w:rsidRPr="00805C4C" w:rsidRDefault="00937816" w:rsidP="00937816">
      <w:pPr>
        <w:numPr>
          <w:ilvl w:val="0"/>
          <w:numId w:val="1"/>
        </w:numPr>
        <w:spacing w:after="240"/>
        <w:outlineLvl w:val="0"/>
        <w:rPr>
          <w:lang w:val="fr-CA"/>
        </w:rPr>
      </w:pPr>
      <w:r w:rsidRPr="00805C4C">
        <w:rPr>
          <w:lang w:val="fr-CA"/>
        </w:rPr>
        <w:t>Le Comité exécutif pourrait souhaiter prendre note :</w:t>
      </w:r>
    </w:p>
    <w:p w14:paraId="737FBCBB" w14:textId="6844B071" w:rsidR="00937816" w:rsidRPr="00805C4C" w:rsidRDefault="00937816" w:rsidP="00937816">
      <w:pPr>
        <w:widowControl w:val="0"/>
        <w:numPr>
          <w:ilvl w:val="1"/>
          <w:numId w:val="1"/>
        </w:numPr>
        <w:tabs>
          <w:tab w:val="num" w:pos="557"/>
        </w:tabs>
        <w:spacing w:after="240"/>
        <w:outlineLvl w:val="1"/>
        <w:rPr>
          <w:lang w:val="fr-CA"/>
        </w:rPr>
      </w:pPr>
      <w:r w:rsidRPr="00805C4C">
        <w:rPr>
          <w:lang w:val="fr-CA"/>
        </w:rPr>
        <w:t xml:space="preserve">Du rapport périodique final sur la mise en œuvre du programme de </w:t>
      </w:r>
      <w:r>
        <w:rPr>
          <w:lang w:val="fr-CA"/>
        </w:rPr>
        <w:t>travail</w:t>
      </w:r>
      <w:r w:rsidRPr="00805C4C">
        <w:rPr>
          <w:lang w:val="fr-CA"/>
        </w:rPr>
        <w:t xml:space="preserve"> de la troisième et dernière tranche de la phase I du plan de gestion de l'élimination des HCFC (PGEH) pour le Maroc, soumis par l’ONUDI et présenté dans le document UNEP/OzL.Pro/ExCom/87/9</w:t>
      </w:r>
      <w:r w:rsidR="0074773B">
        <w:rPr>
          <w:lang w:val="fr-CA"/>
        </w:rPr>
        <w:t xml:space="preserve"> </w:t>
      </w:r>
      <w:r w:rsidRPr="00805C4C">
        <w:rPr>
          <w:lang w:val="fr-CA"/>
        </w:rPr>
        <w:t>;</w:t>
      </w:r>
      <w:r w:rsidR="0074773B">
        <w:rPr>
          <w:lang w:val="fr-CA"/>
        </w:rPr>
        <w:t xml:space="preserve"> et</w:t>
      </w:r>
      <w:r w:rsidRPr="00805C4C">
        <w:rPr>
          <w:lang w:val="fr-CA"/>
        </w:rPr>
        <w:t xml:space="preserve"> </w:t>
      </w:r>
    </w:p>
    <w:p w14:paraId="06783598" w14:textId="3E85F9B7" w:rsidR="00937816" w:rsidRPr="00805C4C" w:rsidRDefault="00937816" w:rsidP="00937816">
      <w:pPr>
        <w:pStyle w:val="Heading2"/>
        <w:rPr>
          <w:lang w:val="fr-CA"/>
        </w:rPr>
      </w:pPr>
      <w:r w:rsidRPr="00805C4C">
        <w:rPr>
          <w:lang w:val="fr-CA"/>
        </w:rPr>
        <w:t>Que l’ONUDI soumettra le rapport de vérification demandé à la décision 83/57 d) à la 88</w:t>
      </w:r>
      <w:r w:rsidRPr="00805C4C">
        <w:rPr>
          <w:vertAlign w:val="superscript"/>
          <w:lang w:val="fr-CA"/>
        </w:rPr>
        <w:t>e</w:t>
      </w:r>
      <w:r w:rsidRPr="00805C4C">
        <w:rPr>
          <w:lang w:val="fr-CA"/>
        </w:rPr>
        <w:t> réunion</w:t>
      </w:r>
      <w:r w:rsidR="0074773B">
        <w:rPr>
          <w:lang w:val="fr-CA"/>
        </w:rPr>
        <w:t xml:space="preserve"> </w:t>
      </w:r>
      <w:r w:rsidRPr="00805C4C">
        <w:rPr>
          <w:lang w:val="fr-CA"/>
        </w:rPr>
        <w:t>; en l’absence de ce rapport, le Comité exécutif n’examinera pas la phase II du PGEH.</w:t>
      </w:r>
    </w:p>
    <w:p w14:paraId="4CACABCF" w14:textId="77777777" w:rsidR="00937816" w:rsidRPr="00805C4C" w:rsidRDefault="00937816" w:rsidP="00937816">
      <w:pPr>
        <w:keepNext/>
        <w:spacing w:after="240"/>
        <w:rPr>
          <w:lang w:val="fr-CA"/>
        </w:rPr>
      </w:pPr>
      <w:r w:rsidRPr="0074773B">
        <w:rPr>
          <w:u w:val="single"/>
          <w:lang w:val="fr-CA"/>
        </w:rPr>
        <w:lastRenderedPageBreak/>
        <w:t>Népal : Plan de gestion de l'élimination des HCFC (phase I : demande de prorogation)</w:t>
      </w:r>
      <w:r w:rsidRPr="0074773B">
        <w:rPr>
          <w:lang w:val="fr-CA"/>
        </w:rPr>
        <w:t xml:space="preserve"> (PNUE et PNUD)</w:t>
      </w:r>
    </w:p>
    <w:p w14:paraId="174808C1" w14:textId="77777777" w:rsidR="00937816" w:rsidRPr="00805C4C" w:rsidRDefault="00937816" w:rsidP="00937816">
      <w:pPr>
        <w:keepNext/>
        <w:spacing w:after="240"/>
        <w:rPr>
          <w:b/>
          <w:lang w:val="fr-CA"/>
        </w:rPr>
      </w:pPr>
      <w:r w:rsidRPr="00805C4C">
        <w:rPr>
          <w:b/>
          <w:lang w:val="fr-CA"/>
        </w:rPr>
        <w:t>Contexte</w:t>
      </w:r>
    </w:p>
    <w:p w14:paraId="4184A4D0" w14:textId="77777777" w:rsidR="00937816" w:rsidRPr="00805C4C" w:rsidRDefault="00937816" w:rsidP="00937816">
      <w:pPr>
        <w:numPr>
          <w:ilvl w:val="0"/>
          <w:numId w:val="1"/>
        </w:numPr>
        <w:spacing w:after="240"/>
        <w:outlineLvl w:val="0"/>
        <w:rPr>
          <w:lang w:val="fr-CA"/>
        </w:rPr>
      </w:pPr>
      <w:r w:rsidRPr="00805C4C">
        <w:rPr>
          <w:lang w:val="fr-CA"/>
        </w:rPr>
        <w:t xml:space="preserve">Le PNUE, en qualité d’agence d’exécution principale, a présenté une demande de prorogation de la phase I du PGEH </w:t>
      </w:r>
      <w:r>
        <w:rPr>
          <w:lang w:val="fr-CA"/>
        </w:rPr>
        <w:t>au nom du gouvernement du Népal</w:t>
      </w:r>
      <w:r w:rsidRPr="00805C4C">
        <w:rPr>
          <w:lang w:val="fr-CA"/>
        </w:rPr>
        <w:t>.</w:t>
      </w:r>
    </w:p>
    <w:p w14:paraId="18B38B18" w14:textId="0659AF5F" w:rsidR="00937816" w:rsidRPr="00805C4C" w:rsidRDefault="00937816" w:rsidP="00937816">
      <w:pPr>
        <w:pStyle w:val="Heading1"/>
        <w:autoSpaceDE w:val="0"/>
        <w:autoSpaceDN w:val="0"/>
        <w:adjustRightInd w:val="0"/>
        <w:rPr>
          <w:lang w:val="fr-CA"/>
        </w:rPr>
      </w:pPr>
      <w:r w:rsidRPr="00805C4C">
        <w:rPr>
          <w:lang w:val="fr-CA"/>
        </w:rPr>
        <w:t>La phase I du  PGEH a été approuvée à la 62</w:t>
      </w:r>
      <w:r w:rsidRPr="00805C4C">
        <w:rPr>
          <w:vertAlign w:val="superscript"/>
          <w:lang w:val="fr-CA"/>
        </w:rPr>
        <w:t>e</w:t>
      </w:r>
      <w:r w:rsidRPr="00805C4C">
        <w:rPr>
          <w:lang w:val="fr-CA"/>
        </w:rPr>
        <w:t xml:space="preserve"> réunion,</w:t>
      </w:r>
      <w:r w:rsidRPr="00805C4C">
        <w:rPr>
          <w:rStyle w:val="FootnoteReference"/>
          <w:lang w:val="fr-CA"/>
        </w:rPr>
        <w:footnoteReference w:id="36"/>
      </w:r>
      <w:r w:rsidRPr="00805C4C">
        <w:rPr>
          <w:lang w:val="fr-CA"/>
        </w:rPr>
        <w:t xml:space="preserve"> afin de respecter l’objectif de réduction de 35 pour cent de la valeur de référence avant 2020</w:t>
      </w:r>
      <w:r>
        <w:rPr>
          <w:lang w:val="fr-CA"/>
        </w:rPr>
        <w:t>,</w:t>
      </w:r>
      <w:r w:rsidRPr="00805C4C">
        <w:rPr>
          <w:lang w:val="fr-CA"/>
        </w:rPr>
        <w:t xml:space="preserve"> pour la somme totale de 210 000 $US plus les coûts d’appui à l’agence</w:t>
      </w:r>
      <w:r>
        <w:rPr>
          <w:lang w:val="fr-CA"/>
        </w:rPr>
        <w:t>,</w:t>
      </w:r>
      <w:r w:rsidRPr="00805C4C">
        <w:rPr>
          <w:lang w:val="fr-CA"/>
        </w:rPr>
        <w:t xml:space="preserve"> et d’éliminer 0,64 tonne PAO de HCFC utilisé dans le secteur de l’entretien de l’équipement de réfrigération et climatisation. Les trois tranches de la phase I ont été approuvées, la dernière ayant été approuvée dans le cadre du processus d’approbation intersessions pour la 86</w:t>
      </w:r>
      <w:r w:rsidRPr="00805C4C">
        <w:rPr>
          <w:vertAlign w:val="superscript"/>
          <w:lang w:val="fr-CA"/>
        </w:rPr>
        <w:t>e</w:t>
      </w:r>
      <w:r w:rsidRPr="00805C4C">
        <w:rPr>
          <w:lang w:val="fr-CA"/>
        </w:rPr>
        <w:t xml:space="preserve"> réunion,</w:t>
      </w:r>
      <w:r w:rsidRPr="00805C4C">
        <w:rPr>
          <w:rStyle w:val="FootnoteReference"/>
          <w:lang w:val="fr-CA"/>
        </w:rPr>
        <w:footnoteReference w:id="37"/>
      </w:r>
      <w:r w:rsidRPr="00805C4C">
        <w:rPr>
          <w:lang w:val="fr-CA"/>
        </w:rPr>
        <w:t xml:space="preserve"> en octobre 2020. Le projet devrait être achevé d’ici au 31 décembre 2021, conformément au paragraphe 14 de l’</w:t>
      </w:r>
      <w:r w:rsidR="005B7EC6">
        <w:rPr>
          <w:lang w:val="fr-CA"/>
        </w:rPr>
        <w:t>Accord</w:t>
      </w:r>
      <w:r w:rsidRPr="00805C4C">
        <w:rPr>
          <w:lang w:val="fr-CA"/>
        </w:rPr>
        <w:t xml:space="preserve"> entre le gouvernement du Népal et le Comité exécutif.</w:t>
      </w:r>
    </w:p>
    <w:p w14:paraId="3AEBCECB" w14:textId="77777777" w:rsidR="00937816" w:rsidRPr="00805C4C" w:rsidRDefault="00937816" w:rsidP="00937816">
      <w:pPr>
        <w:pStyle w:val="Heading1"/>
        <w:rPr>
          <w:lang w:val="fr-CA"/>
        </w:rPr>
      </w:pPr>
      <w:r w:rsidRPr="00805C4C">
        <w:rPr>
          <w:lang w:val="fr-CA"/>
        </w:rPr>
        <w:t xml:space="preserve">La mise en œuvre de la phase I va bon train. La première tranche est terminée et la plupart des activités proposées pour la deuxième tranche ont été mises en œuvre. </w:t>
      </w:r>
      <w:r>
        <w:rPr>
          <w:lang w:val="fr-CA"/>
        </w:rPr>
        <w:t>La</w:t>
      </w:r>
      <w:r w:rsidRPr="00805C4C">
        <w:rPr>
          <w:lang w:val="fr-CA"/>
        </w:rPr>
        <w:t xml:space="preserve"> mise en œuvre de certaines activités a </w:t>
      </w:r>
      <w:r>
        <w:rPr>
          <w:lang w:val="fr-CA"/>
        </w:rPr>
        <w:t xml:space="preserve">toutefois </w:t>
      </w:r>
      <w:r w:rsidRPr="00805C4C">
        <w:rPr>
          <w:lang w:val="fr-CA"/>
        </w:rPr>
        <w:t xml:space="preserve">été retardée à cause de l’impact de la pandémie de la COVID-19, notamment les ateliers de formation des douaniers, des agents d’application et des techniciens en entretien d’équipement de réfrigération et climatisation, le programme d’encouragement, les ateliers de promotion de la récupération et réutilisation des frigorigènes, et l’achat des identifiants de frigorigènes. Compte tenu de l’incertitude qui entoure le rétablissement de la COVID-19, le gouvernement demande la </w:t>
      </w:r>
      <w:r>
        <w:rPr>
          <w:lang w:val="fr-CA"/>
        </w:rPr>
        <w:t>prorogation de la phase I au 31 </w:t>
      </w:r>
      <w:r w:rsidRPr="00805C4C">
        <w:rPr>
          <w:lang w:val="fr-CA"/>
        </w:rPr>
        <w:t>décembre 2022.</w:t>
      </w:r>
    </w:p>
    <w:p w14:paraId="036908A2" w14:textId="77777777" w:rsidR="00937816" w:rsidRPr="00805C4C" w:rsidRDefault="00937816" w:rsidP="00937816">
      <w:pPr>
        <w:spacing w:after="240"/>
        <w:rPr>
          <w:i/>
          <w:lang w:val="fr-CA"/>
        </w:rPr>
      </w:pPr>
      <w:r w:rsidRPr="00805C4C">
        <w:rPr>
          <w:i/>
          <w:lang w:val="fr-CA"/>
        </w:rPr>
        <w:t>Consommation de HCFC</w:t>
      </w:r>
    </w:p>
    <w:p w14:paraId="6F7CDBE2" w14:textId="38A2839B" w:rsidR="00937816" w:rsidRPr="00805C4C" w:rsidRDefault="00937816" w:rsidP="00937816">
      <w:pPr>
        <w:pStyle w:val="Heading1"/>
        <w:rPr>
          <w:lang w:val="fr-CA"/>
        </w:rPr>
      </w:pPr>
      <w:r w:rsidRPr="00805C4C">
        <w:rPr>
          <w:lang w:val="fr-CA"/>
        </w:rPr>
        <w:t>Le rapport de mise en œuvre du programme de pays soumis par le gouvernement du Népal fait état d’une consommation de 0,41 tonne PAO de HCFC en 2020, ce qui représente 43 pour cent de moins que la valeur de 0,72 tonne PAO au titre de l’</w:t>
      </w:r>
      <w:r w:rsidR="005B7EC6">
        <w:rPr>
          <w:lang w:val="fr-CA"/>
        </w:rPr>
        <w:t>Accord</w:t>
      </w:r>
      <w:r w:rsidRPr="00805C4C">
        <w:rPr>
          <w:lang w:val="fr-CA"/>
        </w:rPr>
        <w:t xml:space="preserve"> avec le Comité exécutif et 63 pour cent de moins que la valeur de référence de 1,1 tonne PAO. </w:t>
      </w:r>
    </w:p>
    <w:p w14:paraId="240C4D50" w14:textId="77777777" w:rsidR="00937816" w:rsidRPr="00805C4C" w:rsidRDefault="00937816" w:rsidP="00937816">
      <w:pPr>
        <w:spacing w:after="240"/>
        <w:rPr>
          <w:b/>
          <w:color w:val="000000" w:themeColor="text1"/>
          <w:lang w:val="fr-CA"/>
        </w:rPr>
      </w:pPr>
      <w:r w:rsidRPr="00805C4C">
        <w:rPr>
          <w:b/>
          <w:lang w:val="fr-CA"/>
        </w:rPr>
        <w:t>Rapport périodique sur la mise en œuvre de la phase</w:t>
      </w:r>
      <w:r w:rsidRPr="00805C4C">
        <w:rPr>
          <w:b/>
          <w:color w:val="000000" w:themeColor="text1"/>
          <w:lang w:val="fr-CA"/>
        </w:rPr>
        <w:t xml:space="preserve"> I </w:t>
      </w:r>
    </w:p>
    <w:p w14:paraId="06FEB23C" w14:textId="77777777" w:rsidR="00937816" w:rsidRPr="00805C4C" w:rsidRDefault="00937816" w:rsidP="00937816">
      <w:pPr>
        <w:pStyle w:val="Heading1"/>
        <w:rPr>
          <w:lang w:val="fr-CA"/>
        </w:rPr>
      </w:pPr>
      <w:r w:rsidRPr="00805C4C">
        <w:rPr>
          <w:color w:val="000000" w:themeColor="text1"/>
          <w:lang w:val="fr-CA"/>
        </w:rPr>
        <w:t xml:space="preserve">Le pays applique son programme de permis et de quotas afin de contrôler l’importation de HCFC, et le permis est </w:t>
      </w:r>
      <w:r>
        <w:rPr>
          <w:color w:val="000000" w:themeColor="text1"/>
          <w:lang w:val="fr-CA"/>
        </w:rPr>
        <w:t>obligatoire pour importer des H</w:t>
      </w:r>
      <w:r w:rsidRPr="00805C4C">
        <w:rPr>
          <w:color w:val="000000" w:themeColor="text1"/>
          <w:lang w:val="fr-CA"/>
        </w:rPr>
        <w:t>FC et des mélanges contenant des HFC. L’importation de SAO autres que les HCFC est interdite depuis 2010 et l’importation d’équipement à base de HCFC est interdite depuis le 1</w:t>
      </w:r>
      <w:r w:rsidRPr="00805C4C">
        <w:rPr>
          <w:color w:val="000000" w:themeColor="text1"/>
          <w:vertAlign w:val="superscript"/>
          <w:lang w:val="fr-CA"/>
        </w:rPr>
        <w:t>er</w:t>
      </w:r>
      <w:r w:rsidRPr="00805C4C">
        <w:rPr>
          <w:color w:val="000000" w:themeColor="text1"/>
          <w:lang w:val="fr-CA"/>
        </w:rPr>
        <w:t xml:space="preserve"> janvier 2017. Au total, 210 douaniers et agents d’application ont été formés en procédures de contrôle des importations de SAO. Le guide des réglementations nationales et du programme de permis d’importation et d’exportation a été amendé en 2015 et le pays a commencé la mise en œuvre de ses codes SH pour identifier les HCFC et les mélanges contenant des HFC en mai 2020. Les deux dialogues frontaliers régionaux ont été organisés avec des pays avoisinants (c.-à-d., Bangladesh, Bhoutan, Chine, Inde et Myanmar). Deux identifiants de frigorigènes ont été fournis, un au</w:t>
      </w:r>
      <w:r>
        <w:rPr>
          <w:color w:val="000000" w:themeColor="text1"/>
          <w:lang w:val="fr-CA"/>
        </w:rPr>
        <w:t>x</w:t>
      </w:r>
      <w:r w:rsidRPr="00805C4C">
        <w:rPr>
          <w:color w:val="000000" w:themeColor="text1"/>
          <w:lang w:val="fr-CA"/>
        </w:rPr>
        <w:t xml:space="preserve"> services douaniers et l’autre au Bureau national de l’ozone. Quatre-vingt-six climatiseurs résidentiels à base de HCFC ont été remplacés par des climatiseurs à base de HFC-32 et de R-290. De l’équipement et des outils ont été distribués </w:t>
      </w:r>
      <w:r>
        <w:rPr>
          <w:color w:val="000000" w:themeColor="text1"/>
          <w:lang w:val="fr-CA"/>
        </w:rPr>
        <w:t>à 30 </w:t>
      </w:r>
      <w:r w:rsidRPr="00805C4C">
        <w:rPr>
          <w:color w:val="000000" w:themeColor="text1"/>
          <w:lang w:val="fr-CA"/>
        </w:rPr>
        <w:t>ateliers et techniciens d’entretien et aux instituts de formation de huit provinces.</w:t>
      </w:r>
    </w:p>
    <w:p w14:paraId="740855CD" w14:textId="2D50B0A5" w:rsidR="00937816" w:rsidRPr="00805C4C" w:rsidRDefault="00937816" w:rsidP="00937816">
      <w:pPr>
        <w:numPr>
          <w:ilvl w:val="0"/>
          <w:numId w:val="1"/>
        </w:numPr>
        <w:spacing w:after="240"/>
        <w:outlineLvl w:val="0"/>
        <w:rPr>
          <w:lang w:val="fr-CA"/>
        </w:rPr>
      </w:pPr>
      <w:r w:rsidRPr="00805C4C">
        <w:rPr>
          <w:lang w:val="fr-CA"/>
        </w:rPr>
        <w:t xml:space="preserve">Un accord de financement à petite échelle a été signé entre le gouvernement et le PNUE depuis l’approbation de la phase I, et une lettre d’accord a été signée entre le gouvernement et le PNUD afin de préciser les responsabilités dans la mise en œuvre des activités et l’établissement de rapports, et le premier </w:t>
      </w:r>
      <w:r w:rsidRPr="00805C4C">
        <w:rPr>
          <w:lang w:val="fr-CA"/>
        </w:rPr>
        <w:lastRenderedPageBreak/>
        <w:t>paiement au titre de chacun des accords est prévu en juin 2021. En outre, les accords sur l’achèvement des activités</w:t>
      </w:r>
      <w:r w:rsidR="0074773B">
        <w:rPr>
          <w:lang w:val="fr-CA"/>
        </w:rPr>
        <w:t xml:space="preserve"> de la deuxième tranche ont été</w:t>
      </w:r>
      <w:r w:rsidRPr="00805C4C">
        <w:rPr>
          <w:lang w:val="fr-CA"/>
        </w:rPr>
        <w:t xml:space="preserve"> prorogés au 31 décembre 2021.</w:t>
      </w:r>
    </w:p>
    <w:p w14:paraId="7ED0878A" w14:textId="77777777" w:rsidR="00937816" w:rsidRPr="00805C4C" w:rsidRDefault="00937816" w:rsidP="00937816">
      <w:pPr>
        <w:keepNext/>
        <w:spacing w:after="240"/>
        <w:outlineLvl w:val="0"/>
        <w:rPr>
          <w:u w:val="single"/>
          <w:lang w:val="fr-CA"/>
        </w:rPr>
      </w:pPr>
      <w:r w:rsidRPr="00805C4C">
        <w:rPr>
          <w:u w:val="single"/>
          <w:lang w:val="fr-CA"/>
        </w:rPr>
        <w:t>Niveau de décaissement</w:t>
      </w:r>
    </w:p>
    <w:p w14:paraId="20ECB2E5" w14:textId="5421DC75" w:rsidR="00937816" w:rsidRPr="00805C4C" w:rsidRDefault="00937816" w:rsidP="00937816">
      <w:pPr>
        <w:keepNext/>
        <w:numPr>
          <w:ilvl w:val="0"/>
          <w:numId w:val="1"/>
        </w:numPr>
        <w:spacing w:after="240"/>
        <w:outlineLvl w:val="0"/>
        <w:rPr>
          <w:lang w:val="fr-CA"/>
        </w:rPr>
      </w:pPr>
      <w:r w:rsidRPr="00805C4C">
        <w:rPr>
          <w:lang w:val="fr-CA"/>
        </w:rPr>
        <w:t xml:space="preserve">Le PNUE a décaissé 103 900 $US des 210 000 $US approuvés en date d’avril 2020 et </w:t>
      </w:r>
      <w:r>
        <w:rPr>
          <w:lang w:val="fr-CA"/>
        </w:rPr>
        <w:t>le PNUD a décaissé 64 516 $US</w:t>
      </w:r>
      <w:r w:rsidR="0074773B">
        <w:rPr>
          <w:lang w:val="fr-CA"/>
        </w:rPr>
        <w:t xml:space="preserve"> </w:t>
      </w:r>
      <w:r>
        <w:rPr>
          <w:lang w:val="fr-CA"/>
        </w:rPr>
        <w:t>;</w:t>
      </w:r>
      <w:r w:rsidRPr="00805C4C">
        <w:rPr>
          <w:lang w:val="fr-CA"/>
        </w:rPr>
        <w:t xml:space="preserve"> de plus, le PNUE a engagé 9 500 $US et le PNUD a engagé 11 084 $US pour achever la mise en œuvre de la deuxième tranche.</w:t>
      </w:r>
    </w:p>
    <w:p w14:paraId="3397B51D" w14:textId="77777777" w:rsidR="00937816" w:rsidRPr="00805C4C" w:rsidRDefault="00937816" w:rsidP="00937816">
      <w:pPr>
        <w:keepNext/>
        <w:spacing w:after="240"/>
        <w:rPr>
          <w:b/>
          <w:lang w:val="fr-CA"/>
        </w:rPr>
      </w:pPr>
      <w:r w:rsidRPr="00805C4C">
        <w:rPr>
          <w:b/>
          <w:lang w:val="fr-CA"/>
        </w:rPr>
        <w:t>Observations du Secrétariat</w:t>
      </w:r>
    </w:p>
    <w:p w14:paraId="5E0BDCAB" w14:textId="77777777" w:rsidR="00937816" w:rsidRPr="00805C4C" w:rsidRDefault="00937816" w:rsidP="00937816">
      <w:pPr>
        <w:numPr>
          <w:ilvl w:val="0"/>
          <w:numId w:val="1"/>
        </w:numPr>
        <w:spacing w:after="240"/>
        <w:outlineLvl w:val="0"/>
        <w:rPr>
          <w:lang w:val="fr-CA"/>
        </w:rPr>
      </w:pPr>
      <w:r w:rsidRPr="00805C4C">
        <w:rPr>
          <w:lang w:val="fr-CA"/>
        </w:rPr>
        <w:t xml:space="preserve">Le Secrétariat a pris note des efforts entrepris par le gouvernement du Népal, le PNUE et le PNUD pour achever les activités prévues aux deuxième et troisième tranches de la phase I avant le 31 décembre 2021. Nonobstant ces efforts, le projet ne sera vraisemblablement pas achevé d’ici la fin de 2021 à cause des retards causés par la pandémie de la COVID-19. Le pays espère que le travail dans les bureaux et les réunions en personne seront autorisés en septembre 2021. Les différents accords entre les agences d’exécution et le gouvernement concernant la mise en œuvre de la deuxième tranche ont été reconduits et des accords pour la troisième tranche ont récemment été signés, pour lesquels les premiers décaissements sont prévus en juin 2021. La prorogation d’un an permettra au gouvernement, au PNUE et au PNUD d’achever les activités restantes de la troisième tranche. </w:t>
      </w:r>
    </w:p>
    <w:p w14:paraId="081D82BC" w14:textId="77777777" w:rsidR="00937816" w:rsidRPr="00805C4C" w:rsidRDefault="00937816" w:rsidP="00937816">
      <w:pPr>
        <w:spacing w:after="240"/>
        <w:rPr>
          <w:b/>
          <w:lang w:val="fr-CA"/>
        </w:rPr>
      </w:pPr>
      <w:r w:rsidRPr="00805C4C">
        <w:rPr>
          <w:b/>
          <w:lang w:val="fr-CA"/>
        </w:rPr>
        <w:t>Recommandation</w:t>
      </w:r>
    </w:p>
    <w:p w14:paraId="6F2D2E60" w14:textId="77777777" w:rsidR="00937816" w:rsidRPr="00805C4C" w:rsidRDefault="00937816" w:rsidP="00937816">
      <w:pPr>
        <w:numPr>
          <w:ilvl w:val="0"/>
          <w:numId w:val="1"/>
        </w:numPr>
        <w:spacing w:after="240"/>
        <w:outlineLvl w:val="0"/>
        <w:rPr>
          <w:lang w:val="fr-CA"/>
        </w:rPr>
      </w:pPr>
      <w:r w:rsidRPr="00805C4C">
        <w:rPr>
          <w:lang w:val="fr-CA"/>
        </w:rPr>
        <w:t>Le Comité exécutif pourrait souhaiter :</w:t>
      </w:r>
    </w:p>
    <w:p w14:paraId="33590F0A" w14:textId="68BF05E3" w:rsidR="00937816" w:rsidRPr="00805C4C" w:rsidRDefault="00937816" w:rsidP="00937816">
      <w:pPr>
        <w:widowControl w:val="0"/>
        <w:numPr>
          <w:ilvl w:val="1"/>
          <w:numId w:val="1"/>
        </w:numPr>
        <w:tabs>
          <w:tab w:val="num" w:pos="720"/>
        </w:tabs>
        <w:spacing w:after="240"/>
        <w:outlineLvl w:val="1"/>
        <w:rPr>
          <w:lang w:val="fr-CA"/>
        </w:rPr>
      </w:pPr>
      <w:r w:rsidRPr="00805C4C">
        <w:rPr>
          <w:lang w:val="fr-CA"/>
        </w:rPr>
        <w:t>Prendre note du rapport périodique sur la mise en œuvre d</w:t>
      </w:r>
      <w:r>
        <w:rPr>
          <w:lang w:val="fr-CA"/>
        </w:rPr>
        <w:t>u programme de pays de la phase </w:t>
      </w:r>
      <w:r w:rsidRPr="00805C4C">
        <w:rPr>
          <w:lang w:val="fr-CA"/>
        </w:rPr>
        <w:t>I du plan de gestion de l'élimination des HCFC (PGEH) pour le Népal et de la demande de prorogation proposée par le PNUE, présentés dans le document UNEP/OzL.Pro/ExCom/87/9</w:t>
      </w:r>
      <w:r w:rsidR="0074773B">
        <w:rPr>
          <w:lang w:val="fr-CA"/>
        </w:rPr>
        <w:t xml:space="preserve"> </w:t>
      </w:r>
      <w:r w:rsidRPr="00805C4C">
        <w:rPr>
          <w:lang w:val="fr-CA"/>
        </w:rPr>
        <w:t>;</w:t>
      </w:r>
    </w:p>
    <w:p w14:paraId="7AA2B757" w14:textId="1656B13A" w:rsidR="00937816" w:rsidRPr="00805C4C" w:rsidRDefault="00937816" w:rsidP="00937816">
      <w:pPr>
        <w:pStyle w:val="Heading2"/>
        <w:rPr>
          <w:lang w:val="fr-CA"/>
        </w:rPr>
      </w:pPr>
      <w:r w:rsidRPr="00805C4C">
        <w:rPr>
          <w:lang w:val="fr-CA"/>
        </w:rPr>
        <w:t>Proroger, à titre exceptionnel, l’achèv</w:t>
      </w:r>
      <w:r>
        <w:rPr>
          <w:lang w:val="fr-CA"/>
        </w:rPr>
        <w:t>ement de la phase I du PGEH au 3</w:t>
      </w:r>
      <w:r w:rsidRPr="00805C4C">
        <w:rPr>
          <w:lang w:val="fr-CA"/>
        </w:rPr>
        <w:t>1 décembre 2022 à cause des retards imposés par la pandémie de la COVID-19, étant entendu qu’aucune autre prorogation ne sera demandée</w:t>
      </w:r>
      <w:r w:rsidR="0074773B">
        <w:rPr>
          <w:lang w:val="fr-CA"/>
        </w:rPr>
        <w:t xml:space="preserve"> </w:t>
      </w:r>
      <w:r w:rsidRPr="00805C4C">
        <w:rPr>
          <w:lang w:val="fr-CA"/>
        </w:rPr>
        <w:t>;</w:t>
      </w:r>
      <w:r w:rsidR="0074773B">
        <w:rPr>
          <w:lang w:val="fr-CA"/>
        </w:rPr>
        <w:t xml:space="preserve"> et</w:t>
      </w:r>
    </w:p>
    <w:p w14:paraId="4F607419" w14:textId="77777777" w:rsidR="00937816" w:rsidRPr="00805C4C" w:rsidRDefault="00937816" w:rsidP="00937816">
      <w:pPr>
        <w:widowControl w:val="0"/>
        <w:numPr>
          <w:ilvl w:val="1"/>
          <w:numId w:val="1"/>
        </w:numPr>
        <w:tabs>
          <w:tab w:val="num" w:pos="557"/>
        </w:tabs>
        <w:spacing w:after="240"/>
        <w:outlineLvl w:val="1"/>
        <w:rPr>
          <w:lang w:val="fr-CA"/>
        </w:rPr>
      </w:pPr>
      <w:r w:rsidRPr="00805C4C">
        <w:rPr>
          <w:lang w:val="fr-CA"/>
        </w:rPr>
        <w:t>Demander au gouvernement du Népal, au PNUE et au PNUD de remettre un rapport d’achèvement de projet à la première réunion de 2023.</w:t>
      </w:r>
    </w:p>
    <w:p w14:paraId="4252C7B6" w14:textId="77777777" w:rsidR="00937816" w:rsidRPr="00805C4C" w:rsidRDefault="00937816" w:rsidP="00937816">
      <w:pPr>
        <w:pStyle w:val="Heading1"/>
        <w:keepNext/>
        <w:keepLines/>
        <w:numPr>
          <w:ilvl w:val="0"/>
          <w:numId w:val="0"/>
        </w:numPr>
        <w:rPr>
          <w:lang w:val="fr-CA"/>
        </w:rPr>
      </w:pPr>
      <w:r w:rsidRPr="0074773B">
        <w:rPr>
          <w:u w:val="single"/>
          <w:lang w:val="fr-CA"/>
        </w:rPr>
        <w:t>Pays insulaires du Pacifique : Plan de gestion de l'élimination des HCFC (phase I : demande de prorogation de la date d’achèvement de la troisième (et dernière) tranche pour 12 pays insulaires du Pacifique)</w:t>
      </w:r>
      <w:r w:rsidRPr="0074773B">
        <w:rPr>
          <w:lang w:val="fr-CA"/>
        </w:rPr>
        <w:t xml:space="preserve"> (PNUE)</w:t>
      </w:r>
    </w:p>
    <w:p w14:paraId="7CC468C8" w14:textId="77777777" w:rsidR="00937816" w:rsidRPr="00805C4C" w:rsidRDefault="00937816" w:rsidP="00937816">
      <w:pPr>
        <w:keepNext/>
        <w:keepLines/>
        <w:spacing w:after="240"/>
        <w:rPr>
          <w:b/>
          <w:lang w:val="fr-CA"/>
        </w:rPr>
      </w:pPr>
      <w:r w:rsidRPr="00805C4C">
        <w:rPr>
          <w:b/>
          <w:lang w:val="fr-CA"/>
        </w:rPr>
        <w:t>Contexte</w:t>
      </w:r>
    </w:p>
    <w:p w14:paraId="15F4AE6E" w14:textId="77777777" w:rsidR="00937816" w:rsidRPr="00805C4C" w:rsidRDefault="00937816" w:rsidP="00937816">
      <w:pPr>
        <w:pStyle w:val="Heading1"/>
        <w:rPr>
          <w:b/>
          <w:lang w:val="fr-CA"/>
        </w:rPr>
      </w:pPr>
      <w:r w:rsidRPr="00805C4C">
        <w:rPr>
          <w:lang w:val="fr-CA"/>
        </w:rPr>
        <w:t>Le PNUE, en qualité d’agence d’exécution principale, a présenté une demande de prorogation de la mise en œuvre de la phase I du PGEH au nom des gouvernements des Îles Cook, d</w:t>
      </w:r>
      <w:r>
        <w:rPr>
          <w:lang w:val="fr-CA"/>
        </w:rPr>
        <w:t>e</w:t>
      </w:r>
      <w:r w:rsidRPr="00805C4C">
        <w:rPr>
          <w:lang w:val="fr-CA"/>
        </w:rPr>
        <w:t xml:space="preserve"> Kiribati, des Îles Marshall, des États fédérés de Micronésie, de Nauru, de </w:t>
      </w:r>
      <w:proofErr w:type="spellStart"/>
      <w:r w:rsidRPr="00805C4C">
        <w:rPr>
          <w:lang w:val="fr-CA"/>
        </w:rPr>
        <w:t>Nioué</w:t>
      </w:r>
      <w:proofErr w:type="spellEnd"/>
      <w:r w:rsidRPr="00805C4C">
        <w:rPr>
          <w:lang w:val="fr-CA"/>
        </w:rPr>
        <w:t xml:space="preserve">, </w:t>
      </w:r>
      <w:r>
        <w:rPr>
          <w:lang w:val="fr-CA"/>
        </w:rPr>
        <w:t xml:space="preserve">de Palau, </w:t>
      </w:r>
      <w:r w:rsidRPr="00805C4C">
        <w:rPr>
          <w:lang w:val="fr-CA"/>
        </w:rPr>
        <w:t>de Samoa, des Îles Salomon, du Tonga, de Tuvalu et de Vanuatu (ci-après appelés les pays insulaires du Pacifique).</w:t>
      </w:r>
    </w:p>
    <w:p w14:paraId="66D4697B" w14:textId="77777777" w:rsidR="00937816" w:rsidRPr="00805C4C" w:rsidRDefault="00937816" w:rsidP="00937816">
      <w:pPr>
        <w:pStyle w:val="Heading1"/>
        <w:rPr>
          <w:lang w:val="fr-CA"/>
        </w:rPr>
      </w:pPr>
      <w:r w:rsidRPr="00805C4C">
        <w:rPr>
          <w:rFonts w:eastAsia="MS Mincho"/>
          <w:lang w:val="fr-CA"/>
        </w:rPr>
        <w:t>La phase I du PGEH a été approuvée à la 63</w:t>
      </w:r>
      <w:r w:rsidRPr="00805C4C">
        <w:rPr>
          <w:rFonts w:eastAsia="MS Mincho"/>
          <w:vertAlign w:val="superscript"/>
          <w:lang w:val="fr-CA"/>
        </w:rPr>
        <w:t>e</w:t>
      </w:r>
      <w:r w:rsidRPr="00805C4C">
        <w:rPr>
          <w:rFonts w:eastAsia="MS Mincho"/>
          <w:lang w:val="fr-CA"/>
        </w:rPr>
        <w:t xml:space="preserve"> réunion</w:t>
      </w:r>
      <w:r w:rsidRPr="00805C4C">
        <w:rPr>
          <w:lang w:val="fr-CA"/>
        </w:rPr>
        <w:t>,</w:t>
      </w:r>
      <w:r w:rsidRPr="00805C4C">
        <w:rPr>
          <w:rStyle w:val="FootnoteReference"/>
          <w:lang w:val="fr-CA"/>
        </w:rPr>
        <w:footnoteReference w:id="38"/>
      </w:r>
      <w:r w:rsidRPr="00805C4C">
        <w:rPr>
          <w:lang w:val="fr-CA"/>
        </w:rPr>
        <w:t xml:space="preserve"> afin d’atteindre l’objectif de réduction de 35 pour cent pour la période de mise en œuvre de 2011 à 2020, pour la somme totale de 1 696 000 $US plus les coûts d’appui à l’agence. </w:t>
      </w:r>
    </w:p>
    <w:p w14:paraId="7DDF845F" w14:textId="77777777" w:rsidR="00937816" w:rsidRPr="00805C4C" w:rsidRDefault="00937816" w:rsidP="00937816">
      <w:pPr>
        <w:pStyle w:val="Heading1"/>
        <w:rPr>
          <w:lang w:val="fr-CA"/>
        </w:rPr>
      </w:pPr>
      <w:r w:rsidRPr="00805C4C">
        <w:rPr>
          <w:lang w:val="fr-CA"/>
        </w:rPr>
        <w:lastRenderedPageBreak/>
        <w:t>La phase I du PGEH comprend :</w:t>
      </w:r>
    </w:p>
    <w:p w14:paraId="02E637E9" w14:textId="6EB899EF" w:rsidR="00937816" w:rsidRPr="00805C4C" w:rsidRDefault="00937816" w:rsidP="00937816">
      <w:pPr>
        <w:widowControl w:val="0"/>
        <w:numPr>
          <w:ilvl w:val="1"/>
          <w:numId w:val="1"/>
        </w:numPr>
        <w:spacing w:after="240"/>
        <w:outlineLvl w:val="1"/>
        <w:rPr>
          <w:lang w:val="fr-CA"/>
        </w:rPr>
      </w:pPr>
      <w:r w:rsidRPr="00805C4C">
        <w:rPr>
          <w:i/>
          <w:lang w:val="fr-CA"/>
        </w:rPr>
        <w:t xml:space="preserve">Volet régional : </w:t>
      </w:r>
      <w:r w:rsidRPr="00805C4C">
        <w:rPr>
          <w:lang w:val="fr-CA"/>
        </w:rPr>
        <w:t>Activités normalisées dans les 12 pays insulaires du Pacifique, telles que l’offre de conseils de politique et l’élaboration de lois/réglementations, le renforcement des capacités des douaniers et des maîtres formateurs en réfrigération et climatisation, et la sensibilisation au HCFC et le rayonnement</w:t>
      </w:r>
      <w:r w:rsidR="0074773B">
        <w:rPr>
          <w:lang w:val="fr-CA"/>
        </w:rPr>
        <w:t xml:space="preserve"> </w:t>
      </w:r>
      <w:r w:rsidRPr="00805C4C">
        <w:rPr>
          <w:lang w:val="fr-CA"/>
        </w:rPr>
        <w:t>;</w:t>
      </w:r>
      <w:r w:rsidR="0074773B">
        <w:rPr>
          <w:lang w:val="fr-CA"/>
        </w:rPr>
        <w:t xml:space="preserve"> et</w:t>
      </w:r>
    </w:p>
    <w:p w14:paraId="54FBA1D0" w14:textId="77777777" w:rsidR="00937816" w:rsidRPr="00805C4C" w:rsidRDefault="00937816" w:rsidP="00937816">
      <w:pPr>
        <w:widowControl w:val="0"/>
        <w:numPr>
          <w:ilvl w:val="1"/>
          <w:numId w:val="1"/>
        </w:numPr>
        <w:spacing w:after="240"/>
        <w:outlineLvl w:val="1"/>
        <w:rPr>
          <w:lang w:val="fr-CA"/>
        </w:rPr>
      </w:pPr>
      <w:r w:rsidRPr="00805C4C">
        <w:rPr>
          <w:i/>
          <w:lang w:val="fr-CA"/>
        </w:rPr>
        <w:t xml:space="preserve">Volet national : </w:t>
      </w:r>
      <w:r w:rsidRPr="00805C4C">
        <w:rPr>
          <w:lang w:val="fr-CA"/>
        </w:rPr>
        <w:t xml:space="preserve">Des activités spécifiques dans chaque pays insulaire du Pacifique afin de contrôler l’offre et la </w:t>
      </w:r>
      <w:r>
        <w:rPr>
          <w:lang w:val="fr-CA"/>
        </w:rPr>
        <w:t>demande de HCFC,</w:t>
      </w:r>
      <w:r w:rsidRPr="00805C4C">
        <w:rPr>
          <w:lang w:val="fr-CA"/>
        </w:rPr>
        <w:t xml:space="preserve"> créer un environnement de facilitation pour l’élimination des HCFC et l’introduction de substances de remplacement, et de gérer, coordonner et surveiller la mise en œuvre du PGEH.</w:t>
      </w:r>
    </w:p>
    <w:p w14:paraId="547B7CEF" w14:textId="01C8FEBB" w:rsidR="00937816" w:rsidRPr="00805C4C" w:rsidRDefault="00937816" w:rsidP="00937816">
      <w:pPr>
        <w:pStyle w:val="Heading1"/>
        <w:rPr>
          <w:lang w:val="fr-CA"/>
        </w:rPr>
      </w:pPr>
      <w:r w:rsidRPr="00805C4C">
        <w:rPr>
          <w:rFonts w:eastAsia="MS Mincho"/>
          <w:lang w:val="fr-CA"/>
        </w:rPr>
        <w:t>L</w:t>
      </w:r>
      <w:r>
        <w:rPr>
          <w:rFonts w:eastAsia="MS Mincho"/>
          <w:lang w:val="fr-CA"/>
        </w:rPr>
        <w:t>a</w:t>
      </w:r>
      <w:r w:rsidRPr="00805C4C">
        <w:rPr>
          <w:rFonts w:eastAsia="MS Mincho"/>
          <w:lang w:val="fr-CA"/>
        </w:rPr>
        <w:t xml:space="preserve"> troisième et dernière tranche et le plan de mise en œuvre de la tranche correspondant ont été approuvés pour la somme de 186 100 $US dans le cadre du processus d’approbation intersessions pour la 85</w:t>
      </w:r>
      <w:r w:rsidRPr="00805C4C">
        <w:rPr>
          <w:rFonts w:eastAsia="MS Mincho"/>
          <w:vertAlign w:val="superscript"/>
          <w:lang w:val="fr-CA"/>
        </w:rPr>
        <w:t>e</w:t>
      </w:r>
      <w:r w:rsidRPr="00805C4C">
        <w:rPr>
          <w:rFonts w:eastAsia="MS Mincho"/>
          <w:lang w:val="fr-CA"/>
        </w:rPr>
        <w:t xml:space="preserve"> réunion</w:t>
      </w:r>
      <w:r w:rsidRPr="00805C4C">
        <w:rPr>
          <w:rStyle w:val="FootnoteReference"/>
          <w:lang w:val="fr-CA"/>
        </w:rPr>
        <w:footnoteReference w:id="39"/>
      </w:r>
      <w:r w:rsidRPr="00805C4C">
        <w:rPr>
          <w:lang w:val="fr-CA"/>
        </w:rPr>
        <w:t xml:space="preserve"> en mai 2020. Conformément au paragraphe 14 de l’</w:t>
      </w:r>
      <w:r w:rsidR="005B7EC6">
        <w:rPr>
          <w:lang w:val="fr-CA"/>
        </w:rPr>
        <w:t>Accord</w:t>
      </w:r>
      <w:r w:rsidRPr="00805C4C">
        <w:rPr>
          <w:lang w:val="fr-CA"/>
        </w:rPr>
        <w:t xml:space="preserve"> entre les gouvernements et le Comité exécutif, la phase I devrait être achevée d’ici la fin de 2021. La phase II du PGEH, pour l’élimination complète des HCFC, a été approuvée dans le cadre du processus d’approbation intersessions pour la 86</w:t>
      </w:r>
      <w:r w:rsidRPr="00805C4C">
        <w:rPr>
          <w:vertAlign w:val="superscript"/>
          <w:lang w:val="fr-CA"/>
        </w:rPr>
        <w:t>e</w:t>
      </w:r>
      <w:r w:rsidRPr="00805C4C">
        <w:rPr>
          <w:lang w:val="fr-CA"/>
        </w:rPr>
        <w:t xml:space="preserve"> réunion </w:t>
      </w:r>
      <w:r w:rsidRPr="00805C4C">
        <w:rPr>
          <w:rStyle w:val="FootnoteReference"/>
          <w:lang w:val="fr-CA"/>
        </w:rPr>
        <w:footnoteReference w:id="40"/>
      </w:r>
      <w:r w:rsidRPr="00805C4C">
        <w:rPr>
          <w:lang w:val="fr-CA"/>
        </w:rPr>
        <w:t xml:space="preserve"> </w:t>
      </w:r>
      <w:r w:rsidRPr="00805C4C">
        <w:rPr>
          <w:rFonts w:eastAsia="MS Mincho"/>
          <w:lang w:val="fr-CA"/>
        </w:rPr>
        <w:t>en décembre 2020</w:t>
      </w:r>
      <w:r w:rsidRPr="00805C4C">
        <w:rPr>
          <w:lang w:val="fr-CA"/>
        </w:rPr>
        <w:t xml:space="preserve">. </w:t>
      </w:r>
    </w:p>
    <w:p w14:paraId="2074BB89" w14:textId="4C2A68C3" w:rsidR="00937816" w:rsidRPr="00805C4C" w:rsidRDefault="00937816" w:rsidP="00937816">
      <w:pPr>
        <w:pStyle w:val="Heading1"/>
        <w:rPr>
          <w:rFonts w:eastAsia="MS Mincho"/>
          <w:lang w:val="fr-CA"/>
        </w:rPr>
      </w:pPr>
      <w:r w:rsidRPr="00805C4C">
        <w:rPr>
          <w:rFonts w:eastAsia="MS Mincho"/>
          <w:lang w:val="fr-CA"/>
        </w:rPr>
        <w:t>Le PNUE a indiqué dans son rapport sur la mise en œuvre de la phase I présenté avec la proposition de la tranche II, que les activités de la troisième et dernière tranche n’avaient pas encore commencé</w:t>
      </w:r>
      <w:r w:rsidR="0074773B">
        <w:rPr>
          <w:rFonts w:eastAsia="MS Mincho"/>
          <w:lang w:val="fr-CA"/>
        </w:rPr>
        <w:t xml:space="preserve"> </w:t>
      </w:r>
      <w:r w:rsidRPr="00805C4C">
        <w:rPr>
          <w:rFonts w:eastAsia="MS Mincho"/>
          <w:lang w:val="fr-CA"/>
        </w:rPr>
        <w:t>; les pays insul</w:t>
      </w:r>
      <w:r>
        <w:rPr>
          <w:rFonts w:eastAsia="MS Mincho"/>
          <w:lang w:val="fr-CA"/>
        </w:rPr>
        <w:t>aires du Pacifique étaient enco</w:t>
      </w:r>
      <w:r w:rsidRPr="00805C4C">
        <w:rPr>
          <w:rFonts w:eastAsia="MS Mincho"/>
          <w:lang w:val="fr-CA"/>
        </w:rPr>
        <w:t>re sous état d’urgence en août 2020 à cause de la pandémie de la COVID-19. La phase I devrait être terminée au 31 décembre 202</w:t>
      </w:r>
      <w:r>
        <w:rPr>
          <w:rFonts w:eastAsia="MS Mincho"/>
          <w:lang w:val="fr-CA"/>
        </w:rPr>
        <w:t>1</w:t>
      </w:r>
      <w:r w:rsidRPr="00805C4C">
        <w:rPr>
          <w:rFonts w:eastAsia="MS Mincho"/>
          <w:lang w:val="fr-CA"/>
        </w:rPr>
        <w:t>, si la pandémie n’entraîne pas de retards supplémentaires.</w:t>
      </w:r>
    </w:p>
    <w:p w14:paraId="394B4106" w14:textId="77777777" w:rsidR="00937816" w:rsidRPr="00805C4C" w:rsidRDefault="00937816" w:rsidP="00937816">
      <w:pPr>
        <w:pStyle w:val="Heading1"/>
        <w:numPr>
          <w:ilvl w:val="0"/>
          <w:numId w:val="0"/>
        </w:numPr>
        <w:rPr>
          <w:i/>
          <w:lang w:val="fr-CA"/>
        </w:rPr>
      </w:pPr>
      <w:r w:rsidRPr="00805C4C">
        <w:rPr>
          <w:i/>
          <w:lang w:val="fr-CA"/>
        </w:rPr>
        <w:t>Consommation de HCFC</w:t>
      </w:r>
    </w:p>
    <w:p w14:paraId="170A5D3F" w14:textId="4FF85939" w:rsidR="00937816" w:rsidRPr="00805C4C" w:rsidRDefault="00937816" w:rsidP="00937816">
      <w:pPr>
        <w:pStyle w:val="Heading1"/>
        <w:spacing w:after="120"/>
        <w:rPr>
          <w:lang w:val="fr-CA"/>
        </w:rPr>
      </w:pPr>
      <w:r w:rsidRPr="00805C4C">
        <w:rPr>
          <w:lang w:val="fr-CA"/>
        </w:rPr>
        <w:t>Les gouvernements des pays insulaires du Pacifique ont déclaré une consommation de 0,14 tonne PAO de HCFC en 2020 au titre des données relatives au programme de pays, ce qui représente 96 pour cent de moins que la valeur de référence pour les HCFC aux fins de conformité et 94 pour cent de moins que la consommation maximum permise dans l’</w:t>
      </w:r>
      <w:r w:rsidR="005B7EC6">
        <w:rPr>
          <w:lang w:val="fr-CA"/>
        </w:rPr>
        <w:t>Accord</w:t>
      </w:r>
      <w:r>
        <w:rPr>
          <w:lang w:val="fr-CA"/>
        </w:rPr>
        <w:t xml:space="preserve"> avec le</w:t>
      </w:r>
      <w:r w:rsidRPr="00805C4C">
        <w:rPr>
          <w:lang w:val="fr-CA"/>
        </w:rPr>
        <w:t xml:space="preserve"> Comité exécutif. Plusieurs pays insulaires n’ont pas encore communiqué leurs données déclarées en vertu de l’article 7. Les données sur la consommation de HCFC pour la période 2016-2020 sont indiquées dans le tableau 7. </w:t>
      </w:r>
    </w:p>
    <w:p w14:paraId="03A7FA1B" w14:textId="77777777" w:rsidR="00937816" w:rsidRPr="00805C4C" w:rsidRDefault="00937816" w:rsidP="00937816">
      <w:pPr>
        <w:keepNext/>
        <w:keepLines/>
        <w:rPr>
          <w:b/>
          <w:lang w:val="fr-CA"/>
        </w:rPr>
      </w:pPr>
      <w:r w:rsidRPr="00805C4C">
        <w:rPr>
          <w:b/>
          <w:lang w:val="fr-CA"/>
        </w:rPr>
        <w:lastRenderedPageBreak/>
        <w:t>Tableau 7. Consommation de HCFC dans les pays insulaires du Pacifique (données dé</w:t>
      </w:r>
      <w:r>
        <w:rPr>
          <w:b/>
          <w:lang w:val="fr-CA"/>
        </w:rPr>
        <w:t>clarées en vertu de l’article 7,</w:t>
      </w:r>
      <w:r w:rsidRPr="00805C4C">
        <w:rPr>
          <w:b/>
          <w:lang w:val="fr-CA"/>
        </w:rPr>
        <w:t xml:space="preserve"> 2016-2020)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824"/>
        <w:gridCol w:w="1089"/>
        <w:gridCol w:w="1091"/>
        <w:gridCol w:w="1089"/>
        <w:gridCol w:w="1089"/>
        <w:gridCol w:w="1089"/>
        <w:gridCol w:w="1083"/>
      </w:tblGrid>
      <w:tr w:rsidR="00937816" w:rsidRPr="00805C4C" w14:paraId="60F31D8B" w14:textId="77777777" w:rsidTr="004F62E7">
        <w:trPr>
          <w:tblHeader/>
        </w:trPr>
        <w:tc>
          <w:tcPr>
            <w:tcW w:w="1510" w:type="pct"/>
            <w:shd w:val="clear" w:color="auto" w:fill="auto"/>
            <w:noWrap/>
            <w:tcMar>
              <w:left w:w="43" w:type="dxa"/>
              <w:right w:w="43" w:type="dxa"/>
            </w:tcMar>
            <w:vAlign w:val="center"/>
            <w:hideMark/>
          </w:tcPr>
          <w:p w14:paraId="5E328478" w14:textId="77777777" w:rsidR="00937816" w:rsidRPr="00805C4C" w:rsidRDefault="00937816" w:rsidP="004F62E7">
            <w:pPr>
              <w:keepNext/>
              <w:keepLines/>
              <w:jc w:val="left"/>
              <w:rPr>
                <w:b/>
                <w:bCs/>
                <w:color w:val="000000"/>
                <w:sz w:val="20"/>
                <w:szCs w:val="20"/>
                <w:lang w:val="fr-CA"/>
              </w:rPr>
            </w:pPr>
            <w:r w:rsidRPr="00805C4C">
              <w:rPr>
                <w:b/>
                <w:bCs/>
                <w:color w:val="000000"/>
                <w:sz w:val="20"/>
                <w:szCs w:val="20"/>
                <w:lang w:val="fr-CA"/>
              </w:rPr>
              <w:t>HCFC</w:t>
            </w:r>
            <w:r w:rsidRPr="00805C4C">
              <w:rPr>
                <w:b/>
                <w:bCs/>
                <w:color w:val="000000"/>
                <w:sz w:val="20"/>
                <w:szCs w:val="20"/>
                <w:lang w:val="fr-CA"/>
              </w:rPr>
              <w:noBreakHyphen/>
              <w:t>22</w:t>
            </w:r>
          </w:p>
        </w:tc>
        <w:tc>
          <w:tcPr>
            <w:tcW w:w="582" w:type="pct"/>
            <w:shd w:val="clear" w:color="auto" w:fill="auto"/>
            <w:noWrap/>
            <w:tcMar>
              <w:left w:w="0" w:type="dxa"/>
              <w:right w:w="173" w:type="dxa"/>
            </w:tcMar>
            <w:vAlign w:val="center"/>
          </w:tcPr>
          <w:p w14:paraId="5310E54E" w14:textId="77777777" w:rsidR="00937816" w:rsidRPr="00805C4C" w:rsidRDefault="00937816" w:rsidP="004F62E7">
            <w:pPr>
              <w:keepNext/>
              <w:keepLines/>
              <w:jc w:val="center"/>
              <w:rPr>
                <w:b/>
                <w:bCs/>
                <w:color w:val="000000"/>
                <w:sz w:val="20"/>
                <w:szCs w:val="20"/>
                <w:lang w:val="fr-CA"/>
              </w:rPr>
            </w:pPr>
            <w:r w:rsidRPr="00805C4C">
              <w:rPr>
                <w:b/>
                <w:bCs/>
                <w:color w:val="000000"/>
                <w:sz w:val="20"/>
                <w:szCs w:val="20"/>
                <w:lang w:val="fr-CA"/>
              </w:rPr>
              <w:t>2016</w:t>
            </w:r>
          </w:p>
        </w:tc>
        <w:tc>
          <w:tcPr>
            <w:tcW w:w="583" w:type="pct"/>
            <w:shd w:val="clear" w:color="auto" w:fill="auto"/>
            <w:noWrap/>
            <w:tcMar>
              <w:left w:w="0" w:type="dxa"/>
              <w:right w:w="173" w:type="dxa"/>
            </w:tcMar>
            <w:vAlign w:val="center"/>
          </w:tcPr>
          <w:p w14:paraId="4A39C8E3" w14:textId="77777777" w:rsidR="00937816" w:rsidRPr="00805C4C" w:rsidRDefault="00937816" w:rsidP="004F62E7">
            <w:pPr>
              <w:keepNext/>
              <w:keepLines/>
              <w:jc w:val="center"/>
              <w:rPr>
                <w:b/>
                <w:bCs/>
                <w:color w:val="000000"/>
                <w:sz w:val="20"/>
                <w:szCs w:val="20"/>
                <w:lang w:val="fr-CA"/>
              </w:rPr>
            </w:pPr>
            <w:r w:rsidRPr="00805C4C">
              <w:rPr>
                <w:b/>
                <w:bCs/>
                <w:color w:val="000000"/>
                <w:sz w:val="20"/>
                <w:szCs w:val="20"/>
                <w:lang w:val="fr-CA"/>
              </w:rPr>
              <w:t>2017</w:t>
            </w:r>
          </w:p>
        </w:tc>
        <w:tc>
          <w:tcPr>
            <w:tcW w:w="582" w:type="pct"/>
            <w:tcMar>
              <w:left w:w="0" w:type="dxa"/>
              <w:right w:w="173" w:type="dxa"/>
            </w:tcMar>
            <w:vAlign w:val="center"/>
          </w:tcPr>
          <w:p w14:paraId="25DC875B" w14:textId="77777777" w:rsidR="00937816" w:rsidRPr="00805C4C" w:rsidRDefault="00937816" w:rsidP="004F62E7">
            <w:pPr>
              <w:keepNext/>
              <w:keepLines/>
              <w:jc w:val="center"/>
              <w:rPr>
                <w:b/>
                <w:bCs/>
                <w:color w:val="000000"/>
                <w:sz w:val="20"/>
                <w:szCs w:val="20"/>
                <w:lang w:val="fr-CA"/>
              </w:rPr>
            </w:pPr>
            <w:r w:rsidRPr="00805C4C">
              <w:rPr>
                <w:b/>
                <w:bCs/>
                <w:color w:val="000000"/>
                <w:sz w:val="20"/>
                <w:szCs w:val="20"/>
                <w:lang w:val="fr-CA"/>
              </w:rPr>
              <w:t>2018</w:t>
            </w:r>
          </w:p>
        </w:tc>
        <w:tc>
          <w:tcPr>
            <w:tcW w:w="582" w:type="pct"/>
            <w:tcMar>
              <w:left w:w="0" w:type="dxa"/>
              <w:right w:w="173" w:type="dxa"/>
            </w:tcMar>
            <w:vAlign w:val="center"/>
          </w:tcPr>
          <w:p w14:paraId="18416E33" w14:textId="77777777" w:rsidR="00937816" w:rsidRPr="00805C4C" w:rsidRDefault="00937816" w:rsidP="004F62E7">
            <w:pPr>
              <w:keepNext/>
              <w:keepLines/>
              <w:jc w:val="center"/>
              <w:rPr>
                <w:b/>
                <w:bCs/>
                <w:color w:val="000000"/>
                <w:sz w:val="20"/>
                <w:szCs w:val="20"/>
                <w:highlight w:val="yellow"/>
                <w:lang w:val="fr-CA"/>
              </w:rPr>
            </w:pPr>
            <w:r w:rsidRPr="00805C4C">
              <w:rPr>
                <w:b/>
                <w:bCs/>
                <w:color w:val="000000"/>
                <w:sz w:val="20"/>
                <w:szCs w:val="20"/>
                <w:lang w:val="fr-CA"/>
              </w:rPr>
              <w:t>2019</w:t>
            </w:r>
          </w:p>
        </w:tc>
        <w:tc>
          <w:tcPr>
            <w:tcW w:w="582" w:type="pct"/>
          </w:tcPr>
          <w:p w14:paraId="212D6096" w14:textId="77777777" w:rsidR="00937816" w:rsidRPr="00805C4C" w:rsidRDefault="00937816" w:rsidP="004F62E7">
            <w:pPr>
              <w:keepNext/>
              <w:keepLines/>
              <w:jc w:val="center"/>
              <w:rPr>
                <w:sz w:val="19"/>
                <w:szCs w:val="19"/>
                <w:vertAlign w:val="superscript"/>
                <w:lang w:val="fr-CA"/>
              </w:rPr>
            </w:pPr>
            <w:r w:rsidRPr="00805C4C">
              <w:rPr>
                <w:b/>
                <w:bCs/>
                <w:color w:val="000000"/>
                <w:sz w:val="20"/>
                <w:szCs w:val="20"/>
                <w:lang w:val="fr-CA"/>
              </w:rPr>
              <w:t>2020</w:t>
            </w:r>
            <w:r w:rsidRPr="00805C4C">
              <w:rPr>
                <w:sz w:val="19"/>
                <w:szCs w:val="19"/>
                <w:vertAlign w:val="superscript"/>
                <w:lang w:val="fr-CA"/>
              </w:rPr>
              <w:t xml:space="preserve"> e</w:t>
            </w:r>
          </w:p>
        </w:tc>
        <w:tc>
          <w:tcPr>
            <w:tcW w:w="579" w:type="pct"/>
            <w:shd w:val="clear" w:color="auto" w:fill="auto"/>
            <w:noWrap/>
            <w:tcMar>
              <w:left w:w="0" w:type="dxa"/>
              <w:right w:w="173" w:type="dxa"/>
            </w:tcMar>
            <w:vAlign w:val="center"/>
            <w:hideMark/>
          </w:tcPr>
          <w:p w14:paraId="64DF2DF6" w14:textId="77777777" w:rsidR="00937816" w:rsidRPr="00805C4C" w:rsidRDefault="00937816" w:rsidP="004F62E7">
            <w:pPr>
              <w:keepNext/>
              <w:keepLines/>
              <w:jc w:val="center"/>
              <w:rPr>
                <w:b/>
                <w:bCs/>
                <w:color w:val="000000"/>
                <w:sz w:val="20"/>
                <w:szCs w:val="20"/>
                <w:lang w:val="fr-CA"/>
              </w:rPr>
            </w:pPr>
            <w:r w:rsidRPr="00805C4C">
              <w:rPr>
                <w:b/>
                <w:bCs/>
                <w:color w:val="000000"/>
                <w:sz w:val="20"/>
                <w:szCs w:val="20"/>
                <w:lang w:val="fr-CA"/>
              </w:rPr>
              <w:t>Référence</w:t>
            </w:r>
          </w:p>
        </w:tc>
      </w:tr>
      <w:tr w:rsidR="00937816" w:rsidRPr="00805C4C" w14:paraId="7A9C55A3" w14:textId="77777777" w:rsidTr="004F62E7">
        <w:trPr>
          <w:trHeight w:val="157"/>
        </w:trPr>
        <w:tc>
          <w:tcPr>
            <w:tcW w:w="1510" w:type="pct"/>
            <w:shd w:val="clear" w:color="auto" w:fill="auto"/>
            <w:noWrap/>
            <w:tcMar>
              <w:left w:w="43" w:type="dxa"/>
              <w:right w:w="43" w:type="dxa"/>
            </w:tcMar>
            <w:vAlign w:val="center"/>
            <w:hideMark/>
          </w:tcPr>
          <w:p w14:paraId="69C13BE7" w14:textId="77777777" w:rsidR="00937816" w:rsidRPr="00805C4C" w:rsidRDefault="00937816" w:rsidP="004F62E7">
            <w:pPr>
              <w:keepNext/>
              <w:keepLines/>
              <w:jc w:val="left"/>
              <w:rPr>
                <w:b/>
                <w:bCs/>
                <w:color w:val="000000"/>
                <w:sz w:val="20"/>
                <w:szCs w:val="20"/>
                <w:lang w:val="fr-CA"/>
              </w:rPr>
            </w:pPr>
            <w:r w:rsidRPr="00805C4C">
              <w:rPr>
                <w:b/>
                <w:bCs/>
                <w:color w:val="000000"/>
                <w:sz w:val="20"/>
                <w:szCs w:val="20"/>
                <w:lang w:val="fr-CA"/>
              </w:rPr>
              <w:t>Tonnes métriques (</w:t>
            </w:r>
            <w:proofErr w:type="spellStart"/>
            <w:r w:rsidRPr="00805C4C">
              <w:rPr>
                <w:b/>
                <w:bCs/>
                <w:color w:val="000000"/>
                <w:sz w:val="20"/>
                <w:szCs w:val="20"/>
                <w:lang w:val="fr-CA"/>
              </w:rPr>
              <w:t>tm</w:t>
            </w:r>
            <w:proofErr w:type="spellEnd"/>
            <w:r w:rsidRPr="00805C4C">
              <w:rPr>
                <w:b/>
                <w:bCs/>
                <w:color w:val="000000"/>
                <w:sz w:val="20"/>
                <w:szCs w:val="20"/>
                <w:lang w:val="fr-CA"/>
              </w:rPr>
              <w:t>)</w:t>
            </w:r>
          </w:p>
        </w:tc>
        <w:tc>
          <w:tcPr>
            <w:tcW w:w="582" w:type="pct"/>
            <w:shd w:val="clear" w:color="auto" w:fill="auto"/>
            <w:noWrap/>
            <w:tcMar>
              <w:left w:w="0" w:type="dxa"/>
              <w:right w:w="173" w:type="dxa"/>
            </w:tcMar>
            <w:vAlign w:val="center"/>
            <w:hideMark/>
          </w:tcPr>
          <w:p w14:paraId="35240807" w14:textId="77777777" w:rsidR="00937816" w:rsidRPr="00805C4C" w:rsidRDefault="00937816" w:rsidP="004F62E7">
            <w:pPr>
              <w:keepNext/>
              <w:keepLines/>
              <w:jc w:val="center"/>
              <w:rPr>
                <w:b/>
                <w:bCs/>
                <w:color w:val="000000"/>
                <w:sz w:val="20"/>
                <w:szCs w:val="20"/>
                <w:lang w:val="fr-CA"/>
              </w:rPr>
            </w:pPr>
          </w:p>
        </w:tc>
        <w:tc>
          <w:tcPr>
            <w:tcW w:w="583" w:type="pct"/>
            <w:shd w:val="clear" w:color="auto" w:fill="auto"/>
            <w:noWrap/>
            <w:tcMar>
              <w:left w:w="0" w:type="dxa"/>
              <w:right w:w="173" w:type="dxa"/>
            </w:tcMar>
            <w:vAlign w:val="center"/>
            <w:hideMark/>
          </w:tcPr>
          <w:p w14:paraId="4254B8BA" w14:textId="77777777" w:rsidR="00937816" w:rsidRPr="00805C4C" w:rsidRDefault="00937816" w:rsidP="004F62E7">
            <w:pPr>
              <w:keepNext/>
              <w:keepLines/>
              <w:jc w:val="center"/>
              <w:rPr>
                <w:b/>
                <w:bCs/>
                <w:color w:val="000000"/>
                <w:sz w:val="20"/>
                <w:szCs w:val="20"/>
                <w:lang w:val="fr-CA"/>
              </w:rPr>
            </w:pPr>
          </w:p>
        </w:tc>
        <w:tc>
          <w:tcPr>
            <w:tcW w:w="582" w:type="pct"/>
            <w:tcMar>
              <w:left w:w="0" w:type="dxa"/>
              <w:right w:w="173" w:type="dxa"/>
            </w:tcMar>
          </w:tcPr>
          <w:p w14:paraId="473F9CA6" w14:textId="77777777" w:rsidR="00937816" w:rsidRPr="00805C4C" w:rsidRDefault="00937816" w:rsidP="004F62E7">
            <w:pPr>
              <w:keepNext/>
              <w:keepLines/>
              <w:jc w:val="center"/>
              <w:rPr>
                <w:b/>
                <w:bCs/>
                <w:color w:val="000000"/>
                <w:sz w:val="20"/>
                <w:szCs w:val="20"/>
                <w:lang w:val="fr-CA"/>
              </w:rPr>
            </w:pPr>
          </w:p>
        </w:tc>
        <w:tc>
          <w:tcPr>
            <w:tcW w:w="582" w:type="pct"/>
            <w:tcMar>
              <w:left w:w="0" w:type="dxa"/>
              <w:right w:w="173" w:type="dxa"/>
            </w:tcMar>
          </w:tcPr>
          <w:p w14:paraId="6E69676A" w14:textId="77777777" w:rsidR="00937816" w:rsidRPr="00805C4C" w:rsidRDefault="00937816" w:rsidP="004F62E7">
            <w:pPr>
              <w:keepNext/>
              <w:keepLines/>
              <w:jc w:val="center"/>
              <w:rPr>
                <w:b/>
                <w:bCs/>
                <w:color w:val="000000"/>
                <w:sz w:val="20"/>
                <w:szCs w:val="20"/>
                <w:highlight w:val="yellow"/>
                <w:lang w:val="fr-CA"/>
              </w:rPr>
            </w:pPr>
          </w:p>
        </w:tc>
        <w:tc>
          <w:tcPr>
            <w:tcW w:w="582" w:type="pct"/>
          </w:tcPr>
          <w:p w14:paraId="5CB148EA" w14:textId="77777777" w:rsidR="00937816" w:rsidRPr="00805C4C" w:rsidRDefault="00937816" w:rsidP="004F62E7">
            <w:pPr>
              <w:keepNext/>
              <w:keepLines/>
              <w:jc w:val="right"/>
              <w:rPr>
                <w:b/>
                <w:bCs/>
                <w:color w:val="000000"/>
                <w:sz w:val="20"/>
                <w:szCs w:val="20"/>
                <w:lang w:val="fr-CA"/>
              </w:rPr>
            </w:pPr>
          </w:p>
        </w:tc>
        <w:tc>
          <w:tcPr>
            <w:tcW w:w="579" w:type="pct"/>
            <w:shd w:val="clear" w:color="auto" w:fill="auto"/>
            <w:noWrap/>
            <w:tcMar>
              <w:left w:w="0" w:type="dxa"/>
              <w:right w:w="173" w:type="dxa"/>
            </w:tcMar>
            <w:vAlign w:val="center"/>
            <w:hideMark/>
          </w:tcPr>
          <w:p w14:paraId="18471925" w14:textId="77777777" w:rsidR="00937816" w:rsidRPr="00805C4C" w:rsidRDefault="00937816" w:rsidP="004F62E7">
            <w:pPr>
              <w:keepNext/>
              <w:keepLines/>
              <w:jc w:val="right"/>
              <w:rPr>
                <w:b/>
                <w:bCs/>
                <w:color w:val="000000"/>
                <w:sz w:val="20"/>
                <w:szCs w:val="20"/>
                <w:lang w:val="fr-CA"/>
              </w:rPr>
            </w:pPr>
          </w:p>
        </w:tc>
      </w:tr>
      <w:tr w:rsidR="00937816" w:rsidRPr="00805C4C" w14:paraId="3E4A38B9" w14:textId="77777777" w:rsidTr="004F62E7">
        <w:trPr>
          <w:trHeight w:val="55"/>
        </w:trPr>
        <w:tc>
          <w:tcPr>
            <w:tcW w:w="1510" w:type="pct"/>
            <w:shd w:val="clear" w:color="auto" w:fill="auto"/>
            <w:noWrap/>
            <w:tcMar>
              <w:left w:w="43" w:type="dxa"/>
              <w:right w:w="43" w:type="dxa"/>
            </w:tcMar>
          </w:tcPr>
          <w:p w14:paraId="5A8E4D11"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Îles Cook </w:t>
            </w:r>
          </w:p>
        </w:tc>
        <w:tc>
          <w:tcPr>
            <w:tcW w:w="582" w:type="pct"/>
            <w:shd w:val="clear" w:color="auto" w:fill="auto"/>
            <w:noWrap/>
            <w:tcMar>
              <w:left w:w="0" w:type="dxa"/>
              <w:right w:w="173" w:type="dxa"/>
            </w:tcMar>
          </w:tcPr>
          <w:p w14:paraId="202F72F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57598BB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215221E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66EC8C9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r w:rsidRPr="00805C4C">
              <w:rPr>
                <w:b/>
                <w:bCs/>
                <w:color w:val="000000"/>
                <w:sz w:val="20"/>
                <w:szCs w:val="20"/>
                <w:vertAlign w:val="superscript"/>
                <w:lang w:val="fr-CA"/>
              </w:rPr>
              <w:t xml:space="preserve"> </w:t>
            </w:r>
          </w:p>
        </w:tc>
        <w:tc>
          <w:tcPr>
            <w:tcW w:w="582" w:type="pct"/>
          </w:tcPr>
          <w:p w14:paraId="1BDB451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tcPr>
          <w:p w14:paraId="45F760D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0,86</w:t>
            </w:r>
          </w:p>
        </w:tc>
      </w:tr>
      <w:tr w:rsidR="00937816" w:rsidRPr="00805C4C" w14:paraId="01682164" w14:textId="77777777" w:rsidTr="004F62E7">
        <w:tc>
          <w:tcPr>
            <w:tcW w:w="1510" w:type="pct"/>
            <w:shd w:val="clear" w:color="auto" w:fill="auto"/>
            <w:noWrap/>
            <w:tcMar>
              <w:left w:w="43" w:type="dxa"/>
              <w:right w:w="43" w:type="dxa"/>
            </w:tcMar>
          </w:tcPr>
          <w:p w14:paraId="406EE248"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Kiribati </w:t>
            </w:r>
          </w:p>
        </w:tc>
        <w:tc>
          <w:tcPr>
            <w:tcW w:w="582" w:type="pct"/>
            <w:shd w:val="clear" w:color="auto" w:fill="auto"/>
            <w:noWrap/>
            <w:tcMar>
              <w:left w:w="0" w:type="dxa"/>
              <w:right w:w="173" w:type="dxa"/>
            </w:tcMar>
          </w:tcPr>
          <w:p w14:paraId="78EBAC2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0,44</w:t>
            </w:r>
          </w:p>
        </w:tc>
        <w:tc>
          <w:tcPr>
            <w:tcW w:w="583" w:type="pct"/>
            <w:shd w:val="clear" w:color="auto" w:fill="auto"/>
            <w:noWrap/>
            <w:tcMar>
              <w:left w:w="0" w:type="dxa"/>
              <w:right w:w="173" w:type="dxa"/>
            </w:tcMar>
          </w:tcPr>
          <w:p w14:paraId="0438901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0,39</w:t>
            </w:r>
            <w:r w:rsidRPr="00805C4C">
              <w:rPr>
                <w:sz w:val="20"/>
                <w:szCs w:val="20"/>
                <w:vertAlign w:val="superscript"/>
                <w:lang w:val="fr-CA"/>
              </w:rPr>
              <w:t>a</w:t>
            </w:r>
          </w:p>
        </w:tc>
        <w:tc>
          <w:tcPr>
            <w:tcW w:w="582" w:type="pct"/>
            <w:tcMar>
              <w:left w:w="0" w:type="dxa"/>
              <w:right w:w="173" w:type="dxa"/>
            </w:tcMar>
          </w:tcPr>
          <w:p w14:paraId="08FC8B1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0,22</w:t>
            </w:r>
          </w:p>
        </w:tc>
        <w:tc>
          <w:tcPr>
            <w:tcW w:w="582" w:type="pct"/>
            <w:tcMar>
              <w:left w:w="0" w:type="dxa"/>
              <w:right w:w="173" w:type="dxa"/>
            </w:tcMar>
          </w:tcPr>
          <w:p w14:paraId="5B71995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0,45</w:t>
            </w:r>
          </w:p>
        </w:tc>
        <w:tc>
          <w:tcPr>
            <w:tcW w:w="582" w:type="pct"/>
          </w:tcPr>
          <w:p w14:paraId="3013CB1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0,07</w:t>
            </w:r>
          </w:p>
        </w:tc>
        <w:tc>
          <w:tcPr>
            <w:tcW w:w="579" w:type="pct"/>
            <w:shd w:val="clear" w:color="auto" w:fill="auto"/>
            <w:noWrap/>
            <w:tcMar>
              <w:left w:w="0" w:type="dxa"/>
              <w:right w:w="173" w:type="dxa"/>
            </w:tcMar>
            <w:vAlign w:val="center"/>
          </w:tcPr>
          <w:p w14:paraId="0261EA5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0,97</w:t>
            </w:r>
          </w:p>
        </w:tc>
      </w:tr>
      <w:tr w:rsidR="00937816" w:rsidRPr="00805C4C" w14:paraId="4DF8FEC0" w14:textId="77777777" w:rsidTr="004F62E7">
        <w:tc>
          <w:tcPr>
            <w:tcW w:w="1510" w:type="pct"/>
            <w:shd w:val="clear" w:color="auto" w:fill="auto"/>
            <w:noWrap/>
            <w:tcMar>
              <w:left w:w="43" w:type="dxa"/>
              <w:right w:w="43" w:type="dxa"/>
            </w:tcMar>
          </w:tcPr>
          <w:p w14:paraId="12D5B0A1"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Îles Marshall</w:t>
            </w:r>
          </w:p>
        </w:tc>
        <w:tc>
          <w:tcPr>
            <w:tcW w:w="582" w:type="pct"/>
            <w:shd w:val="clear" w:color="auto" w:fill="auto"/>
            <w:noWrap/>
            <w:tcMar>
              <w:left w:w="0" w:type="dxa"/>
              <w:right w:w="173" w:type="dxa"/>
            </w:tcMar>
            <w:vAlign w:val="center"/>
          </w:tcPr>
          <w:p w14:paraId="2AE5DCE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vAlign w:val="center"/>
          </w:tcPr>
          <w:p w14:paraId="4F58A7D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shd w:val="clear" w:color="auto" w:fill="auto"/>
            <w:tcMar>
              <w:left w:w="0" w:type="dxa"/>
              <w:right w:w="173" w:type="dxa"/>
            </w:tcMar>
          </w:tcPr>
          <w:p w14:paraId="172C0DA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1014364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Pr>
          <w:p w14:paraId="72740D2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692866B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3,99</w:t>
            </w:r>
          </w:p>
        </w:tc>
      </w:tr>
      <w:tr w:rsidR="00937816" w:rsidRPr="00805C4C" w14:paraId="6716DF06" w14:textId="77777777" w:rsidTr="004F62E7">
        <w:trPr>
          <w:trHeight w:val="265"/>
        </w:trPr>
        <w:tc>
          <w:tcPr>
            <w:tcW w:w="1510" w:type="pct"/>
            <w:shd w:val="clear" w:color="auto" w:fill="auto"/>
            <w:noWrap/>
            <w:tcMar>
              <w:left w:w="43" w:type="dxa"/>
              <w:right w:w="43" w:type="dxa"/>
            </w:tcMar>
          </w:tcPr>
          <w:p w14:paraId="6451F326"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Micronésie (États fédérés de) </w:t>
            </w:r>
          </w:p>
        </w:tc>
        <w:tc>
          <w:tcPr>
            <w:tcW w:w="582" w:type="pct"/>
            <w:shd w:val="clear" w:color="auto" w:fill="auto"/>
            <w:noWrap/>
            <w:tcMar>
              <w:left w:w="0" w:type="dxa"/>
              <w:right w:w="173" w:type="dxa"/>
            </w:tcMar>
            <w:vAlign w:val="center"/>
          </w:tcPr>
          <w:p w14:paraId="36E9EC1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0,73</w:t>
            </w:r>
          </w:p>
        </w:tc>
        <w:tc>
          <w:tcPr>
            <w:tcW w:w="583" w:type="pct"/>
            <w:shd w:val="clear" w:color="auto" w:fill="auto"/>
            <w:noWrap/>
            <w:tcMar>
              <w:left w:w="0" w:type="dxa"/>
              <w:right w:w="173" w:type="dxa"/>
            </w:tcMar>
            <w:vAlign w:val="center"/>
          </w:tcPr>
          <w:p w14:paraId="471429A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0,07</w:t>
            </w:r>
          </w:p>
        </w:tc>
        <w:tc>
          <w:tcPr>
            <w:tcW w:w="582" w:type="pct"/>
            <w:shd w:val="clear" w:color="auto" w:fill="auto"/>
            <w:tcMar>
              <w:left w:w="0" w:type="dxa"/>
              <w:right w:w="173" w:type="dxa"/>
            </w:tcMar>
          </w:tcPr>
          <w:p w14:paraId="6B8E643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50A8C5C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1,82</w:t>
            </w:r>
          </w:p>
        </w:tc>
        <w:tc>
          <w:tcPr>
            <w:tcW w:w="582" w:type="pct"/>
          </w:tcPr>
          <w:p w14:paraId="75B7B3DC"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237BFFF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2,55</w:t>
            </w:r>
          </w:p>
        </w:tc>
      </w:tr>
      <w:tr w:rsidR="00937816" w:rsidRPr="00805C4C" w14:paraId="015D28ED" w14:textId="77777777" w:rsidTr="004F62E7">
        <w:tc>
          <w:tcPr>
            <w:tcW w:w="1510" w:type="pct"/>
            <w:shd w:val="clear" w:color="auto" w:fill="auto"/>
            <w:noWrap/>
            <w:tcMar>
              <w:left w:w="43" w:type="dxa"/>
              <w:right w:w="43" w:type="dxa"/>
            </w:tcMar>
          </w:tcPr>
          <w:p w14:paraId="7376C989"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Nauru</w:t>
            </w:r>
          </w:p>
        </w:tc>
        <w:tc>
          <w:tcPr>
            <w:tcW w:w="582" w:type="pct"/>
            <w:shd w:val="clear" w:color="auto" w:fill="auto"/>
            <w:noWrap/>
            <w:tcMar>
              <w:left w:w="0" w:type="dxa"/>
              <w:right w:w="173" w:type="dxa"/>
            </w:tcMar>
            <w:vAlign w:val="center"/>
          </w:tcPr>
          <w:p w14:paraId="2F1E7D3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0,15</w:t>
            </w:r>
          </w:p>
        </w:tc>
        <w:tc>
          <w:tcPr>
            <w:tcW w:w="583" w:type="pct"/>
            <w:shd w:val="clear" w:color="auto" w:fill="auto"/>
            <w:noWrap/>
            <w:tcMar>
              <w:left w:w="0" w:type="dxa"/>
              <w:right w:w="173" w:type="dxa"/>
            </w:tcMar>
            <w:vAlign w:val="center"/>
          </w:tcPr>
          <w:p w14:paraId="3FB7595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shd w:val="clear" w:color="auto" w:fill="auto"/>
            <w:tcMar>
              <w:left w:w="0" w:type="dxa"/>
              <w:right w:w="173" w:type="dxa"/>
            </w:tcMar>
          </w:tcPr>
          <w:p w14:paraId="77EC143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36D023C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Pr>
          <w:p w14:paraId="69F939C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192A286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0,18</w:t>
            </w:r>
          </w:p>
        </w:tc>
      </w:tr>
      <w:tr w:rsidR="00937816" w:rsidRPr="00805C4C" w14:paraId="066E90A3" w14:textId="77777777" w:rsidTr="004F62E7">
        <w:tc>
          <w:tcPr>
            <w:tcW w:w="1510" w:type="pct"/>
            <w:shd w:val="clear" w:color="auto" w:fill="auto"/>
            <w:noWrap/>
            <w:tcMar>
              <w:left w:w="43" w:type="dxa"/>
              <w:right w:w="43" w:type="dxa"/>
            </w:tcMar>
          </w:tcPr>
          <w:p w14:paraId="6DF7CB56" w14:textId="77777777" w:rsidR="00937816" w:rsidRPr="00805C4C" w:rsidRDefault="00937816" w:rsidP="004F62E7">
            <w:pPr>
              <w:keepNext/>
              <w:keepLines/>
              <w:jc w:val="left"/>
              <w:rPr>
                <w:color w:val="000000"/>
                <w:sz w:val="20"/>
                <w:szCs w:val="20"/>
                <w:lang w:val="fr-CA"/>
              </w:rPr>
            </w:pPr>
            <w:proofErr w:type="spellStart"/>
            <w:r w:rsidRPr="00805C4C">
              <w:rPr>
                <w:color w:val="000000"/>
                <w:sz w:val="20"/>
                <w:szCs w:val="20"/>
                <w:lang w:val="fr-CA"/>
              </w:rPr>
              <w:t>Nioué</w:t>
            </w:r>
            <w:proofErr w:type="spellEnd"/>
          </w:p>
        </w:tc>
        <w:tc>
          <w:tcPr>
            <w:tcW w:w="582" w:type="pct"/>
            <w:shd w:val="clear" w:color="auto" w:fill="auto"/>
            <w:noWrap/>
            <w:tcMar>
              <w:left w:w="0" w:type="dxa"/>
              <w:right w:w="173" w:type="dxa"/>
            </w:tcMar>
          </w:tcPr>
          <w:p w14:paraId="564087C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04A57AB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5B628D4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6ED20CB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Pr>
          <w:p w14:paraId="0B3DDBD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5F276C3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0,15</w:t>
            </w:r>
          </w:p>
        </w:tc>
      </w:tr>
      <w:tr w:rsidR="00937816" w:rsidRPr="00805C4C" w14:paraId="117B4C27" w14:textId="77777777" w:rsidTr="004F62E7">
        <w:tc>
          <w:tcPr>
            <w:tcW w:w="1510" w:type="pct"/>
            <w:shd w:val="clear" w:color="auto" w:fill="auto"/>
            <w:noWrap/>
            <w:tcMar>
              <w:left w:w="43" w:type="dxa"/>
              <w:right w:w="43" w:type="dxa"/>
            </w:tcMar>
          </w:tcPr>
          <w:p w14:paraId="5AAF61DA"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Palau</w:t>
            </w:r>
          </w:p>
        </w:tc>
        <w:tc>
          <w:tcPr>
            <w:tcW w:w="582" w:type="pct"/>
            <w:shd w:val="clear" w:color="auto" w:fill="auto"/>
            <w:noWrap/>
            <w:tcMar>
              <w:left w:w="0" w:type="dxa"/>
              <w:right w:w="173" w:type="dxa"/>
            </w:tcMar>
            <w:vAlign w:val="center"/>
          </w:tcPr>
          <w:p w14:paraId="1549E19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2,11</w:t>
            </w:r>
          </w:p>
        </w:tc>
        <w:tc>
          <w:tcPr>
            <w:tcW w:w="583" w:type="pct"/>
            <w:shd w:val="clear" w:color="auto" w:fill="auto"/>
            <w:noWrap/>
            <w:tcMar>
              <w:left w:w="0" w:type="dxa"/>
              <w:right w:w="173" w:type="dxa"/>
            </w:tcMar>
            <w:vAlign w:val="center"/>
          </w:tcPr>
          <w:p w14:paraId="4E5FCE7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1,80</w:t>
            </w:r>
          </w:p>
        </w:tc>
        <w:tc>
          <w:tcPr>
            <w:tcW w:w="582" w:type="pct"/>
            <w:shd w:val="clear" w:color="auto" w:fill="auto"/>
            <w:tcMar>
              <w:left w:w="0" w:type="dxa"/>
              <w:right w:w="173" w:type="dxa"/>
            </w:tcMar>
          </w:tcPr>
          <w:p w14:paraId="4C81AEE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1,20</w:t>
            </w:r>
          </w:p>
        </w:tc>
        <w:tc>
          <w:tcPr>
            <w:tcW w:w="582" w:type="pct"/>
            <w:tcMar>
              <w:left w:w="0" w:type="dxa"/>
              <w:right w:w="173" w:type="dxa"/>
            </w:tcMar>
          </w:tcPr>
          <w:p w14:paraId="261FF32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0,13</w:t>
            </w:r>
          </w:p>
        </w:tc>
        <w:tc>
          <w:tcPr>
            <w:tcW w:w="582" w:type="pct"/>
          </w:tcPr>
          <w:p w14:paraId="32BF856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0,06</w:t>
            </w:r>
          </w:p>
        </w:tc>
        <w:tc>
          <w:tcPr>
            <w:tcW w:w="579" w:type="pct"/>
            <w:shd w:val="clear" w:color="auto" w:fill="auto"/>
            <w:noWrap/>
            <w:tcMar>
              <w:left w:w="0" w:type="dxa"/>
              <w:right w:w="173" w:type="dxa"/>
            </w:tcMar>
            <w:vAlign w:val="center"/>
          </w:tcPr>
          <w:p w14:paraId="786D3AF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2,97</w:t>
            </w:r>
            <w:r w:rsidRPr="00805C4C">
              <w:rPr>
                <w:sz w:val="19"/>
                <w:szCs w:val="19"/>
                <w:vertAlign w:val="superscript"/>
                <w:lang w:val="fr-CA"/>
              </w:rPr>
              <w:t>c</w:t>
            </w:r>
          </w:p>
        </w:tc>
      </w:tr>
      <w:tr w:rsidR="00937816" w:rsidRPr="00805C4C" w14:paraId="7D8F3406" w14:textId="77777777" w:rsidTr="004F62E7">
        <w:tc>
          <w:tcPr>
            <w:tcW w:w="1510" w:type="pct"/>
            <w:shd w:val="clear" w:color="auto" w:fill="auto"/>
            <w:noWrap/>
            <w:tcMar>
              <w:left w:w="43" w:type="dxa"/>
              <w:right w:w="43" w:type="dxa"/>
            </w:tcMar>
          </w:tcPr>
          <w:p w14:paraId="42253FEC"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Samoa</w:t>
            </w:r>
          </w:p>
        </w:tc>
        <w:tc>
          <w:tcPr>
            <w:tcW w:w="582" w:type="pct"/>
            <w:shd w:val="clear" w:color="auto" w:fill="auto"/>
            <w:noWrap/>
            <w:tcMar>
              <w:left w:w="0" w:type="dxa"/>
              <w:right w:w="173" w:type="dxa"/>
            </w:tcMar>
            <w:vAlign w:val="center"/>
          </w:tcPr>
          <w:p w14:paraId="2A120CB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1,05</w:t>
            </w:r>
          </w:p>
        </w:tc>
        <w:tc>
          <w:tcPr>
            <w:tcW w:w="583" w:type="pct"/>
            <w:shd w:val="clear" w:color="auto" w:fill="auto"/>
            <w:noWrap/>
            <w:tcMar>
              <w:left w:w="0" w:type="dxa"/>
              <w:right w:w="173" w:type="dxa"/>
            </w:tcMar>
            <w:vAlign w:val="center"/>
          </w:tcPr>
          <w:p w14:paraId="117E830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1,35</w:t>
            </w:r>
          </w:p>
        </w:tc>
        <w:tc>
          <w:tcPr>
            <w:tcW w:w="582" w:type="pct"/>
            <w:shd w:val="clear" w:color="auto" w:fill="auto"/>
            <w:tcMar>
              <w:left w:w="0" w:type="dxa"/>
              <w:right w:w="173" w:type="dxa"/>
            </w:tcMar>
          </w:tcPr>
          <w:p w14:paraId="3D746B8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0,23</w:t>
            </w:r>
          </w:p>
        </w:tc>
        <w:tc>
          <w:tcPr>
            <w:tcW w:w="582" w:type="pct"/>
            <w:tcMar>
              <w:left w:w="0" w:type="dxa"/>
              <w:right w:w="173" w:type="dxa"/>
            </w:tcMar>
          </w:tcPr>
          <w:p w14:paraId="364DA2F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0,19</w:t>
            </w:r>
          </w:p>
        </w:tc>
        <w:tc>
          <w:tcPr>
            <w:tcW w:w="582" w:type="pct"/>
          </w:tcPr>
          <w:p w14:paraId="5B71827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0,78</w:t>
            </w:r>
          </w:p>
        </w:tc>
        <w:tc>
          <w:tcPr>
            <w:tcW w:w="579" w:type="pct"/>
            <w:shd w:val="clear" w:color="auto" w:fill="auto"/>
            <w:noWrap/>
            <w:tcMar>
              <w:left w:w="0" w:type="dxa"/>
              <w:right w:w="173" w:type="dxa"/>
            </w:tcMar>
            <w:vAlign w:val="center"/>
          </w:tcPr>
          <w:p w14:paraId="2CA6296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4,60</w:t>
            </w:r>
          </w:p>
        </w:tc>
      </w:tr>
      <w:tr w:rsidR="00937816" w:rsidRPr="00805C4C" w14:paraId="5E7CAD80" w14:textId="77777777" w:rsidTr="004F62E7">
        <w:tc>
          <w:tcPr>
            <w:tcW w:w="1510" w:type="pct"/>
            <w:shd w:val="clear" w:color="auto" w:fill="auto"/>
            <w:noWrap/>
            <w:tcMar>
              <w:left w:w="43" w:type="dxa"/>
              <w:right w:w="43" w:type="dxa"/>
            </w:tcMar>
          </w:tcPr>
          <w:p w14:paraId="79CBC1B0"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Îles Salomon</w:t>
            </w:r>
          </w:p>
        </w:tc>
        <w:tc>
          <w:tcPr>
            <w:tcW w:w="582" w:type="pct"/>
            <w:shd w:val="clear" w:color="auto" w:fill="auto"/>
            <w:noWrap/>
            <w:tcMar>
              <w:left w:w="0" w:type="dxa"/>
              <w:right w:w="173" w:type="dxa"/>
            </w:tcMar>
            <w:vAlign w:val="center"/>
          </w:tcPr>
          <w:p w14:paraId="18D2725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2,17</w:t>
            </w:r>
          </w:p>
        </w:tc>
        <w:tc>
          <w:tcPr>
            <w:tcW w:w="583" w:type="pct"/>
            <w:shd w:val="clear" w:color="auto" w:fill="auto"/>
            <w:noWrap/>
            <w:tcMar>
              <w:left w:w="0" w:type="dxa"/>
              <w:right w:w="173" w:type="dxa"/>
            </w:tcMar>
            <w:vAlign w:val="center"/>
          </w:tcPr>
          <w:p w14:paraId="5C79B27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4,20</w:t>
            </w:r>
          </w:p>
        </w:tc>
        <w:tc>
          <w:tcPr>
            <w:tcW w:w="582" w:type="pct"/>
            <w:shd w:val="clear" w:color="auto" w:fill="auto"/>
            <w:tcMar>
              <w:left w:w="0" w:type="dxa"/>
              <w:right w:w="173" w:type="dxa"/>
            </w:tcMar>
          </w:tcPr>
          <w:p w14:paraId="43BFB1C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3,63</w:t>
            </w:r>
          </w:p>
        </w:tc>
        <w:tc>
          <w:tcPr>
            <w:tcW w:w="582" w:type="pct"/>
            <w:tcMar>
              <w:left w:w="0" w:type="dxa"/>
              <w:right w:w="173" w:type="dxa"/>
            </w:tcMar>
          </w:tcPr>
          <w:p w14:paraId="2C1319F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1,49</w:t>
            </w:r>
          </w:p>
        </w:tc>
        <w:tc>
          <w:tcPr>
            <w:tcW w:w="582" w:type="pct"/>
          </w:tcPr>
          <w:p w14:paraId="73D9202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1,47</w:t>
            </w:r>
          </w:p>
        </w:tc>
        <w:tc>
          <w:tcPr>
            <w:tcW w:w="579" w:type="pct"/>
            <w:shd w:val="clear" w:color="auto" w:fill="auto"/>
            <w:noWrap/>
            <w:tcMar>
              <w:left w:w="0" w:type="dxa"/>
              <w:right w:w="173" w:type="dxa"/>
            </w:tcMar>
            <w:vAlign w:val="center"/>
          </w:tcPr>
          <w:p w14:paraId="6BB3742C"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35,05</w:t>
            </w:r>
            <w:r w:rsidRPr="00805C4C">
              <w:rPr>
                <w:sz w:val="19"/>
                <w:szCs w:val="19"/>
                <w:vertAlign w:val="superscript"/>
                <w:lang w:val="fr-CA"/>
              </w:rPr>
              <w:t>c</w:t>
            </w:r>
          </w:p>
        </w:tc>
      </w:tr>
      <w:tr w:rsidR="00937816" w:rsidRPr="00805C4C" w14:paraId="0E273925" w14:textId="77777777" w:rsidTr="004F62E7">
        <w:tc>
          <w:tcPr>
            <w:tcW w:w="1510" w:type="pct"/>
            <w:shd w:val="clear" w:color="auto" w:fill="auto"/>
            <w:noWrap/>
            <w:tcMar>
              <w:left w:w="43" w:type="dxa"/>
              <w:right w:w="43" w:type="dxa"/>
            </w:tcMar>
          </w:tcPr>
          <w:p w14:paraId="7018E888"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Tonga</w:t>
            </w:r>
          </w:p>
        </w:tc>
        <w:tc>
          <w:tcPr>
            <w:tcW w:w="582" w:type="pct"/>
            <w:shd w:val="clear" w:color="auto" w:fill="auto"/>
            <w:noWrap/>
            <w:tcMar>
              <w:left w:w="0" w:type="dxa"/>
              <w:right w:w="173" w:type="dxa"/>
            </w:tcMar>
            <w:vAlign w:val="center"/>
          </w:tcPr>
          <w:p w14:paraId="069D8BD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0,04</w:t>
            </w:r>
          </w:p>
        </w:tc>
        <w:tc>
          <w:tcPr>
            <w:tcW w:w="583" w:type="pct"/>
            <w:shd w:val="clear" w:color="auto" w:fill="auto"/>
            <w:noWrap/>
            <w:tcMar>
              <w:left w:w="0" w:type="dxa"/>
              <w:right w:w="173" w:type="dxa"/>
            </w:tcMar>
            <w:vAlign w:val="center"/>
          </w:tcPr>
          <w:p w14:paraId="650B6AD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p>
        </w:tc>
        <w:tc>
          <w:tcPr>
            <w:tcW w:w="582" w:type="pct"/>
            <w:shd w:val="clear" w:color="auto" w:fill="auto"/>
            <w:tcMar>
              <w:left w:w="0" w:type="dxa"/>
              <w:right w:w="173" w:type="dxa"/>
            </w:tcMar>
          </w:tcPr>
          <w:p w14:paraId="020E6D8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0,09</w:t>
            </w:r>
          </w:p>
        </w:tc>
        <w:tc>
          <w:tcPr>
            <w:tcW w:w="582" w:type="pct"/>
            <w:tcMar>
              <w:left w:w="0" w:type="dxa"/>
              <w:right w:w="173" w:type="dxa"/>
            </w:tcMar>
          </w:tcPr>
          <w:p w14:paraId="7E8BDEE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p>
        </w:tc>
        <w:tc>
          <w:tcPr>
            <w:tcW w:w="582" w:type="pct"/>
          </w:tcPr>
          <w:p w14:paraId="56F42DF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p>
        </w:tc>
        <w:tc>
          <w:tcPr>
            <w:tcW w:w="579" w:type="pct"/>
            <w:shd w:val="clear" w:color="auto" w:fill="auto"/>
            <w:noWrap/>
            <w:tcMar>
              <w:left w:w="0" w:type="dxa"/>
              <w:right w:w="173" w:type="dxa"/>
            </w:tcMar>
            <w:vAlign w:val="center"/>
          </w:tcPr>
          <w:p w14:paraId="70948E6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2,55</w:t>
            </w:r>
            <w:r w:rsidRPr="00805C4C">
              <w:rPr>
                <w:sz w:val="19"/>
                <w:szCs w:val="19"/>
                <w:vertAlign w:val="superscript"/>
                <w:lang w:val="fr-CA"/>
              </w:rPr>
              <w:t>c</w:t>
            </w:r>
          </w:p>
        </w:tc>
      </w:tr>
      <w:tr w:rsidR="00937816" w:rsidRPr="00805C4C" w14:paraId="2F0D20FE" w14:textId="77777777" w:rsidTr="004F62E7">
        <w:tc>
          <w:tcPr>
            <w:tcW w:w="1510" w:type="pct"/>
            <w:shd w:val="clear" w:color="auto" w:fill="auto"/>
            <w:noWrap/>
            <w:tcMar>
              <w:left w:w="43" w:type="dxa"/>
              <w:right w:w="43" w:type="dxa"/>
            </w:tcMar>
          </w:tcPr>
          <w:p w14:paraId="11C7F784"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Tuvalu</w:t>
            </w:r>
          </w:p>
        </w:tc>
        <w:tc>
          <w:tcPr>
            <w:tcW w:w="582" w:type="pct"/>
            <w:shd w:val="clear" w:color="auto" w:fill="auto"/>
            <w:noWrap/>
            <w:tcMar>
              <w:left w:w="0" w:type="dxa"/>
              <w:right w:w="173" w:type="dxa"/>
            </w:tcMar>
            <w:vAlign w:val="center"/>
          </w:tcPr>
          <w:p w14:paraId="3F6F49D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0,12</w:t>
            </w:r>
          </w:p>
        </w:tc>
        <w:tc>
          <w:tcPr>
            <w:tcW w:w="583" w:type="pct"/>
            <w:shd w:val="clear" w:color="auto" w:fill="auto"/>
            <w:noWrap/>
            <w:tcMar>
              <w:left w:w="0" w:type="dxa"/>
              <w:right w:w="173" w:type="dxa"/>
            </w:tcMar>
            <w:vAlign w:val="center"/>
          </w:tcPr>
          <w:p w14:paraId="2B706A2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0,20</w:t>
            </w:r>
          </w:p>
        </w:tc>
        <w:tc>
          <w:tcPr>
            <w:tcW w:w="582" w:type="pct"/>
            <w:shd w:val="clear" w:color="auto" w:fill="auto"/>
            <w:tcMar>
              <w:left w:w="0" w:type="dxa"/>
              <w:right w:w="173" w:type="dxa"/>
            </w:tcMar>
          </w:tcPr>
          <w:p w14:paraId="12A4A0E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0,03</w:t>
            </w:r>
          </w:p>
        </w:tc>
        <w:tc>
          <w:tcPr>
            <w:tcW w:w="582" w:type="pct"/>
            <w:tcMar>
              <w:left w:w="0" w:type="dxa"/>
              <w:right w:w="173" w:type="dxa"/>
            </w:tcMar>
          </w:tcPr>
          <w:p w14:paraId="50BE6044" w14:textId="77777777" w:rsidR="00937816" w:rsidRPr="00805C4C" w:rsidRDefault="00937816" w:rsidP="004F62E7">
            <w:pPr>
              <w:keepNext/>
              <w:keepLines/>
              <w:spacing w:line="240" w:lineRule="atLeast"/>
              <w:jc w:val="right"/>
              <w:rPr>
                <w:sz w:val="20"/>
                <w:szCs w:val="20"/>
                <w:lang w:val="fr-CA"/>
              </w:rPr>
            </w:pPr>
            <w:r w:rsidRPr="00805C4C">
              <w:rPr>
                <w:color w:val="000000" w:themeColor="text1"/>
                <w:sz w:val="20"/>
                <w:szCs w:val="20"/>
                <w:lang w:val="fr-CA"/>
              </w:rPr>
              <w:t>0,00</w:t>
            </w:r>
            <w:r w:rsidRPr="00805C4C">
              <w:rPr>
                <w:b/>
                <w:bCs/>
                <w:color w:val="000000" w:themeColor="text1"/>
                <w:sz w:val="20"/>
                <w:szCs w:val="20"/>
                <w:vertAlign w:val="superscript"/>
                <w:lang w:val="fr-CA"/>
              </w:rPr>
              <w:t xml:space="preserve"> </w:t>
            </w:r>
          </w:p>
        </w:tc>
        <w:tc>
          <w:tcPr>
            <w:tcW w:w="582" w:type="pct"/>
          </w:tcPr>
          <w:p w14:paraId="327FE51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0,03</w:t>
            </w:r>
          </w:p>
        </w:tc>
        <w:tc>
          <w:tcPr>
            <w:tcW w:w="579" w:type="pct"/>
            <w:shd w:val="clear" w:color="auto" w:fill="auto"/>
            <w:noWrap/>
            <w:tcMar>
              <w:left w:w="0" w:type="dxa"/>
              <w:right w:w="173" w:type="dxa"/>
            </w:tcMar>
            <w:vAlign w:val="center"/>
          </w:tcPr>
          <w:p w14:paraId="6F83D19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1,64</w:t>
            </w:r>
          </w:p>
        </w:tc>
      </w:tr>
      <w:tr w:rsidR="00937816" w:rsidRPr="00805C4C" w14:paraId="70A00D66" w14:textId="77777777" w:rsidTr="004F62E7">
        <w:tc>
          <w:tcPr>
            <w:tcW w:w="1510" w:type="pct"/>
            <w:shd w:val="clear" w:color="auto" w:fill="auto"/>
            <w:noWrap/>
            <w:tcMar>
              <w:left w:w="43" w:type="dxa"/>
              <w:right w:w="43" w:type="dxa"/>
            </w:tcMar>
          </w:tcPr>
          <w:p w14:paraId="25B78984"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Vanuatu</w:t>
            </w:r>
          </w:p>
        </w:tc>
        <w:tc>
          <w:tcPr>
            <w:tcW w:w="582" w:type="pct"/>
            <w:shd w:val="clear" w:color="auto" w:fill="auto"/>
            <w:noWrap/>
            <w:tcMar>
              <w:left w:w="0" w:type="dxa"/>
              <w:right w:w="173" w:type="dxa"/>
            </w:tcMar>
            <w:vAlign w:val="center"/>
          </w:tcPr>
          <w:p w14:paraId="0D234D3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vAlign w:val="center"/>
          </w:tcPr>
          <w:p w14:paraId="1E57178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0,22</w:t>
            </w:r>
          </w:p>
        </w:tc>
        <w:tc>
          <w:tcPr>
            <w:tcW w:w="582" w:type="pct"/>
            <w:shd w:val="clear" w:color="auto" w:fill="auto"/>
            <w:tcMar>
              <w:left w:w="0" w:type="dxa"/>
              <w:right w:w="173" w:type="dxa"/>
            </w:tcMar>
          </w:tcPr>
          <w:p w14:paraId="0E2E148C"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0,29</w:t>
            </w:r>
          </w:p>
        </w:tc>
        <w:tc>
          <w:tcPr>
            <w:tcW w:w="582" w:type="pct"/>
            <w:tcMar>
              <w:left w:w="0" w:type="dxa"/>
              <w:right w:w="173" w:type="dxa"/>
            </w:tcMar>
          </w:tcPr>
          <w:p w14:paraId="18D7006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0,22</w:t>
            </w:r>
            <w:r w:rsidRPr="00805C4C">
              <w:rPr>
                <w:sz w:val="19"/>
                <w:szCs w:val="19"/>
                <w:vertAlign w:val="superscript"/>
                <w:lang w:val="fr-CA"/>
              </w:rPr>
              <w:t>b</w:t>
            </w:r>
          </w:p>
        </w:tc>
        <w:tc>
          <w:tcPr>
            <w:tcW w:w="582" w:type="pct"/>
          </w:tcPr>
          <w:p w14:paraId="0B38069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7F6213D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5,11</w:t>
            </w:r>
            <w:r w:rsidRPr="00805C4C">
              <w:rPr>
                <w:sz w:val="19"/>
                <w:szCs w:val="19"/>
                <w:vertAlign w:val="superscript"/>
                <w:lang w:val="fr-CA"/>
              </w:rPr>
              <w:t>c</w:t>
            </w:r>
          </w:p>
        </w:tc>
      </w:tr>
      <w:tr w:rsidR="00937816" w:rsidRPr="00805C4C" w14:paraId="1A3EE244" w14:textId="77777777" w:rsidTr="004F62E7">
        <w:tc>
          <w:tcPr>
            <w:tcW w:w="1510" w:type="pct"/>
            <w:shd w:val="clear" w:color="auto" w:fill="auto"/>
            <w:noWrap/>
            <w:tcMar>
              <w:left w:w="43" w:type="dxa"/>
              <w:right w:w="43" w:type="dxa"/>
            </w:tcMar>
            <w:vAlign w:val="center"/>
            <w:hideMark/>
          </w:tcPr>
          <w:p w14:paraId="472EEA48" w14:textId="77777777" w:rsidR="00937816" w:rsidRPr="00805C4C" w:rsidRDefault="00937816" w:rsidP="004F62E7">
            <w:pPr>
              <w:keepNext/>
              <w:keepLines/>
              <w:spacing w:line="240" w:lineRule="atLeast"/>
              <w:jc w:val="left"/>
              <w:rPr>
                <w:b/>
                <w:color w:val="000000"/>
                <w:sz w:val="20"/>
                <w:szCs w:val="20"/>
                <w:lang w:val="fr-CA"/>
              </w:rPr>
            </w:pPr>
            <w:r w:rsidRPr="00805C4C">
              <w:rPr>
                <w:b/>
                <w:color w:val="000000"/>
                <w:sz w:val="20"/>
                <w:szCs w:val="20"/>
                <w:lang w:val="fr-CA"/>
              </w:rPr>
              <w:t>Total (</w:t>
            </w:r>
            <w:proofErr w:type="spellStart"/>
            <w:r w:rsidRPr="00805C4C">
              <w:rPr>
                <w:b/>
                <w:color w:val="000000"/>
                <w:sz w:val="20"/>
                <w:szCs w:val="20"/>
                <w:lang w:val="fr-CA"/>
              </w:rPr>
              <w:t>tm</w:t>
            </w:r>
            <w:proofErr w:type="spellEnd"/>
            <w:r w:rsidRPr="00805C4C">
              <w:rPr>
                <w:b/>
                <w:color w:val="000000"/>
                <w:sz w:val="20"/>
                <w:szCs w:val="20"/>
                <w:lang w:val="fr-CA"/>
              </w:rPr>
              <w:t>)</w:t>
            </w:r>
          </w:p>
        </w:tc>
        <w:tc>
          <w:tcPr>
            <w:tcW w:w="582" w:type="pct"/>
            <w:shd w:val="clear" w:color="auto" w:fill="auto"/>
            <w:noWrap/>
            <w:tcMar>
              <w:left w:w="0" w:type="dxa"/>
              <w:right w:w="173" w:type="dxa"/>
            </w:tcMar>
          </w:tcPr>
          <w:p w14:paraId="6DDE991B"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6,81</w:t>
            </w:r>
          </w:p>
        </w:tc>
        <w:tc>
          <w:tcPr>
            <w:tcW w:w="583" w:type="pct"/>
            <w:shd w:val="clear" w:color="auto" w:fill="auto"/>
            <w:noWrap/>
            <w:tcMar>
              <w:left w:w="0" w:type="dxa"/>
              <w:right w:w="173" w:type="dxa"/>
            </w:tcMar>
          </w:tcPr>
          <w:p w14:paraId="0FA48F8E"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8,33</w:t>
            </w:r>
          </w:p>
        </w:tc>
        <w:tc>
          <w:tcPr>
            <w:tcW w:w="582" w:type="pct"/>
            <w:tcMar>
              <w:left w:w="0" w:type="dxa"/>
              <w:right w:w="173" w:type="dxa"/>
            </w:tcMar>
          </w:tcPr>
          <w:p w14:paraId="3724000C"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5,68</w:t>
            </w:r>
          </w:p>
        </w:tc>
        <w:tc>
          <w:tcPr>
            <w:tcW w:w="582" w:type="pct"/>
            <w:tcMar>
              <w:left w:w="0" w:type="dxa"/>
              <w:right w:w="173" w:type="dxa"/>
            </w:tcMar>
          </w:tcPr>
          <w:p w14:paraId="7B228E71"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4,32</w:t>
            </w:r>
          </w:p>
        </w:tc>
        <w:tc>
          <w:tcPr>
            <w:tcW w:w="582" w:type="pct"/>
          </w:tcPr>
          <w:p w14:paraId="77BF8D31"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2,43</w:t>
            </w:r>
          </w:p>
        </w:tc>
        <w:tc>
          <w:tcPr>
            <w:tcW w:w="579" w:type="pct"/>
            <w:shd w:val="clear" w:color="auto" w:fill="auto"/>
            <w:noWrap/>
            <w:tcMar>
              <w:left w:w="0" w:type="dxa"/>
              <w:right w:w="173" w:type="dxa"/>
            </w:tcMar>
            <w:vAlign w:val="center"/>
          </w:tcPr>
          <w:p w14:paraId="0A9892A8"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60,62</w:t>
            </w:r>
          </w:p>
        </w:tc>
      </w:tr>
      <w:tr w:rsidR="00937816" w:rsidRPr="00805C4C" w14:paraId="12F7F3DC" w14:textId="77777777" w:rsidTr="004F62E7">
        <w:tc>
          <w:tcPr>
            <w:tcW w:w="1510" w:type="pct"/>
            <w:shd w:val="clear" w:color="auto" w:fill="auto"/>
            <w:noWrap/>
            <w:tcMar>
              <w:left w:w="43" w:type="dxa"/>
              <w:right w:w="43" w:type="dxa"/>
            </w:tcMar>
            <w:vAlign w:val="center"/>
            <w:hideMark/>
          </w:tcPr>
          <w:p w14:paraId="797B1D1F" w14:textId="77777777" w:rsidR="00937816" w:rsidRPr="00805C4C" w:rsidRDefault="00937816" w:rsidP="004F62E7">
            <w:pPr>
              <w:keepNext/>
              <w:keepLines/>
              <w:jc w:val="left"/>
              <w:rPr>
                <w:b/>
                <w:bCs/>
                <w:color w:val="000000"/>
                <w:sz w:val="20"/>
                <w:szCs w:val="20"/>
                <w:lang w:val="fr-CA"/>
              </w:rPr>
            </w:pPr>
            <w:r w:rsidRPr="00805C4C">
              <w:rPr>
                <w:b/>
                <w:bCs/>
                <w:color w:val="000000"/>
                <w:sz w:val="20"/>
                <w:szCs w:val="20"/>
                <w:lang w:val="fr-CA"/>
              </w:rPr>
              <w:t>Tonnes PAO</w:t>
            </w:r>
          </w:p>
        </w:tc>
        <w:tc>
          <w:tcPr>
            <w:tcW w:w="582" w:type="pct"/>
            <w:shd w:val="clear" w:color="auto" w:fill="auto"/>
            <w:noWrap/>
            <w:tcMar>
              <w:left w:w="0" w:type="dxa"/>
              <w:right w:w="173" w:type="dxa"/>
            </w:tcMar>
          </w:tcPr>
          <w:p w14:paraId="031926FA" w14:textId="77777777" w:rsidR="00937816" w:rsidRPr="00805C4C" w:rsidRDefault="00937816" w:rsidP="004F62E7">
            <w:pPr>
              <w:keepNext/>
              <w:keepLines/>
              <w:spacing w:line="240" w:lineRule="atLeast"/>
              <w:jc w:val="right"/>
              <w:rPr>
                <w:sz w:val="20"/>
                <w:szCs w:val="20"/>
                <w:lang w:val="fr-CA"/>
              </w:rPr>
            </w:pPr>
          </w:p>
        </w:tc>
        <w:tc>
          <w:tcPr>
            <w:tcW w:w="583" w:type="pct"/>
            <w:shd w:val="clear" w:color="auto" w:fill="auto"/>
            <w:noWrap/>
            <w:tcMar>
              <w:left w:w="0" w:type="dxa"/>
              <w:right w:w="173" w:type="dxa"/>
            </w:tcMar>
          </w:tcPr>
          <w:p w14:paraId="76F8E9E8" w14:textId="77777777" w:rsidR="00937816" w:rsidRPr="00805C4C" w:rsidRDefault="00937816" w:rsidP="004F62E7">
            <w:pPr>
              <w:keepNext/>
              <w:keepLines/>
              <w:spacing w:line="240" w:lineRule="atLeast"/>
              <w:jc w:val="right"/>
              <w:rPr>
                <w:sz w:val="20"/>
                <w:szCs w:val="20"/>
                <w:lang w:val="fr-CA"/>
              </w:rPr>
            </w:pPr>
          </w:p>
        </w:tc>
        <w:tc>
          <w:tcPr>
            <w:tcW w:w="582" w:type="pct"/>
            <w:tcMar>
              <w:left w:w="0" w:type="dxa"/>
              <w:right w:w="173" w:type="dxa"/>
            </w:tcMar>
          </w:tcPr>
          <w:p w14:paraId="4632661D" w14:textId="77777777" w:rsidR="00937816" w:rsidRPr="00805C4C" w:rsidRDefault="00937816" w:rsidP="004F62E7">
            <w:pPr>
              <w:keepNext/>
              <w:keepLines/>
              <w:spacing w:line="240" w:lineRule="atLeast"/>
              <w:jc w:val="right"/>
              <w:rPr>
                <w:sz w:val="20"/>
                <w:szCs w:val="20"/>
                <w:lang w:val="fr-CA"/>
              </w:rPr>
            </w:pPr>
          </w:p>
        </w:tc>
        <w:tc>
          <w:tcPr>
            <w:tcW w:w="582" w:type="pct"/>
            <w:tcMar>
              <w:left w:w="0" w:type="dxa"/>
              <w:right w:w="173" w:type="dxa"/>
            </w:tcMar>
          </w:tcPr>
          <w:p w14:paraId="1684489F" w14:textId="77777777" w:rsidR="00937816" w:rsidRPr="00805C4C" w:rsidRDefault="00937816" w:rsidP="004F62E7">
            <w:pPr>
              <w:keepNext/>
              <w:keepLines/>
              <w:spacing w:line="240" w:lineRule="atLeast"/>
              <w:jc w:val="right"/>
              <w:rPr>
                <w:sz w:val="20"/>
                <w:szCs w:val="20"/>
                <w:lang w:val="fr-CA"/>
              </w:rPr>
            </w:pPr>
          </w:p>
        </w:tc>
        <w:tc>
          <w:tcPr>
            <w:tcW w:w="582" w:type="pct"/>
          </w:tcPr>
          <w:p w14:paraId="6BE2A652" w14:textId="77777777" w:rsidR="00937816" w:rsidRPr="00805C4C" w:rsidRDefault="00937816" w:rsidP="004F62E7">
            <w:pPr>
              <w:keepNext/>
              <w:keepLines/>
              <w:spacing w:line="240" w:lineRule="atLeast"/>
              <w:jc w:val="right"/>
              <w:rPr>
                <w:sz w:val="20"/>
                <w:szCs w:val="20"/>
                <w:lang w:val="fr-CA"/>
              </w:rPr>
            </w:pPr>
          </w:p>
        </w:tc>
        <w:tc>
          <w:tcPr>
            <w:tcW w:w="579" w:type="pct"/>
            <w:shd w:val="clear" w:color="auto" w:fill="auto"/>
            <w:noWrap/>
            <w:tcMar>
              <w:left w:w="0" w:type="dxa"/>
              <w:right w:w="173" w:type="dxa"/>
            </w:tcMar>
            <w:vAlign w:val="center"/>
            <w:hideMark/>
          </w:tcPr>
          <w:p w14:paraId="71137838" w14:textId="77777777" w:rsidR="00937816" w:rsidRPr="00805C4C" w:rsidRDefault="00937816" w:rsidP="004F62E7">
            <w:pPr>
              <w:keepNext/>
              <w:keepLines/>
              <w:spacing w:line="240" w:lineRule="atLeast"/>
              <w:jc w:val="right"/>
              <w:rPr>
                <w:sz w:val="20"/>
                <w:szCs w:val="20"/>
                <w:lang w:val="fr-CA"/>
              </w:rPr>
            </w:pPr>
          </w:p>
        </w:tc>
      </w:tr>
      <w:tr w:rsidR="00937816" w:rsidRPr="00805C4C" w14:paraId="0C2550A9" w14:textId="77777777" w:rsidTr="004F62E7">
        <w:tc>
          <w:tcPr>
            <w:tcW w:w="1510" w:type="pct"/>
            <w:shd w:val="clear" w:color="auto" w:fill="auto"/>
            <w:noWrap/>
            <w:tcMar>
              <w:left w:w="43" w:type="dxa"/>
              <w:right w:w="43" w:type="dxa"/>
            </w:tcMar>
          </w:tcPr>
          <w:p w14:paraId="4D52E79C"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Îles Cook </w:t>
            </w:r>
          </w:p>
        </w:tc>
        <w:tc>
          <w:tcPr>
            <w:tcW w:w="582" w:type="pct"/>
            <w:shd w:val="clear" w:color="auto" w:fill="auto"/>
            <w:noWrap/>
            <w:tcMar>
              <w:left w:w="0" w:type="dxa"/>
              <w:right w:w="173" w:type="dxa"/>
            </w:tcMar>
          </w:tcPr>
          <w:p w14:paraId="008C175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19689CB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5D508A6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75DA2456"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0,00</w:t>
            </w:r>
          </w:p>
        </w:tc>
        <w:tc>
          <w:tcPr>
            <w:tcW w:w="582" w:type="pct"/>
          </w:tcPr>
          <w:p w14:paraId="4CB0DF1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386B6C4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p>
        </w:tc>
      </w:tr>
      <w:tr w:rsidR="00937816" w:rsidRPr="00805C4C" w14:paraId="395198A0" w14:textId="77777777" w:rsidTr="004F62E7">
        <w:tc>
          <w:tcPr>
            <w:tcW w:w="1510" w:type="pct"/>
            <w:shd w:val="clear" w:color="auto" w:fill="auto"/>
            <w:noWrap/>
            <w:tcMar>
              <w:left w:w="43" w:type="dxa"/>
              <w:right w:w="43" w:type="dxa"/>
            </w:tcMar>
          </w:tcPr>
          <w:p w14:paraId="0E9422B6"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Kiribati </w:t>
            </w:r>
          </w:p>
        </w:tc>
        <w:tc>
          <w:tcPr>
            <w:tcW w:w="582" w:type="pct"/>
            <w:shd w:val="clear" w:color="auto" w:fill="auto"/>
            <w:noWrap/>
            <w:tcMar>
              <w:left w:w="0" w:type="dxa"/>
              <w:right w:w="173" w:type="dxa"/>
            </w:tcMar>
          </w:tcPr>
          <w:p w14:paraId="6404664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p>
        </w:tc>
        <w:tc>
          <w:tcPr>
            <w:tcW w:w="583" w:type="pct"/>
            <w:shd w:val="clear" w:color="auto" w:fill="auto"/>
            <w:noWrap/>
            <w:tcMar>
              <w:left w:w="0" w:type="dxa"/>
              <w:right w:w="173" w:type="dxa"/>
            </w:tcMar>
          </w:tcPr>
          <w:p w14:paraId="17D37FB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r w:rsidRPr="00805C4C">
              <w:rPr>
                <w:sz w:val="20"/>
                <w:szCs w:val="20"/>
                <w:vertAlign w:val="superscript"/>
                <w:lang w:val="fr-CA"/>
              </w:rPr>
              <w:t>a</w:t>
            </w:r>
          </w:p>
        </w:tc>
        <w:tc>
          <w:tcPr>
            <w:tcW w:w="582" w:type="pct"/>
            <w:tcMar>
              <w:left w:w="0" w:type="dxa"/>
              <w:right w:w="173" w:type="dxa"/>
            </w:tcMar>
          </w:tcPr>
          <w:p w14:paraId="27D665F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2" w:type="pct"/>
            <w:tcMar>
              <w:left w:w="0" w:type="dxa"/>
              <w:right w:w="173" w:type="dxa"/>
            </w:tcMar>
            <w:vAlign w:val="center"/>
          </w:tcPr>
          <w:p w14:paraId="6713A00E"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0,02</w:t>
            </w:r>
          </w:p>
        </w:tc>
        <w:tc>
          <w:tcPr>
            <w:tcW w:w="582" w:type="pct"/>
          </w:tcPr>
          <w:p w14:paraId="76F030A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77880C6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p>
        </w:tc>
      </w:tr>
      <w:tr w:rsidR="00937816" w:rsidRPr="00805C4C" w14:paraId="4B1E0918" w14:textId="77777777" w:rsidTr="004F62E7">
        <w:tc>
          <w:tcPr>
            <w:tcW w:w="1510" w:type="pct"/>
            <w:shd w:val="clear" w:color="auto" w:fill="auto"/>
            <w:noWrap/>
            <w:tcMar>
              <w:left w:w="43" w:type="dxa"/>
              <w:right w:w="43" w:type="dxa"/>
            </w:tcMar>
          </w:tcPr>
          <w:p w14:paraId="0A5902AD"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Îles Marshall</w:t>
            </w:r>
          </w:p>
        </w:tc>
        <w:tc>
          <w:tcPr>
            <w:tcW w:w="582" w:type="pct"/>
            <w:shd w:val="clear" w:color="auto" w:fill="auto"/>
            <w:noWrap/>
            <w:tcMar>
              <w:left w:w="0" w:type="dxa"/>
              <w:right w:w="173" w:type="dxa"/>
            </w:tcMar>
          </w:tcPr>
          <w:p w14:paraId="13C8647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09C2025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72E1964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534F2298"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0,00</w:t>
            </w:r>
          </w:p>
        </w:tc>
        <w:tc>
          <w:tcPr>
            <w:tcW w:w="582" w:type="pct"/>
          </w:tcPr>
          <w:p w14:paraId="1DEF045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7586B01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0,20</w:t>
            </w:r>
          </w:p>
        </w:tc>
      </w:tr>
      <w:tr w:rsidR="00937816" w:rsidRPr="00805C4C" w14:paraId="0DCE4AAD" w14:textId="77777777" w:rsidTr="004F62E7">
        <w:tc>
          <w:tcPr>
            <w:tcW w:w="1510" w:type="pct"/>
            <w:shd w:val="clear" w:color="auto" w:fill="auto"/>
            <w:noWrap/>
            <w:tcMar>
              <w:left w:w="43" w:type="dxa"/>
              <w:right w:w="43" w:type="dxa"/>
            </w:tcMar>
          </w:tcPr>
          <w:p w14:paraId="5A4FB41C"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 xml:space="preserve">Micronésie (États fédérés de) </w:t>
            </w:r>
          </w:p>
        </w:tc>
        <w:tc>
          <w:tcPr>
            <w:tcW w:w="582" w:type="pct"/>
            <w:shd w:val="clear" w:color="auto" w:fill="auto"/>
            <w:noWrap/>
            <w:tcMar>
              <w:left w:w="0" w:type="dxa"/>
              <w:right w:w="173" w:type="dxa"/>
            </w:tcMar>
          </w:tcPr>
          <w:p w14:paraId="3EBD8092"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0,04</w:t>
            </w:r>
          </w:p>
        </w:tc>
        <w:tc>
          <w:tcPr>
            <w:tcW w:w="583" w:type="pct"/>
            <w:shd w:val="clear" w:color="auto" w:fill="auto"/>
            <w:noWrap/>
            <w:tcMar>
              <w:left w:w="0" w:type="dxa"/>
              <w:right w:w="173" w:type="dxa"/>
            </w:tcMar>
          </w:tcPr>
          <w:p w14:paraId="06FA382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484A201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5EBD0078"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0,10</w:t>
            </w:r>
          </w:p>
        </w:tc>
        <w:tc>
          <w:tcPr>
            <w:tcW w:w="582" w:type="pct"/>
          </w:tcPr>
          <w:p w14:paraId="13C7E2B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76509E1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0,20</w:t>
            </w:r>
          </w:p>
        </w:tc>
      </w:tr>
      <w:tr w:rsidR="00937816" w:rsidRPr="00805C4C" w14:paraId="5B008030" w14:textId="77777777" w:rsidTr="004F62E7">
        <w:tc>
          <w:tcPr>
            <w:tcW w:w="1510" w:type="pct"/>
            <w:shd w:val="clear" w:color="auto" w:fill="auto"/>
            <w:noWrap/>
            <w:tcMar>
              <w:left w:w="43" w:type="dxa"/>
              <w:right w:w="43" w:type="dxa"/>
            </w:tcMar>
          </w:tcPr>
          <w:p w14:paraId="3E1392CF"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Nauru</w:t>
            </w:r>
          </w:p>
        </w:tc>
        <w:tc>
          <w:tcPr>
            <w:tcW w:w="582" w:type="pct"/>
            <w:shd w:val="clear" w:color="auto" w:fill="auto"/>
            <w:noWrap/>
            <w:tcMar>
              <w:left w:w="0" w:type="dxa"/>
              <w:right w:w="173" w:type="dxa"/>
            </w:tcMar>
          </w:tcPr>
          <w:p w14:paraId="0FF3DF6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3" w:type="pct"/>
            <w:shd w:val="clear" w:color="auto" w:fill="auto"/>
            <w:noWrap/>
            <w:tcMar>
              <w:left w:w="0" w:type="dxa"/>
              <w:right w:w="173" w:type="dxa"/>
            </w:tcMar>
          </w:tcPr>
          <w:p w14:paraId="19CD26F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6E5D8BD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15CA2EA4"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0,00</w:t>
            </w:r>
          </w:p>
        </w:tc>
        <w:tc>
          <w:tcPr>
            <w:tcW w:w="582" w:type="pct"/>
          </w:tcPr>
          <w:p w14:paraId="086C0F5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3495343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r w:rsidRPr="00805C4C">
              <w:rPr>
                <w:sz w:val="19"/>
                <w:szCs w:val="19"/>
                <w:vertAlign w:val="superscript"/>
                <w:lang w:val="fr-CA"/>
              </w:rPr>
              <w:t>d</w:t>
            </w:r>
          </w:p>
        </w:tc>
      </w:tr>
      <w:tr w:rsidR="00937816" w:rsidRPr="00805C4C" w14:paraId="71633513" w14:textId="77777777" w:rsidTr="004F62E7">
        <w:tc>
          <w:tcPr>
            <w:tcW w:w="1510" w:type="pct"/>
            <w:shd w:val="clear" w:color="auto" w:fill="auto"/>
            <w:noWrap/>
            <w:tcMar>
              <w:left w:w="43" w:type="dxa"/>
              <w:right w:w="43" w:type="dxa"/>
            </w:tcMar>
          </w:tcPr>
          <w:p w14:paraId="3D428E59" w14:textId="77777777" w:rsidR="00937816" w:rsidRPr="00805C4C" w:rsidRDefault="00937816" w:rsidP="004F62E7">
            <w:pPr>
              <w:keepNext/>
              <w:keepLines/>
              <w:jc w:val="left"/>
              <w:rPr>
                <w:color w:val="000000"/>
                <w:sz w:val="20"/>
                <w:szCs w:val="20"/>
                <w:lang w:val="fr-CA"/>
              </w:rPr>
            </w:pPr>
            <w:proofErr w:type="spellStart"/>
            <w:r w:rsidRPr="00805C4C">
              <w:rPr>
                <w:color w:val="000000"/>
                <w:sz w:val="20"/>
                <w:szCs w:val="20"/>
                <w:lang w:val="fr-CA"/>
              </w:rPr>
              <w:t>Nioué</w:t>
            </w:r>
            <w:proofErr w:type="spellEnd"/>
          </w:p>
        </w:tc>
        <w:tc>
          <w:tcPr>
            <w:tcW w:w="582" w:type="pct"/>
            <w:shd w:val="clear" w:color="auto" w:fill="auto"/>
            <w:noWrap/>
            <w:tcMar>
              <w:left w:w="0" w:type="dxa"/>
              <w:right w:w="173" w:type="dxa"/>
            </w:tcMar>
          </w:tcPr>
          <w:p w14:paraId="3D5BCF2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0627482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tcPr>
          <w:p w14:paraId="2C07444D"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2DD412CB"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 xml:space="preserve"> 0,00</w:t>
            </w:r>
          </w:p>
        </w:tc>
        <w:tc>
          <w:tcPr>
            <w:tcW w:w="582" w:type="pct"/>
          </w:tcPr>
          <w:p w14:paraId="3BE1C0E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5EB2188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r w:rsidRPr="00805C4C">
              <w:rPr>
                <w:sz w:val="19"/>
                <w:szCs w:val="19"/>
                <w:vertAlign w:val="superscript"/>
                <w:lang w:val="fr-CA"/>
              </w:rPr>
              <w:t>d</w:t>
            </w:r>
          </w:p>
        </w:tc>
      </w:tr>
      <w:tr w:rsidR="00937816" w:rsidRPr="00805C4C" w14:paraId="3C0CAC28" w14:textId="77777777" w:rsidTr="004F62E7">
        <w:tc>
          <w:tcPr>
            <w:tcW w:w="1510" w:type="pct"/>
            <w:shd w:val="clear" w:color="auto" w:fill="auto"/>
            <w:noWrap/>
            <w:tcMar>
              <w:left w:w="43" w:type="dxa"/>
              <w:right w:w="43" w:type="dxa"/>
            </w:tcMar>
          </w:tcPr>
          <w:p w14:paraId="05F811CB"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Palau</w:t>
            </w:r>
          </w:p>
        </w:tc>
        <w:tc>
          <w:tcPr>
            <w:tcW w:w="582" w:type="pct"/>
            <w:shd w:val="clear" w:color="auto" w:fill="auto"/>
            <w:noWrap/>
            <w:tcMar>
              <w:left w:w="0" w:type="dxa"/>
              <w:right w:w="173" w:type="dxa"/>
            </w:tcMar>
          </w:tcPr>
          <w:p w14:paraId="18CF3DD7"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0,12</w:t>
            </w:r>
          </w:p>
        </w:tc>
        <w:tc>
          <w:tcPr>
            <w:tcW w:w="583" w:type="pct"/>
            <w:shd w:val="clear" w:color="auto" w:fill="auto"/>
            <w:noWrap/>
            <w:tcMar>
              <w:left w:w="0" w:type="dxa"/>
              <w:right w:w="173" w:type="dxa"/>
            </w:tcMar>
          </w:tcPr>
          <w:p w14:paraId="6184113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p>
        </w:tc>
        <w:tc>
          <w:tcPr>
            <w:tcW w:w="582" w:type="pct"/>
            <w:tcMar>
              <w:left w:w="0" w:type="dxa"/>
              <w:right w:w="173" w:type="dxa"/>
            </w:tcMar>
          </w:tcPr>
          <w:p w14:paraId="22950F9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0,07</w:t>
            </w:r>
          </w:p>
        </w:tc>
        <w:tc>
          <w:tcPr>
            <w:tcW w:w="582" w:type="pct"/>
            <w:tcMar>
              <w:left w:w="0" w:type="dxa"/>
              <w:right w:w="173" w:type="dxa"/>
            </w:tcMar>
            <w:vAlign w:val="center"/>
          </w:tcPr>
          <w:p w14:paraId="4B8519C8"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0,01</w:t>
            </w:r>
          </w:p>
        </w:tc>
        <w:tc>
          <w:tcPr>
            <w:tcW w:w="582" w:type="pct"/>
          </w:tcPr>
          <w:p w14:paraId="4C3AF16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p>
        </w:tc>
        <w:tc>
          <w:tcPr>
            <w:tcW w:w="579" w:type="pct"/>
            <w:shd w:val="clear" w:color="auto" w:fill="auto"/>
            <w:noWrap/>
            <w:tcMar>
              <w:left w:w="0" w:type="dxa"/>
              <w:right w:w="173" w:type="dxa"/>
            </w:tcMar>
            <w:vAlign w:val="center"/>
          </w:tcPr>
          <w:p w14:paraId="0C4B33B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0,20</w:t>
            </w:r>
            <w:r w:rsidRPr="00805C4C">
              <w:rPr>
                <w:sz w:val="19"/>
                <w:szCs w:val="19"/>
                <w:vertAlign w:val="superscript"/>
                <w:lang w:val="fr-CA"/>
              </w:rPr>
              <w:t>c</w:t>
            </w:r>
          </w:p>
        </w:tc>
      </w:tr>
      <w:tr w:rsidR="00937816" w:rsidRPr="00805C4C" w14:paraId="7D6BAFE2" w14:textId="77777777" w:rsidTr="004F62E7">
        <w:tc>
          <w:tcPr>
            <w:tcW w:w="1510" w:type="pct"/>
            <w:shd w:val="clear" w:color="auto" w:fill="auto"/>
            <w:noWrap/>
            <w:tcMar>
              <w:left w:w="43" w:type="dxa"/>
              <w:right w:w="43" w:type="dxa"/>
            </w:tcMar>
          </w:tcPr>
          <w:p w14:paraId="4D3553D8"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Samoa</w:t>
            </w:r>
          </w:p>
        </w:tc>
        <w:tc>
          <w:tcPr>
            <w:tcW w:w="582" w:type="pct"/>
            <w:shd w:val="clear" w:color="auto" w:fill="auto"/>
            <w:noWrap/>
            <w:tcMar>
              <w:left w:w="0" w:type="dxa"/>
              <w:right w:w="173" w:type="dxa"/>
            </w:tcMar>
          </w:tcPr>
          <w:p w14:paraId="11DE731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0,06</w:t>
            </w:r>
          </w:p>
        </w:tc>
        <w:tc>
          <w:tcPr>
            <w:tcW w:w="583" w:type="pct"/>
            <w:shd w:val="clear" w:color="auto" w:fill="auto"/>
            <w:noWrap/>
            <w:tcMar>
              <w:left w:w="0" w:type="dxa"/>
              <w:right w:w="173" w:type="dxa"/>
            </w:tcMar>
          </w:tcPr>
          <w:p w14:paraId="1DF2093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0,07</w:t>
            </w:r>
          </w:p>
        </w:tc>
        <w:tc>
          <w:tcPr>
            <w:tcW w:w="582" w:type="pct"/>
            <w:tcMar>
              <w:left w:w="0" w:type="dxa"/>
              <w:right w:w="173" w:type="dxa"/>
            </w:tcMar>
          </w:tcPr>
          <w:p w14:paraId="6958E809"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2" w:type="pct"/>
            <w:tcMar>
              <w:left w:w="0" w:type="dxa"/>
              <w:right w:w="173" w:type="dxa"/>
            </w:tcMar>
            <w:vAlign w:val="center"/>
          </w:tcPr>
          <w:p w14:paraId="12CA85AD"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0,01</w:t>
            </w:r>
          </w:p>
        </w:tc>
        <w:tc>
          <w:tcPr>
            <w:tcW w:w="582" w:type="pct"/>
          </w:tcPr>
          <w:p w14:paraId="7E77009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0,04</w:t>
            </w:r>
          </w:p>
        </w:tc>
        <w:tc>
          <w:tcPr>
            <w:tcW w:w="579" w:type="pct"/>
            <w:shd w:val="clear" w:color="auto" w:fill="auto"/>
            <w:noWrap/>
            <w:tcMar>
              <w:left w:w="0" w:type="dxa"/>
              <w:right w:w="173" w:type="dxa"/>
            </w:tcMar>
            <w:vAlign w:val="center"/>
          </w:tcPr>
          <w:p w14:paraId="365F347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0,30</w:t>
            </w:r>
          </w:p>
        </w:tc>
      </w:tr>
      <w:tr w:rsidR="00937816" w:rsidRPr="00805C4C" w14:paraId="31D5F6C7" w14:textId="77777777" w:rsidTr="004F62E7">
        <w:tc>
          <w:tcPr>
            <w:tcW w:w="1510" w:type="pct"/>
            <w:shd w:val="clear" w:color="auto" w:fill="auto"/>
            <w:noWrap/>
            <w:tcMar>
              <w:left w:w="43" w:type="dxa"/>
              <w:right w:w="43" w:type="dxa"/>
            </w:tcMar>
          </w:tcPr>
          <w:p w14:paraId="27477354"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Îles Salomon</w:t>
            </w:r>
          </w:p>
        </w:tc>
        <w:tc>
          <w:tcPr>
            <w:tcW w:w="582" w:type="pct"/>
            <w:shd w:val="clear" w:color="auto" w:fill="auto"/>
            <w:noWrap/>
            <w:tcMar>
              <w:left w:w="0" w:type="dxa"/>
              <w:right w:w="173" w:type="dxa"/>
            </w:tcMar>
          </w:tcPr>
          <w:p w14:paraId="7B202BAA"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0,12</w:t>
            </w:r>
          </w:p>
        </w:tc>
        <w:tc>
          <w:tcPr>
            <w:tcW w:w="583" w:type="pct"/>
            <w:shd w:val="clear" w:color="auto" w:fill="auto"/>
            <w:noWrap/>
            <w:tcMar>
              <w:left w:w="0" w:type="dxa"/>
              <w:right w:w="173" w:type="dxa"/>
            </w:tcMar>
          </w:tcPr>
          <w:p w14:paraId="1C3803E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0,23</w:t>
            </w:r>
          </w:p>
        </w:tc>
        <w:tc>
          <w:tcPr>
            <w:tcW w:w="582" w:type="pct"/>
            <w:tcMar>
              <w:left w:w="0" w:type="dxa"/>
              <w:right w:w="173" w:type="dxa"/>
            </w:tcMar>
          </w:tcPr>
          <w:p w14:paraId="2BFAAB8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0,20</w:t>
            </w:r>
          </w:p>
        </w:tc>
        <w:tc>
          <w:tcPr>
            <w:tcW w:w="582" w:type="pct"/>
            <w:tcMar>
              <w:left w:w="0" w:type="dxa"/>
              <w:right w:w="173" w:type="dxa"/>
            </w:tcMar>
            <w:vAlign w:val="center"/>
          </w:tcPr>
          <w:p w14:paraId="4A93487D"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0,08</w:t>
            </w:r>
          </w:p>
        </w:tc>
        <w:tc>
          <w:tcPr>
            <w:tcW w:w="582" w:type="pct"/>
          </w:tcPr>
          <w:p w14:paraId="0F50B336"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0,08</w:t>
            </w:r>
          </w:p>
        </w:tc>
        <w:tc>
          <w:tcPr>
            <w:tcW w:w="579" w:type="pct"/>
            <w:shd w:val="clear" w:color="auto" w:fill="auto"/>
            <w:noWrap/>
            <w:tcMar>
              <w:left w:w="0" w:type="dxa"/>
              <w:right w:w="173" w:type="dxa"/>
            </w:tcMar>
            <w:vAlign w:val="center"/>
          </w:tcPr>
          <w:p w14:paraId="25F7E341"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2,00</w:t>
            </w:r>
            <w:r w:rsidRPr="00805C4C">
              <w:rPr>
                <w:sz w:val="19"/>
                <w:szCs w:val="19"/>
                <w:vertAlign w:val="superscript"/>
                <w:lang w:val="fr-CA"/>
              </w:rPr>
              <w:t>c</w:t>
            </w:r>
          </w:p>
        </w:tc>
      </w:tr>
      <w:tr w:rsidR="00937816" w:rsidRPr="00805C4C" w14:paraId="308B2DB1" w14:textId="77777777" w:rsidTr="004F62E7">
        <w:tc>
          <w:tcPr>
            <w:tcW w:w="1510" w:type="pct"/>
            <w:shd w:val="clear" w:color="auto" w:fill="auto"/>
            <w:noWrap/>
            <w:tcMar>
              <w:left w:w="43" w:type="dxa"/>
              <w:right w:w="43" w:type="dxa"/>
            </w:tcMar>
          </w:tcPr>
          <w:p w14:paraId="7868F2AD" w14:textId="77777777" w:rsidR="00937816" w:rsidRPr="00805C4C" w:rsidRDefault="00937816" w:rsidP="004F62E7">
            <w:pPr>
              <w:keepNext/>
              <w:keepLines/>
              <w:jc w:val="left"/>
              <w:rPr>
                <w:sz w:val="20"/>
                <w:szCs w:val="20"/>
                <w:lang w:val="fr-CA"/>
              </w:rPr>
            </w:pPr>
            <w:r w:rsidRPr="00805C4C">
              <w:rPr>
                <w:color w:val="000000"/>
                <w:sz w:val="20"/>
                <w:szCs w:val="20"/>
                <w:lang w:val="fr-CA"/>
              </w:rPr>
              <w:t>Tonga</w:t>
            </w:r>
          </w:p>
        </w:tc>
        <w:tc>
          <w:tcPr>
            <w:tcW w:w="582" w:type="pct"/>
            <w:shd w:val="clear" w:color="auto" w:fill="auto"/>
            <w:noWrap/>
            <w:tcMar>
              <w:left w:w="0" w:type="dxa"/>
              <w:right w:w="173" w:type="dxa"/>
            </w:tcMar>
          </w:tcPr>
          <w:p w14:paraId="6D32D48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520F23DE"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2" w:type="pct"/>
            <w:tcMar>
              <w:left w:w="0" w:type="dxa"/>
              <w:right w:w="173" w:type="dxa"/>
            </w:tcMar>
          </w:tcPr>
          <w:p w14:paraId="29DFCEBF"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0A0B39BA"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0,00</w:t>
            </w:r>
          </w:p>
        </w:tc>
        <w:tc>
          <w:tcPr>
            <w:tcW w:w="582" w:type="pct"/>
          </w:tcPr>
          <w:p w14:paraId="6BB23AD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2F88DCCB"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r w:rsidRPr="00805C4C">
              <w:rPr>
                <w:sz w:val="19"/>
                <w:szCs w:val="19"/>
                <w:vertAlign w:val="superscript"/>
                <w:lang w:val="fr-CA"/>
              </w:rPr>
              <w:t>c</w:t>
            </w:r>
          </w:p>
        </w:tc>
      </w:tr>
      <w:tr w:rsidR="00937816" w:rsidRPr="00805C4C" w14:paraId="383FAA0E" w14:textId="77777777" w:rsidTr="004F62E7">
        <w:tc>
          <w:tcPr>
            <w:tcW w:w="1510" w:type="pct"/>
            <w:shd w:val="clear" w:color="auto" w:fill="auto"/>
            <w:noWrap/>
            <w:tcMar>
              <w:left w:w="43" w:type="dxa"/>
              <w:right w:w="43" w:type="dxa"/>
            </w:tcMar>
          </w:tcPr>
          <w:p w14:paraId="66649FE3" w14:textId="77777777" w:rsidR="00937816" w:rsidRPr="00805C4C" w:rsidRDefault="00937816" w:rsidP="004F62E7">
            <w:pPr>
              <w:keepNext/>
              <w:keepLines/>
              <w:jc w:val="left"/>
              <w:rPr>
                <w:color w:val="000000"/>
                <w:sz w:val="20"/>
                <w:szCs w:val="20"/>
                <w:lang w:val="fr-CA"/>
              </w:rPr>
            </w:pPr>
            <w:r w:rsidRPr="00805C4C">
              <w:rPr>
                <w:color w:val="000000"/>
                <w:sz w:val="20"/>
                <w:szCs w:val="20"/>
                <w:lang w:val="fr-CA"/>
              </w:rPr>
              <w:t>Tuvalu</w:t>
            </w:r>
          </w:p>
        </w:tc>
        <w:tc>
          <w:tcPr>
            <w:tcW w:w="582" w:type="pct"/>
            <w:shd w:val="clear" w:color="auto" w:fill="auto"/>
            <w:noWrap/>
            <w:tcMar>
              <w:left w:w="0" w:type="dxa"/>
              <w:right w:w="173" w:type="dxa"/>
            </w:tcMar>
          </w:tcPr>
          <w:p w14:paraId="3D56B755"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3" w:type="pct"/>
            <w:shd w:val="clear" w:color="auto" w:fill="auto"/>
            <w:noWrap/>
            <w:tcMar>
              <w:left w:w="0" w:type="dxa"/>
              <w:right w:w="173" w:type="dxa"/>
            </w:tcMar>
          </w:tcPr>
          <w:p w14:paraId="42C418FC"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2" w:type="pct"/>
            <w:tcMar>
              <w:left w:w="0" w:type="dxa"/>
              <w:right w:w="173" w:type="dxa"/>
            </w:tcMar>
          </w:tcPr>
          <w:p w14:paraId="77FF64F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2" w:type="pct"/>
            <w:tcMar>
              <w:left w:w="0" w:type="dxa"/>
              <w:right w:w="173" w:type="dxa"/>
            </w:tcMar>
            <w:vAlign w:val="center"/>
          </w:tcPr>
          <w:p w14:paraId="1BD16DBD"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0,00</w:t>
            </w:r>
          </w:p>
        </w:tc>
        <w:tc>
          <w:tcPr>
            <w:tcW w:w="582" w:type="pct"/>
          </w:tcPr>
          <w:p w14:paraId="4C6BB80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5B7F2873"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0,10</w:t>
            </w:r>
          </w:p>
        </w:tc>
      </w:tr>
      <w:tr w:rsidR="00937816" w:rsidRPr="00805C4C" w14:paraId="7D9B7A35" w14:textId="77777777" w:rsidTr="004F62E7">
        <w:tc>
          <w:tcPr>
            <w:tcW w:w="1510" w:type="pct"/>
            <w:shd w:val="clear" w:color="auto" w:fill="auto"/>
            <w:noWrap/>
            <w:tcMar>
              <w:left w:w="43" w:type="dxa"/>
              <w:right w:w="43" w:type="dxa"/>
            </w:tcMar>
          </w:tcPr>
          <w:p w14:paraId="7D6BB299" w14:textId="77777777" w:rsidR="00937816" w:rsidRPr="00805C4C" w:rsidRDefault="00937816" w:rsidP="004F62E7">
            <w:pPr>
              <w:keepNext/>
              <w:keepLines/>
              <w:rPr>
                <w:sz w:val="19"/>
                <w:szCs w:val="19"/>
                <w:vertAlign w:val="superscript"/>
                <w:lang w:val="fr-CA"/>
              </w:rPr>
            </w:pPr>
            <w:r w:rsidRPr="00805C4C">
              <w:rPr>
                <w:color w:val="000000"/>
                <w:sz w:val="20"/>
                <w:szCs w:val="20"/>
                <w:lang w:val="fr-CA"/>
              </w:rPr>
              <w:t>Vanuatu</w:t>
            </w:r>
          </w:p>
        </w:tc>
        <w:tc>
          <w:tcPr>
            <w:tcW w:w="582" w:type="pct"/>
            <w:shd w:val="clear" w:color="auto" w:fill="auto"/>
            <w:noWrap/>
            <w:tcMar>
              <w:left w:w="0" w:type="dxa"/>
              <w:right w:w="173" w:type="dxa"/>
            </w:tcMar>
          </w:tcPr>
          <w:p w14:paraId="27AF9DC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83" w:type="pct"/>
            <w:shd w:val="clear" w:color="auto" w:fill="auto"/>
            <w:noWrap/>
            <w:tcMar>
              <w:left w:w="0" w:type="dxa"/>
              <w:right w:w="173" w:type="dxa"/>
            </w:tcMar>
          </w:tcPr>
          <w:p w14:paraId="1744C16C"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0,01</w:t>
            </w:r>
          </w:p>
        </w:tc>
        <w:tc>
          <w:tcPr>
            <w:tcW w:w="582" w:type="pct"/>
            <w:tcMar>
              <w:left w:w="0" w:type="dxa"/>
              <w:right w:w="173" w:type="dxa"/>
            </w:tcMar>
          </w:tcPr>
          <w:p w14:paraId="43BD15D0"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0,02</w:t>
            </w:r>
          </w:p>
        </w:tc>
        <w:tc>
          <w:tcPr>
            <w:tcW w:w="582" w:type="pct"/>
            <w:tcMar>
              <w:left w:w="0" w:type="dxa"/>
              <w:right w:w="173" w:type="dxa"/>
            </w:tcMar>
            <w:vAlign w:val="center"/>
          </w:tcPr>
          <w:p w14:paraId="47FAB4A3" w14:textId="77777777" w:rsidR="00937816" w:rsidRPr="00805C4C" w:rsidRDefault="00937816" w:rsidP="004F62E7">
            <w:pPr>
              <w:keepNext/>
              <w:keepLines/>
              <w:spacing w:line="240" w:lineRule="atLeast"/>
              <w:jc w:val="right"/>
              <w:rPr>
                <w:sz w:val="20"/>
                <w:szCs w:val="20"/>
                <w:lang w:val="fr-CA"/>
              </w:rPr>
            </w:pPr>
            <w:r w:rsidRPr="00805C4C">
              <w:rPr>
                <w:color w:val="000000"/>
                <w:sz w:val="20"/>
                <w:szCs w:val="20"/>
                <w:lang w:val="fr-CA"/>
              </w:rPr>
              <w:t>0,01</w:t>
            </w:r>
            <w:r w:rsidRPr="00805C4C">
              <w:rPr>
                <w:color w:val="000000"/>
                <w:sz w:val="20"/>
                <w:szCs w:val="20"/>
                <w:vertAlign w:val="superscript"/>
                <w:lang w:val="fr-CA"/>
              </w:rPr>
              <w:t>b</w:t>
            </w:r>
          </w:p>
        </w:tc>
        <w:tc>
          <w:tcPr>
            <w:tcW w:w="582" w:type="pct"/>
          </w:tcPr>
          <w:p w14:paraId="77F0B684"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0,00</w:t>
            </w:r>
          </w:p>
        </w:tc>
        <w:tc>
          <w:tcPr>
            <w:tcW w:w="579" w:type="pct"/>
            <w:shd w:val="clear" w:color="auto" w:fill="auto"/>
            <w:noWrap/>
            <w:tcMar>
              <w:left w:w="0" w:type="dxa"/>
              <w:right w:w="173" w:type="dxa"/>
            </w:tcMar>
            <w:vAlign w:val="center"/>
          </w:tcPr>
          <w:p w14:paraId="6896D5F8" w14:textId="77777777" w:rsidR="00937816" w:rsidRPr="00805C4C" w:rsidRDefault="00937816" w:rsidP="004F62E7">
            <w:pPr>
              <w:keepNext/>
              <w:keepLines/>
              <w:spacing w:line="240" w:lineRule="atLeast"/>
              <w:jc w:val="right"/>
              <w:rPr>
                <w:sz w:val="20"/>
                <w:szCs w:val="20"/>
                <w:lang w:val="fr-CA"/>
              </w:rPr>
            </w:pPr>
            <w:r w:rsidRPr="00805C4C">
              <w:rPr>
                <w:sz w:val="20"/>
                <w:szCs w:val="20"/>
                <w:lang w:val="fr-CA"/>
              </w:rPr>
              <w:t>0,30</w:t>
            </w:r>
            <w:r w:rsidRPr="00805C4C">
              <w:rPr>
                <w:sz w:val="19"/>
                <w:szCs w:val="19"/>
                <w:vertAlign w:val="superscript"/>
                <w:lang w:val="fr-CA"/>
              </w:rPr>
              <w:t>c</w:t>
            </w:r>
          </w:p>
        </w:tc>
      </w:tr>
      <w:tr w:rsidR="00937816" w:rsidRPr="00805C4C" w14:paraId="1C80045E" w14:textId="77777777" w:rsidTr="004F62E7">
        <w:trPr>
          <w:trHeight w:val="283"/>
        </w:trPr>
        <w:tc>
          <w:tcPr>
            <w:tcW w:w="1510" w:type="pct"/>
            <w:shd w:val="clear" w:color="auto" w:fill="auto"/>
            <w:noWrap/>
            <w:tcMar>
              <w:left w:w="43" w:type="dxa"/>
              <w:right w:w="43" w:type="dxa"/>
            </w:tcMar>
            <w:vAlign w:val="center"/>
            <w:hideMark/>
          </w:tcPr>
          <w:p w14:paraId="50AC51C4" w14:textId="77777777" w:rsidR="00937816" w:rsidRPr="00805C4C" w:rsidRDefault="00937816" w:rsidP="004F62E7">
            <w:pPr>
              <w:keepNext/>
              <w:keepLines/>
              <w:jc w:val="left"/>
              <w:rPr>
                <w:b/>
                <w:color w:val="000000"/>
                <w:sz w:val="20"/>
                <w:szCs w:val="20"/>
                <w:lang w:val="fr-CA"/>
              </w:rPr>
            </w:pPr>
            <w:r w:rsidRPr="00805C4C">
              <w:rPr>
                <w:b/>
                <w:color w:val="000000"/>
                <w:sz w:val="20"/>
                <w:szCs w:val="20"/>
                <w:lang w:val="fr-CA"/>
              </w:rPr>
              <w:t>Total (tonnes PAO)</w:t>
            </w:r>
          </w:p>
        </w:tc>
        <w:tc>
          <w:tcPr>
            <w:tcW w:w="582" w:type="pct"/>
            <w:shd w:val="clear" w:color="auto" w:fill="auto"/>
            <w:noWrap/>
            <w:tcMar>
              <w:left w:w="0" w:type="dxa"/>
              <w:right w:w="173" w:type="dxa"/>
            </w:tcMar>
          </w:tcPr>
          <w:p w14:paraId="7DC9B89F"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0,38</w:t>
            </w:r>
          </w:p>
        </w:tc>
        <w:tc>
          <w:tcPr>
            <w:tcW w:w="583" w:type="pct"/>
            <w:shd w:val="clear" w:color="auto" w:fill="auto"/>
            <w:noWrap/>
            <w:tcMar>
              <w:left w:w="0" w:type="dxa"/>
              <w:right w:w="173" w:type="dxa"/>
            </w:tcMar>
          </w:tcPr>
          <w:p w14:paraId="3EBCA598"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0,45</w:t>
            </w:r>
          </w:p>
        </w:tc>
        <w:tc>
          <w:tcPr>
            <w:tcW w:w="582" w:type="pct"/>
            <w:tcMar>
              <w:left w:w="0" w:type="dxa"/>
              <w:right w:w="173" w:type="dxa"/>
            </w:tcMar>
          </w:tcPr>
          <w:p w14:paraId="66299F8B"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0,31</w:t>
            </w:r>
          </w:p>
        </w:tc>
        <w:tc>
          <w:tcPr>
            <w:tcW w:w="582" w:type="pct"/>
            <w:tcMar>
              <w:left w:w="0" w:type="dxa"/>
              <w:right w:w="173" w:type="dxa"/>
            </w:tcMar>
            <w:vAlign w:val="center"/>
          </w:tcPr>
          <w:p w14:paraId="65DA83D7" w14:textId="77777777" w:rsidR="00937816" w:rsidRPr="00805C4C" w:rsidRDefault="00937816" w:rsidP="004F62E7">
            <w:pPr>
              <w:keepNext/>
              <w:keepLines/>
              <w:spacing w:line="240" w:lineRule="atLeast"/>
              <w:jc w:val="right"/>
              <w:rPr>
                <w:b/>
                <w:sz w:val="20"/>
                <w:szCs w:val="20"/>
                <w:lang w:val="fr-CA"/>
              </w:rPr>
            </w:pPr>
            <w:r w:rsidRPr="00805C4C">
              <w:rPr>
                <w:b/>
                <w:bCs/>
                <w:color w:val="000000"/>
                <w:sz w:val="20"/>
                <w:szCs w:val="20"/>
                <w:lang w:val="fr-CA"/>
              </w:rPr>
              <w:t>0,23</w:t>
            </w:r>
          </w:p>
        </w:tc>
        <w:tc>
          <w:tcPr>
            <w:tcW w:w="582" w:type="pct"/>
          </w:tcPr>
          <w:p w14:paraId="0B00C1F9"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0,14</w:t>
            </w:r>
          </w:p>
        </w:tc>
        <w:tc>
          <w:tcPr>
            <w:tcW w:w="579" w:type="pct"/>
            <w:shd w:val="clear" w:color="auto" w:fill="auto"/>
            <w:noWrap/>
            <w:tcMar>
              <w:left w:w="0" w:type="dxa"/>
              <w:right w:w="173" w:type="dxa"/>
            </w:tcMar>
            <w:vAlign w:val="center"/>
          </w:tcPr>
          <w:p w14:paraId="371E3264" w14:textId="77777777" w:rsidR="00937816" w:rsidRPr="00805C4C" w:rsidRDefault="00937816" w:rsidP="004F62E7">
            <w:pPr>
              <w:keepNext/>
              <w:keepLines/>
              <w:spacing w:line="240" w:lineRule="atLeast"/>
              <w:jc w:val="right"/>
              <w:rPr>
                <w:b/>
                <w:sz w:val="20"/>
                <w:szCs w:val="20"/>
                <w:lang w:val="fr-CA"/>
              </w:rPr>
            </w:pPr>
            <w:r w:rsidRPr="00805C4C">
              <w:rPr>
                <w:b/>
                <w:sz w:val="20"/>
                <w:szCs w:val="20"/>
                <w:lang w:val="fr-CA"/>
              </w:rPr>
              <w:t>3,60</w:t>
            </w:r>
          </w:p>
        </w:tc>
      </w:tr>
    </w:tbl>
    <w:p w14:paraId="76343C0C" w14:textId="77777777" w:rsidR="00937816" w:rsidRPr="00805C4C" w:rsidRDefault="00937816" w:rsidP="00937816">
      <w:pPr>
        <w:widowControl w:val="0"/>
        <w:rPr>
          <w:sz w:val="19"/>
          <w:szCs w:val="19"/>
          <w:lang w:val="fr-CA"/>
        </w:rPr>
      </w:pPr>
      <w:proofErr w:type="gramStart"/>
      <w:r w:rsidRPr="00805C4C">
        <w:rPr>
          <w:sz w:val="19"/>
          <w:szCs w:val="19"/>
          <w:vertAlign w:val="superscript"/>
          <w:lang w:val="fr-CA"/>
        </w:rPr>
        <w:t>a</w:t>
      </w:r>
      <w:proofErr w:type="gramEnd"/>
      <w:r w:rsidRPr="00805C4C">
        <w:rPr>
          <w:sz w:val="19"/>
          <w:szCs w:val="19"/>
          <w:vertAlign w:val="superscript"/>
          <w:lang w:val="fr-CA"/>
        </w:rPr>
        <w:t xml:space="preserve"> </w:t>
      </w:r>
      <w:r>
        <w:rPr>
          <w:sz w:val="19"/>
          <w:szCs w:val="19"/>
          <w:lang w:val="fr-CA"/>
        </w:rPr>
        <w:t xml:space="preserve">Comprend  0,13 </w:t>
      </w:r>
      <w:proofErr w:type="spellStart"/>
      <w:r>
        <w:rPr>
          <w:sz w:val="19"/>
          <w:szCs w:val="19"/>
          <w:lang w:val="fr-CA"/>
        </w:rPr>
        <w:t>tm</w:t>
      </w:r>
      <w:proofErr w:type="spellEnd"/>
      <w:r w:rsidRPr="00805C4C">
        <w:rPr>
          <w:sz w:val="19"/>
          <w:szCs w:val="19"/>
          <w:lang w:val="fr-CA"/>
        </w:rPr>
        <w:t xml:space="preserve"> (0,003 tonne PAO) de HCFC-124.</w:t>
      </w:r>
    </w:p>
    <w:p w14:paraId="4CF09783" w14:textId="77777777" w:rsidR="00937816" w:rsidRPr="00805C4C" w:rsidRDefault="00937816" w:rsidP="00937816">
      <w:pPr>
        <w:widowControl w:val="0"/>
        <w:rPr>
          <w:sz w:val="19"/>
          <w:szCs w:val="19"/>
          <w:lang w:val="fr-CA"/>
        </w:rPr>
      </w:pPr>
      <w:proofErr w:type="gramStart"/>
      <w:r w:rsidRPr="00805C4C">
        <w:rPr>
          <w:sz w:val="19"/>
          <w:szCs w:val="19"/>
          <w:vertAlign w:val="superscript"/>
          <w:lang w:val="fr-CA"/>
        </w:rPr>
        <w:t>b</w:t>
      </w:r>
      <w:proofErr w:type="gramEnd"/>
      <w:r w:rsidRPr="00805C4C">
        <w:rPr>
          <w:sz w:val="19"/>
          <w:szCs w:val="19"/>
          <w:lang w:val="fr-CA"/>
        </w:rPr>
        <w:t xml:space="preserve"> Comprend 0,002 </w:t>
      </w:r>
      <w:proofErr w:type="spellStart"/>
      <w:r w:rsidRPr="00805C4C">
        <w:rPr>
          <w:sz w:val="19"/>
          <w:szCs w:val="19"/>
          <w:lang w:val="fr-CA"/>
        </w:rPr>
        <w:t>tm</w:t>
      </w:r>
      <w:proofErr w:type="spellEnd"/>
      <w:r w:rsidRPr="00805C4C">
        <w:rPr>
          <w:sz w:val="19"/>
          <w:szCs w:val="19"/>
          <w:lang w:val="fr-CA"/>
        </w:rPr>
        <w:t xml:space="preserve"> (0,0001 tonne PAO) de HCFC-141b et 0,03 </w:t>
      </w:r>
      <w:proofErr w:type="spellStart"/>
      <w:r w:rsidRPr="00805C4C">
        <w:rPr>
          <w:sz w:val="19"/>
          <w:szCs w:val="19"/>
          <w:lang w:val="fr-CA"/>
        </w:rPr>
        <w:t>tm</w:t>
      </w:r>
      <w:proofErr w:type="spellEnd"/>
      <w:r w:rsidRPr="00805C4C">
        <w:rPr>
          <w:sz w:val="19"/>
          <w:szCs w:val="19"/>
          <w:lang w:val="fr-CA"/>
        </w:rPr>
        <w:t xml:space="preserve"> (0,0001 tonne PAO) de HCFC-124. </w:t>
      </w:r>
    </w:p>
    <w:p w14:paraId="44F15FDF" w14:textId="77777777" w:rsidR="00937816" w:rsidRPr="00805C4C" w:rsidRDefault="00937816" w:rsidP="00937816">
      <w:pPr>
        <w:widowControl w:val="0"/>
        <w:rPr>
          <w:sz w:val="19"/>
          <w:szCs w:val="19"/>
          <w:lang w:val="fr-CA"/>
        </w:rPr>
      </w:pPr>
      <w:proofErr w:type="gramStart"/>
      <w:r w:rsidRPr="00805C4C">
        <w:rPr>
          <w:sz w:val="19"/>
          <w:szCs w:val="19"/>
          <w:vertAlign w:val="superscript"/>
          <w:lang w:val="fr-CA"/>
        </w:rPr>
        <w:t>c</w:t>
      </w:r>
      <w:proofErr w:type="gramEnd"/>
      <w:r w:rsidRPr="00805C4C">
        <w:rPr>
          <w:sz w:val="19"/>
          <w:szCs w:val="19"/>
          <w:lang w:val="fr-CA"/>
        </w:rPr>
        <w:t xml:space="preserve"> La consommation de HCFC a été révisée conformément à la décision XXIII/29 de la Réunion des Parties.</w:t>
      </w:r>
    </w:p>
    <w:p w14:paraId="7AF7BB56" w14:textId="77777777" w:rsidR="00937816" w:rsidRPr="00805C4C" w:rsidRDefault="00937816" w:rsidP="00937816">
      <w:pPr>
        <w:widowControl w:val="0"/>
        <w:rPr>
          <w:sz w:val="19"/>
          <w:szCs w:val="19"/>
          <w:lang w:val="fr-CA"/>
        </w:rPr>
      </w:pPr>
      <w:proofErr w:type="gramStart"/>
      <w:r w:rsidRPr="00805C4C">
        <w:rPr>
          <w:sz w:val="19"/>
          <w:szCs w:val="19"/>
          <w:vertAlign w:val="superscript"/>
          <w:lang w:val="fr-CA"/>
        </w:rPr>
        <w:t>d</w:t>
      </w:r>
      <w:proofErr w:type="gramEnd"/>
      <w:r w:rsidRPr="00805C4C">
        <w:rPr>
          <w:sz w:val="19"/>
          <w:szCs w:val="19"/>
          <w:lang w:val="fr-CA"/>
        </w:rPr>
        <w:t xml:space="preserve"> Très faible consommation; l’arrondissement de la valeur à deux chiffres révèle une consommation nulle. </w:t>
      </w:r>
    </w:p>
    <w:p w14:paraId="0CDABD78" w14:textId="77777777" w:rsidR="00937816" w:rsidRPr="00805C4C" w:rsidRDefault="00937816" w:rsidP="00937816">
      <w:pPr>
        <w:widowControl w:val="0"/>
        <w:rPr>
          <w:sz w:val="19"/>
          <w:szCs w:val="19"/>
          <w:vertAlign w:val="superscript"/>
          <w:lang w:val="fr-CA"/>
        </w:rPr>
      </w:pPr>
      <w:proofErr w:type="gramStart"/>
      <w:r w:rsidRPr="00805C4C">
        <w:rPr>
          <w:sz w:val="19"/>
          <w:szCs w:val="19"/>
          <w:vertAlign w:val="superscript"/>
          <w:lang w:val="fr-CA"/>
        </w:rPr>
        <w:t>e</w:t>
      </w:r>
      <w:proofErr w:type="gramEnd"/>
      <w:r w:rsidRPr="00805C4C">
        <w:rPr>
          <w:sz w:val="19"/>
          <w:szCs w:val="19"/>
          <w:vertAlign w:val="superscript"/>
          <w:lang w:val="fr-CA"/>
        </w:rPr>
        <w:t xml:space="preserve"> </w:t>
      </w:r>
      <w:r w:rsidRPr="00805C4C">
        <w:rPr>
          <w:sz w:val="19"/>
          <w:szCs w:val="19"/>
          <w:lang w:val="fr-CA"/>
        </w:rPr>
        <w:t>Données relatives au programme de pays</w:t>
      </w:r>
    </w:p>
    <w:p w14:paraId="3EA3555F" w14:textId="77777777" w:rsidR="00937816" w:rsidRPr="00805C4C" w:rsidRDefault="00937816" w:rsidP="00937816">
      <w:pPr>
        <w:rPr>
          <w:rFonts w:eastAsia="MS Mincho"/>
          <w:lang w:val="fr-CA"/>
        </w:rPr>
      </w:pPr>
    </w:p>
    <w:p w14:paraId="1B0F00DF" w14:textId="77777777" w:rsidR="00937816" w:rsidRPr="00805C4C" w:rsidRDefault="00937816" w:rsidP="00937816">
      <w:pPr>
        <w:pStyle w:val="Heading1"/>
        <w:keepNext/>
        <w:numPr>
          <w:ilvl w:val="0"/>
          <w:numId w:val="0"/>
        </w:numPr>
        <w:rPr>
          <w:b/>
          <w:bCs/>
          <w:lang w:val="fr-CA"/>
        </w:rPr>
      </w:pPr>
      <w:r w:rsidRPr="00805C4C">
        <w:rPr>
          <w:b/>
          <w:bCs/>
          <w:lang w:val="fr-CA"/>
        </w:rPr>
        <w:t>Rapport périodique</w:t>
      </w:r>
    </w:p>
    <w:p w14:paraId="29A118F2" w14:textId="77777777" w:rsidR="00937816" w:rsidRPr="00805C4C" w:rsidRDefault="00937816" w:rsidP="00937816">
      <w:pPr>
        <w:pStyle w:val="Heading1"/>
        <w:rPr>
          <w:rFonts w:eastAsia="MS Mincho"/>
          <w:lang w:val="fr-CA"/>
        </w:rPr>
      </w:pPr>
      <w:r w:rsidRPr="00805C4C">
        <w:rPr>
          <w:rFonts w:eastAsia="MS Mincho"/>
          <w:lang w:val="fr-CA"/>
        </w:rPr>
        <w:t xml:space="preserve">Le PNUE a indiqué que les restrictions de voyage, les mesures de confinement et autres restrictions causées par la pandémie de la COVID-19 ont </w:t>
      </w:r>
      <w:r>
        <w:rPr>
          <w:rFonts w:eastAsia="MS Mincho"/>
          <w:lang w:val="fr-CA"/>
        </w:rPr>
        <w:t>exacerbé</w:t>
      </w:r>
      <w:r w:rsidRPr="00805C4C">
        <w:rPr>
          <w:rFonts w:eastAsia="MS Mincho"/>
          <w:lang w:val="fr-CA"/>
        </w:rPr>
        <w:t xml:space="preserve"> les retards dans la mise en œuvre des activités proposées; de plus, comme le nombre de représentants du gouvernement était limité dans certains pays insulaires du Pacifique, certains employés des Bureaux nationaux de l’ozone ont été affectés à des tâches relatives à la COVID-19 en tant que mesure d’urgence, ce qui a retardé davantage la mise en œuvre. Les activités suivantes ont été touchées : </w:t>
      </w:r>
    </w:p>
    <w:p w14:paraId="2446BCA7" w14:textId="3839C3F2" w:rsidR="00937816" w:rsidRPr="00805C4C" w:rsidRDefault="00937816" w:rsidP="00937816">
      <w:pPr>
        <w:pStyle w:val="Heading2"/>
        <w:rPr>
          <w:iCs/>
          <w:lang w:val="fr-CA"/>
        </w:rPr>
      </w:pPr>
      <w:r w:rsidRPr="00805C4C">
        <w:rPr>
          <w:rFonts w:eastAsiaTheme="minorEastAsia"/>
          <w:i/>
          <w:lang w:val="fr-CA" w:eastAsia="en-GB"/>
        </w:rPr>
        <w:t xml:space="preserve">Volet régional : </w:t>
      </w:r>
      <w:r w:rsidRPr="00805C4C">
        <w:rPr>
          <w:rFonts w:eastAsiaTheme="minorEastAsia"/>
          <w:lang w:val="fr-CA" w:eastAsia="en-GB"/>
        </w:rPr>
        <w:t>L’atelier régional de formation des autorités douanière</w:t>
      </w:r>
      <w:r>
        <w:rPr>
          <w:rFonts w:eastAsiaTheme="minorEastAsia"/>
          <w:lang w:val="fr-CA" w:eastAsia="en-GB"/>
        </w:rPr>
        <w:t>s</w:t>
      </w:r>
      <w:r w:rsidRPr="00805C4C">
        <w:rPr>
          <w:rFonts w:eastAsiaTheme="minorEastAsia"/>
          <w:lang w:val="fr-CA" w:eastAsia="en-GB"/>
        </w:rPr>
        <w:t xml:space="preserve"> en développement du système d’établissement des profils de risque et </w:t>
      </w:r>
      <w:r>
        <w:rPr>
          <w:rFonts w:eastAsiaTheme="minorEastAsia"/>
          <w:lang w:val="fr-CA" w:eastAsia="en-GB"/>
        </w:rPr>
        <w:t xml:space="preserve">en </w:t>
      </w:r>
      <w:r w:rsidRPr="00805C4C">
        <w:rPr>
          <w:rFonts w:eastAsiaTheme="minorEastAsia"/>
          <w:lang w:val="fr-CA" w:eastAsia="en-GB"/>
        </w:rPr>
        <w:t xml:space="preserve">élaboration de procédures opérationnelles normalisées </w:t>
      </w:r>
      <w:r>
        <w:rPr>
          <w:rFonts w:eastAsiaTheme="minorEastAsia"/>
          <w:lang w:val="fr-CA" w:eastAsia="en-GB"/>
        </w:rPr>
        <w:t>n'a</w:t>
      </w:r>
      <w:r w:rsidRPr="00805C4C">
        <w:rPr>
          <w:rFonts w:eastAsiaTheme="minorEastAsia"/>
          <w:lang w:val="fr-CA" w:eastAsia="en-GB"/>
        </w:rPr>
        <w:t xml:space="preserve"> pas pu être organisé. Un atelier virtuel n’offrait pas une solution viable à cause des différences de fuseau</w:t>
      </w:r>
      <w:r>
        <w:rPr>
          <w:rFonts w:eastAsiaTheme="minorEastAsia"/>
          <w:lang w:val="fr-CA" w:eastAsia="en-GB"/>
        </w:rPr>
        <w:t>x</w:t>
      </w:r>
      <w:r w:rsidRPr="00805C4C">
        <w:rPr>
          <w:rFonts w:eastAsiaTheme="minorEastAsia"/>
          <w:lang w:val="fr-CA" w:eastAsia="en-GB"/>
        </w:rPr>
        <w:t xml:space="preserve"> horaire</w:t>
      </w:r>
      <w:r>
        <w:rPr>
          <w:rFonts w:eastAsiaTheme="minorEastAsia"/>
          <w:lang w:val="fr-CA" w:eastAsia="en-GB"/>
        </w:rPr>
        <w:t>s</w:t>
      </w:r>
      <w:r w:rsidRPr="00805C4C">
        <w:rPr>
          <w:rFonts w:eastAsiaTheme="minorEastAsia"/>
          <w:lang w:val="fr-CA" w:eastAsia="en-GB"/>
        </w:rPr>
        <w:t xml:space="preserve"> parmi les 12 pays insulaires du Pacifique, qui limiteraient la participation</w:t>
      </w:r>
      <w:r w:rsidR="0074773B">
        <w:rPr>
          <w:rFonts w:eastAsiaTheme="minorEastAsia"/>
          <w:lang w:val="fr-CA" w:eastAsia="en-GB"/>
        </w:rPr>
        <w:t xml:space="preserve"> </w:t>
      </w:r>
      <w:r w:rsidRPr="00805C4C">
        <w:rPr>
          <w:rFonts w:eastAsiaTheme="minorEastAsia"/>
          <w:lang w:val="fr-CA" w:eastAsia="en-GB"/>
        </w:rPr>
        <w:t xml:space="preserve">; les pays préféraient un atelier en personne afin </w:t>
      </w:r>
      <w:r>
        <w:rPr>
          <w:rFonts w:eastAsiaTheme="minorEastAsia"/>
          <w:lang w:val="fr-CA" w:eastAsia="en-GB"/>
        </w:rPr>
        <w:t>d’obtenir</w:t>
      </w:r>
      <w:r w:rsidRPr="00805C4C">
        <w:rPr>
          <w:rFonts w:eastAsiaTheme="minorEastAsia"/>
          <w:lang w:val="fr-CA" w:eastAsia="en-GB"/>
        </w:rPr>
        <w:t xml:space="preserve"> un solide engagement de la part</w:t>
      </w:r>
      <w:r w:rsidR="0074773B">
        <w:rPr>
          <w:rFonts w:eastAsiaTheme="minorEastAsia"/>
          <w:lang w:val="fr-CA" w:eastAsia="en-GB"/>
        </w:rPr>
        <w:t xml:space="preserve"> du Bureau national de l’ozone ; et</w:t>
      </w:r>
    </w:p>
    <w:p w14:paraId="48C02A1C" w14:textId="77777777" w:rsidR="00937816" w:rsidRPr="00805C4C" w:rsidRDefault="00937816" w:rsidP="00937816">
      <w:pPr>
        <w:pStyle w:val="Heading2"/>
        <w:widowControl/>
        <w:rPr>
          <w:lang w:val="fr-CA"/>
        </w:rPr>
      </w:pPr>
      <w:r w:rsidRPr="00805C4C">
        <w:rPr>
          <w:i/>
          <w:lang w:val="fr-CA"/>
        </w:rPr>
        <w:lastRenderedPageBreak/>
        <w:t xml:space="preserve">Volet national : </w:t>
      </w:r>
      <w:r w:rsidRPr="00805C4C">
        <w:rPr>
          <w:lang w:val="fr-CA"/>
        </w:rPr>
        <w:t xml:space="preserve">Le début des activités a été lent car la plupart des ateliers de formation des douaniers et des techniciens en réfrigération et climatisation, des réunions de parties prenantes et des activités de sensibilisation en étaient encore à l’étape de la planification. Un atelier réunissant 15 douaniers a eu lieu aux États fédérés de Micronésie, et un atelier pour 24 douaniers et </w:t>
      </w:r>
      <w:r>
        <w:rPr>
          <w:lang w:val="fr-CA"/>
        </w:rPr>
        <w:t xml:space="preserve">un autre atelier pour </w:t>
      </w:r>
      <w:r w:rsidRPr="00805C4C">
        <w:rPr>
          <w:lang w:val="fr-CA"/>
        </w:rPr>
        <w:t xml:space="preserve">20 courtiers en douanes </w:t>
      </w:r>
      <w:r>
        <w:rPr>
          <w:lang w:val="fr-CA"/>
        </w:rPr>
        <w:t>ont</w:t>
      </w:r>
      <w:r w:rsidRPr="00805C4C">
        <w:rPr>
          <w:lang w:val="fr-CA"/>
        </w:rPr>
        <w:t xml:space="preserve"> été réalisé</w:t>
      </w:r>
      <w:r>
        <w:rPr>
          <w:lang w:val="fr-CA"/>
        </w:rPr>
        <w:t>s</w:t>
      </w:r>
      <w:r w:rsidRPr="00805C4C">
        <w:rPr>
          <w:lang w:val="fr-CA"/>
        </w:rPr>
        <w:t xml:space="preserve"> en Samoa</w:t>
      </w:r>
      <w:r>
        <w:rPr>
          <w:lang w:val="fr-CA"/>
        </w:rPr>
        <w:t>.</w:t>
      </w:r>
    </w:p>
    <w:p w14:paraId="0F1C4D0A" w14:textId="77777777" w:rsidR="00937816" w:rsidRPr="00805C4C" w:rsidRDefault="00937816" w:rsidP="00937816">
      <w:pPr>
        <w:pStyle w:val="Heading1"/>
        <w:rPr>
          <w:rFonts w:eastAsia="MS Mincho"/>
          <w:lang w:val="fr-CA"/>
        </w:rPr>
      </w:pPr>
      <w:r w:rsidRPr="00805C4C">
        <w:rPr>
          <w:rFonts w:eastAsia="MS Mincho"/>
          <w:lang w:val="fr-CA"/>
        </w:rPr>
        <w:t xml:space="preserve">À cause de ces retards, les pays insulaires du Pacifique, par l’intermédiaire du PNUE, demandent la prorogation de la période de mise en œuvre de la phase I du PGEH au 31 décembre 2022. En appui à cette demande, le PNUE a fourni un plan de travail détaillé des activités restantes de chaque pays afin </w:t>
      </w:r>
      <w:r>
        <w:rPr>
          <w:rFonts w:eastAsia="MS Mincho"/>
          <w:lang w:val="fr-CA"/>
        </w:rPr>
        <w:t>de garantir que c</w:t>
      </w:r>
      <w:r w:rsidRPr="00805C4C">
        <w:rPr>
          <w:rFonts w:eastAsia="MS Mincho"/>
          <w:lang w:val="fr-CA"/>
        </w:rPr>
        <w:t>es activités restantes seront achevées dans les délais.</w:t>
      </w:r>
    </w:p>
    <w:p w14:paraId="4BC43C71" w14:textId="77777777" w:rsidR="00937816" w:rsidRPr="00805C4C" w:rsidRDefault="00937816" w:rsidP="00937816">
      <w:pPr>
        <w:spacing w:after="160"/>
        <w:rPr>
          <w:iCs/>
          <w:u w:val="single"/>
          <w:lang w:val="fr-CA"/>
        </w:rPr>
      </w:pPr>
      <w:r w:rsidRPr="00805C4C">
        <w:rPr>
          <w:iCs/>
          <w:u w:val="single"/>
          <w:lang w:val="fr-CA"/>
        </w:rPr>
        <w:t>Niveau de décaissement</w:t>
      </w:r>
    </w:p>
    <w:p w14:paraId="424FA3A7" w14:textId="77777777" w:rsidR="00937816" w:rsidRPr="00805C4C" w:rsidRDefault="00937816" w:rsidP="00937816">
      <w:pPr>
        <w:numPr>
          <w:ilvl w:val="0"/>
          <w:numId w:val="1"/>
        </w:numPr>
        <w:tabs>
          <w:tab w:val="clear" w:pos="0"/>
          <w:tab w:val="num" w:pos="710"/>
        </w:tabs>
        <w:spacing w:after="240"/>
        <w:outlineLvl w:val="0"/>
        <w:rPr>
          <w:rFonts w:eastAsia="MS Mincho"/>
          <w:lang w:val="fr-CA"/>
        </w:rPr>
      </w:pPr>
      <w:r w:rsidRPr="00805C4C">
        <w:rPr>
          <w:rFonts w:eastAsia="MS Mincho"/>
          <w:lang w:val="fr-CA"/>
        </w:rPr>
        <w:t>Une part de 1 363 931 $US des 1 696 000 $US a été décaissée en date d’avril 2021, comme indiqué dans le tableau 8. Les premiers paiements pour la troisième et dernière tranche (7 660 $US) ont été versés aux 12 pays insulaires du Pacifique vers la mi-octobre 2020.</w:t>
      </w:r>
    </w:p>
    <w:p w14:paraId="04460707" w14:textId="77777777" w:rsidR="00937816" w:rsidRPr="00805C4C" w:rsidRDefault="00937816" w:rsidP="00937816">
      <w:pPr>
        <w:pStyle w:val="ListParagraph"/>
        <w:keepNext/>
        <w:ind w:left="0"/>
        <w:rPr>
          <w:b/>
          <w:lang w:val="fr-CA"/>
        </w:rPr>
      </w:pPr>
      <w:r w:rsidRPr="00805C4C">
        <w:rPr>
          <w:b/>
          <w:lang w:val="fr-CA"/>
        </w:rPr>
        <w:t>Tableau 8. Rapport financier de la phase I du PGEH pour les pays insulaires du Pacifique ($US)</w:t>
      </w:r>
    </w:p>
    <w:tbl>
      <w:tblPr>
        <w:tblStyle w:val="TableGrid"/>
        <w:tblW w:w="9351" w:type="dxa"/>
        <w:tblLayout w:type="fixed"/>
        <w:tblCellMar>
          <w:left w:w="72" w:type="dxa"/>
          <w:right w:w="72" w:type="dxa"/>
        </w:tblCellMar>
        <w:tblLook w:val="04A0" w:firstRow="1" w:lastRow="0" w:firstColumn="1" w:lastColumn="0" w:noHBand="0" w:noVBand="1"/>
      </w:tblPr>
      <w:tblGrid>
        <w:gridCol w:w="1232"/>
        <w:gridCol w:w="1014"/>
        <w:gridCol w:w="989"/>
        <w:gridCol w:w="1080"/>
        <w:gridCol w:w="990"/>
        <w:gridCol w:w="1080"/>
        <w:gridCol w:w="900"/>
        <w:gridCol w:w="1080"/>
        <w:gridCol w:w="986"/>
      </w:tblGrid>
      <w:tr w:rsidR="00937816" w:rsidRPr="00805C4C" w14:paraId="1279D1F7" w14:textId="77777777" w:rsidTr="004F62E7">
        <w:trPr>
          <w:tblHeader/>
        </w:trPr>
        <w:tc>
          <w:tcPr>
            <w:tcW w:w="1232" w:type="dxa"/>
            <w:vMerge w:val="restart"/>
            <w:tcMar>
              <w:left w:w="29" w:type="dxa"/>
              <w:right w:w="14" w:type="dxa"/>
            </w:tcMar>
            <w:vAlign w:val="center"/>
          </w:tcPr>
          <w:p w14:paraId="0D88445A" w14:textId="77777777" w:rsidR="00937816" w:rsidRPr="00805C4C" w:rsidRDefault="00937816" w:rsidP="004F62E7">
            <w:pPr>
              <w:jc w:val="left"/>
              <w:rPr>
                <w:b/>
                <w:sz w:val="18"/>
                <w:szCs w:val="18"/>
                <w:lang w:val="fr-CA"/>
              </w:rPr>
            </w:pPr>
            <w:r w:rsidRPr="00805C4C">
              <w:rPr>
                <w:b/>
                <w:sz w:val="18"/>
                <w:szCs w:val="18"/>
                <w:lang w:val="fr-CA"/>
              </w:rPr>
              <w:t>Volet</w:t>
            </w:r>
          </w:p>
        </w:tc>
        <w:tc>
          <w:tcPr>
            <w:tcW w:w="2003" w:type="dxa"/>
            <w:gridSpan w:val="2"/>
          </w:tcPr>
          <w:p w14:paraId="3FB2FC00" w14:textId="77777777" w:rsidR="00937816" w:rsidRPr="00805C4C" w:rsidRDefault="00937816" w:rsidP="004F62E7">
            <w:pPr>
              <w:keepNext/>
              <w:jc w:val="center"/>
              <w:rPr>
                <w:b/>
                <w:sz w:val="18"/>
                <w:szCs w:val="18"/>
                <w:lang w:val="fr-CA"/>
              </w:rPr>
            </w:pPr>
            <w:r w:rsidRPr="00805C4C">
              <w:rPr>
                <w:b/>
                <w:sz w:val="18"/>
                <w:szCs w:val="18"/>
                <w:lang w:val="fr-CA"/>
              </w:rPr>
              <w:t>Première tranche</w:t>
            </w:r>
          </w:p>
        </w:tc>
        <w:tc>
          <w:tcPr>
            <w:tcW w:w="2070" w:type="dxa"/>
            <w:gridSpan w:val="2"/>
          </w:tcPr>
          <w:p w14:paraId="507A5488" w14:textId="77777777" w:rsidR="00937816" w:rsidRPr="00805C4C" w:rsidRDefault="00937816" w:rsidP="004F62E7">
            <w:pPr>
              <w:keepNext/>
              <w:jc w:val="center"/>
              <w:rPr>
                <w:b/>
                <w:sz w:val="18"/>
                <w:szCs w:val="18"/>
                <w:lang w:val="fr-CA"/>
              </w:rPr>
            </w:pPr>
            <w:r w:rsidRPr="00805C4C">
              <w:rPr>
                <w:b/>
                <w:sz w:val="18"/>
                <w:szCs w:val="18"/>
                <w:lang w:val="fr-CA"/>
              </w:rPr>
              <w:t>Deuxième tranche</w:t>
            </w:r>
          </w:p>
        </w:tc>
        <w:tc>
          <w:tcPr>
            <w:tcW w:w="1980" w:type="dxa"/>
            <w:gridSpan w:val="2"/>
          </w:tcPr>
          <w:p w14:paraId="0009B8A8" w14:textId="77777777" w:rsidR="00937816" w:rsidRPr="00805C4C" w:rsidRDefault="00937816" w:rsidP="004F62E7">
            <w:pPr>
              <w:keepNext/>
              <w:jc w:val="center"/>
              <w:rPr>
                <w:b/>
                <w:sz w:val="18"/>
                <w:szCs w:val="18"/>
                <w:lang w:val="fr-CA"/>
              </w:rPr>
            </w:pPr>
            <w:r w:rsidRPr="00805C4C">
              <w:rPr>
                <w:b/>
                <w:sz w:val="18"/>
                <w:szCs w:val="18"/>
                <w:lang w:val="fr-CA"/>
              </w:rPr>
              <w:t>Troisième tranche</w:t>
            </w:r>
          </w:p>
        </w:tc>
        <w:tc>
          <w:tcPr>
            <w:tcW w:w="2066" w:type="dxa"/>
            <w:gridSpan w:val="2"/>
          </w:tcPr>
          <w:p w14:paraId="0FFDB0F1" w14:textId="77777777" w:rsidR="00937816" w:rsidRPr="00805C4C" w:rsidRDefault="00937816" w:rsidP="004F62E7">
            <w:pPr>
              <w:keepNext/>
              <w:jc w:val="center"/>
              <w:rPr>
                <w:b/>
                <w:sz w:val="18"/>
                <w:szCs w:val="18"/>
                <w:lang w:val="fr-CA"/>
              </w:rPr>
            </w:pPr>
            <w:r w:rsidRPr="00805C4C">
              <w:rPr>
                <w:b/>
                <w:sz w:val="18"/>
                <w:szCs w:val="18"/>
                <w:lang w:val="fr-CA"/>
              </w:rPr>
              <w:t xml:space="preserve">Total </w:t>
            </w:r>
          </w:p>
        </w:tc>
      </w:tr>
      <w:tr w:rsidR="00937816" w:rsidRPr="00805C4C" w14:paraId="2FC01582" w14:textId="77777777" w:rsidTr="004F62E7">
        <w:trPr>
          <w:tblHeader/>
        </w:trPr>
        <w:tc>
          <w:tcPr>
            <w:tcW w:w="1232" w:type="dxa"/>
            <w:vMerge/>
            <w:tcMar>
              <w:left w:w="29" w:type="dxa"/>
              <w:right w:w="14" w:type="dxa"/>
            </w:tcMar>
            <w:vAlign w:val="center"/>
          </w:tcPr>
          <w:p w14:paraId="6678ABA4" w14:textId="77777777" w:rsidR="00937816" w:rsidRPr="00805C4C" w:rsidRDefault="00937816" w:rsidP="004F62E7">
            <w:pPr>
              <w:jc w:val="left"/>
              <w:rPr>
                <w:b/>
                <w:sz w:val="18"/>
                <w:szCs w:val="18"/>
                <w:lang w:val="fr-CA"/>
              </w:rPr>
            </w:pPr>
          </w:p>
        </w:tc>
        <w:tc>
          <w:tcPr>
            <w:tcW w:w="1014" w:type="dxa"/>
            <w:vAlign w:val="center"/>
          </w:tcPr>
          <w:p w14:paraId="3E5DA217" w14:textId="77777777" w:rsidR="00937816" w:rsidRPr="00805C4C" w:rsidRDefault="00937816" w:rsidP="004F62E7">
            <w:pPr>
              <w:keepNext/>
              <w:jc w:val="center"/>
              <w:rPr>
                <w:b/>
                <w:sz w:val="18"/>
                <w:szCs w:val="18"/>
                <w:lang w:val="fr-CA"/>
              </w:rPr>
            </w:pPr>
            <w:r w:rsidRPr="00805C4C">
              <w:rPr>
                <w:b/>
                <w:sz w:val="18"/>
                <w:szCs w:val="18"/>
                <w:lang w:val="fr-CA"/>
              </w:rPr>
              <w:t>Approuvée</w:t>
            </w:r>
          </w:p>
        </w:tc>
        <w:tc>
          <w:tcPr>
            <w:tcW w:w="989" w:type="dxa"/>
            <w:vAlign w:val="center"/>
          </w:tcPr>
          <w:p w14:paraId="2920291E" w14:textId="77777777" w:rsidR="00937816" w:rsidRPr="00805C4C" w:rsidRDefault="00937816" w:rsidP="004F62E7">
            <w:pPr>
              <w:keepNext/>
              <w:jc w:val="center"/>
              <w:rPr>
                <w:b/>
                <w:sz w:val="18"/>
                <w:szCs w:val="18"/>
                <w:lang w:val="fr-CA"/>
              </w:rPr>
            </w:pPr>
            <w:r w:rsidRPr="00805C4C">
              <w:rPr>
                <w:b/>
                <w:sz w:val="18"/>
                <w:szCs w:val="18"/>
                <w:lang w:val="fr-CA"/>
              </w:rPr>
              <w:t>Décaissée</w:t>
            </w:r>
          </w:p>
        </w:tc>
        <w:tc>
          <w:tcPr>
            <w:tcW w:w="1080" w:type="dxa"/>
            <w:vAlign w:val="center"/>
          </w:tcPr>
          <w:p w14:paraId="51D638CB" w14:textId="77777777" w:rsidR="00937816" w:rsidRPr="00805C4C" w:rsidRDefault="00937816" w:rsidP="004F62E7">
            <w:pPr>
              <w:keepNext/>
              <w:jc w:val="center"/>
              <w:rPr>
                <w:b/>
                <w:sz w:val="18"/>
                <w:szCs w:val="18"/>
                <w:lang w:val="fr-CA"/>
              </w:rPr>
            </w:pPr>
            <w:r w:rsidRPr="00805C4C">
              <w:rPr>
                <w:b/>
                <w:sz w:val="18"/>
                <w:szCs w:val="18"/>
                <w:lang w:val="fr-CA"/>
              </w:rPr>
              <w:t>Approuvée</w:t>
            </w:r>
          </w:p>
        </w:tc>
        <w:tc>
          <w:tcPr>
            <w:tcW w:w="990" w:type="dxa"/>
            <w:vAlign w:val="center"/>
          </w:tcPr>
          <w:p w14:paraId="224D95DF" w14:textId="77777777" w:rsidR="00937816" w:rsidRPr="00805C4C" w:rsidRDefault="00937816" w:rsidP="004F62E7">
            <w:pPr>
              <w:keepNext/>
              <w:jc w:val="center"/>
              <w:rPr>
                <w:b/>
                <w:sz w:val="18"/>
                <w:szCs w:val="18"/>
                <w:lang w:val="fr-CA"/>
              </w:rPr>
            </w:pPr>
            <w:r w:rsidRPr="00805C4C">
              <w:rPr>
                <w:b/>
                <w:sz w:val="18"/>
                <w:szCs w:val="18"/>
                <w:lang w:val="fr-CA"/>
              </w:rPr>
              <w:t>Décaissée</w:t>
            </w:r>
          </w:p>
        </w:tc>
        <w:tc>
          <w:tcPr>
            <w:tcW w:w="1080" w:type="dxa"/>
            <w:vAlign w:val="center"/>
          </w:tcPr>
          <w:p w14:paraId="157B427D" w14:textId="77777777" w:rsidR="00937816" w:rsidRPr="00805C4C" w:rsidRDefault="00937816" w:rsidP="004F62E7">
            <w:pPr>
              <w:keepNext/>
              <w:jc w:val="center"/>
              <w:rPr>
                <w:b/>
                <w:sz w:val="18"/>
                <w:szCs w:val="18"/>
                <w:lang w:val="fr-CA"/>
              </w:rPr>
            </w:pPr>
            <w:r w:rsidRPr="00805C4C">
              <w:rPr>
                <w:b/>
                <w:sz w:val="18"/>
                <w:szCs w:val="18"/>
                <w:lang w:val="fr-CA"/>
              </w:rPr>
              <w:t>Approuvée</w:t>
            </w:r>
          </w:p>
        </w:tc>
        <w:tc>
          <w:tcPr>
            <w:tcW w:w="900" w:type="dxa"/>
            <w:shd w:val="clear" w:color="auto" w:fill="auto"/>
            <w:vAlign w:val="center"/>
          </w:tcPr>
          <w:p w14:paraId="34B26AE9" w14:textId="77777777" w:rsidR="00937816" w:rsidRPr="00805C4C" w:rsidRDefault="00937816" w:rsidP="004F62E7">
            <w:pPr>
              <w:keepNext/>
              <w:jc w:val="center"/>
              <w:rPr>
                <w:b/>
                <w:sz w:val="18"/>
                <w:szCs w:val="18"/>
                <w:lang w:val="fr-CA"/>
              </w:rPr>
            </w:pPr>
            <w:r w:rsidRPr="00805C4C">
              <w:rPr>
                <w:b/>
                <w:sz w:val="18"/>
                <w:szCs w:val="18"/>
                <w:lang w:val="fr-CA"/>
              </w:rPr>
              <w:t>Décaissée</w:t>
            </w:r>
          </w:p>
        </w:tc>
        <w:tc>
          <w:tcPr>
            <w:tcW w:w="1080" w:type="dxa"/>
            <w:tcBorders>
              <w:bottom w:val="single" w:sz="4" w:space="0" w:color="auto"/>
            </w:tcBorders>
            <w:vAlign w:val="center"/>
          </w:tcPr>
          <w:p w14:paraId="3BBC3AA5" w14:textId="77777777" w:rsidR="00937816" w:rsidRPr="00805C4C" w:rsidRDefault="00937816" w:rsidP="004F62E7">
            <w:pPr>
              <w:keepNext/>
              <w:jc w:val="center"/>
              <w:rPr>
                <w:b/>
                <w:sz w:val="18"/>
                <w:szCs w:val="18"/>
                <w:lang w:val="fr-CA"/>
              </w:rPr>
            </w:pPr>
            <w:r w:rsidRPr="00805C4C">
              <w:rPr>
                <w:b/>
                <w:sz w:val="18"/>
                <w:szCs w:val="18"/>
                <w:lang w:val="fr-CA"/>
              </w:rPr>
              <w:t>Approuvée</w:t>
            </w:r>
          </w:p>
        </w:tc>
        <w:tc>
          <w:tcPr>
            <w:tcW w:w="986" w:type="dxa"/>
            <w:tcBorders>
              <w:bottom w:val="single" w:sz="4" w:space="0" w:color="auto"/>
            </w:tcBorders>
            <w:vAlign w:val="center"/>
          </w:tcPr>
          <w:p w14:paraId="3F22A927" w14:textId="77777777" w:rsidR="00937816" w:rsidRPr="00805C4C" w:rsidRDefault="00937816" w:rsidP="004F62E7">
            <w:pPr>
              <w:keepNext/>
              <w:jc w:val="center"/>
              <w:rPr>
                <w:b/>
                <w:sz w:val="18"/>
                <w:szCs w:val="18"/>
                <w:lang w:val="fr-CA"/>
              </w:rPr>
            </w:pPr>
            <w:r w:rsidRPr="00805C4C">
              <w:rPr>
                <w:b/>
                <w:sz w:val="18"/>
                <w:szCs w:val="18"/>
                <w:lang w:val="fr-CA"/>
              </w:rPr>
              <w:t>Décaissée</w:t>
            </w:r>
          </w:p>
        </w:tc>
      </w:tr>
      <w:tr w:rsidR="00937816" w:rsidRPr="00805C4C" w14:paraId="212130D4" w14:textId="77777777" w:rsidTr="004F62E7">
        <w:tc>
          <w:tcPr>
            <w:tcW w:w="1232" w:type="dxa"/>
            <w:tcMar>
              <w:left w:w="29" w:type="dxa"/>
              <w:right w:w="14" w:type="dxa"/>
            </w:tcMar>
            <w:vAlign w:val="center"/>
          </w:tcPr>
          <w:p w14:paraId="7705FBFB" w14:textId="77777777" w:rsidR="00937816" w:rsidRPr="00805C4C" w:rsidRDefault="00937816" w:rsidP="004F62E7">
            <w:pPr>
              <w:jc w:val="left"/>
              <w:rPr>
                <w:sz w:val="18"/>
                <w:szCs w:val="18"/>
                <w:lang w:val="fr-CA"/>
              </w:rPr>
            </w:pPr>
            <w:r w:rsidRPr="00805C4C">
              <w:rPr>
                <w:sz w:val="18"/>
                <w:szCs w:val="18"/>
                <w:lang w:val="fr-CA"/>
              </w:rPr>
              <w:t xml:space="preserve">National </w:t>
            </w:r>
          </w:p>
        </w:tc>
        <w:tc>
          <w:tcPr>
            <w:tcW w:w="1014" w:type="dxa"/>
          </w:tcPr>
          <w:p w14:paraId="3BA0D1A2" w14:textId="77777777" w:rsidR="00937816" w:rsidRPr="00805C4C" w:rsidRDefault="00937816" w:rsidP="004F62E7">
            <w:pPr>
              <w:keepNext/>
              <w:jc w:val="right"/>
              <w:rPr>
                <w:sz w:val="18"/>
                <w:szCs w:val="18"/>
                <w:lang w:val="fr-CA"/>
              </w:rPr>
            </w:pPr>
            <w:r w:rsidRPr="00805C4C">
              <w:rPr>
                <w:sz w:val="18"/>
                <w:szCs w:val="18"/>
                <w:lang w:val="fr-CA"/>
              </w:rPr>
              <w:t>739 375</w:t>
            </w:r>
          </w:p>
        </w:tc>
        <w:tc>
          <w:tcPr>
            <w:tcW w:w="989" w:type="dxa"/>
          </w:tcPr>
          <w:p w14:paraId="2396FAA9" w14:textId="77777777" w:rsidR="00937816" w:rsidRPr="00805C4C" w:rsidRDefault="00937816" w:rsidP="004F62E7">
            <w:pPr>
              <w:keepNext/>
              <w:jc w:val="right"/>
              <w:rPr>
                <w:sz w:val="18"/>
                <w:szCs w:val="18"/>
                <w:lang w:val="fr-CA"/>
              </w:rPr>
            </w:pPr>
            <w:r w:rsidRPr="00805C4C">
              <w:rPr>
                <w:sz w:val="18"/>
                <w:szCs w:val="18"/>
                <w:lang w:val="fr-CA"/>
              </w:rPr>
              <w:t>739 375</w:t>
            </w:r>
          </w:p>
        </w:tc>
        <w:tc>
          <w:tcPr>
            <w:tcW w:w="1080" w:type="dxa"/>
            <w:tcBorders>
              <w:top w:val="nil"/>
              <w:left w:val="nil"/>
              <w:bottom w:val="single" w:sz="4" w:space="0" w:color="auto"/>
              <w:right w:val="single" w:sz="4" w:space="0" w:color="auto"/>
            </w:tcBorders>
            <w:shd w:val="clear" w:color="auto" w:fill="auto"/>
          </w:tcPr>
          <w:p w14:paraId="721AF1D2" w14:textId="77777777" w:rsidR="00937816" w:rsidRPr="00805C4C" w:rsidRDefault="00937816" w:rsidP="004F62E7">
            <w:pPr>
              <w:keepNext/>
              <w:jc w:val="right"/>
              <w:rPr>
                <w:sz w:val="18"/>
                <w:szCs w:val="18"/>
                <w:lang w:val="fr-CA"/>
              </w:rPr>
            </w:pPr>
            <w:r w:rsidRPr="00805C4C">
              <w:rPr>
                <w:sz w:val="18"/>
                <w:szCs w:val="18"/>
                <w:lang w:val="fr-CA"/>
              </w:rPr>
              <w:t>530 525</w:t>
            </w:r>
          </w:p>
        </w:tc>
        <w:tc>
          <w:tcPr>
            <w:tcW w:w="990" w:type="dxa"/>
            <w:tcBorders>
              <w:top w:val="nil"/>
              <w:left w:val="single" w:sz="4" w:space="0" w:color="auto"/>
              <w:bottom w:val="single" w:sz="4" w:space="0" w:color="auto"/>
              <w:right w:val="single" w:sz="4" w:space="0" w:color="auto"/>
            </w:tcBorders>
            <w:shd w:val="clear" w:color="auto" w:fill="auto"/>
          </w:tcPr>
          <w:p w14:paraId="0EBBE99F" w14:textId="77777777" w:rsidR="00937816" w:rsidRPr="00805C4C" w:rsidRDefault="00937816" w:rsidP="004F62E7">
            <w:pPr>
              <w:keepNext/>
              <w:jc w:val="right"/>
              <w:rPr>
                <w:sz w:val="18"/>
                <w:szCs w:val="18"/>
                <w:lang w:val="fr-CA"/>
              </w:rPr>
            </w:pPr>
            <w:r w:rsidRPr="00805C4C">
              <w:rPr>
                <w:bCs/>
                <w:color w:val="000000"/>
                <w:sz w:val="18"/>
                <w:szCs w:val="18"/>
                <w:lang w:val="fr-CA"/>
              </w:rPr>
              <w:t>376 896</w:t>
            </w:r>
          </w:p>
        </w:tc>
        <w:tc>
          <w:tcPr>
            <w:tcW w:w="1080" w:type="dxa"/>
            <w:tcBorders>
              <w:top w:val="single" w:sz="4" w:space="0" w:color="auto"/>
              <w:left w:val="nil"/>
              <w:bottom w:val="single" w:sz="4" w:space="0" w:color="auto"/>
              <w:right w:val="single" w:sz="4" w:space="0" w:color="auto"/>
            </w:tcBorders>
          </w:tcPr>
          <w:p w14:paraId="59FE34A1" w14:textId="77777777" w:rsidR="00937816" w:rsidRPr="00805C4C" w:rsidRDefault="00937816" w:rsidP="004F62E7">
            <w:pPr>
              <w:keepNext/>
              <w:jc w:val="right"/>
              <w:rPr>
                <w:bCs/>
                <w:color w:val="000000"/>
                <w:sz w:val="18"/>
                <w:szCs w:val="18"/>
                <w:lang w:val="fr-CA"/>
              </w:rPr>
            </w:pPr>
            <w:r w:rsidRPr="00805C4C">
              <w:rPr>
                <w:bCs/>
                <w:sz w:val="18"/>
                <w:szCs w:val="18"/>
                <w:lang w:val="fr-CA"/>
              </w:rPr>
              <w:t>141 100</w:t>
            </w:r>
          </w:p>
        </w:tc>
        <w:tc>
          <w:tcPr>
            <w:tcW w:w="900" w:type="dxa"/>
            <w:tcBorders>
              <w:top w:val="single" w:sz="4" w:space="0" w:color="auto"/>
              <w:left w:val="single" w:sz="4" w:space="0" w:color="auto"/>
              <w:bottom w:val="single" w:sz="4" w:space="0" w:color="auto"/>
              <w:right w:val="single" w:sz="4" w:space="0" w:color="auto"/>
            </w:tcBorders>
          </w:tcPr>
          <w:p w14:paraId="0835E35A" w14:textId="77777777" w:rsidR="00937816" w:rsidRPr="00805C4C" w:rsidRDefault="00937816" w:rsidP="004F62E7">
            <w:pPr>
              <w:keepNext/>
              <w:jc w:val="right"/>
              <w:rPr>
                <w:color w:val="000000"/>
                <w:sz w:val="18"/>
                <w:szCs w:val="18"/>
                <w:lang w:val="fr-CA"/>
              </w:rPr>
            </w:pPr>
            <w:r w:rsidRPr="00805C4C">
              <w:rPr>
                <w:color w:val="000000"/>
                <w:sz w:val="18"/>
                <w:szCs w:val="18"/>
                <w:lang w:val="fr-CA"/>
              </w:rPr>
              <w:t>7 660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5FA587" w14:textId="77777777" w:rsidR="00937816" w:rsidRPr="00805C4C" w:rsidRDefault="00937816" w:rsidP="004F62E7">
            <w:pPr>
              <w:keepNext/>
              <w:jc w:val="right"/>
              <w:rPr>
                <w:color w:val="000000"/>
                <w:sz w:val="18"/>
                <w:szCs w:val="18"/>
                <w:lang w:val="fr-CA"/>
              </w:rPr>
            </w:pPr>
            <w:r w:rsidRPr="00805C4C">
              <w:rPr>
                <w:color w:val="000000"/>
                <w:sz w:val="18"/>
                <w:szCs w:val="18"/>
                <w:lang w:val="fr-CA"/>
              </w:rPr>
              <w:t>1 411 00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E5DD780" w14:textId="77777777" w:rsidR="00937816" w:rsidRPr="00805C4C" w:rsidRDefault="00937816" w:rsidP="004F62E7">
            <w:pPr>
              <w:keepNext/>
              <w:jc w:val="right"/>
              <w:rPr>
                <w:color w:val="000000"/>
                <w:sz w:val="18"/>
                <w:szCs w:val="18"/>
                <w:lang w:val="fr-CA"/>
              </w:rPr>
            </w:pPr>
            <w:r w:rsidRPr="00805C4C">
              <w:rPr>
                <w:color w:val="000000"/>
                <w:sz w:val="18"/>
                <w:szCs w:val="18"/>
                <w:lang w:val="fr-CA"/>
              </w:rPr>
              <w:t>1 123 931</w:t>
            </w:r>
          </w:p>
        </w:tc>
      </w:tr>
      <w:tr w:rsidR="00937816" w:rsidRPr="00805C4C" w14:paraId="4F059778" w14:textId="77777777" w:rsidTr="004F62E7">
        <w:tc>
          <w:tcPr>
            <w:tcW w:w="1232" w:type="dxa"/>
            <w:tcMar>
              <w:left w:w="29" w:type="dxa"/>
              <w:right w:w="14" w:type="dxa"/>
            </w:tcMar>
            <w:vAlign w:val="center"/>
          </w:tcPr>
          <w:p w14:paraId="115AFB14" w14:textId="77777777" w:rsidR="00937816" w:rsidRPr="00805C4C" w:rsidRDefault="00937816" w:rsidP="004F62E7">
            <w:pPr>
              <w:jc w:val="left"/>
              <w:rPr>
                <w:sz w:val="18"/>
                <w:szCs w:val="18"/>
                <w:lang w:val="fr-CA"/>
              </w:rPr>
            </w:pPr>
            <w:r w:rsidRPr="00805C4C">
              <w:rPr>
                <w:sz w:val="18"/>
                <w:szCs w:val="18"/>
                <w:lang w:val="fr-CA"/>
              </w:rPr>
              <w:t>Régional</w:t>
            </w:r>
          </w:p>
        </w:tc>
        <w:tc>
          <w:tcPr>
            <w:tcW w:w="1014" w:type="dxa"/>
          </w:tcPr>
          <w:p w14:paraId="6A5EDB5F" w14:textId="77777777" w:rsidR="00937816" w:rsidRPr="00805C4C" w:rsidRDefault="00937816" w:rsidP="004F62E7">
            <w:pPr>
              <w:keepNext/>
              <w:jc w:val="right"/>
              <w:rPr>
                <w:sz w:val="18"/>
                <w:szCs w:val="18"/>
                <w:lang w:val="fr-CA"/>
              </w:rPr>
            </w:pPr>
            <w:r w:rsidRPr="00805C4C">
              <w:rPr>
                <w:sz w:val="18"/>
                <w:szCs w:val="18"/>
                <w:lang w:val="fr-CA"/>
              </w:rPr>
              <w:t>134 000</w:t>
            </w:r>
          </w:p>
        </w:tc>
        <w:tc>
          <w:tcPr>
            <w:tcW w:w="989" w:type="dxa"/>
          </w:tcPr>
          <w:p w14:paraId="5412B2B0" w14:textId="77777777" w:rsidR="00937816" w:rsidRPr="00805C4C" w:rsidRDefault="00937816" w:rsidP="004F62E7">
            <w:pPr>
              <w:keepNext/>
              <w:jc w:val="right"/>
              <w:rPr>
                <w:sz w:val="18"/>
                <w:szCs w:val="18"/>
                <w:lang w:val="fr-CA"/>
              </w:rPr>
            </w:pPr>
            <w:r w:rsidRPr="00805C4C">
              <w:rPr>
                <w:sz w:val="18"/>
                <w:szCs w:val="18"/>
                <w:lang w:val="fr-CA"/>
              </w:rPr>
              <w:t>134 000</w:t>
            </w:r>
          </w:p>
        </w:tc>
        <w:tc>
          <w:tcPr>
            <w:tcW w:w="1080" w:type="dxa"/>
          </w:tcPr>
          <w:p w14:paraId="6C5DE858" w14:textId="77777777" w:rsidR="00937816" w:rsidRPr="00805C4C" w:rsidRDefault="00937816" w:rsidP="004F62E7">
            <w:pPr>
              <w:keepNext/>
              <w:jc w:val="right"/>
              <w:rPr>
                <w:sz w:val="18"/>
                <w:szCs w:val="18"/>
                <w:lang w:val="fr-CA"/>
              </w:rPr>
            </w:pPr>
            <w:r w:rsidRPr="00805C4C">
              <w:rPr>
                <w:sz w:val="18"/>
                <w:szCs w:val="18"/>
                <w:lang w:val="fr-CA"/>
              </w:rPr>
              <w:t>106 000</w:t>
            </w:r>
          </w:p>
        </w:tc>
        <w:tc>
          <w:tcPr>
            <w:tcW w:w="990" w:type="dxa"/>
          </w:tcPr>
          <w:p w14:paraId="69A77313" w14:textId="77777777" w:rsidR="00937816" w:rsidRPr="00805C4C" w:rsidRDefault="00937816" w:rsidP="004F62E7">
            <w:pPr>
              <w:keepNext/>
              <w:jc w:val="right"/>
              <w:rPr>
                <w:sz w:val="18"/>
                <w:szCs w:val="18"/>
                <w:lang w:val="fr-CA"/>
              </w:rPr>
            </w:pPr>
            <w:r w:rsidRPr="00805C4C">
              <w:rPr>
                <w:sz w:val="18"/>
                <w:szCs w:val="18"/>
                <w:lang w:val="fr-CA"/>
              </w:rPr>
              <w:t>106 000</w:t>
            </w:r>
          </w:p>
        </w:tc>
        <w:tc>
          <w:tcPr>
            <w:tcW w:w="1080" w:type="dxa"/>
          </w:tcPr>
          <w:p w14:paraId="57F68A86" w14:textId="77777777" w:rsidR="00937816" w:rsidRPr="00805C4C" w:rsidRDefault="00937816" w:rsidP="004F62E7">
            <w:pPr>
              <w:keepNext/>
              <w:jc w:val="right"/>
              <w:rPr>
                <w:color w:val="000000"/>
                <w:sz w:val="18"/>
                <w:szCs w:val="18"/>
                <w:lang w:val="fr-CA"/>
              </w:rPr>
            </w:pPr>
            <w:r w:rsidRPr="00805C4C">
              <w:rPr>
                <w:sz w:val="18"/>
                <w:szCs w:val="18"/>
                <w:lang w:val="fr-CA"/>
              </w:rPr>
              <w:t>45 000</w:t>
            </w:r>
          </w:p>
        </w:tc>
        <w:tc>
          <w:tcPr>
            <w:tcW w:w="900" w:type="dxa"/>
            <w:tcBorders>
              <w:right w:val="single" w:sz="4" w:space="0" w:color="auto"/>
            </w:tcBorders>
          </w:tcPr>
          <w:p w14:paraId="282D22BA" w14:textId="77777777" w:rsidR="00937816" w:rsidRPr="00805C4C" w:rsidRDefault="00937816" w:rsidP="004F62E7">
            <w:pPr>
              <w:keepNext/>
              <w:jc w:val="right"/>
              <w:rPr>
                <w:color w:val="000000"/>
                <w:sz w:val="18"/>
                <w:szCs w:val="18"/>
                <w:lang w:val="fr-CA"/>
              </w:rPr>
            </w:pPr>
            <w:r w:rsidRPr="00805C4C">
              <w:rPr>
                <w:color w:val="000000"/>
                <w:sz w:val="18"/>
                <w:szCs w:val="18"/>
                <w:lang w:val="fr-CA"/>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9A108F" w14:textId="77777777" w:rsidR="00937816" w:rsidRPr="00805C4C" w:rsidRDefault="00937816" w:rsidP="004F62E7">
            <w:pPr>
              <w:keepNext/>
              <w:jc w:val="right"/>
              <w:rPr>
                <w:color w:val="000000"/>
                <w:sz w:val="18"/>
                <w:szCs w:val="18"/>
                <w:lang w:val="fr-CA"/>
              </w:rPr>
            </w:pPr>
            <w:r w:rsidRPr="00805C4C">
              <w:rPr>
                <w:color w:val="000000"/>
                <w:sz w:val="18"/>
                <w:szCs w:val="18"/>
                <w:lang w:val="fr-CA"/>
              </w:rPr>
              <w:t>285 000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F7A39BB" w14:textId="77777777" w:rsidR="00937816" w:rsidRPr="00805C4C" w:rsidRDefault="00937816" w:rsidP="004F62E7">
            <w:pPr>
              <w:keepNext/>
              <w:jc w:val="right"/>
              <w:rPr>
                <w:color w:val="000000"/>
                <w:sz w:val="18"/>
                <w:szCs w:val="18"/>
                <w:lang w:val="fr-CA"/>
              </w:rPr>
            </w:pPr>
            <w:r w:rsidRPr="00805C4C">
              <w:rPr>
                <w:color w:val="000000"/>
                <w:sz w:val="18"/>
                <w:szCs w:val="18"/>
                <w:lang w:val="fr-CA"/>
              </w:rPr>
              <w:t>240 000</w:t>
            </w:r>
          </w:p>
        </w:tc>
      </w:tr>
      <w:tr w:rsidR="00937816" w:rsidRPr="00805C4C" w14:paraId="74EDC66A" w14:textId="77777777" w:rsidTr="004F62E7">
        <w:tc>
          <w:tcPr>
            <w:tcW w:w="1232" w:type="dxa"/>
            <w:tcBorders>
              <w:bottom w:val="single" w:sz="2" w:space="0" w:color="auto"/>
            </w:tcBorders>
            <w:tcMar>
              <w:left w:w="29" w:type="dxa"/>
              <w:right w:w="14" w:type="dxa"/>
            </w:tcMar>
            <w:vAlign w:val="center"/>
          </w:tcPr>
          <w:p w14:paraId="2490BCF3" w14:textId="77777777" w:rsidR="00937816" w:rsidRPr="00805C4C" w:rsidRDefault="00937816" w:rsidP="004F62E7">
            <w:pPr>
              <w:jc w:val="left"/>
              <w:rPr>
                <w:b/>
                <w:sz w:val="18"/>
                <w:szCs w:val="18"/>
                <w:lang w:val="fr-CA"/>
              </w:rPr>
            </w:pPr>
            <w:r w:rsidRPr="00805C4C">
              <w:rPr>
                <w:b/>
                <w:sz w:val="18"/>
                <w:szCs w:val="18"/>
                <w:lang w:val="fr-CA"/>
              </w:rPr>
              <w:t>Total</w:t>
            </w:r>
          </w:p>
        </w:tc>
        <w:tc>
          <w:tcPr>
            <w:tcW w:w="1014" w:type="dxa"/>
            <w:tcBorders>
              <w:bottom w:val="single" w:sz="2" w:space="0" w:color="auto"/>
            </w:tcBorders>
          </w:tcPr>
          <w:p w14:paraId="5FAD6E66" w14:textId="77777777" w:rsidR="00937816" w:rsidRPr="00805C4C" w:rsidRDefault="00937816" w:rsidP="004F62E7">
            <w:pPr>
              <w:keepNext/>
              <w:jc w:val="right"/>
              <w:rPr>
                <w:b/>
                <w:sz w:val="18"/>
                <w:szCs w:val="18"/>
                <w:lang w:val="fr-CA"/>
              </w:rPr>
            </w:pPr>
            <w:r w:rsidRPr="00805C4C">
              <w:rPr>
                <w:b/>
                <w:sz w:val="18"/>
                <w:szCs w:val="18"/>
                <w:lang w:val="fr-CA"/>
              </w:rPr>
              <w:t>873 375</w:t>
            </w:r>
          </w:p>
        </w:tc>
        <w:tc>
          <w:tcPr>
            <w:tcW w:w="989" w:type="dxa"/>
            <w:tcBorders>
              <w:bottom w:val="single" w:sz="2" w:space="0" w:color="auto"/>
            </w:tcBorders>
          </w:tcPr>
          <w:p w14:paraId="1B711AC5" w14:textId="77777777" w:rsidR="00937816" w:rsidRPr="00805C4C" w:rsidRDefault="00937816" w:rsidP="004F62E7">
            <w:pPr>
              <w:keepNext/>
              <w:jc w:val="right"/>
              <w:rPr>
                <w:b/>
                <w:sz w:val="18"/>
                <w:szCs w:val="18"/>
                <w:lang w:val="fr-CA"/>
              </w:rPr>
            </w:pPr>
            <w:r w:rsidRPr="00805C4C">
              <w:rPr>
                <w:b/>
                <w:sz w:val="18"/>
                <w:szCs w:val="18"/>
                <w:lang w:val="fr-CA"/>
              </w:rPr>
              <w:t>873 375</w:t>
            </w:r>
          </w:p>
        </w:tc>
        <w:tc>
          <w:tcPr>
            <w:tcW w:w="1080" w:type="dxa"/>
            <w:tcBorders>
              <w:bottom w:val="single" w:sz="2" w:space="0" w:color="auto"/>
            </w:tcBorders>
          </w:tcPr>
          <w:p w14:paraId="5D1CB7A1" w14:textId="77777777" w:rsidR="00937816" w:rsidRPr="00805C4C" w:rsidRDefault="00937816" w:rsidP="004F62E7">
            <w:pPr>
              <w:keepNext/>
              <w:jc w:val="right"/>
              <w:rPr>
                <w:b/>
                <w:sz w:val="18"/>
                <w:szCs w:val="18"/>
                <w:lang w:val="fr-CA"/>
              </w:rPr>
            </w:pPr>
            <w:r w:rsidRPr="00805C4C">
              <w:rPr>
                <w:b/>
                <w:sz w:val="18"/>
                <w:szCs w:val="18"/>
                <w:lang w:val="fr-CA"/>
              </w:rPr>
              <w:t>636 525</w:t>
            </w:r>
          </w:p>
        </w:tc>
        <w:tc>
          <w:tcPr>
            <w:tcW w:w="990" w:type="dxa"/>
            <w:tcBorders>
              <w:bottom w:val="single" w:sz="2" w:space="0" w:color="auto"/>
            </w:tcBorders>
          </w:tcPr>
          <w:p w14:paraId="31BD80F1" w14:textId="77777777" w:rsidR="00937816" w:rsidRPr="00805C4C" w:rsidRDefault="00937816" w:rsidP="004F62E7">
            <w:pPr>
              <w:keepNext/>
              <w:jc w:val="right"/>
              <w:rPr>
                <w:b/>
                <w:sz w:val="18"/>
                <w:szCs w:val="18"/>
                <w:lang w:val="fr-CA"/>
              </w:rPr>
            </w:pPr>
            <w:r w:rsidRPr="00805C4C">
              <w:rPr>
                <w:b/>
                <w:sz w:val="18"/>
                <w:szCs w:val="18"/>
                <w:lang w:val="fr-CA"/>
              </w:rPr>
              <w:t>482 896</w:t>
            </w:r>
          </w:p>
        </w:tc>
        <w:tc>
          <w:tcPr>
            <w:tcW w:w="1080" w:type="dxa"/>
            <w:tcBorders>
              <w:bottom w:val="single" w:sz="4" w:space="0" w:color="auto"/>
            </w:tcBorders>
          </w:tcPr>
          <w:p w14:paraId="4E087524" w14:textId="77777777" w:rsidR="00937816" w:rsidRPr="00805C4C" w:rsidRDefault="00937816" w:rsidP="004F62E7">
            <w:pPr>
              <w:keepNext/>
              <w:jc w:val="right"/>
              <w:rPr>
                <w:b/>
                <w:sz w:val="18"/>
                <w:szCs w:val="18"/>
                <w:lang w:val="fr-CA"/>
              </w:rPr>
            </w:pPr>
            <w:r w:rsidRPr="00805C4C">
              <w:rPr>
                <w:b/>
                <w:sz w:val="18"/>
                <w:szCs w:val="18"/>
                <w:lang w:val="fr-CA"/>
              </w:rPr>
              <w:t>186 100</w:t>
            </w:r>
          </w:p>
        </w:tc>
        <w:tc>
          <w:tcPr>
            <w:tcW w:w="900" w:type="dxa"/>
            <w:tcBorders>
              <w:bottom w:val="single" w:sz="4" w:space="0" w:color="auto"/>
            </w:tcBorders>
          </w:tcPr>
          <w:p w14:paraId="3582CCE1" w14:textId="77777777" w:rsidR="00937816" w:rsidRPr="00805C4C" w:rsidRDefault="00937816" w:rsidP="004F62E7">
            <w:pPr>
              <w:keepNext/>
              <w:jc w:val="right"/>
              <w:rPr>
                <w:b/>
                <w:sz w:val="18"/>
                <w:szCs w:val="18"/>
                <w:lang w:val="fr-CA"/>
              </w:rPr>
            </w:pPr>
            <w:r w:rsidRPr="00805C4C">
              <w:rPr>
                <w:b/>
                <w:sz w:val="18"/>
                <w:szCs w:val="18"/>
                <w:lang w:val="fr-CA"/>
              </w:rPr>
              <w:t>7 660</w:t>
            </w:r>
          </w:p>
        </w:tc>
        <w:tc>
          <w:tcPr>
            <w:tcW w:w="1080" w:type="dxa"/>
            <w:tcBorders>
              <w:bottom w:val="single" w:sz="2" w:space="0" w:color="auto"/>
            </w:tcBorders>
          </w:tcPr>
          <w:p w14:paraId="75FAB5AB" w14:textId="77777777" w:rsidR="00937816" w:rsidRPr="00805C4C" w:rsidRDefault="00937816" w:rsidP="004F62E7">
            <w:pPr>
              <w:keepNext/>
              <w:jc w:val="right"/>
              <w:rPr>
                <w:b/>
                <w:sz w:val="18"/>
                <w:szCs w:val="18"/>
                <w:lang w:val="fr-CA"/>
              </w:rPr>
            </w:pPr>
            <w:r w:rsidRPr="00805C4C">
              <w:rPr>
                <w:b/>
                <w:sz w:val="18"/>
                <w:szCs w:val="18"/>
                <w:lang w:val="fr-CA"/>
              </w:rPr>
              <w:t>1 696 000</w:t>
            </w:r>
          </w:p>
        </w:tc>
        <w:tc>
          <w:tcPr>
            <w:tcW w:w="986" w:type="dxa"/>
            <w:tcBorders>
              <w:bottom w:val="single" w:sz="2" w:space="0" w:color="auto"/>
            </w:tcBorders>
          </w:tcPr>
          <w:p w14:paraId="2E184A79" w14:textId="77777777" w:rsidR="00937816" w:rsidRPr="00805C4C" w:rsidRDefault="00937816" w:rsidP="004F62E7">
            <w:pPr>
              <w:keepNext/>
              <w:jc w:val="right"/>
              <w:rPr>
                <w:b/>
                <w:sz w:val="18"/>
                <w:szCs w:val="18"/>
                <w:lang w:val="fr-CA"/>
              </w:rPr>
            </w:pPr>
            <w:r w:rsidRPr="00805C4C">
              <w:rPr>
                <w:b/>
                <w:sz w:val="18"/>
                <w:szCs w:val="18"/>
                <w:lang w:val="fr-CA"/>
              </w:rPr>
              <w:t>1 363 931</w:t>
            </w:r>
          </w:p>
        </w:tc>
      </w:tr>
      <w:tr w:rsidR="00937816" w:rsidRPr="00805C4C" w14:paraId="3236EFB7" w14:textId="77777777" w:rsidTr="004F62E7">
        <w:tc>
          <w:tcPr>
            <w:tcW w:w="1232" w:type="dxa"/>
            <w:tcBorders>
              <w:bottom w:val="single" w:sz="2" w:space="0" w:color="auto"/>
            </w:tcBorders>
            <w:tcMar>
              <w:left w:w="29" w:type="dxa"/>
              <w:right w:w="14" w:type="dxa"/>
            </w:tcMar>
            <w:vAlign w:val="center"/>
          </w:tcPr>
          <w:p w14:paraId="60E1D521" w14:textId="77777777" w:rsidR="00937816" w:rsidRPr="00805C4C" w:rsidRDefault="00937816" w:rsidP="004F62E7">
            <w:pPr>
              <w:jc w:val="left"/>
              <w:rPr>
                <w:b/>
                <w:sz w:val="18"/>
                <w:szCs w:val="18"/>
                <w:lang w:val="fr-CA"/>
              </w:rPr>
            </w:pPr>
            <w:r w:rsidRPr="00805C4C">
              <w:rPr>
                <w:b/>
                <w:sz w:val="18"/>
                <w:szCs w:val="18"/>
                <w:lang w:val="fr-CA"/>
              </w:rPr>
              <w:t>Taux de décaissement (%)</w:t>
            </w:r>
          </w:p>
        </w:tc>
        <w:tc>
          <w:tcPr>
            <w:tcW w:w="2003" w:type="dxa"/>
            <w:gridSpan w:val="2"/>
            <w:tcBorders>
              <w:bottom w:val="single" w:sz="2" w:space="0" w:color="auto"/>
            </w:tcBorders>
          </w:tcPr>
          <w:p w14:paraId="52BA404F" w14:textId="77777777" w:rsidR="00937816" w:rsidRPr="00805C4C" w:rsidRDefault="00937816" w:rsidP="004F62E7">
            <w:pPr>
              <w:keepNext/>
              <w:jc w:val="center"/>
              <w:rPr>
                <w:b/>
                <w:sz w:val="18"/>
                <w:szCs w:val="18"/>
                <w:lang w:val="fr-CA"/>
              </w:rPr>
            </w:pPr>
            <w:r w:rsidRPr="00805C4C">
              <w:rPr>
                <w:b/>
                <w:sz w:val="18"/>
                <w:szCs w:val="18"/>
                <w:lang w:val="fr-CA"/>
              </w:rPr>
              <w:t>100</w:t>
            </w:r>
          </w:p>
        </w:tc>
        <w:tc>
          <w:tcPr>
            <w:tcW w:w="2070" w:type="dxa"/>
            <w:gridSpan w:val="2"/>
            <w:tcBorders>
              <w:bottom w:val="single" w:sz="2" w:space="0" w:color="auto"/>
            </w:tcBorders>
          </w:tcPr>
          <w:p w14:paraId="4E41F110" w14:textId="77777777" w:rsidR="00937816" w:rsidRPr="00805C4C" w:rsidRDefault="00937816" w:rsidP="004F62E7">
            <w:pPr>
              <w:keepNext/>
              <w:jc w:val="center"/>
              <w:rPr>
                <w:b/>
                <w:sz w:val="18"/>
                <w:szCs w:val="18"/>
                <w:lang w:val="fr-CA"/>
              </w:rPr>
            </w:pPr>
            <w:r w:rsidRPr="00805C4C">
              <w:rPr>
                <w:b/>
                <w:sz w:val="18"/>
                <w:szCs w:val="18"/>
                <w:lang w:val="fr-CA"/>
              </w:rPr>
              <w:t>76</w:t>
            </w:r>
          </w:p>
        </w:tc>
        <w:tc>
          <w:tcPr>
            <w:tcW w:w="1980" w:type="dxa"/>
            <w:gridSpan w:val="2"/>
            <w:tcBorders>
              <w:bottom w:val="single" w:sz="4" w:space="0" w:color="auto"/>
            </w:tcBorders>
          </w:tcPr>
          <w:p w14:paraId="52C9CEE6" w14:textId="77777777" w:rsidR="00937816" w:rsidRPr="00805C4C" w:rsidRDefault="00937816" w:rsidP="004F62E7">
            <w:pPr>
              <w:keepNext/>
              <w:jc w:val="center"/>
              <w:rPr>
                <w:b/>
                <w:sz w:val="18"/>
                <w:szCs w:val="18"/>
                <w:lang w:val="fr-CA"/>
              </w:rPr>
            </w:pPr>
            <w:r w:rsidRPr="00805C4C">
              <w:rPr>
                <w:b/>
                <w:sz w:val="18"/>
                <w:szCs w:val="18"/>
                <w:lang w:val="fr-CA"/>
              </w:rPr>
              <w:t>4</w:t>
            </w:r>
          </w:p>
        </w:tc>
        <w:tc>
          <w:tcPr>
            <w:tcW w:w="2066" w:type="dxa"/>
            <w:gridSpan w:val="2"/>
            <w:tcBorders>
              <w:bottom w:val="single" w:sz="2" w:space="0" w:color="auto"/>
            </w:tcBorders>
          </w:tcPr>
          <w:p w14:paraId="23133076" w14:textId="77777777" w:rsidR="00937816" w:rsidRPr="00805C4C" w:rsidRDefault="00937816" w:rsidP="004F62E7">
            <w:pPr>
              <w:keepNext/>
              <w:jc w:val="center"/>
              <w:rPr>
                <w:b/>
                <w:sz w:val="18"/>
                <w:szCs w:val="18"/>
                <w:lang w:val="fr-CA"/>
              </w:rPr>
            </w:pPr>
            <w:r w:rsidRPr="00805C4C">
              <w:rPr>
                <w:b/>
                <w:sz w:val="18"/>
                <w:szCs w:val="18"/>
                <w:lang w:val="fr-CA"/>
              </w:rPr>
              <w:t>80</w:t>
            </w:r>
          </w:p>
        </w:tc>
      </w:tr>
    </w:tbl>
    <w:p w14:paraId="009718F3" w14:textId="77777777" w:rsidR="00937816" w:rsidRPr="00805C4C" w:rsidRDefault="00937816" w:rsidP="00937816">
      <w:pPr>
        <w:keepNext/>
        <w:outlineLvl w:val="1"/>
        <w:rPr>
          <w:b/>
          <w:bCs/>
          <w:lang w:val="fr-CA"/>
        </w:rPr>
      </w:pPr>
    </w:p>
    <w:p w14:paraId="3FA4D11C" w14:textId="77777777" w:rsidR="00937816" w:rsidRPr="00805C4C" w:rsidRDefault="00937816" w:rsidP="00937816">
      <w:pPr>
        <w:keepNext/>
        <w:spacing w:after="240"/>
        <w:outlineLvl w:val="1"/>
        <w:rPr>
          <w:b/>
          <w:bCs/>
          <w:lang w:val="fr-CA"/>
        </w:rPr>
      </w:pPr>
      <w:r w:rsidRPr="00805C4C">
        <w:rPr>
          <w:b/>
          <w:bCs/>
          <w:lang w:val="fr-CA"/>
        </w:rPr>
        <w:t>Observations du Secrétariat</w:t>
      </w:r>
    </w:p>
    <w:p w14:paraId="30F6E6CE" w14:textId="6DE45DAE" w:rsidR="00937816" w:rsidRPr="00805C4C" w:rsidRDefault="00937816" w:rsidP="00937816">
      <w:pPr>
        <w:numPr>
          <w:ilvl w:val="0"/>
          <w:numId w:val="1"/>
        </w:numPr>
        <w:tabs>
          <w:tab w:val="clear" w:pos="0"/>
          <w:tab w:val="num" w:pos="710"/>
        </w:tabs>
        <w:spacing w:after="240"/>
        <w:outlineLvl w:val="0"/>
        <w:rPr>
          <w:rFonts w:eastAsiaTheme="minorEastAsia"/>
          <w:lang w:val="fr-CA" w:eastAsia="en-GB"/>
        </w:rPr>
      </w:pPr>
      <w:r w:rsidRPr="00805C4C">
        <w:rPr>
          <w:rFonts w:eastAsiaTheme="minorEastAsia"/>
          <w:lang w:val="fr-CA" w:eastAsia="en-GB"/>
        </w:rPr>
        <w:t xml:space="preserve">Il y a eu peu de progrès dans la mise en œuvre des activités de la troisième et dernière tranche du PGEH malgré les efforts des gouvernements des pays insulaires du Pacifique et du PNUE, à cause de la pandémie de la COVID-19. Le Secrétariat a pris note des efforts, mais constate qu’il est peu probable que les activités </w:t>
      </w:r>
      <w:r>
        <w:rPr>
          <w:rFonts w:eastAsiaTheme="minorEastAsia"/>
          <w:lang w:val="fr-CA" w:eastAsia="en-GB"/>
        </w:rPr>
        <w:t>soient</w:t>
      </w:r>
      <w:r w:rsidRPr="00805C4C">
        <w:rPr>
          <w:rFonts w:eastAsiaTheme="minorEastAsia"/>
          <w:lang w:val="fr-CA" w:eastAsia="en-GB"/>
        </w:rPr>
        <w:t xml:space="preserve"> achevées au 31 décembre 2021</w:t>
      </w:r>
      <w:r w:rsidR="00AA135A">
        <w:rPr>
          <w:rFonts w:eastAsiaTheme="minorEastAsia"/>
          <w:lang w:val="fr-CA" w:eastAsia="en-GB"/>
        </w:rPr>
        <w:t xml:space="preserve"> </w:t>
      </w:r>
      <w:r w:rsidRPr="00805C4C">
        <w:rPr>
          <w:rFonts w:eastAsiaTheme="minorEastAsia"/>
          <w:lang w:val="fr-CA" w:eastAsia="en-GB"/>
        </w:rPr>
        <w:t>; la prorogation d’un an permettrait aux gouvernements et au PNUE d’achever les activités restantes de la troisième tranche.</w:t>
      </w:r>
    </w:p>
    <w:p w14:paraId="0B0144A8" w14:textId="06C09E57" w:rsidR="00937816" w:rsidRPr="00805C4C" w:rsidRDefault="00937816" w:rsidP="00937816">
      <w:pPr>
        <w:numPr>
          <w:ilvl w:val="0"/>
          <w:numId w:val="1"/>
        </w:numPr>
        <w:tabs>
          <w:tab w:val="clear" w:pos="0"/>
          <w:tab w:val="num" w:pos="710"/>
        </w:tabs>
        <w:spacing w:after="240"/>
        <w:outlineLvl w:val="0"/>
        <w:rPr>
          <w:rFonts w:eastAsiaTheme="minorEastAsia"/>
          <w:lang w:val="fr-CA" w:eastAsia="en-GB"/>
        </w:rPr>
      </w:pPr>
      <w:r w:rsidRPr="00805C4C">
        <w:rPr>
          <w:rFonts w:eastAsiaTheme="minorEastAsia"/>
          <w:lang w:val="fr-CA" w:eastAsia="en-GB"/>
        </w:rPr>
        <w:t xml:space="preserve">Le Secrétariat </w:t>
      </w:r>
      <w:r>
        <w:rPr>
          <w:rFonts w:eastAsiaTheme="minorEastAsia"/>
          <w:lang w:val="fr-CA" w:eastAsia="en-GB"/>
        </w:rPr>
        <w:t xml:space="preserve">prend </w:t>
      </w:r>
      <w:r w:rsidRPr="00805C4C">
        <w:rPr>
          <w:rFonts w:eastAsiaTheme="minorEastAsia"/>
          <w:lang w:val="fr-CA" w:eastAsia="en-GB"/>
        </w:rPr>
        <w:t xml:space="preserve">note également que les approbations des tranches précédentes </w:t>
      </w:r>
      <w:r w:rsidR="0037190F" w:rsidRPr="00805C4C">
        <w:rPr>
          <w:rFonts w:eastAsiaTheme="minorEastAsia"/>
          <w:lang w:val="fr-CA" w:eastAsia="en-GB"/>
        </w:rPr>
        <w:t>révèlent</w:t>
      </w:r>
      <w:r w:rsidRPr="00805C4C">
        <w:rPr>
          <w:rFonts w:eastAsiaTheme="minorEastAsia"/>
          <w:lang w:val="fr-CA" w:eastAsia="en-GB"/>
        </w:rPr>
        <w:t xml:space="preserve"> que les pays insulaires du Pacifique sont engagés à mett</w:t>
      </w:r>
      <w:r>
        <w:rPr>
          <w:rFonts w:eastAsiaTheme="minorEastAsia"/>
          <w:lang w:val="fr-CA" w:eastAsia="en-GB"/>
        </w:rPr>
        <w:t>r</w:t>
      </w:r>
      <w:r w:rsidRPr="00805C4C">
        <w:rPr>
          <w:rFonts w:eastAsiaTheme="minorEastAsia"/>
          <w:lang w:val="fr-CA" w:eastAsia="en-GB"/>
        </w:rPr>
        <w:t>e les activités en œuvre dans les délais et que les rapports périodiques antérieurs révèlent d’importants progrès dans la mise en œuvre, ce qui confirme que les retards actuels sont indépendants de la volonté des pays. De plus, des accords ont été signés avec les différents pays</w:t>
      </w:r>
      <w:r w:rsidRPr="00805C4C">
        <w:rPr>
          <w:rStyle w:val="FootnoteReference"/>
          <w:rFonts w:eastAsiaTheme="minorEastAsia"/>
          <w:lang w:val="fr-CA" w:eastAsia="en-GB"/>
        </w:rPr>
        <w:footnoteReference w:id="41"/>
      </w:r>
      <w:r w:rsidRPr="00805C4C">
        <w:rPr>
          <w:rFonts w:eastAsiaTheme="minorEastAsia"/>
          <w:lang w:val="fr-CA" w:eastAsia="en-GB"/>
        </w:rPr>
        <w:t xml:space="preserve"> qui garantissent que ces pays auront les fonds nécessaires pour mener les activités à terme.</w:t>
      </w:r>
    </w:p>
    <w:p w14:paraId="4AB39003" w14:textId="77777777" w:rsidR="00937816" w:rsidRPr="00805C4C" w:rsidRDefault="00937816" w:rsidP="00937816">
      <w:pPr>
        <w:numPr>
          <w:ilvl w:val="0"/>
          <w:numId w:val="1"/>
        </w:numPr>
        <w:tabs>
          <w:tab w:val="clear" w:pos="0"/>
          <w:tab w:val="num" w:pos="710"/>
        </w:tabs>
        <w:spacing w:after="240"/>
        <w:outlineLvl w:val="0"/>
        <w:rPr>
          <w:rFonts w:eastAsiaTheme="minorEastAsia"/>
          <w:lang w:val="fr-CA" w:eastAsia="en-GB"/>
        </w:rPr>
      </w:pPr>
      <w:r w:rsidRPr="00805C4C">
        <w:rPr>
          <w:rFonts w:eastAsiaTheme="minorEastAsia"/>
          <w:lang w:val="fr-CA" w:eastAsia="en-GB"/>
        </w:rPr>
        <w:t xml:space="preserve">Le Secrétariat a pris note </w:t>
      </w:r>
      <w:r>
        <w:rPr>
          <w:rFonts w:eastAsiaTheme="minorEastAsia"/>
          <w:lang w:val="fr-CA" w:eastAsia="en-GB"/>
        </w:rPr>
        <w:t>en outre</w:t>
      </w:r>
      <w:r w:rsidRPr="00805C4C">
        <w:rPr>
          <w:rFonts w:eastAsiaTheme="minorEastAsia"/>
          <w:lang w:val="fr-CA" w:eastAsia="en-GB"/>
        </w:rPr>
        <w:t xml:space="preserve"> du plan de travail détaillé proposé par le PNUE pour les activités restantes, qui confirme que certaines activités seront mises en œuvre, dans la mesure du possible, tandis les activités de formation qui exigent le soutien d’un expert et la participation en personne seront achevé</w:t>
      </w:r>
      <w:r>
        <w:rPr>
          <w:rFonts w:eastAsiaTheme="minorEastAsia"/>
          <w:lang w:val="fr-CA" w:eastAsia="en-GB"/>
        </w:rPr>
        <w:t>e</w:t>
      </w:r>
      <w:r w:rsidRPr="00805C4C">
        <w:rPr>
          <w:rFonts w:eastAsiaTheme="minorEastAsia"/>
          <w:lang w:val="fr-CA" w:eastAsia="en-GB"/>
        </w:rPr>
        <w:t>s d’ici à décembre 2022.</w:t>
      </w:r>
    </w:p>
    <w:p w14:paraId="65A898A8" w14:textId="77777777" w:rsidR="00937816" w:rsidRPr="00805C4C" w:rsidRDefault="00937816" w:rsidP="00937816">
      <w:pPr>
        <w:keepNext/>
        <w:tabs>
          <w:tab w:val="left" w:pos="720"/>
        </w:tabs>
        <w:spacing w:after="240"/>
        <w:outlineLvl w:val="0"/>
        <w:rPr>
          <w:b/>
          <w:bCs/>
          <w:color w:val="000000" w:themeColor="text1"/>
          <w:lang w:val="fr-CA"/>
        </w:rPr>
      </w:pPr>
      <w:r w:rsidRPr="00805C4C">
        <w:rPr>
          <w:b/>
          <w:bCs/>
          <w:color w:val="000000" w:themeColor="text1"/>
          <w:lang w:val="fr-CA"/>
        </w:rPr>
        <w:t>Recommandation</w:t>
      </w:r>
    </w:p>
    <w:p w14:paraId="0FF54F82" w14:textId="77777777" w:rsidR="00937816" w:rsidRPr="00805C4C" w:rsidRDefault="00937816" w:rsidP="00937816">
      <w:pPr>
        <w:numPr>
          <w:ilvl w:val="0"/>
          <w:numId w:val="1"/>
        </w:numPr>
        <w:tabs>
          <w:tab w:val="clear" w:pos="0"/>
          <w:tab w:val="num" w:pos="710"/>
        </w:tabs>
        <w:spacing w:after="240"/>
        <w:outlineLvl w:val="0"/>
        <w:rPr>
          <w:rFonts w:eastAsia="MS Mincho"/>
          <w:lang w:val="fr-CA"/>
        </w:rPr>
      </w:pPr>
      <w:r w:rsidRPr="00805C4C">
        <w:rPr>
          <w:rFonts w:eastAsia="MS Mincho"/>
          <w:lang w:val="fr-CA"/>
        </w:rPr>
        <w:t xml:space="preserve">Le Secrétariat du Fonds pourrait souhaiter : </w:t>
      </w:r>
    </w:p>
    <w:p w14:paraId="50F7E5F9" w14:textId="0C6C4FC7" w:rsidR="00937816" w:rsidRPr="00805C4C" w:rsidRDefault="00937816" w:rsidP="00937816">
      <w:pPr>
        <w:pStyle w:val="Heading2"/>
        <w:rPr>
          <w:lang w:val="fr-CA"/>
        </w:rPr>
      </w:pPr>
      <w:r w:rsidRPr="00805C4C">
        <w:rPr>
          <w:lang w:val="fr-CA"/>
        </w:rPr>
        <w:t xml:space="preserve">Prendre note du rapport périodique sur la mise en œuvre du programme de travail </w:t>
      </w:r>
      <w:r>
        <w:rPr>
          <w:lang w:val="fr-CA"/>
        </w:rPr>
        <w:t xml:space="preserve">de </w:t>
      </w:r>
      <w:r w:rsidRPr="00805C4C">
        <w:rPr>
          <w:lang w:val="fr-CA"/>
        </w:rPr>
        <w:t xml:space="preserve">la </w:t>
      </w:r>
      <w:r w:rsidRPr="00805C4C">
        <w:rPr>
          <w:lang w:val="fr-CA"/>
        </w:rPr>
        <w:lastRenderedPageBreak/>
        <w:t>dernière tranche de la phase I du plan de gestion de l'élimination des HCFC (PGEH) pour les pays insulaires du Pacifique, soumis par le PNUE et présenté dans le document UNEP/OzL.Pro/ExCom/87/9</w:t>
      </w:r>
      <w:r w:rsidR="0037190F">
        <w:rPr>
          <w:lang w:val="fr-CA"/>
        </w:rPr>
        <w:t xml:space="preserve"> </w:t>
      </w:r>
      <w:r w:rsidRPr="00805C4C">
        <w:rPr>
          <w:lang w:val="fr-CA"/>
        </w:rPr>
        <w:t xml:space="preserve">; </w:t>
      </w:r>
    </w:p>
    <w:p w14:paraId="513E60B1" w14:textId="403C1A21" w:rsidR="00937816" w:rsidRPr="00805C4C" w:rsidRDefault="00937816" w:rsidP="00937816">
      <w:pPr>
        <w:pStyle w:val="Heading2"/>
        <w:keepNext/>
        <w:widowControl/>
        <w:rPr>
          <w:lang w:val="fr-CA"/>
        </w:rPr>
      </w:pPr>
      <w:r w:rsidRPr="00805C4C">
        <w:rPr>
          <w:lang w:val="fr-CA"/>
        </w:rPr>
        <w:t>Approuver, à titre exceptionnel, la prorogation de la date d’achèvement de la phase I du PGEH pour les pays insulaires du Pacifique au 31 décembre 2022, à cause des délais dans la mise en œuvre causés par la pandémie de la COVID-19, étant entendu qu’aucune autre prorogation de la mise en œuvre ne sera demandée</w:t>
      </w:r>
      <w:r w:rsidR="0037190F">
        <w:rPr>
          <w:lang w:val="fr-CA"/>
        </w:rPr>
        <w:t xml:space="preserve"> </w:t>
      </w:r>
      <w:r w:rsidRPr="00805C4C">
        <w:rPr>
          <w:lang w:val="fr-CA"/>
        </w:rPr>
        <w:t>;</w:t>
      </w:r>
      <w:r w:rsidR="0037190F">
        <w:rPr>
          <w:lang w:val="fr-CA"/>
        </w:rPr>
        <w:t xml:space="preserve"> et</w:t>
      </w:r>
    </w:p>
    <w:p w14:paraId="61103AF8" w14:textId="77777777" w:rsidR="00937816" w:rsidRDefault="00937816" w:rsidP="00937816">
      <w:pPr>
        <w:pStyle w:val="Heading2"/>
        <w:rPr>
          <w:lang w:val="fr-CA"/>
        </w:rPr>
      </w:pPr>
      <w:r w:rsidRPr="00805C4C">
        <w:rPr>
          <w:lang w:val="fr-CA"/>
        </w:rPr>
        <w:t>Demander aux gouvernements des pays insulaires du Pacifique et au PNUE de remettre le rapport périodique sur la mise en œuvre du programme de travail de la dernière tranche et le rapport d’achèvement de projet à la première réunion du Comité exécutif de 2023.</w:t>
      </w:r>
    </w:p>
    <w:p w14:paraId="2E53A6BA" w14:textId="1639B3BA" w:rsidR="00825F3F" w:rsidRPr="00646D83" w:rsidRDefault="00825F3F" w:rsidP="00825F3F">
      <w:pPr>
        <w:keepNext/>
        <w:keepLines/>
        <w:rPr>
          <w:u w:val="single"/>
          <w:lang w:val="fr-CA"/>
        </w:rPr>
      </w:pPr>
      <w:r w:rsidRPr="0037190F">
        <w:rPr>
          <w:u w:val="single"/>
          <w:lang w:val="fr-CA"/>
        </w:rPr>
        <w:t>Philippines</w:t>
      </w:r>
      <w:r w:rsidR="005F199F" w:rsidRPr="0037190F">
        <w:rPr>
          <w:u w:val="single"/>
          <w:lang w:val="fr-CA"/>
        </w:rPr>
        <w:t xml:space="preserve"> </w:t>
      </w:r>
      <w:r w:rsidRPr="0037190F">
        <w:rPr>
          <w:u w:val="single"/>
          <w:lang w:val="fr-CA"/>
        </w:rPr>
        <w:t xml:space="preserve">: </w:t>
      </w:r>
      <w:r w:rsidR="005F199F" w:rsidRPr="0037190F">
        <w:rPr>
          <w:u w:val="single"/>
          <w:lang w:val="fr-CA"/>
        </w:rPr>
        <w:t>Plan de gestion de l'élimination des HCFC (phase II : demande d’annulation du plan du secteur de la fabrication de climatiseurs, plan de mise en œuvre révisé et mise à jour de l’Accord</w:t>
      </w:r>
      <w:r w:rsidRPr="0037190F">
        <w:rPr>
          <w:u w:val="single"/>
          <w:lang w:val="fr-CA"/>
        </w:rPr>
        <w:t>)</w:t>
      </w:r>
      <w:r w:rsidRPr="0037190F">
        <w:rPr>
          <w:lang w:val="fr-CA"/>
        </w:rPr>
        <w:t xml:space="preserve"> (</w:t>
      </w:r>
      <w:r w:rsidR="005F199F" w:rsidRPr="0037190F">
        <w:rPr>
          <w:lang w:val="fr-CA"/>
        </w:rPr>
        <w:t>ONUDI</w:t>
      </w:r>
      <w:r w:rsidRPr="0037190F">
        <w:rPr>
          <w:lang w:val="fr-CA"/>
        </w:rPr>
        <w:t>)</w:t>
      </w:r>
    </w:p>
    <w:p w14:paraId="5A2FED7C" w14:textId="77777777" w:rsidR="00825F3F" w:rsidRPr="00646D83" w:rsidRDefault="00825F3F" w:rsidP="00825F3F">
      <w:pPr>
        <w:keepNext/>
        <w:keepLines/>
        <w:rPr>
          <w:u w:val="single"/>
          <w:lang w:val="fr-CA"/>
        </w:rPr>
      </w:pPr>
    </w:p>
    <w:p w14:paraId="7BB6858F" w14:textId="09196E77" w:rsidR="00825F3F" w:rsidRPr="00646D83" w:rsidRDefault="005F199F" w:rsidP="00825F3F">
      <w:pPr>
        <w:keepNext/>
        <w:keepLines/>
        <w:numPr>
          <w:ilvl w:val="0"/>
          <w:numId w:val="1"/>
        </w:numPr>
        <w:spacing w:after="240"/>
        <w:outlineLvl w:val="0"/>
        <w:rPr>
          <w:lang w:val="fr-CA"/>
        </w:rPr>
      </w:pPr>
      <w:r w:rsidRPr="00646D83">
        <w:rPr>
          <w:lang w:val="fr-CA"/>
        </w:rPr>
        <w:t xml:space="preserve">L’ONUDI, en qualité d’agence d’exécution désignée, a présenté une </w:t>
      </w:r>
      <w:r w:rsidR="001B2829" w:rsidRPr="00646D83">
        <w:rPr>
          <w:lang w:val="fr-CA"/>
        </w:rPr>
        <w:t>demande d’annulation du plan du secteur de la fabrication de climatiseurs de la phase II du plan de gestion de l'élimination des HCFC (PGEH</w:t>
      </w:r>
      <w:r w:rsidR="00825F3F" w:rsidRPr="00646D83">
        <w:rPr>
          <w:lang w:val="fr-CA"/>
        </w:rPr>
        <w:t>),</w:t>
      </w:r>
      <w:r w:rsidR="00825F3F" w:rsidRPr="00646D83">
        <w:rPr>
          <w:rStyle w:val="FootnoteReference"/>
          <w:lang w:val="fr-CA"/>
        </w:rPr>
        <w:footnoteReference w:id="42"/>
      </w:r>
      <w:r w:rsidR="00825F3F" w:rsidRPr="00646D83">
        <w:rPr>
          <w:lang w:val="fr-CA"/>
        </w:rPr>
        <w:t xml:space="preserve"> </w:t>
      </w:r>
      <w:r w:rsidR="001A7107">
        <w:rPr>
          <w:lang w:val="fr-CA"/>
        </w:rPr>
        <w:t>et de mise à jour de l’A</w:t>
      </w:r>
      <w:r w:rsidR="001B2829" w:rsidRPr="00646D83">
        <w:rPr>
          <w:lang w:val="fr-CA"/>
        </w:rPr>
        <w:t>ccord entre le gouvernement et le Comité exécutif. La proposition comprend un rapport périodique sur la mise en œuvre de la première tranche, le rapport de vérification de la consommation de HCFC pour la période 2016-2020 et le plan de mise en œuvre de la tranche pour 2021-2022</w:t>
      </w:r>
      <w:r w:rsidR="00825F3F" w:rsidRPr="00646D83">
        <w:rPr>
          <w:lang w:val="fr-CA"/>
        </w:rPr>
        <w:t xml:space="preserve">. </w:t>
      </w:r>
    </w:p>
    <w:p w14:paraId="242EC526" w14:textId="36637E8D" w:rsidR="00825F3F" w:rsidRPr="00646D83" w:rsidRDefault="001B2829" w:rsidP="00825F3F">
      <w:pPr>
        <w:pStyle w:val="Heading1"/>
        <w:numPr>
          <w:ilvl w:val="0"/>
          <w:numId w:val="0"/>
        </w:numPr>
        <w:rPr>
          <w:u w:val="single"/>
          <w:lang w:val="fr-CA"/>
        </w:rPr>
      </w:pPr>
      <w:r w:rsidRPr="00646D83">
        <w:rPr>
          <w:u w:val="single"/>
          <w:lang w:val="fr-CA"/>
        </w:rPr>
        <w:t>Consommation de HCFC</w:t>
      </w:r>
    </w:p>
    <w:p w14:paraId="314E0292" w14:textId="1AB3C14C" w:rsidR="00825F3F" w:rsidRPr="00646D83" w:rsidRDefault="00142242" w:rsidP="00825F3F">
      <w:pPr>
        <w:pStyle w:val="Heading1"/>
        <w:rPr>
          <w:lang w:val="fr-CA"/>
        </w:rPr>
      </w:pPr>
      <w:r w:rsidRPr="00646D83">
        <w:rPr>
          <w:lang w:val="fr-CA"/>
        </w:rPr>
        <w:t xml:space="preserve">Le gouvernement des Philippines a déclaré une consommation de 50,62 tonnes </w:t>
      </w:r>
      <w:r w:rsidR="001A7107">
        <w:rPr>
          <w:lang w:val="fr-CA"/>
        </w:rPr>
        <w:t>PAO</w:t>
      </w:r>
      <w:r w:rsidRPr="00646D83">
        <w:rPr>
          <w:lang w:val="fr-CA"/>
        </w:rPr>
        <w:t xml:space="preserve"> de HCFC en 2020, ce qui représente 69 pour cent de moins que la valeur de référence pour les HCFC aux fins de conformité. La consommation de HCFC pour la période 2016-2020 est indiquée dans le tableau</w:t>
      </w:r>
      <w:r w:rsidR="00825F3F" w:rsidRPr="00646D83">
        <w:rPr>
          <w:lang w:val="fr-CA"/>
        </w:rPr>
        <w:t> 9.</w:t>
      </w:r>
    </w:p>
    <w:p w14:paraId="18C5649F" w14:textId="490C0A2E" w:rsidR="00825F3F" w:rsidRPr="00646D83" w:rsidRDefault="00825F3F" w:rsidP="0037190F">
      <w:pPr>
        <w:keepNext/>
        <w:keepLines/>
        <w:contextualSpacing/>
        <w:rPr>
          <w:b/>
          <w:lang w:val="fr-CA"/>
        </w:rPr>
      </w:pPr>
      <w:r w:rsidRPr="00646D83">
        <w:rPr>
          <w:b/>
          <w:lang w:val="fr-CA"/>
        </w:rPr>
        <w:t>Table</w:t>
      </w:r>
      <w:r w:rsidR="00142242" w:rsidRPr="00646D83">
        <w:rPr>
          <w:b/>
          <w:lang w:val="fr-CA"/>
        </w:rPr>
        <w:t>au</w:t>
      </w:r>
      <w:r w:rsidRPr="00646D83">
        <w:rPr>
          <w:b/>
          <w:lang w:val="fr-CA"/>
        </w:rPr>
        <w:t xml:space="preserve"> 9. </w:t>
      </w:r>
      <w:r w:rsidR="00142242" w:rsidRPr="00646D83">
        <w:rPr>
          <w:b/>
          <w:lang w:val="fr-CA"/>
        </w:rPr>
        <w:t>Consommation de HCFC aux Philippines (2016-2020, données communiquées en vertu de l’article 7</w:t>
      </w:r>
      <w:r w:rsidRPr="00646D83">
        <w:rPr>
          <w:b/>
          <w:lang w:val="fr-CA"/>
        </w:rPr>
        <w:t>)</w:t>
      </w:r>
    </w:p>
    <w:tbl>
      <w:tblPr>
        <w:tblW w:w="5000" w:type="pct"/>
        <w:tblLayout w:type="fixed"/>
        <w:tblCellMar>
          <w:left w:w="86" w:type="dxa"/>
          <w:right w:w="86" w:type="dxa"/>
        </w:tblCellMar>
        <w:tblLook w:val="04A0" w:firstRow="1" w:lastRow="0" w:firstColumn="1" w:lastColumn="0" w:noHBand="0" w:noVBand="1"/>
      </w:tblPr>
      <w:tblGrid>
        <w:gridCol w:w="2281"/>
        <w:gridCol w:w="1179"/>
        <w:gridCol w:w="1178"/>
        <w:gridCol w:w="1178"/>
        <w:gridCol w:w="1178"/>
        <w:gridCol w:w="1178"/>
        <w:gridCol w:w="1178"/>
      </w:tblGrid>
      <w:tr w:rsidR="00825F3F" w:rsidRPr="00646D83" w14:paraId="57515F43" w14:textId="77777777" w:rsidTr="004F62E7">
        <w:trPr>
          <w:cantSplit/>
          <w:tblHeader/>
        </w:trPr>
        <w:tc>
          <w:tcPr>
            <w:tcW w:w="1219" w:type="pct"/>
            <w:tcBorders>
              <w:top w:val="single" w:sz="4" w:space="0" w:color="auto"/>
              <w:left w:val="single" w:sz="4" w:space="0" w:color="auto"/>
              <w:bottom w:val="single" w:sz="4" w:space="0" w:color="auto"/>
              <w:right w:val="single" w:sz="4" w:space="0" w:color="auto"/>
            </w:tcBorders>
            <w:noWrap/>
            <w:hideMark/>
          </w:tcPr>
          <w:p w14:paraId="67B1E979" w14:textId="77777777" w:rsidR="00825F3F" w:rsidRPr="00646D83" w:rsidRDefault="00825F3F" w:rsidP="004F62E7">
            <w:pPr>
              <w:keepNext/>
              <w:ind w:left="25"/>
              <w:jc w:val="left"/>
              <w:rPr>
                <w:b/>
                <w:color w:val="000000" w:themeColor="text1"/>
                <w:sz w:val="20"/>
                <w:szCs w:val="20"/>
                <w:lang w:val="fr-CA"/>
              </w:rPr>
            </w:pPr>
            <w:r w:rsidRPr="00646D83">
              <w:rPr>
                <w:b/>
                <w:color w:val="000000" w:themeColor="text1"/>
                <w:sz w:val="20"/>
                <w:szCs w:val="20"/>
                <w:lang w:val="fr-CA"/>
              </w:rPr>
              <w:t>HCFC</w:t>
            </w:r>
          </w:p>
        </w:tc>
        <w:tc>
          <w:tcPr>
            <w:tcW w:w="630" w:type="pct"/>
            <w:tcBorders>
              <w:top w:val="single" w:sz="4" w:space="0" w:color="auto"/>
              <w:left w:val="nil"/>
              <w:bottom w:val="single" w:sz="4" w:space="0" w:color="auto"/>
              <w:right w:val="single" w:sz="4" w:space="0" w:color="auto"/>
            </w:tcBorders>
          </w:tcPr>
          <w:p w14:paraId="2F56AC43" w14:textId="77777777" w:rsidR="00825F3F" w:rsidRPr="00646D83" w:rsidRDefault="00825F3F" w:rsidP="004F62E7">
            <w:pPr>
              <w:keepNext/>
              <w:jc w:val="center"/>
              <w:rPr>
                <w:b/>
                <w:color w:val="000000" w:themeColor="text1"/>
                <w:sz w:val="20"/>
                <w:szCs w:val="20"/>
                <w:lang w:val="fr-CA"/>
              </w:rPr>
            </w:pPr>
            <w:r w:rsidRPr="00646D83">
              <w:rPr>
                <w:b/>
                <w:color w:val="000000" w:themeColor="text1"/>
                <w:sz w:val="20"/>
                <w:szCs w:val="20"/>
                <w:lang w:val="fr-CA"/>
              </w:rPr>
              <w:t>2016</w:t>
            </w:r>
          </w:p>
        </w:tc>
        <w:tc>
          <w:tcPr>
            <w:tcW w:w="630" w:type="pct"/>
            <w:tcBorders>
              <w:top w:val="single" w:sz="4" w:space="0" w:color="auto"/>
              <w:left w:val="single" w:sz="4" w:space="0" w:color="auto"/>
              <w:bottom w:val="single" w:sz="4" w:space="0" w:color="auto"/>
              <w:right w:val="single" w:sz="4" w:space="0" w:color="auto"/>
            </w:tcBorders>
          </w:tcPr>
          <w:p w14:paraId="2B1B4FFF" w14:textId="77777777" w:rsidR="00825F3F" w:rsidRPr="00646D83" w:rsidRDefault="00825F3F" w:rsidP="004F62E7">
            <w:pPr>
              <w:keepNext/>
              <w:jc w:val="center"/>
              <w:rPr>
                <w:b/>
                <w:color w:val="000000" w:themeColor="text1"/>
                <w:sz w:val="20"/>
                <w:szCs w:val="20"/>
                <w:lang w:val="fr-CA"/>
              </w:rPr>
            </w:pPr>
            <w:r w:rsidRPr="00646D83">
              <w:rPr>
                <w:b/>
                <w:color w:val="000000" w:themeColor="text1"/>
                <w:sz w:val="20"/>
                <w:szCs w:val="20"/>
                <w:lang w:val="fr-CA"/>
              </w:rPr>
              <w:t>2017</w:t>
            </w:r>
          </w:p>
        </w:tc>
        <w:tc>
          <w:tcPr>
            <w:tcW w:w="630" w:type="pct"/>
            <w:tcBorders>
              <w:top w:val="single" w:sz="4" w:space="0" w:color="auto"/>
              <w:left w:val="single" w:sz="4" w:space="0" w:color="auto"/>
              <w:bottom w:val="single" w:sz="4" w:space="0" w:color="auto"/>
              <w:right w:val="single" w:sz="4" w:space="0" w:color="auto"/>
            </w:tcBorders>
          </w:tcPr>
          <w:p w14:paraId="51D8B251" w14:textId="77777777" w:rsidR="00825F3F" w:rsidRPr="00646D83" w:rsidRDefault="00825F3F" w:rsidP="004F62E7">
            <w:pPr>
              <w:keepNext/>
              <w:jc w:val="center"/>
              <w:rPr>
                <w:b/>
                <w:color w:val="000000" w:themeColor="text1"/>
                <w:sz w:val="20"/>
                <w:szCs w:val="20"/>
                <w:lang w:val="fr-CA"/>
              </w:rPr>
            </w:pPr>
            <w:r w:rsidRPr="00646D83">
              <w:rPr>
                <w:b/>
                <w:color w:val="000000" w:themeColor="text1"/>
                <w:sz w:val="20"/>
                <w:szCs w:val="20"/>
                <w:lang w:val="fr-CA"/>
              </w:rPr>
              <w:t>2018</w:t>
            </w:r>
          </w:p>
        </w:tc>
        <w:tc>
          <w:tcPr>
            <w:tcW w:w="630" w:type="pct"/>
            <w:tcBorders>
              <w:top w:val="single" w:sz="4" w:space="0" w:color="auto"/>
              <w:left w:val="single" w:sz="4" w:space="0" w:color="auto"/>
              <w:bottom w:val="single" w:sz="4" w:space="0" w:color="auto"/>
              <w:right w:val="single" w:sz="4" w:space="0" w:color="auto"/>
            </w:tcBorders>
          </w:tcPr>
          <w:p w14:paraId="013DAE9D" w14:textId="77777777" w:rsidR="00825F3F" w:rsidRPr="00646D83" w:rsidRDefault="00825F3F" w:rsidP="004F62E7">
            <w:pPr>
              <w:keepNext/>
              <w:jc w:val="center"/>
              <w:rPr>
                <w:b/>
                <w:color w:val="000000" w:themeColor="text1"/>
                <w:sz w:val="20"/>
                <w:szCs w:val="20"/>
                <w:lang w:val="fr-CA"/>
              </w:rPr>
            </w:pPr>
            <w:r w:rsidRPr="00646D83">
              <w:rPr>
                <w:b/>
                <w:color w:val="000000" w:themeColor="text1"/>
                <w:sz w:val="20"/>
                <w:szCs w:val="20"/>
                <w:lang w:val="fr-CA"/>
              </w:rPr>
              <w:t>2019</w:t>
            </w:r>
          </w:p>
        </w:tc>
        <w:tc>
          <w:tcPr>
            <w:tcW w:w="630" w:type="pct"/>
            <w:tcBorders>
              <w:top w:val="single" w:sz="4" w:space="0" w:color="auto"/>
              <w:left w:val="single" w:sz="4" w:space="0" w:color="auto"/>
              <w:bottom w:val="single" w:sz="4" w:space="0" w:color="auto"/>
              <w:right w:val="single" w:sz="4" w:space="0" w:color="auto"/>
            </w:tcBorders>
          </w:tcPr>
          <w:p w14:paraId="366060B4" w14:textId="77777777" w:rsidR="00825F3F" w:rsidRPr="00646D83" w:rsidRDefault="00825F3F" w:rsidP="004F62E7">
            <w:pPr>
              <w:keepNext/>
              <w:jc w:val="center"/>
              <w:rPr>
                <w:b/>
                <w:color w:val="000000" w:themeColor="text1"/>
                <w:sz w:val="20"/>
                <w:szCs w:val="20"/>
                <w:lang w:val="fr-CA"/>
              </w:rPr>
            </w:pPr>
            <w:r w:rsidRPr="00646D83">
              <w:rPr>
                <w:b/>
                <w:color w:val="000000" w:themeColor="text1"/>
                <w:sz w:val="20"/>
                <w:szCs w:val="20"/>
                <w:lang w:val="fr-CA"/>
              </w:rPr>
              <w:t>2020*</w:t>
            </w:r>
          </w:p>
        </w:tc>
        <w:tc>
          <w:tcPr>
            <w:tcW w:w="630" w:type="pct"/>
            <w:tcBorders>
              <w:top w:val="single" w:sz="4" w:space="0" w:color="auto"/>
              <w:left w:val="single" w:sz="4" w:space="0" w:color="auto"/>
              <w:bottom w:val="single" w:sz="4" w:space="0" w:color="auto"/>
              <w:right w:val="single" w:sz="4" w:space="0" w:color="auto"/>
            </w:tcBorders>
          </w:tcPr>
          <w:p w14:paraId="2A6A9E8D" w14:textId="67E7DA1F" w:rsidR="00825F3F" w:rsidRPr="00646D83" w:rsidRDefault="00142242" w:rsidP="004F62E7">
            <w:pPr>
              <w:keepNext/>
              <w:jc w:val="right"/>
              <w:rPr>
                <w:b/>
                <w:color w:val="000000" w:themeColor="text1"/>
                <w:sz w:val="20"/>
                <w:szCs w:val="20"/>
                <w:lang w:val="fr-CA"/>
              </w:rPr>
            </w:pPr>
            <w:r w:rsidRPr="00646D83">
              <w:rPr>
                <w:b/>
                <w:color w:val="000000" w:themeColor="text1"/>
                <w:sz w:val="20"/>
                <w:szCs w:val="20"/>
                <w:lang w:val="fr-CA"/>
              </w:rPr>
              <w:t>Référence</w:t>
            </w:r>
          </w:p>
        </w:tc>
      </w:tr>
      <w:tr w:rsidR="00825F3F" w:rsidRPr="00646D83" w14:paraId="67F8C456"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tcPr>
          <w:p w14:paraId="67C07796" w14:textId="1B126B5E" w:rsidR="00825F3F" w:rsidRPr="00646D83" w:rsidRDefault="00142242" w:rsidP="004F62E7">
            <w:pPr>
              <w:keepNext/>
              <w:ind w:left="25"/>
              <w:jc w:val="left"/>
              <w:rPr>
                <w:b/>
                <w:color w:val="000000" w:themeColor="text1"/>
                <w:sz w:val="20"/>
                <w:szCs w:val="20"/>
                <w:lang w:val="fr-CA"/>
              </w:rPr>
            </w:pPr>
            <w:r w:rsidRPr="00646D83">
              <w:rPr>
                <w:b/>
                <w:color w:val="000000" w:themeColor="text1"/>
                <w:sz w:val="20"/>
                <w:szCs w:val="20"/>
                <w:lang w:val="fr-CA"/>
              </w:rPr>
              <w:t>Tonnes métriques (</w:t>
            </w:r>
            <w:proofErr w:type="spellStart"/>
            <w:r w:rsidRPr="00646D83">
              <w:rPr>
                <w:b/>
                <w:color w:val="000000" w:themeColor="text1"/>
                <w:sz w:val="20"/>
                <w:szCs w:val="20"/>
                <w:lang w:val="fr-CA"/>
              </w:rPr>
              <w:t>tm</w:t>
            </w:r>
            <w:proofErr w:type="spellEnd"/>
            <w:r w:rsidRPr="00646D83">
              <w:rPr>
                <w:b/>
                <w:color w:val="000000" w:themeColor="text1"/>
                <w:sz w:val="20"/>
                <w:szCs w:val="20"/>
                <w:lang w:val="fr-CA"/>
              </w:rPr>
              <w:t>)</w:t>
            </w:r>
          </w:p>
        </w:tc>
        <w:tc>
          <w:tcPr>
            <w:tcW w:w="630" w:type="pct"/>
            <w:tcBorders>
              <w:top w:val="single" w:sz="4" w:space="0" w:color="auto"/>
              <w:left w:val="nil"/>
              <w:bottom w:val="single" w:sz="4" w:space="0" w:color="auto"/>
              <w:right w:val="single" w:sz="4" w:space="0" w:color="auto"/>
            </w:tcBorders>
          </w:tcPr>
          <w:p w14:paraId="5DB8A50F" w14:textId="77777777" w:rsidR="00825F3F" w:rsidRPr="00646D83" w:rsidRDefault="00825F3F" w:rsidP="004F62E7">
            <w:pPr>
              <w:keepNext/>
              <w:jc w:val="center"/>
              <w:rPr>
                <w:b/>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0FA11C0D" w14:textId="77777777" w:rsidR="00825F3F" w:rsidRPr="00646D83" w:rsidRDefault="00825F3F" w:rsidP="004F62E7">
            <w:pPr>
              <w:keepNext/>
              <w:jc w:val="center"/>
              <w:rPr>
                <w:b/>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32BDCBE8" w14:textId="77777777" w:rsidR="00825F3F" w:rsidRPr="00646D83" w:rsidRDefault="00825F3F" w:rsidP="004F62E7">
            <w:pPr>
              <w:keepNext/>
              <w:jc w:val="center"/>
              <w:rPr>
                <w:b/>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36444B10" w14:textId="77777777" w:rsidR="00825F3F" w:rsidRPr="00646D83" w:rsidRDefault="00825F3F" w:rsidP="004F62E7">
            <w:pPr>
              <w:keepNext/>
              <w:jc w:val="center"/>
              <w:rPr>
                <w:b/>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75007F19" w14:textId="77777777" w:rsidR="00825F3F" w:rsidRPr="00646D83" w:rsidRDefault="00825F3F" w:rsidP="004F62E7">
            <w:pPr>
              <w:keepNext/>
              <w:jc w:val="center"/>
              <w:rPr>
                <w:b/>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2F18DD91" w14:textId="77777777" w:rsidR="00825F3F" w:rsidRPr="00646D83" w:rsidRDefault="00825F3F" w:rsidP="004F62E7">
            <w:pPr>
              <w:keepNext/>
              <w:jc w:val="right"/>
              <w:rPr>
                <w:b/>
                <w:color w:val="000000" w:themeColor="text1"/>
                <w:sz w:val="20"/>
                <w:szCs w:val="20"/>
                <w:lang w:val="fr-CA"/>
              </w:rPr>
            </w:pPr>
          </w:p>
        </w:tc>
      </w:tr>
      <w:tr w:rsidR="00825F3F" w:rsidRPr="00646D83" w14:paraId="516EB83D" w14:textId="77777777" w:rsidTr="004F62E7">
        <w:trPr>
          <w:cantSplit/>
        </w:trPr>
        <w:tc>
          <w:tcPr>
            <w:tcW w:w="1219" w:type="pct"/>
            <w:tcBorders>
              <w:top w:val="nil"/>
              <w:left w:val="single" w:sz="4" w:space="0" w:color="auto"/>
              <w:bottom w:val="single" w:sz="4" w:space="0" w:color="auto"/>
              <w:right w:val="single" w:sz="4" w:space="0" w:color="auto"/>
            </w:tcBorders>
            <w:noWrap/>
            <w:hideMark/>
          </w:tcPr>
          <w:p w14:paraId="4D910E14"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w:t>
            </w:r>
          </w:p>
        </w:tc>
        <w:tc>
          <w:tcPr>
            <w:tcW w:w="630" w:type="pct"/>
            <w:tcBorders>
              <w:top w:val="single" w:sz="4" w:space="0" w:color="auto"/>
              <w:left w:val="nil"/>
              <w:bottom w:val="single" w:sz="4" w:space="0" w:color="auto"/>
              <w:right w:val="single" w:sz="4" w:space="0" w:color="auto"/>
            </w:tcBorders>
          </w:tcPr>
          <w:p w14:paraId="50D5F240" w14:textId="0CE8FD17"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1685</w:t>
            </w:r>
            <w:r w:rsidR="00142242" w:rsidRPr="00646D83">
              <w:rPr>
                <w:color w:val="000000" w:themeColor="text1"/>
                <w:sz w:val="20"/>
                <w:szCs w:val="20"/>
                <w:lang w:val="fr-CA"/>
              </w:rPr>
              <w:t>,</w:t>
            </w:r>
            <w:r w:rsidRPr="00646D83">
              <w:rPr>
                <w:color w:val="000000" w:themeColor="text1"/>
                <w:sz w:val="20"/>
                <w:szCs w:val="20"/>
                <w:lang w:val="fr-CA"/>
              </w:rPr>
              <w:t>12</w:t>
            </w:r>
          </w:p>
        </w:tc>
        <w:tc>
          <w:tcPr>
            <w:tcW w:w="630" w:type="pct"/>
            <w:tcBorders>
              <w:top w:val="single" w:sz="4" w:space="0" w:color="auto"/>
              <w:left w:val="single" w:sz="4" w:space="0" w:color="auto"/>
              <w:bottom w:val="single" w:sz="4" w:space="0" w:color="auto"/>
              <w:right w:val="single" w:sz="4" w:space="0" w:color="auto"/>
            </w:tcBorders>
          </w:tcPr>
          <w:p w14:paraId="3ABB6B0D" w14:textId="4133E808"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1653</w:t>
            </w:r>
            <w:r w:rsidR="00142242" w:rsidRPr="00646D83">
              <w:rPr>
                <w:color w:val="000000" w:themeColor="text1"/>
                <w:sz w:val="20"/>
                <w:szCs w:val="20"/>
                <w:lang w:val="fr-CA"/>
              </w:rPr>
              <w:t>,</w:t>
            </w:r>
            <w:r w:rsidRPr="00646D83">
              <w:rPr>
                <w:color w:val="000000" w:themeColor="text1"/>
                <w:sz w:val="20"/>
                <w:szCs w:val="20"/>
                <w:lang w:val="fr-CA"/>
              </w:rPr>
              <w:t>69</w:t>
            </w:r>
          </w:p>
        </w:tc>
        <w:tc>
          <w:tcPr>
            <w:tcW w:w="630" w:type="pct"/>
            <w:tcBorders>
              <w:top w:val="single" w:sz="4" w:space="0" w:color="auto"/>
              <w:left w:val="single" w:sz="4" w:space="0" w:color="auto"/>
              <w:bottom w:val="single" w:sz="4" w:space="0" w:color="auto"/>
              <w:right w:val="single" w:sz="4" w:space="0" w:color="auto"/>
            </w:tcBorders>
          </w:tcPr>
          <w:p w14:paraId="4306977B" w14:textId="21AA6E56"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1615</w:t>
            </w:r>
            <w:r w:rsidR="00142242" w:rsidRPr="00646D83">
              <w:rPr>
                <w:color w:val="000000" w:themeColor="text1"/>
                <w:sz w:val="20"/>
                <w:szCs w:val="20"/>
                <w:lang w:val="fr-CA"/>
              </w:rPr>
              <w:t>,</w:t>
            </w:r>
            <w:r w:rsidRPr="00646D83">
              <w:rPr>
                <w:color w:val="000000" w:themeColor="text1"/>
                <w:sz w:val="20"/>
                <w:szCs w:val="20"/>
                <w:lang w:val="fr-CA"/>
              </w:rPr>
              <w:t>61</w:t>
            </w:r>
          </w:p>
        </w:tc>
        <w:tc>
          <w:tcPr>
            <w:tcW w:w="630" w:type="pct"/>
            <w:tcBorders>
              <w:top w:val="single" w:sz="4" w:space="0" w:color="auto"/>
              <w:left w:val="single" w:sz="4" w:space="0" w:color="auto"/>
              <w:bottom w:val="single" w:sz="4" w:space="0" w:color="auto"/>
              <w:right w:val="single" w:sz="4" w:space="0" w:color="auto"/>
            </w:tcBorders>
          </w:tcPr>
          <w:p w14:paraId="6EEE27A4" w14:textId="1614259E"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1643</w:t>
            </w:r>
            <w:r w:rsidR="00142242" w:rsidRPr="00646D83">
              <w:rPr>
                <w:color w:val="000000" w:themeColor="text1"/>
                <w:sz w:val="20"/>
                <w:szCs w:val="20"/>
                <w:lang w:val="fr-CA"/>
              </w:rPr>
              <w:t>,</w:t>
            </w:r>
            <w:r w:rsidRPr="00646D83">
              <w:rPr>
                <w:color w:val="000000" w:themeColor="text1"/>
                <w:sz w:val="20"/>
                <w:szCs w:val="20"/>
                <w:lang w:val="fr-CA"/>
              </w:rPr>
              <w:t>24</w:t>
            </w:r>
          </w:p>
        </w:tc>
        <w:tc>
          <w:tcPr>
            <w:tcW w:w="630" w:type="pct"/>
            <w:tcBorders>
              <w:top w:val="single" w:sz="4" w:space="0" w:color="auto"/>
              <w:left w:val="single" w:sz="4" w:space="0" w:color="auto"/>
              <w:bottom w:val="single" w:sz="4" w:space="0" w:color="auto"/>
              <w:right w:val="single" w:sz="4" w:space="0" w:color="auto"/>
            </w:tcBorders>
          </w:tcPr>
          <w:p w14:paraId="4173B63D" w14:textId="317BE55F"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843</w:t>
            </w:r>
            <w:r w:rsidR="00142242" w:rsidRPr="00646D83">
              <w:rPr>
                <w:color w:val="000000" w:themeColor="text1"/>
                <w:sz w:val="20"/>
                <w:szCs w:val="20"/>
                <w:lang w:val="fr-CA"/>
              </w:rPr>
              <w:t>,</w:t>
            </w:r>
            <w:r w:rsidRPr="00646D83">
              <w:rPr>
                <w:color w:val="000000" w:themeColor="text1"/>
                <w:sz w:val="20"/>
                <w:szCs w:val="20"/>
                <w:lang w:val="fr-CA"/>
              </w:rPr>
              <w:t>69</w:t>
            </w:r>
          </w:p>
        </w:tc>
        <w:tc>
          <w:tcPr>
            <w:tcW w:w="630" w:type="pct"/>
            <w:tcBorders>
              <w:top w:val="single" w:sz="4" w:space="0" w:color="auto"/>
              <w:left w:val="single" w:sz="4" w:space="0" w:color="auto"/>
              <w:bottom w:val="single" w:sz="4" w:space="0" w:color="auto"/>
              <w:right w:val="single" w:sz="4" w:space="0" w:color="auto"/>
            </w:tcBorders>
            <w:noWrap/>
            <w:hideMark/>
          </w:tcPr>
          <w:p w14:paraId="0F231F26" w14:textId="23E6B7E4"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w:t>
            </w:r>
            <w:r w:rsidR="00142242" w:rsidRPr="00646D83">
              <w:rPr>
                <w:color w:val="000000" w:themeColor="text1"/>
                <w:sz w:val="20"/>
                <w:szCs w:val="20"/>
                <w:lang w:val="fr-CA"/>
              </w:rPr>
              <w:t xml:space="preserve"> </w:t>
            </w:r>
            <w:r w:rsidRPr="00646D83">
              <w:rPr>
                <w:color w:val="000000" w:themeColor="text1"/>
                <w:sz w:val="20"/>
                <w:szCs w:val="20"/>
                <w:lang w:val="fr-CA"/>
              </w:rPr>
              <w:t>959</w:t>
            </w:r>
            <w:r w:rsidR="00142242" w:rsidRPr="00646D83">
              <w:rPr>
                <w:color w:val="000000" w:themeColor="text1"/>
                <w:sz w:val="20"/>
                <w:szCs w:val="20"/>
                <w:lang w:val="fr-CA"/>
              </w:rPr>
              <w:t>,</w:t>
            </w:r>
            <w:r w:rsidRPr="00646D83">
              <w:rPr>
                <w:color w:val="000000" w:themeColor="text1"/>
                <w:sz w:val="20"/>
                <w:szCs w:val="20"/>
                <w:lang w:val="fr-CA"/>
              </w:rPr>
              <w:t>45</w:t>
            </w:r>
          </w:p>
        </w:tc>
      </w:tr>
      <w:tr w:rsidR="00825F3F" w:rsidRPr="00646D83" w14:paraId="00F28CA6" w14:textId="77777777" w:rsidTr="004F62E7">
        <w:trPr>
          <w:cantSplit/>
        </w:trPr>
        <w:tc>
          <w:tcPr>
            <w:tcW w:w="1219" w:type="pct"/>
            <w:tcBorders>
              <w:top w:val="nil"/>
              <w:left w:val="single" w:sz="4" w:space="0" w:color="auto"/>
              <w:bottom w:val="single" w:sz="4" w:space="0" w:color="auto"/>
              <w:right w:val="single" w:sz="4" w:space="0" w:color="auto"/>
            </w:tcBorders>
            <w:noWrap/>
            <w:hideMark/>
          </w:tcPr>
          <w:p w14:paraId="1F9EE849"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HCFC-141b</w:t>
            </w:r>
          </w:p>
        </w:tc>
        <w:tc>
          <w:tcPr>
            <w:tcW w:w="630" w:type="pct"/>
            <w:tcBorders>
              <w:top w:val="single" w:sz="4" w:space="0" w:color="auto"/>
              <w:left w:val="nil"/>
              <w:bottom w:val="single" w:sz="4" w:space="0" w:color="auto"/>
              <w:right w:val="single" w:sz="4" w:space="0" w:color="auto"/>
            </w:tcBorders>
          </w:tcPr>
          <w:p w14:paraId="2E41F01E" w14:textId="004DC040"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158</w:t>
            </w:r>
            <w:r w:rsidR="00142242" w:rsidRPr="00646D83">
              <w:rPr>
                <w:color w:val="000000" w:themeColor="text1"/>
                <w:sz w:val="20"/>
                <w:szCs w:val="20"/>
                <w:lang w:val="fr-CA"/>
              </w:rPr>
              <w:t>,</w:t>
            </w:r>
            <w:r w:rsidRPr="00646D83">
              <w:rPr>
                <w:color w:val="000000" w:themeColor="text1"/>
                <w:sz w:val="20"/>
                <w:szCs w:val="20"/>
                <w:lang w:val="fr-CA"/>
              </w:rPr>
              <w:t>55</w:t>
            </w:r>
          </w:p>
        </w:tc>
        <w:tc>
          <w:tcPr>
            <w:tcW w:w="630" w:type="pct"/>
            <w:tcBorders>
              <w:top w:val="single" w:sz="4" w:space="0" w:color="auto"/>
              <w:left w:val="single" w:sz="4" w:space="0" w:color="auto"/>
              <w:bottom w:val="single" w:sz="4" w:space="0" w:color="auto"/>
              <w:right w:val="single" w:sz="4" w:space="0" w:color="auto"/>
            </w:tcBorders>
          </w:tcPr>
          <w:p w14:paraId="32A58032" w14:textId="25820DD0"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183</w:t>
            </w:r>
            <w:r w:rsidR="00142242" w:rsidRPr="00646D83">
              <w:rPr>
                <w:color w:val="000000" w:themeColor="text1"/>
                <w:sz w:val="20"/>
                <w:szCs w:val="20"/>
                <w:lang w:val="fr-CA"/>
              </w:rPr>
              <w:t>,</w:t>
            </w:r>
            <w:r w:rsidRPr="00646D83">
              <w:rPr>
                <w:color w:val="000000" w:themeColor="text1"/>
                <w:sz w:val="20"/>
                <w:szCs w:val="20"/>
                <w:lang w:val="fr-CA"/>
              </w:rPr>
              <w:t>46</w:t>
            </w:r>
          </w:p>
        </w:tc>
        <w:tc>
          <w:tcPr>
            <w:tcW w:w="630" w:type="pct"/>
            <w:tcBorders>
              <w:top w:val="single" w:sz="4" w:space="0" w:color="auto"/>
              <w:left w:val="single" w:sz="4" w:space="0" w:color="auto"/>
              <w:bottom w:val="single" w:sz="4" w:space="0" w:color="auto"/>
              <w:right w:val="single" w:sz="4" w:space="0" w:color="auto"/>
            </w:tcBorders>
          </w:tcPr>
          <w:p w14:paraId="1233DB14" w14:textId="2BB2D0EC"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144</w:t>
            </w:r>
            <w:r w:rsidR="00142242" w:rsidRPr="00646D83">
              <w:rPr>
                <w:color w:val="000000" w:themeColor="text1"/>
                <w:sz w:val="20"/>
                <w:szCs w:val="20"/>
                <w:lang w:val="fr-CA"/>
              </w:rPr>
              <w:t>,</w:t>
            </w:r>
            <w:r w:rsidRPr="00646D83">
              <w:rPr>
                <w:color w:val="000000" w:themeColor="text1"/>
                <w:sz w:val="20"/>
                <w:szCs w:val="20"/>
                <w:lang w:val="fr-CA"/>
              </w:rPr>
              <w:t>5</w:t>
            </w:r>
          </w:p>
        </w:tc>
        <w:tc>
          <w:tcPr>
            <w:tcW w:w="630" w:type="pct"/>
            <w:tcBorders>
              <w:top w:val="single" w:sz="4" w:space="0" w:color="auto"/>
              <w:left w:val="single" w:sz="4" w:space="0" w:color="auto"/>
              <w:bottom w:val="single" w:sz="4" w:space="0" w:color="auto"/>
              <w:right w:val="single" w:sz="4" w:space="0" w:color="auto"/>
            </w:tcBorders>
          </w:tcPr>
          <w:p w14:paraId="6A684ABB" w14:textId="21E69C34"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110</w:t>
            </w:r>
            <w:r w:rsidR="00142242" w:rsidRPr="00646D83">
              <w:rPr>
                <w:color w:val="000000" w:themeColor="text1"/>
                <w:sz w:val="20"/>
                <w:szCs w:val="20"/>
                <w:lang w:val="fr-CA"/>
              </w:rPr>
              <w:t>,</w:t>
            </w:r>
            <w:r w:rsidRPr="00646D83">
              <w:rPr>
                <w:color w:val="000000" w:themeColor="text1"/>
                <w:sz w:val="20"/>
                <w:szCs w:val="20"/>
                <w:lang w:val="fr-CA"/>
              </w:rPr>
              <w:t>98</w:t>
            </w:r>
          </w:p>
        </w:tc>
        <w:tc>
          <w:tcPr>
            <w:tcW w:w="630" w:type="pct"/>
            <w:tcBorders>
              <w:top w:val="single" w:sz="4" w:space="0" w:color="auto"/>
              <w:left w:val="single" w:sz="4" w:space="0" w:color="auto"/>
              <w:bottom w:val="single" w:sz="4" w:space="0" w:color="auto"/>
              <w:right w:val="single" w:sz="4" w:space="0" w:color="auto"/>
            </w:tcBorders>
          </w:tcPr>
          <w:p w14:paraId="3E07D82D" w14:textId="42FE0179"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18</w:t>
            </w:r>
            <w:r w:rsidR="00142242" w:rsidRPr="00646D83">
              <w:rPr>
                <w:color w:val="000000" w:themeColor="text1"/>
                <w:sz w:val="20"/>
                <w:szCs w:val="20"/>
                <w:lang w:val="fr-CA"/>
              </w:rPr>
              <w:t>,</w:t>
            </w:r>
            <w:r w:rsidRPr="00646D83">
              <w:rPr>
                <w:color w:val="000000" w:themeColor="text1"/>
                <w:sz w:val="20"/>
                <w:szCs w:val="20"/>
                <w:lang w:val="fr-CA"/>
              </w:rPr>
              <w:t>90</w:t>
            </w:r>
          </w:p>
        </w:tc>
        <w:tc>
          <w:tcPr>
            <w:tcW w:w="630" w:type="pct"/>
            <w:tcBorders>
              <w:top w:val="single" w:sz="4" w:space="0" w:color="auto"/>
              <w:left w:val="single" w:sz="4" w:space="0" w:color="auto"/>
              <w:bottom w:val="single" w:sz="4" w:space="0" w:color="auto"/>
              <w:right w:val="single" w:sz="4" w:space="0" w:color="auto"/>
            </w:tcBorders>
            <w:noWrap/>
            <w:hideMark/>
          </w:tcPr>
          <w:p w14:paraId="4DFD13EF" w14:textId="6AD23EB2"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475</w:t>
            </w:r>
            <w:r w:rsidR="00142242" w:rsidRPr="00646D83">
              <w:rPr>
                <w:color w:val="000000" w:themeColor="text1"/>
                <w:sz w:val="20"/>
                <w:szCs w:val="20"/>
                <w:lang w:val="fr-CA"/>
              </w:rPr>
              <w:t>,</w:t>
            </w:r>
            <w:r w:rsidRPr="00646D83">
              <w:rPr>
                <w:color w:val="000000" w:themeColor="text1"/>
                <w:sz w:val="20"/>
                <w:szCs w:val="20"/>
                <w:lang w:val="fr-CA"/>
              </w:rPr>
              <w:t>05</w:t>
            </w:r>
          </w:p>
        </w:tc>
      </w:tr>
      <w:tr w:rsidR="00825F3F" w:rsidRPr="00646D83" w14:paraId="18CDEB7A" w14:textId="77777777" w:rsidTr="004F62E7">
        <w:trPr>
          <w:cantSplit/>
        </w:trPr>
        <w:tc>
          <w:tcPr>
            <w:tcW w:w="1219" w:type="pct"/>
            <w:tcBorders>
              <w:top w:val="nil"/>
              <w:left w:val="single" w:sz="4" w:space="0" w:color="auto"/>
              <w:bottom w:val="single" w:sz="4" w:space="0" w:color="auto"/>
              <w:right w:val="single" w:sz="4" w:space="0" w:color="auto"/>
            </w:tcBorders>
            <w:noWrap/>
          </w:tcPr>
          <w:p w14:paraId="740A6117"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HCFC-142b</w:t>
            </w:r>
          </w:p>
        </w:tc>
        <w:tc>
          <w:tcPr>
            <w:tcW w:w="630" w:type="pct"/>
            <w:tcBorders>
              <w:top w:val="single" w:sz="4" w:space="0" w:color="auto"/>
              <w:left w:val="nil"/>
              <w:bottom w:val="single" w:sz="4" w:space="0" w:color="auto"/>
              <w:right w:val="single" w:sz="4" w:space="0" w:color="auto"/>
            </w:tcBorders>
          </w:tcPr>
          <w:p w14:paraId="4D3BB6AD" w14:textId="34ECC0EA"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06DBF1E1" w14:textId="2DA6D304"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3EDAEED9" w14:textId="5CE0C024"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7009D7D1" w14:textId="42353848"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44A956B9" w14:textId="0394F1E2"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2F70E354" w14:textId="766F8818"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3</w:t>
            </w:r>
            <w:r w:rsidR="00142242" w:rsidRPr="00646D83">
              <w:rPr>
                <w:color w:val="000000" w:themeColor="text1"/>
                <w:sz w:val="20"/>
                <w:szCs w:val="20"/>
                <w:lang w:val="fr-CA"/>
              </w:rPr>
              <w:t>,</w:t>
            </w:r>
            <w:r w:rsidRPr="00646D83">
              <w:rPr>
                <w:color w:val="000000" w:themeColor="text1"/>
                <w:sz w:val="20"/>
                <w:szCs w:val="20"/>
                <w:lang w:val="fr-CA"/>
              </w:rPr>
              <w:t>99</w:t>
            </w:r>
          </w:p>
        </w:tc>
      </w:tr>
      <w:tr w:rsidR="00825F3F" w:rsidRPr="00646D83" w14:paraId="72566B88" w14:textId="77777777" w:rsidTr="004F62E7">
        <w:trPr>
          <w:cantSplit/>
        </w:trPr>
        <w:tc>
          <w:tcPr>
            <w:tcW w:w="1219" w:type="pct"/>
            <w:tcBorders>
              <w:top w:val="nil"/>
              <w:left w:val="single" w:sz="4" w:space="0" w:color="auto"/>
              <w:bottom w:val="single" w:sz="4" w:space="0" w:color="auto"/>
              <w:right w:val="single" w:sz="4" w:space="0" w:color="auto"/>
            </w:tcBorders>
            <w:noWrap/>
            <w:hideMark/>
          </w:tcPr>
          <w:p w14:paraId="2ECF789E"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HCFC-123</w:t>
            </w:r>
          </w:p>
        </w:tc>
        <w:tc>
          <w:tcPr>
            <w:tcW w:w="630" w:type="pct"/>
            <w:tcBorders>
              <w:top w:val="single" w:sz="4" w:space="0" w:color="auto"/>
              <w:left w:val="nil"/>
              <w:bottom w:val="single" w:sz="4" w:space="0" w:color="auto"/>
              <w:right w:val="single" w:sz="4" w:space="0" w:color="auto"/>
            </w:tcBorders>
          </w:tcPr>
          <w:p w14:paraId="6853224F" w14:textId="32797E3A"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263</w:t>
            </w:r>
            <w:r w:rsidR="00142242" w:rsidRPr="00646D83">
              <w:rPr>
                <w:color w:val="000000" w:themeColor="text1"/>
                <w:sz w:val="20"/>
                <w:szCs w:val="20"/>
                <w:lang w:val="fr-CA"/>
              </w:rPr>
              <w:t>,</w:t>
            </w:r>
            <w:r w:rsidRPr="00646D83">
              <w:rPr>
                <w:color w:val="000000" w:themeColor="text1"/>
                <w:sz w:val="20"/>
                <w:szCs w:val="20"/>
                <w:lang w:val="fr-CA"/>
              </w:rPr>
              <w:t>06</w:t>
            </w:r>
          </w:p>
        </w:tc>
        <w:tc>
          <w:tcPr>
            <w:tcW w:w="630" w:type="pct"/>
            <w:tcBorders>
              <w:top w:val="single" w:sz="4" w:space="0" w:color="auto"/>
              <w:left w:val="single" w:sz="4" w:space="0" w:color="auto"/>
              <w:bottom w:val="single" w:sz="4" w:space="0" w:color="auto"/>
              <w:right w:val="single" w:sz="4" w:space="0" w:color="auto"/>
            </w:tcBorders>
          </w:tcPr>
          <w:p w14:paraId="58581387" w14:textId="768D52FB"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57</w:t>
            </w:r>
            <w:r w:rsidR="00142242" w:rsidRPr="00646D83">
              <w:rPr>
                <w:color w:val="000000" w:themeColor="text1"/>
                <w:sz w:val="20"/>
                <w:szCs w:val="20"/>
                <w:lang w:val="fr-CA"/>
              </w:rPr>
              <w:t>,</w:t>
            </w:r>
            <w:r w:rsidRPr="00646D83">
              <w:rPr>
                <w:color w:val="000000" w:themeColor="text1"/>
                <w:sz w:val="20"/>
                <w:szCs w:val="20"/>
                <w:lang w:val="fr-CA"/>
              </w:rPr>
              <w:t>13</w:t>
            </w:r>
          </w:p>
        </w:tc>
        <w:tc>
          <w:tcPr>
            <w:tcW w:w="630" w:type="pct"/>
            <w:tcBorders>
              <w:top w:val="single" w:sz="4" w:space="0" w:color="auto"/>
              <w:left w:val="single" w:sz="4" w:space="0" w:color="auto"/>
              <w:bottom w:val="single" w:sz="4" w:space="0" w:color="auto"/>
              <w:right w:val="single" w:sz="4" w:space="0" w:color="auto"/>
            </w:tcBorders>
          </w:tcPr>
          <w:p w14:paraId="45F21249" w14:textId="18ED0B79"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57</w:t>
            </w:r>
            <w:r w:rsidR="00142242" w:rsidRPr="00646D83">
              <w:rPr>
                <w:color w:val="000000" w:themeColor="text1"/>
                <w:sz w:val="20"/>
                <w:szCs w:val="20"/>
                <w:lang w:val="fr-CA"/>
              </w:rPr>
              <w:t>,</w:t>
            </w:r>
            <w:r w:rsidRPr="00646D83">
              <w:rPr>
                <w:color w:val="000000" w:themeColor="text1"/>
                <w:sz w:val="20"/>
                <w:szCs w:val="20"/>
                <w:lang w:val="fr-CA"/>
              </w:rPr>
              <w:t>4</w:t>
            </w:r>
          </w:p>
        </w:tc>
        <w:tc>
          <w:tcPr>
            <w:tcW w:w="630" w:type="pct"/>
            <w:tcBorders>
              <w:top w:val="single" w:sz="4" w:space="0" w:color="auto"/>
              <w:left w:val="single" w:sz="4" w:space="0" w:color="auto"/>
              <w:bottom w:val="single" w:sz="4" w:space="0" w:color="auto"/>
              <w:right w:val="single" w:sz="4" w:space="0" w:color="auto"/>
            </w:tcBorders>
          </w:tcPr>
          <w:p w14:paraId="72B4581A" w14:textId="520E8DC7"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57</w:t>
            </w:r>
            <w:r w:rsidR="00142242" w:rsidRPr="00646D83">
              <w:rPr>
                <w:color w:val="000000" w:themeColor="text1"/>
                <w:sz w:val="20"/>
                <w:szCs w:val="20"/>
                <w:lang w:val="fr-CA"/>
              </w:rPr>
              <w:t>,</w:t>
            </w:r>
            <w:r w:rsidRPr="00646D83">
              <w:rPr>
                <w:color w:val="000000" w:themeColor="text1"/>
                <w:sz w:val="20"/>
                <w:szCs w:val="20"/>
                <w:lang w:val="fr-CA"/>
              </w:rPr>
              <w:t>13</w:t>
            </w:r>
          </w:p>
        </w:tc>
        <w:tc>
          <w:tcPr>
            <w:tcW w:w="630" w:type="pct"/>
            <w:tcBorders>
              <w:top w:val="single" w:sz="4" w:space="0" w:color="auto"/>
              <w:left w:val="single" w:sz="4" w:space="0" w:color="auto"/>
              <w:bottom w:val="single" w:sz="4" w:space="0" w:color="auto"/>
              <w:right w:val="single" w:sz="4" w:space="0" w:color="auto"/>
            </w:tcBorders>
          </w:tcPr>
          <w:p w14:paraId="0BA4D8A2" w14:textId="3082D9CA"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106</w:t>
            </w:r>
            <w:r w:rsidR="00142242" w:rsidRPr="00646D83">
              <w:rPr>
                <w:color w:val="000000" w:themeColor="text1"/>
                <w:sz w:val="20"/>
                <w:szCs w:val="20"/>
                <w:lang w:val="fr-CA"/>
              </w:rPr>
              <w:t>,</w:t>
            </w:r>
            <w:r w:rsidRPr="00646D83">
              <w:rPr>
                <w:color w:val="000000" w:themeColor="text1"/>
                <w:sz w:val="20"/>
                <w:szCs w:val="20"/>
                <w:lang w:val="fr-CA"/>
              </w:rPr>
              <w:t>66</w:t>
            </w:r>
          </w:p>
        </w:tc>
        <w:tc>
          <w:tcPr>
            <w:tcW w:w="630" w:type="pct"/>
            <w:tcBorders>
              <w:top w:val="single" w:sz="4" w:space="0" w:color="auto"/>
              <w:left w:val="single" w:sz="4" w:space="0" w:color="auto"/>
              <w:bottom w:val="single" w:sz="4" w:space="0" w:color="auto"/>
              <w:right w:val="single" w:sz="4" w:space="0" w:color="auto"/>
            </w:tcBorders>
            <w:noWrap/>
            <w:hideMark/>
          </w:tcPr>
          <w:p w14:paraId="4E1763A4" w14:textId="74BBC95F"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84</w:t>
            </w:r>
            <w:r w:rsidR="00142242" w:rsidRPr="00646D83">
              <w:rPr>
                <w:color w:val="000000" w:themeColor="text1"/>
                <w:sz w:val="20"/>
                <w:szCs w:val="20"/>
                <w:lang w:val="fr-CA"/>
              </w:rPr>
              <w:t>,</w:t>
            </w:r>
            <w:r w:rsidRPr="00646D83">
              <w:rPr>
                <w:color w:val="000000" w:themeColor="text1"/>
                <w:sz w:val="20"/>
                <w:szCs w:val="20"/>
                <w:lang w:val="fr-CA"/>
              </w:rPr>
              <w:t>38</w:t>
            </w:r>
          </w:p>
        </w:tc>
      </w:tr>
      <w:tr w:rsidR="00825F3F" w:rsidRPr="00646D83" w14:paraId="67417D92" w14:textId="77777777" w:rsidTr="004F62E7">
        <w:trPr>
          <w:cantSplit/>
        </w:trPr>
        <w:tc>
          <w:tcPr>
            <w:tcW w:w="1219" w:type="pct"/>
            <w:tcBorders>
              <w:top w:val="nil"/>
              <w:left w:val="single" w:sz="4" w:space="0" w:color="auto"/>
              <w:bottom w:val="single" w:sz="4" w:space="0" w:color="auto"/>
              <w:right w:val="single" w:sz="4" w:space="0" w:color="auto"/>
            </w:tcBorders>
            <w:noWrap/>
          </w:tcPr>
          <w:p w14:paraId="78684241"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HCFC-225ca</w:t>
            </w:r>
          </w:p>
        </w:tc>
        <w:tc>
          <w:tcPr>
            <w:tcW w:w="630" w:type="pct"/>
            <w:tcBorders>
              <w:top w:val="single" w:sz="4" w:space="0" w:color="auto"/>
              <w:left w:val="nil"/>
              <w:bottom w:val="single" w:sz="4" w:space="0" w:color="auto"/>
              <w:right w:val="single" w:sz="4" w:space="0" w:color="auto"/>
            </w:tcBorders>
          </w:tcPr>
          <w:p w14:paraId="52C2AF93" w14:textId="41073870"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21</w:t>
            </w:r>
          </w:p>
        </w:tc>
        <w:tc>
          <w:tcPr>
            <w:tcW w:w="630" w:type="pct"/>
            <w:tcBorders>
              <w:top w:val="single" w:sz="4" w:space="0" w:color="auto"/>
              <w:left w:val="single" w:sz="4" w:space="0" w:color="auto"/>
              <w:bottom w:val="single" w:sz="4" w:space="0" w:color="auto"/>
              <w:right w:val="single" w:sz="4" w:space="0" w:color="auto"/>
            </w:tcBorders>
          </w:tcPr>
          <w:p w14:paraId="11D66CE7" w14:textId="046A1070"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31</w:t>
            </w:r>
          </w:p>
        </w:tc>
        <w:tc>
          <w:tcPr>
            <w:tcW w:w="630" w:type="pct"/>
            <w:tcBorders>
              <w:top w:val="single" w:sz="4" w:space="0" w:color="auto"/>
              <w:left w:val="single" w:sz="4" w:space="0" w:color="auto"/>
              <w:bottom w:val="single" w:sz="4" w:space="0" w:color="auto"/>
              <w:right w:val="single" w:sz="4" w:space="0" w:color="auto"/>
            </w:tcBorders>
          </w:tcPr>
          <w:p w14:paraId="6A1C8CDE" w14:textId="0895AC76"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15</w:t>
            </w:r>
          </w:p>
        </w:tc>
        <w:tc>
          <w:tcPr>
            <w:tcW w:w="630" w:type="pct"/>
            <w:tcBorders>
              <w:top w:val="single" w:sz="4" w:space="0" w:color="auto"/>
              <w:left w:val="single" w:sz="4" w:space="0" w:color="auto"/>
              <w:bottom w:val="single" w:sz="4" w:space="0" w:color="auto"/>
              <w:right w:val="single" w:sz="4" w:space="0" w:color="auto"/>
            </w:tcBorders>
          </w:tcPr>
          <w:p w14:paraId="64550E44" w14:textId="0A6619AD"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38</w:t>
            </w:r>
          </w:p>
        </w:tc>
        <w:tc>
          <w:tcPr>
            <w:tcW w:w="630" w:type="pct"/>
            <w:tcBorders>
              <w:top w:val="single" w:sz="4" w:space="0" w:color="auto"/>
              <w:left w:val="single" w:sz="4" w:space="0" w:color="auto"/>
              <w:bottom w:val="single" w:sz="4" w:space="0" w:color="auto"/>
              <w:right w:val="single" w:sz="4" w:space="0" w:color="auto"/>
            </w:tcBorders>
          </w:tcPr>
          <w:p w14:paraId="2E113CF1" w14:textId="67BEE8F5"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665BB527" w14:textId="58A046C6" w:rsidR="00825F3F" w:rsidRPr="00646D83" w:rsidRDefault="00825F3F" w:rsidP="004F62E7">
            <w:pPr>
              <w:tabs>
                <w:tab w:val="left" w:pos="1220"/>
              </w:tabs>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17</w:t>
            </w:r>
          </w:p>
        </w:tc>
      </w:tr>
      <w:tr w:rsidR="00825F3F" w:rsidRPr="00646D83" w14:paraId="2A60C411" w14:textId="77777777" w:rsidTr="004F62E7">
        <w:trPr>
          <w:cantSplit/>
        </w:trPr>
        <w:tc>
          <w:tcPr>
            <w:tcW w:w="1219" w:type="pct"/>
            <w:tcBorders>
              <w:top w:val="nil"/>
              <w:left w:val="single" w:sz="4" w:space="0" w:color="auto"/>
              <w:bottom w:val="single" w:sz="4" w:space="0" w:color="auto"/>
              <w:right w:val="single" w:sz="4" w:space="0" w:color="auto"/>
            </w:tcBorders>
            <w:noWrap/>
          </w:tcPr>
          <w:p w14:paraId="567B332A"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HCFC-225cb</w:t>
            </w:r>
          </w:p>
        </w:tc>
        <w:tc>
          <w:tcPr>
            <w:tcW w:w="630" w:type="pct"/>
            <w:tcBorders>
              <w:top w:val="single" w:sz="4" w:space="0" w:color="auto"/>
              <w:left w:val="nil"/>
              <w:bottom w:val="single" w:sz="4" w:space="0" w:color="auto"/>
              <w:right w:val="single" w:sz="4" w:space="0" w:color="auto"/>
            </w:tcBorders>
          </w:tcPr>
          <w:p w14:paraId="4F66A607" w14:textId="6E720C21"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21</w:t>
            </w:r>
          </w:p>
        </w:tc>
        <w:tc>
          <w:tcPr>
            <w:tcW w:w="630" w:type="pct"/>
            <w:tcBorders>
              <w:top w:val="single" w:sz="4" w:space="0" w:color="auto"/>
              <w:left w:val="single" w:sz="4" w:space="0" w:color="auto"/>
              <w:bottom w:val="single" w:sz="4" w:space="0" w:color="auto"/>
              <w:right w:val="single" w:sz="4" w:space="0" w:color="auto"/>
            </w:tcBorders>
          </w:tcPr>
          <w:p w14:paraId="2FFC373B" w14:textId="78A1C2E8"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31</w:t>
            </w:r>
          </w:p>
        </w:tc>
        <w:tc>
          <w:tcPr>
            <w:tcW w:w="630" w:type="pct"/>
            <w:tcBorders>
              <w:top w:val="single" w:sz="4" w:space="0" w:color="auto"/>
              <w:left w:val="single" w:sz="4" w:space="0" w:color="auto"/>
              <w:bottom w:val="single" w:sz="4" w:space="0" w:color="auto"/>
              <w:right w:val="single" w:sz="4" w:space="0" w:color="auto"/>
            </w:tcBorders>
          </w:tcPr>
          <w:p w14:paraId="79DFA05B" w14:textId="73964F2C"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16</w:t>
            </w:r>
          </w:p>
        </w:tc>
        <w:tc>
          <w:tcPr>
            <w:tcW w:w="630" w:type="pct"/>
            <w:tcBorders>
              <w:top w:val="single" w:sz="4" w:space="0" w:color="auto"/>
              <w:left w:val="single" w:sz="4" w:space="0" w:color="auto"/>
              <w:bottom w:val="single" w:sz="4" w:space="0" w:color="auto"/>
              <w:right w:val="single" w:sz="4" w:space="0" w:color="auto"/>
            </w:tcBorders>
          </w:tcPr>
          <w:p w14:paraId="1317BFAB" w14:textId="0447401E" w:rsidR="00825F3F" w:rsidRPr="00646D83" w:rsidRDefault="00825F3F" w:rsidP="004F62E7">
            <w:pPr>
              <w:jc w:val="right"/>
              <w:rPr>
                <w:color w:val="000000" w:themeColor="text1"/>
                <w:sz w:val="20"/>
                <w:szCs w:val="20"/>
                <w:lang w:val="fr-CA"/>
              </w:rPr>
            </w:pPr>
            <w:r w:rsidRPr="00646D83">
              <w:rPr>
                <w:sz w:val="20"/>
                <w:szCs w:val="20"/>
                <w:lang w:val="fr-CA"/>
              </w:rPr>
              <w:t>0</w:t>
            </w:r>
            <w:r w:rsidR="00142242" w:rsidRPr="00646D83">
              <w:rPr>
                <w:sz w:val="20"/>
                <w:szCs w:val="20"/>
                <w:lang w:val="fr-CA"/>
              </w:rPr>
              <w:t>,</w:t>
            </w:r>
            <w:r w:rsidRPr="00646D83">
              <w:rPr>
                <w:sz w:val="20"/>
                <w:szCs w:val="20"/>
                <w:lang w:val="fr-CA"/>
              </w:rPr>
              <w:t>38</w:t>
            </w:r>
          </w:p>
        </w:tc>
        <w:tc>
          <w:tcPr>
            <w:tcW w:w="630" w:type="pct"/>
            <w:tcBorders>
              <w:top w:val="single" w:sz="4" w:space="0" w:color="auto"/>
              <w:left w:val="single" w:sz="4" w:space="0" w:color="auto"/>
              <w:bottom w:val="single" w:sz="4" w:space="0" w:color="auto"/>
              <w:right w:val="single" w:sz="4" w:space="0" w:color="auto"/>
            </w:tcBorders>
          </w:tcPr>
          <w:p w14:paraId="1120B94C" w14:textId="368FA0AC"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2F715899" w14:textId="74C5D650"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17</w:t>
            </w:r>
          </w:p>
        </w:tc>
      </w:tr>
      <w:tr w:rsidR="00825F3F" w:rsidRPr="00646D83" w14:paraId="3D71EED0" w14:textId="77777777" w:rsidTr="004F62E7">
        <w:trPr>
          <w:cantSplit/>
        </w:trPr>
        <w:tc>
          <w:tcPr>
            <w:tcW w:w="1219" w:type="pct"/>
            <w:tcBorders>
              <w:top w:val="nil"/>
              <w:left w:val="single" w:sz="4" w:space="0" w:color="auto"/>
              <w:bottom w:val="single" w:sz="4" w:space="0" w:color="auto"/>
              <w:right w:val="single" w:sz="4" w:space="0" w:color="auto"/>
            </w:tcBorders>
            <w:noWrap/>
            <w:hideMark/>
          </w:tcPr>
          <w:p w14:paraId="5D4E9BE3" w14:textId="77777777" w:rsidR="00825F3F" w:rsidRPr="00646D83" w:rsidRDefault="00825F3F" w:rsidP="004F62E7">
            <w:pPr>
              <w:ind w:left="25"/>
              <w:jc w:val="left"/>
              <w:rPr>
                <w:b/>
                <w:color w:val="000000" w:themeColor="text1"/>
                <w:sz w:val="20"/>
                <w:szCs w:val="20"/>
                <w:lang w:val="fr-CA"/>
              </w:rPr>
            </w:pPr>
            <w:r w:rsidRPr="00646D83">
              <w:rPr>
                <w:b/>
                <w:color w:val="000000" w:themeColor="text1"/>
                <w:sz w:val="20"/>
                <w:szCs w:val="20"/>
                <w:lang w:val="fr-CA"/>
              </w:rPr>
              <w:t>Total</w:t>
            </w:r>
          </w:p>
        </w:tc>
        <w:tc>
          <w:tcPr>
            <w:tcW w:w="630" w:type="pct"/>
            <w:tcBorders>
              <w:top w:val="single" w:sz="4" w:space="0" w:color="auto"/>
              <w:left w:val="nil"/>
              <w:bottom w:val="single" w:sz="4" w:space="0" w:color="auto"/>
              <w:right w:val="single" w:sz="4" w:space="0" w:color="auto"/>
            </w:tcBorders>
          </w:tcPr>
          <w:p w14:paraId="2BBF39E5" w14:textId="0DC1B76C"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2</w:t>
            </w:r>
            <w:r w:rsidR="00142242" w:rsidRPr="00646D83">
              <w:rPr>
                <w:b/>
                <w:color w:val="000000" w:themeColor="text1"/>
                <w:sz w:val="20"/>
                <w:szCs w:val="20"/>
                <w:lang w:val="fr-CA"/>
              </w:rPr>
              <w:t xml:space="preserve"> </w:t>
            </w:r>
            <w:r w:rsidRPr="00646D83">
              <w:rPr>
                <w:b/>
                <w:color w:val="000000" w:themeColor="text1"/>
                <w:sz w:val="20"/>
                <w:szCs w:val="20"/>
                <w:lang w:val="fr-CA"/>
              </w:rPr>
              <w:t>106</w:t>
            </w:r>
            <w:r w:rsidR="00142242" w:rsidRPr="00646D83">
              <w:rPr>
                <w:b/>
                <w:color w:val="000000" w:themeColor="text1"/>
                <w:sz w:val="20"/>
                <w:szCs w:val="20"/>
                <w:lang w:val="fr-CA"/>
              </w:rPr>
              <w:t>,</w:t>
            </w:r>
            <w:r w:rsidRPr="00646D83">
              <w:rPr>
                <w:b/>
                <w:color w:val="000000" w:themeColor="text1"/>
                <w:sz w:val="20"/>
                <w:szCs w:val="20"/>
                <w:lang w:val="fr-CA"/>
              </w:rPr>
              <w:t>73</w:t>
            </w:r>
          </w:p>
        </w:tc>
        <w:tc>
          <w:tcPr>
            <w:tcW w:w="630" w:type="pct"/>
            <w:tcBorders>
              <w:top w:val="single" w:sz="4" w:space="0" w:color="auto"/>
              <w:left w:val="single" w:sz="4" w:space="0" w:color="auto"/>
              <w:bottom w:val="single" w:sz="4" w:space="0" w:color="auto"/>
              <w:right w:val="single" w:sz="4" w:space="0" w:color="auto"/>
            </w:tcBorders>
          </w:tcPr>
          <w:p w14:paraId="621CC547" w14:textId="17660C4D"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w:t>
            </w:r>
            <w:r w:rsidR="00142242" w:rsidRPr="00646D83">
              <w:rPr>
                <w:b/>
                <w:color w:val="000000" w:themeColor="text1"/>
                <w:sz w:val="20"/>
                <w:szCs w:val="20"/>
                <w:lang w:val="fr-CA"/>
              </w:rPr>
              <w:t xml:space="preserve"> </w:t>
            </w:r>
            <w:r w:rsidRPr="00646D83">
              <w:rPr>
                <w:b/>
                <w:color w:val="000000" w:themeColor="text1"/>
                <w:sz w:val="20"/>
                <w:szCs w:val="20"/>
                <w:lang w:val="fr-CA"/>
              </w:rPr>
              <w:t>894</w:t>
            </w:r>
            <w:r w:rsidR="00142242" w:rsidRPr="00646D83">
              <w:rPr>
                <w:b/>
                <w:color w:val="000000" w:themeColor="text1"/>
                <w:sz w:val="20"/>
                <w:szCs w:val="20"/>
                <w:lang w:val="fr-CA"/>
              </w:rPr>
              <w:t>,</w:t>
            </w:r>
            <w:r w:rsidRPr="00646D83">
              <w:rPr>
                <w:b/>
                <w:color w:val="000000" w:themeColor="text1"/>
                <w:sz w:val="20"/>
                <w:szCs w:val="20"/>
                <w:lang w:val="fr-CA"/>
              </w:rPr>
              <w:t>28</w:t>
            </w:r>
          </w:p>
        </w:tc>
        <w:tc>
          <w:tcPr>
            <w:tcW w:w="630" w:type="pct"/>
            <w:tcBorders>
              <w:top w:val="single" w:sz="4" w:space="0" w:color="auto"/>
              <w:left w:val="single" w:sz="4" w:space="0" w:color="auto"/>
              <w:bottom w:val="single" w:sz="4" w:space="0" w:color="auto"/>
              <w:right w:val="single" w:sz="4" w:space="0" w:color="auto"/>
            </w:tcBorders>
          </w:tcPr>
          <w:p w14:paraId="04C932C0" w14:textId="391D5E1C"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w:t>
            </w:r>
            <w:r w:rsidR="00142242" w:rsidRPr="00646D83">
              <w:rPr>
                <w:b/>
                <w:color w:val="000000" w:themeColor="text1"/>
                <w:sz w:val="20"/>
                <w:szCs w:val="20"/>
                <w:lang w:val="fr-CA"/>
              </w:rPr>
              <w:t xml:space="preserve"> </w:t>
            </w:r>
            <w:r w:rsidRPr="00646D83">
              <w:rPr>
                <w:b/>
                <w:color w:val="000000" w:themeColor="text1"/>
                <w:sz w:val="20"/>
                <w:szCs w:val="20"/>
                <w:lang w:val="fr-CA"/>
              </w:rPr>
              <w:t>817</w:t>
            </w:r>
            <w:r w:rsidR="00142242" w:rsidRPr="00646D83">
              <w:rPr>
                <w:b/>
                <w:color w:val="000000" w:themeColor="text1"/>
                <w:sz w:val="20"/>
                <w:szCs w:val="20"/>
                <w:lang w:val="fr-CA"/>
              </w:rPr>
              <w:t>,</w:t>
            </w:r>
            <w:r w:rsidRPr="00646D83">
              <w:rPr>
                <w:b/>
                <w:color w:val="000000" w:themeColor="text1"/>
                <w:sz w:val="20"/>
                <w:szCs w:val="20"/>
                <w:lang w:val="fr-CA"/>
              </w:rPr>
              <w:t>51</w:t>
            </w:r>
          </w:p>
        </w:tc>
        <w:tc>
          <w:tcPr>
            <w:tcW w:w="630" w:type="pct"/>
            <w:tcBorders>
              <w:top w:val="single" w:sz="4" w:space="0" w:color="auto"/>
              <w:left w:val="single" w:sz="4" w:space="0" w:color="auto"/>
              <w:bottom w:val="single" w:sz="4" w:space="0" w:color="auto"/>
              <w:right w:val="single" w:sz="4" w:space="0" w:color="auto"/>
            </w:tcBorders>
          </w:tcPr>
          <w:p w14:paraId="35ACB030" w14:textId="1F591BD3"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w:t>
            </w:r>
            <w:r w:rsidR="00142242" w:rsidRPr="00646D83">
              <w:rPr>
                <w:b/>
                <w:color w:val="000000" w:themeColor="text1"/>
                <w:sz w:val="20"/>
                <w:szCs w:val="20"/>
                <w:lang w:val="fr-CA"/>
              </w:rPr>
              <w:t xml:space="preserve"> </w:t>
            </w:r>
            <w:r w:rsidRPr="00646D83">
              <w:rPr>
                <w:b/>
                <w:color w:val="000000" w:themeColor="text1"/>
                <w:sz w:val="20"/>
                <w:szCs w:val="20"/>
                <w:lang w:val="fr-CA"/>
              </w:rPr>
              <w:t>811</w:t>
            </w:r>
            <w:r w:rsidR="00142242" w:rsidRPr="00646D83">
              <w:rPr>
                <w:b/>
                <w:color w:val="000000" w:themeColor="text1"/>
                <w:sz w:val="20"/>
                <w:szCs w:val="20"/>
                <w:lang w:val="fr-CA"/>
              </w:rPr>
              <w:t>,</w:t>
            </w:r>
            <w:r w:rsidRPr="00646D83">
              <w:rPr>
                <w:b/>
                <w:color w:val="000000" w:themeColor="text1"/>
                <w:sz w:val="20"/>
                <w:szCs w:val="20"/>
                <w:lang w:val="fr-CA"/>
              </w:rPr>
              <w:t>36</w:t>
            </w:r>
          </w:p>
        </w:tc>
        <w:tc>
          <w:tcPr>
            <w:tcW w:w="630" w:type="pct"/>
            <w:tcBorders>
              <w:top w:val="single" w:sz="4" w:space="0" w:color="auto"/>
              <w:left w:val="single" w:sz="4" w:space="0" w:color="auto"/>
              <w:bottom w:val="single" w:sz="4" w:space="0" w:color="auto"/>
              <w:right w:val="single" w:sz="4" w:space="0" w:color="auto"/>
            </w:tcBorders>
          </w:tcPr>
          <w:p w14:paraId="3CF0035F" w14:textId="1E0DE92F"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969</w:t>
            </w:r>
            <w:r w:rsidR="00142242" w:rsidRPr="00646D83">
              <w:rPr>
                <w:b/>
                <w:color w:val="000000" w:themeColor="text1"/>
                <w:sz w:val="20"/>
                <w:szCs w:val="20"/>
                <w:lang w:val="fr-CA"/>
              </w:rPr>
              <w:t>,</w:t>
            </w:r>
            <w:r w:rsidRPr="00646D83">
              <w:rPr>
                <w:b/>
                <w:color w:val="000000" w:themeColor="text1"/>
                <w:sz w:val="20"/>
                <w:szCs w:val="20"/>
                <w:lang w:val="fr-CA"/>
              </w:rPr>
              <w:t>25</w:t>
            </w:r>
          </w:p>
        </w:tc>
        <w:tc>
          <w:tcPr>
            <w:tcW w:w="630" w:type="pct"/>
            <w:tcBorders>
              <w:top w:val="single" w:sz="4" w:space="0" w:color="auto"/>
              <w:left w:val="single" w:sz="4" w:space="0" w:color="auto"/>
              <w:bottom w:val="single" w:sz="4" w:space="0" w:color="auto"/>
              <w:right w:val="single" w:sz="4" w:space="0" w:color="auto"/>
            </w:tcBorders>
            <w:noWrap/>
            <w:hideMark/>
          </w:tcPr>
          <w:p w14:paraId="5EBE167F" w14:textId="13E6103C"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2</w:t>
            </w:r>
            <w:r w:rsidR="00142242" w:rsidRPr="00646D83">
              <w:rPr>
                <w:b/>
                <w:color w:val="000000" w:themeColor="text1"/>
                <w:sz w:val="20"/>
                <w:szCs w:val="20"/>
                <w:lang w:val="fr-CA"/>
              </w:rPr>
              <w:t xml:space="preserve"> </w:t>
            </w:r>
            <w:r w:rsidRPr="00646D83">
              <w:rPr>
                <w:b/>
                <w:color w:val="000000" w:themeColor="text1"/>
                <w:sz w:val="20"/>
                <w:szCs w:val="20"/>
                <w:lang w:val="fr-CA"/>
              </w:rPr>
              <w:t>523</w:t>
            </w:r>
            <w:r w:rsidR="00142242" w:rsidRPr="00646D83">
              <w:rPr>
                <w:b/>
                <w:color w:val="000000" w:themeColor="text1"/>
                <w:sz w:val="20"/>
                <w:szCs w:val="20"/>
                <w:lang w:val="fr-CA"/>
              </w:rPr>
              <w:t>,</w:t>
            </w:r>
            <w:r w:rsidRPr="00646D83">
              <w:rPr>
                <w:b/>
                <w:color w:val="000000" w:themeColor="text1"/>
                <w:sz w:val="20"/>
                <w:szCs w:val="20"/>
                <w:lang w:val="fr-CA"/>
              </w:rPr>
              <w:t>21</w:t>
            </w:r>
          </w:p>
        </w:tc>
      </w:tr>
      <w:tr w:rsidR="00825F3F" w:rsidRPr="00646D83" w14:paraId="30A8FB5C"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tcPr>
          <w:p w14:paraId="56E371E2" w14:textId="1EB1511A" w:rsidR="00825F3F" w:rsidRPr="00646D83" w:rsidRDefault="00142242" w:rsidP="004F62E7">
            <w:pPr>
              <w:ind w:left="25"/>
              <w:jc w:val="left"/>
              <w:rPr>
                <w:b/>
                <w:bCs/>
                <w:color w:val="000000" w:themeColor="text1"/>
                <w:sz w:val="20"/>
                <w:szCs w:val="20"/>
                <w:lang w:val="fr-CA"/>
              </w:rPr>
            </w:pPr>
            <w:r w:rsidRPr="00646D83">
              <w:rPr>
                <w:b/>
                <w:bCs/>
                <w:color w:val="000000" w:themeColor="text1"/>
                <w:sz w:val="20"/>
                <w:szCs w:val="20"/>
                <w:lang w:val="fr-CA"/>
              </w:rPr>
              <w:t>Tonnes PAO</w:t>
            </w:r>
          </w:p>
        </w:tc>
        <w:tc>
          <w:tcPr>
            <w:tcW w:w="630" w:type="pct"/>
            <w:tcBorders>
              <w:top w:val="single" w:sz="4" w:space="0" w:color="auto"/>
              <w:left w:val="nil"/>
              <w:bottom w:val="single" w:sz="4" w:space="0" w:color="auto"/>
              <w:right w:val="single" w:sz="4" w:space="0" w:color="auto"/>
            </w:tcBorders>
          </w:tcPr>
          <w:p w14:paraId="6E94E083" w14:textId="77777777" w:rsidR="00825F3F" w:rsidRPr="00646D83" w:rsidRDefault="00825F3F" w:rsidP="004F62E7">
            <w:pPr>
              <w:jc w:val="right"/>
              <w:rPr>
                <w:b/>
                <w:bCs/>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6075F3A1" w14:textId="77777777" w:rsidR="00825F3F" w:rsidRPr="00646D83" w:rsidRDefault="00825F3F" w:rsidP="004F62E7">
            <w:pPr>
              <w:jc w:val="right"/>
              <w:rPr>
                <w:b/>
                <w:bCs/>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28105303" w14:textId="77777777" w:rsidR="00825F3F" w:rsidRPr="00646D83" w:rsidRDefault="00825F3F" w:rsidP="004F62E7">
            <w:pPr>
              <w:jc w:val="right"/>
              <w:rPr>
                <w:b/>
                <w:bCs/>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154D66AB" w14:textId="77777777" w:rsidR="00825F3F" w:rsidRPr="00646D83" w:rsidRDefault="00825F3F" w:rsidP="004F62E7">
            <w:pPr>
              <w:jc w:val="right"/>
              <w:rPr>
                <w:b/>
                <w:bCs/>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tcPr>
          <w:p w14:paraId="55687A06" w14:textId="77777777" w:rsidR="00825F3F" w:rsidRPr="00646D83" w:rsidRDefault="00825F3F" w:rsidP="004F62E7">
            <w:pPr>
              <w:jc w:val="right"/>
              <w:rPr>
                <w:b/>
                <w:bCs/>
                <w:color w:val="000000" w:themeColor="text1"/>
                <w:sz w:val="20"/>
                <w:szCs w:val="20"/>
                <w:lang w:val="fr-CA"/>
              </w:rPr>
            </w:pPr>
          </w:p>
        </w:tc>
        <w:tc>
          <w:tcPr>
            <w:tcW w:w="630" w:type="pct"/>
            <w:tcBorders>
              <w:top w:val="single" w:sz="4" w:space="0" w:color="auto"/>
              <w:left w:val="single" w:sz="4" w:space="0" w:color="auto"/>
              <w:bottom w:val="single" w:sz="4" w:space="0" w:color="auto"/>
              <w:right w:val="single" w:sz="4" w:space="0" w:color="auto"/>
            </w:tcBorders>
            <w:noWrap/>
          </w:tcPr>
          <w:p w14:paraId="241E1218" w14:textId="77777777" w:rsidR="00825F3F" w:rsidRPr="00646D83" w:rsidRDefault="00825F3F" w:rsidP="004F62E7">
            <w:pPr>
              <w:jc w:val="right"/>
              <w:rPr>
                <w:b/>
                <w:bCs/>
                <w:color w:val="000000" w:themeColor="text1"/>
                <w:sz w:val="20"/>
                <w:szCs w:val="20"/>
                <w:lang w:val="fr-CA"/>
              </w:rPr>
            </w:pPr>
          </w:p>
        </w:tc>
      </w:tr>
      <w:tr w:rsidR="00825F3F" w:rsidRPr="00646D83" w14:paraId="39A4F58A"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hideMark/>
          </w:tcPr>
          <w:p w14:paraId="5DBFCDB0"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w:t>
            </w:r>
          </w:p>
        </w:tc>
        <w:tc>
          <w:tcPr>
            <w:tcW w:w="630" w:type="pct"/>
            <w:tcBorders>
              <w:top w:val="single" w:sz="4" w:space="0" w:color="auto"/>
              <w:left w:val="nil"/>
              <w:bottom w:val="single" w:sz="4" w:space="0" w:color="auto"/>
              <w:right w:val="single" w:sz="4" w:space="0" w:color="auto"/>
            </w:tcBorders>
          </w:tcPr>
          <w:p w14:paraId="2242CDE7" w14:textId="1523FB6C"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92</w:t>
            </w:r>
            <w:r w:rsidR="00142242" w:rsidRPr="00646D83">
              <w:rPr>
                <w:color w:val="000000" w:themeColor="text1"/>
                <w:sz w:val="20"/>
                <w:szCs w:val="20"/>
                <w:lang w:val="fr-CA"/>
              </w:rPr>
              <w:t>,</w:t>
            </w:r>
            <w:r w:rsidRPr="00646D83">
              <w:rPr>
                <w:color w:val="000000" w:themeColor="text1"/>
                <w:sz w:val="20"/>
                <w:szCs w:val="20"/>
                <w:lang w:val="fr-CA"/>
              </w:rPr>
              <w:t>68</w:t>
            </w:r>
          </w:p>
        </w:tc>
        <w:tc>
          <w:tcPr>
            <w:tcW w:w="630" w:type="pct"/>
            <w:tcBorders>
              <w:top w:val="single" w:sz="4" w:space="0" w:color="auto"/>
              <w:left w:val="single" w:sz="4" w:space="0" w:color="auto"/>
              <w:bottom w:val="single" w:sz="4" w:space="0" w:color="auto"/>
              <w:right w:val="single" w:sz="4" w:space="0" w:color="auto"/>
            </w:tcBorders>
          </w:tcPr>
          <w:p w14:paraId="77E1DF25" w14:textId="2D84BBFF"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90</w:t>
            </w:r>
            <w:r w:rsidR="00142242" w:rsidRPr="00646D83">
              <w:rPr>
                <w:color w:val="000000" w:themeColor="text1"/>
                <w:sz w:val="20"/>
                <w:szCs w:val="20"/>
                <w:lang w:val="fr-CA"/>
              </w:rPr>
              <w:t>,</w:t>
            </w:r>
            <w:r w:rsidRPr="00646D83">
              <w:rPr>
                <w:color w:val="000000" w:themeColor="text1"/>
                <w:sz w:val="20"/>
                <w:szCs w:val="20"/>
                <w:lang w:val="fr-CA"/>
              </w:rPr>
              <w:t>95</w:t>
            </w:r>
          </w:p>
        </w:tc>
        <w:tc>
          <w:tcPr>
            <w:tcW w:w="630" w:type="pct"/>
            <w:tcBorders>
              <w:top w:val="single" w:sz="4" w:space="0" w:color="auto"/>
              <w:left w:val="single" w:sz="4" w:space="0" w:color="auto"/>
              <w:bottom w:val="single" w:sz="4" w:space="0" w:color="auto"/>
              <w:right w:val="single" w:sz="4" w:space="0" w:color="auto"/>
            </w:tcBorders>
          </w:tcPr>
          <w:p w14:paraId="2F3A928B" w14:textId="4F8011F1"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88</w:t>
            </w:r>
            <w:r w:rsidR="00142242" w:rsidRPr="00646D83">
              <w:rPr>
                <w:color w:val="000000" w:themeColor="text1"/>
                <w:sz w:val="20"/>
                <w:szCs w:val="20"/>
                <w:lang w:val="fr-CA"/>
              </w:rPr>
              <w:t>,</w:t>
            </w:r>
            <w:r w:rsidRPr="00646D83">
              <w:rPr>
                <w:color w:val="000000" w:themeColor="text1"/>
                <w:sz w:val="20"/>
                <w:szCs w:val="20"/>
                <w:lang w:val="fr-CA"/>
              </w:rPr>
              <w:t>86</w:t>
            </w:r>
          </w:p>
        </w:tc>
        <w:tc>
          <w:tcPr>
            <w:tcW w:w="630" w:type="pct"/>
            <w:tcBorders>
              <w:top w:val="single" w:sz="4" w:space="0" w:color="auto"/>
              <w:left w:val="single" w:sz="4" w:space="0" w:color="auto"/>
              <w:bottom w:val="single" w:sz="4" w:space="0" w:color="auto"/>
              <w:right w:val="single" w:sz="4" w:space="0" w:color="auto"/>
            </w:tcBorders>
          </w:tcPr>
          <w:p w14:paraId="75149AF6" w14:textId="69E8C822"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90</w:t>
            </w:r>
            <w:r w:rsidR="00142242" w:rsidRPr="00646D83">
              <w:rPr>
                <w:color w:val="000000" w:themeColor="text1"/>
                <w:sz w:val="20"/>
                <w:szCs w:val="20"/>
                <w:lang w:val="fr-CA"/>
              </w:rPr>
              <w:t>,</w:t>
            </w:r>
            <w:r w:rsidRPr="00646D83">
              <w:rPr>
                <w:color w:val="000000" w:themeColor="text1"/>
                <w:sz w:val="20"/>
                <w:szCs w:val="20"/>
                <w:lang w:val="fr-CA"/>
              </w:rPr>
              <w:t>38</w:t>
            </w:r>
          </w:p>
        </w:tc>
        <w:tc>
          <w:tcPr>
            <w:tcW w:w="630" w:type="pct"/>
            <w:tcBorders>
              <w:top w:val="single" w:sz="4" w:space="0" w:color="auto"/>
              <w:left w:val="single" w:sz="4" w:space="0" w:color="auto"/>
              <w:bottom w:val="single" w:sz="4" w:space="0" w:color="auto"/>
              <w:right w:val="single" w:sz="4" w:space="0" w:color="auto"/>
            </w:tcBorders>
          </w:tcPr>
          <w:p w14:paraId="3289BF9C" w14:textId="58DD79D9"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46</w:t>
            </w:r>
            <w:r w:rsidR="00142242" w:rsidRPr="00646D83">
              <w:rPr>
                <w:color w:val="000000" w:themeColor="text1"/>
                <w:sz w:val="20"/>
                <w:szCs w:val="20"/>
                <w:lang w:val="fr-CA"/>
              </w:rPr>
              <w:t>,</w:t>
            </w:r>
            <w:r w:rsidRPr="00646D83">
              <w:rPr>
                <w:color w:val="000000" w:themeColor="text1"/>
                <w:sz w:val="20"/>
                <w:szCs w:val="20"/>
                <w:lang w:val="fr-CA"/>
              </w:rPr>
              <w:t>40</w:t>
            </w:r>
          </w:p>
        </w:tc>
        <w:tc>
          <w:tcPr>
            <w:tcW w:w="630" w:type="pct"/>
            <w:tcBorders>
              <w:top w:val="single" w:sz="4" w:space="0" w:color="auto"/>
              <w:left w:val="single" w:sz="4" w:space="0" w:color="auto"/>
              <w:bottom w:val="single" w:sz="4" w:space="0" w:color="auto"/>
              <w:right w:val="single" w:sz="4" w:space="0" w:color="auto"/>
            </w:tcBorders>
            <w:noWrap/>
            <w:hideMark/>
          </w:tcPr>
          <w:p w14:paraId="6988A168" w14:textId="4624FB47"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107</w:t>
            </w:r>
            <w:r w:rsidR="00142242" w:rsidRPr="00646D83">
              <w:rPr>
                <w:color w:val="000000" w:themeColor="text1"/>
                <w:sz w:val="20"/>
                <w:szCs w:val="20"/>
                <w:lang w:val="fr-CA"/>
              </w:rPr>
              <w:t>,</w:t>
            </w:r>
            <w:r w:rsidRPr="00646D83">
              <w:rPr>
                <w:color w:val="000000" w:themeColor="text1"/>
                <w:sz w:val="20"/>
                <w:szCs w:val="20"/>
                <w:lang w:val="fr-CA"/>
              </w:rPr>
              <w:t>77</w:t>
            </w:r>
          </w:p>
        </w:tc>
      </w:tr>
      <w:tr w:rsidR="00825F3F" w:rsidRPr="00646D83" w14:paraId="1C25F841"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hideMark/>
          </w:tcPr>
          <w:p w14:paraId="086C720C"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HCFC-141b</w:t>
            </w:r>
          </w:p>
        </w:tc>
        <w:tc>
          <w:tcPr>
            <w:tcW w:w="630" w:type="pct"/>
            <w:tcBorders>
              <w:top w:val="single" w:sz="4" w:space="0" w:color="auto"/>
              <w:left w:val="nil"/>
              <w:bottom w:val="single" w:sz="4" w:space="0" w:color="auto"/>
              <w:right w:val="single" w:sz="4" w:space="0" w:color="auto"/>
            </w:tcBorders>
          </w:tcPr>
          <w:p w14:paraId="435FF1B4" w14:textId="133AA40C"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17</w:t>
            </w:r>
            <w:r w:rsidR="00142242" w:rsidRPr="00646D83">
              <w:rPr>
                <w:color w:val="000000" w:themeColor="text1"/>
                <w:sz w:val="20"/>
                <w:szCs w:val="20"/>
                <w:lang w:val="fr-CA"/>
              </w:rPr>
              <w:t>,</w:t>
            </w:r>
            <w:r w:rsidRPr="00646D83">
              <w:rPr>
                <w:color w:val="000000" w:themeColor="text1"/>
                <w:sz w:val="20"/>
                <w:szCs w:val="20"/>
                <w:lang w:val="fr-CA"/>
              </w:rPr>
              <w:t>44</w:t>
            </w:r>
          </w:p>
        </w:tc>
        <w:tc>
          <w:tcPr>
            <w:tcW w:w="630" w:type="pct"/>
            <w:tcBorders>
              <w:top w:val="single" w:sz="4" w:space="0" w:color="auto"/>
              <w:left w:val="single" w:sz="4" w:space="0" w:color="auto"/>
              <w:bottom w:val="single" w:sz="4" w:space="0" w:color="auto"/>
              <w:right w:val="single" w:sz="4" w:space="0" w:color="auto"/>
            </w:tcBorders>
          </w:tcPr>
          <w:p w14:paraId="52C85AD6" w14:textId="55B7926E"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20</w:t>
            </w:r>
            <w:r w:rsidR="00142242" w:rsidRPr="00646D83">
              <w:rPr>
                <w:color w:val="000000" w:themeColor="text1"/>
                <w:sz w:val="20"/>
                <w:szCs w:val="20"/>
                <w:lang w:val="fr-CA"/>
              </w:rPr>
              <w:t>,</w:t>
            </w:r>
            <w:r w:rsidRPr="00646D83">
              <w:rPr>
                <w:color w:val="000000" w:themeColor="text1"/>
                <w:sz w:val="20"/>
                <w:szCs w:val="20"/>
                <w:lang w:val="fr-CA"/>
              </w:rPr>
              <w:t>18</w:t>
            </w:r>
          </w:p>
        </w:tc>
        <w:tc>
          <w:tcPr>
            <w:tcW w:w="630" w:type="pct"/>
            <w:tcBorders>
              <w:top w:val="single" w:sz="4" w:space="0" w:color="auto"/>
              <w:left w:val="single" w:sz="4" w:space="0" w:color="auto"/>
              <w:bottom w:val="single" w:sz="4" w:space="0" w:color="auto"/>
              <w:right w:val="single" w:sz="4" w:space="0" w:color="auto"/>
            </w:tcBorders>
          </w:tcPr>
          <w:p w14:paraId="6B51926A" w14:textId="15176236"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15</w:t>
            </w:r>
            <w:r w:rsidR="00142242" w:rsidRPr="00646D83">
              <w:rPr>
                <w:color w:val="000000" w:themeColor="text1"/>
                <w:sz w:val="20"/>
                <w:szCs w:val="20"/>
                <w:lang w:val="fr-CA"/>
              </w:rPr>
              <w:t>,</w:t>
            </w:r>
            <w:r w:rsidRPr="00646D83">
              <w:rPr>
                <w:color w:val="000000" w:themeColor="text1"/>
                <w:sz w:val="20"/>
                <w:szCs w:val="20"/>
                <w:lang w:val="fr-CA"/>
              </w:rPr>
              <w:t>90</w:t>
            </w:r>
          </w:p>
        </w:tc>
        <w:tc>
          <w:tcPr>
            <w:tcW w:w="630" w:type="pct"/>
            <w:tcBorders>
              <w:top w:val="single" w:sz="4" w:space="0" w:color="auto"/>
              <w:left w:val="single" w:sz="4" w:space="0" w:color="auto"/>
              <w:bottom w:val="single" w:sz="4" w:space="0" w:color="auto"/>
              <w:right w:val="single" w:sz="4" w:space="0" w:color="auto"/>
            </w:tcBorders>
          </w:tcPr>
          <w:p w14:paraId="336AE212" w14:textId="7A5905A9"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12</w:t>
            </w:r>
            <w:r w:rsidR="00142242" w:rsidRPr="00646D83">
              <w:rPr>
                <w:color w:val="000000" w:themeColor="text1"/>
                <w:sz w:val="20"/>
                <w:szCs w:val="20"/>
                <w:lang w:val="fr-CA"/>
              </w:rPr>
              <w:t>,</w:t>
            </w:r>
            <w:r w:rsidRPr="00646D83">
              <w:rPr>
                <w:color w:val="000000" w:themeColor="text1"/>
                <w:sz w:val="20"/>
                <w:szCs w:val="20"/>
                <w:lang w:val="fr-CA"/>
              </w:rPr>
              <w:t>21</w:t>
            </w:r>
          </w:p>
        </w:tc>
        <w:tc>
          <w:tcPr>
            <w:tcW w:w="630" w:type="pct"/>
            <w:tcBorders>
              <w:top w:val="single" w:sz="4" w:space="0" w:color="auto"/>
              <w:left w:val="single" w:sz="4" w:space="0" w:color="auto"/>
              <w:bottom w:val="single" w:sz="4" w:space="0" w:color="auto"/>
              <w:right w:val="single" w:sz="4" w:space="0" w:color="auto"/>
            </w:tcBorders>
          </w:tcPr>
          <w:p w14:paraId="266FA63B" w14:textId="2BA19736"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2</w:t>
            </w:r>
            <w:r w:rsidR="00142242" w:rsidRPr="00646D83">
              <w:rPr>
                <w:color w:val="000000" w:themeColor="text1"/>
                <w:sz w:val="20"/>
                <w:szCs w:val="20"/>
                <w:lang w:val="fr-CA"/>
              </w:rPr>
              <w:t>,</w:t>
            </w:r>
            <w:r w:rsidRPr="00646D83">
              <w:rPr>
                <w:color w:val="000000" w:themeColor="text1"/>
                <w:sz w:val="20"/>
                <w:szCs w:val="20"/>
                <w:lang w:val="fr-CA"/>
              </w:rPr>
              <w:t>08</w:t>
            </w:r>
          </w:p>
        </w:tc>
        <w:tc>
          <w:tcPr>
            <w:tcW w:w="630" w:type="pct"/>
            <w:tcBorders>
              <w:top w:val="single" w:sz="4" w:space="0" w:color="auto"/>
              <w:left w:val="single" w:sz="4" w:space="0" w:color="auto"/>
              <w:bottom w:val="single" w:sz="4" w:space="0" w:color="auto"/>
              <w:right w:val="single" w:sz="4" w:space="0" w:color="auto"/>
            </w:tcBorders>
            <w:noWrap/>
            <w:hideMark/>
          </w:tcPr>
          <w:p w14:paraId="2448E92C" w14:textId="415C7E65"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52</w:t>
            </w:r>
            <w:r w:rsidR="00142242" w:rsidRPr="00646D83">
              <w:rPr>
                <w:color w:val="000000" w:themeColor="text1"/>
                <w:sz w:val="20"/>
                <w:szCs w:val="20"/>
                <w:lang w:val="fr-CA"/>
              </w:rPr>
              <w:t>,</w:t>
            </w:r>
            <w:r w:rsidRPr="00646D83">
              <w:rPr>
                <w:color w:val="000000" w:themeColor="text1"/>
                <w:sz w:val="20"/>
                <w:szCs w:val="20"/>
                <w:lang w:val="fr-CA"/>
              </w:rPr>
              <w:t>26</w:t>
            </w:r>
          </w:p>
        </w:tc>
      </w:tr>
      <w:tr w:rsidR="00825F3F" w:rsidRPr="00646D83" w14:paraId="3C9503E3"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tcPr>
          <w:p w14:paraId="77B1A316"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HCFC-142b</w:t>
            </w:r>
          </w:p>
        </w:tc>
        <w:tc>
          <w:tcPr>
            <w:tcW w:w="630" w:type="pct"/>
            <w:tcBorders>
              <w:top w:val="single" w:sz="4" w:space="0" w:color="auto"/>
              <w:left w:val="nil"/>
              <w:bottom w:val="single" w:sz="4" w:space="0" w:color="auto"/>
              <w:right w:val="single" w:sz="4" w:space="0" w:color="auto"/>
            </w:tcBorders>
          </w:tcPr>
          <w:p w14:paraId="74CA7C26" w14:textId="3AA312B2"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1709B312" w14:textId="3320319F"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6A27775A" w14:textId="600E3DD3"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071AB248" w14:textId="0628A69F"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tcPr>
          <w:p w14:paraId="26362DEE" w14:textId="14DAA279"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078CB8AA" w14:textId="33F7DB8B"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26</w:t>
            </w:r>
          </w:p>
        </w:tc>
      </w:tr>
      <w:tr w:rsidR="00825F3F" w:rsidRPr="00646D83" w14:paraId="238186CD"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hideMark/>
          </w:tcPr>
          <w:p w14:paraId="3BC2E2CC"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HCFC-123</w:t>
            </w:r>
          </w:p>
        </w:tc>
        <w:tc>
          <w:tcPr>
            <w:tcW w:w="630" w:type="pct"/>
            <w:tcBorders>
              <w:top w:val="single" w:sz="4" w:space="0" w:color="auto"/>
              <w:left w:val="nil"/>
              <w:bottom w:val="single" w:sz="4" w:space="0" w:color="auto"/>
              <w:right w:val="single" w:sz="4" w:space="0" w:color="auto"/>
            </w:tcBorders>
          </w:tcPr>
          <w:p w14:paraId="3E8382F4" w14:textId="24D8A4E6"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5</w:t>
            </w:r>
            <w:r w:rsidR="00142242" w:rsidRPr="00646D83">
              <w:rPr>
                <w:color w:val="000000" w:themeColor="text1"/>
                <w:sz w:val="20"/>
                <w:szCs w:val="20"/>
                <w:lang w:val="fr-CA"/>
              </w:rPr>
              <w:t>,</w:t>
            </w:r>
            <w:r w:rsidRPr="00646D83">
              <w:rPr>
                <w:color w:val="000000" w:themeColor="text1"/>
                <w:sz w:val="20"/>
                <w:szCs w:val="20"/>
                <w:lang w:val="fr-CA"/>
              </w:rPr>
              <w:t>26</w:t>
            </w:r>
          </w:p>
        </w:tc>
        <w:tc>
          <w:tcPr>
            <w:tcW w:w="630" w:type="pct"/>
            <w:tcBorders>
              <w:top w:val="single" w:sz="4" w:space="0" w:color="auto"/>
              <w:left w:val="single" w:sz="4" w:space="0" w:color="auto"/>
              <w:bottom w:val="single" w:sz="4" w:space="0" w:color="auto"/>
              <w:right w:val="single" w:sz="4" w:space="0" w:color="auto"/>
            </w:tcBorders>
          </w:tcPr>
          <w:p w14:paraId="5643921F" w14:textId="3B48B355"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w:t>
            </w:r>
            <w:r w:rsidR="00142242" w:rsidRPr="00646D83">
              <w:rPr>
                <w:color w:val="000000" w:themeColor="text1"/>
                <w:sz w:val="20"/>
                <w:szCs w:val="20"/>
                <w:lang w:val="fr-CA"/>
              </w:rPr>
              <w:t>,</w:t>
            </w:r>
            <w:r w:rsidRPr="00646D83">
              <w:rPr>
                <w:color w:val="000000" w:themeColor="text1"/>
                <w:sz w:val="20"/>
                <w:szCs w:val="20"/>
                <w:lang w:val="fr-CA"/>
              </w:rPr>
              <w:t>14</w:t>
            </w:r>
          </w:p>
        </w:tc>
        <w:tc>
          <w:tcPr>
            <w:tcW w:w="630" w:type="pct"/>
            <w:tcBorders>
              <w:top w:val="single" w:sz="4" w:space="0" w:color="auto"/>
              <w:left w:val="single" w:sz="4" w:space="0" w:color="auto"/>
              <w:bottom w:val="single" w:sz="4" w:space="0" w:color="auto"/>
              <w:right w:val="single" w:sz="4" w:space="0" w:color="auto"/>
            </w:tcBorders>
          </w:tcPr>
          <w:p w14:paraId="79499409" w14:textId="0297C8AE"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w:t>
            </w:r>
            <w:r w:rsidR="00142242" w:rsidRPr="00646D83">
              <w:rPr>
                <w:color w:val="000000" w:themeColor="text1"/>
                <w:sz w:val="20"/>
                <w:szCs w:val="20"/>
                <w:lang w:val="fr-CA"/>
              </w:rPr>
              <w:t>,</w:t>
            </w:r>
            <w:r w:rsidRPr="00646D83">
              <w:rPr>
                <w:color w:val="000000" w:themeColor="text1"/>
                <w:sz w:val="20"/>
                <w:szCs w:val="20"/>
                <w:lang w:val="fr-CA"/>
              </w:rPr>
              <w:t>15</w:t>
            </w:r>
          </w:p>
        </w:tc>
        <w:tc>
          <w:tcPr>
            <w:tcW w:w="630" w:type="pct"/>
            <w:tcBorders>
              <w:top w:val="single" w:sz="4" w:space="0" w:color="auto"/>
              <w:left w:val="single" w:sz="4" w:space="0" w:color="auto"/>
              <w:bottom w:val="single" w:sz="4" w:space="0" w:color="auto"/>
              <w:right w:val="single" w:sz="4" w:space="0" w:color="auto"/>
            </w:tcBorders>
          </w:tcPr>
          <w:p w14:paraId="16C1293D" w14:textId="06DA459E"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w:t>
            </w:r>
            <w:r w:rsidR="00142242" w:rsidRPr="00646D83">
              <w:rPr>
                <w:color w:val="000000" w:themeColor="text1"/>
                <w:sz w:val="20"/>
                <w:szCs w:val="20"/>
                <w:lang w:val="fr-CA"/>
              </w:rPr>
              <w:t>,</w:t>
            </w:r>
            <w:r w:rsidRPr="00646D83">
              <w:rPr>
                <w:color w:val="000000" w:themeColor="text1"/>
                <w:sz w:val="20"/>
                <w:szCs w:val="20"/>
                <w:lang w:val="fr-CA"/>
              </w:rPr>
              <w:t>14</w:t>
            </w:r>
          </w:p>
        </w:tc>
        <w:tc>
          <w:tcPr>
            <w:tcW w:w="630" w:type="pct"/>
            <w:tcBorders>
              <w:top w:val="single" w:sz="4" w:space="0" w:color="auto"/>
              <w:left w:val="single" w:sz="4" w:space="0" w:color="auto"/>
              <w:bottom w:val="single" w:sz="4" w:space="0" w:color="auto"/>
              <w:right w:val="single" w:sz="4" w:space="0" w:color="auto"/>
            </w:tcBorders>
          </w:tcPr>
          <w:p w14:paraId="0B57C854" w14:textId="61E4AE4B"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2</w:t>
            </w:r>
            <w:r w:rsidR="00142242" w:rsidRPr="00646D83">
              <w:rPr>
                <w:color w:val="000000" w:themeColor="text1"/>
                <w:sz w:val="20"/>
                <w:szCs w:val="20"/>
                <w:lang w:val="fr-CA"/>
              </w:rPr>
              <w:t>,</w:t>
            </w:r>
            <w:r w:rsidRPr="00646D83">
              <w:rPr>
                <w:color w:val="000000" w:themeColor="text1"/>
                <w:sz w:val="20"/>
                <w:szCs w:val="20"/>
                <w:lang w:val="fr-CA"/>
              </w:rPr>
              <w:t>13</w:t>
            </w:r>
          </w:p>
        </w:tc>
        <w:tc>
          <w:tcPr>
            <w:tcW w:w="630" w:type="pct"/>
            <w:tcBorders>
              <w:top w:val="single" w:sz="4" w:space="0" w:color="auto"/>
              <w:left w:val="single" w:sz="4" w:space="0" w:color="auto"/>
              <w:bottom w:val="single" w:sz="4" w:space="0" w:color="auto"/>
              <w:right w:val="single" w:sz="4" w:space="0" w:color="auto"/>
            </w:tcBorders>
            <w:noWrap/>
            <w:hideMark/>
          </w:tcPr>
          <w:p w14:paraId="41ACF6B6" w14:textId="08F819C6"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1</w:t>
            </w:r>
            <w:r w:rsidR="00142242" w:rsidRPr="00646D83">
              <w:rPr>
                <w:color w:val="000000" w:themeColor="text1"/>
                <w:sz w:val="20"/>
                <w:szCs w:val="20"/>
                <w:lang w:val="fr-CA"/>
              </w:rPr>
              <w:t>,</w:t>
            </w:r>
            <w:r w:rsidRPr="00646D83">
              <w:rPr>
                <w:color w:val="000000" w:themeColor="text1"/>
                <w:sz w:val="20"/>
                <w:szCs w:val="20"/>
                <w:lang w:val="fr-CA"/>
              </w:rPr>
              <w:t>69</w:t>
            </w:r>
          </w:p>
        </w:tc>
      </w:tr>
      <w:tr w:rsidR="00825F3F" w:rsidRPr="00646D83" w14:paraId="34C09FA7"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tcPr>
          <w:p w14:paraId="3B1D226A"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HCFC-225ca</w:t>
            </w:r>
          </w:p>
        </w:tc>
        <w:tc>
          <w:tcPr>
            <w:tcW w:w="630" w:type="pct"/>
            <w:tcBorders>
              <w:top w:val="single" w:sz="4" w:space="0" w:color="auto"/>
              <w:left w:val="nil"/>
              <w:bottom w:val="single" w:sz="4" w:space="0" w:color="auto"/>
              <w:right w:val="single" w:sz="4" w:space="0" w:color="auto"/>
            </w:tcBorders>
            <w:vAlign w:val="bottom"/>
          </w:tcPr>
          <w:p w14:paraId="67BE2255" w14:textId="1D5D682A"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vAlign w:val="bottom"/>
          </w:tcPr>
          <w:p w14:paraId="04381151" w14:textId="63B0349E"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vAlign w:val="bottom"/>
          </w:tcPr>
          <w:p w14:paraId="75FCFC42" w14:textId="0B33140F"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vAlign w:val="bottom"/>
          </w:tcPr>
          <w:p w14:paraId="056653C9" w14:textId="1662DD03"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tcPr>
          <w:p w14:paraId="41A8F766" w14:textId="56CE99EA"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0A27D26F" w14:textId="7139D9F2"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r>
      <w:tr w:rsidR="00825F3F" w:rsidRPr="00646D83" w14:paraId="528F70C1"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tcPr>
          <w:p w14:paraId="5CB98D67" w14:textId="77777777" w:rsidR="00825F3F" w:rsidRPr="00646D83" w:rsidRDefault="00825F3F" w:rsidP="004F62E7">
            <w:pPr>
              <w:ind w:left="25"/>
              <w:jc w:val="left"/>
              <w:rPr>
                <w:color w:val="000000" w:themeColor="text1"/>
                <w:sz w:val="20"/>
                <w:szCs w:val="20"/>
                <w:lang w:val="fr-CA"/>
              </w:rPr>
            </w:pPr>
            <w:r w:rsidRPr="00646D83">
              <w:rPr>
                <w:color w:val="000000" w:themeColor="text1"/>
                <w:sz w:val="20"/>
                <w:szCs w:val="20"/>
                <w:lang w:val="fr-CA"/>
              </w:rPr>
              <w:t>HCFC-225cb</w:t>
            </w:r>
          </w:p>
        </w:tc>
        <w:tc>
          <w:tcPr>
            <w:tcW w:w="630" w:type="pct"/>
            <w:tcBorders>
              <w:top w:val="single" w:sz="4" w:space="0" w:color="auto"/>
              <w:left w:val="nil"/>
              <w:bottom w:val="single" w:sz="4" w:space="0" w:color="auto"/>
              <w:right w:val="single" w:sz="4" w:space="0" w:color="auto"/>
            </w:tcBorders>
            <w:vAlign w:val="bottom"/>
          </w:tcPr>
          <w:p w14:paraId="55728A0C" w14:textId="4D67B463"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vAlign w:val="bottom"/>
          </w:tcPr>
          <w:p w14:paraId="2626E233" w14:textId="34E8DBF6"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vAlign w:val="bottom"/>
          </w:tcPr>
          <w:p w14:paraId="3CC09153" w14:textId="376F49D0"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vAlign w:val="bottom"/>
          </w:tcPr>
          <w:p w14:paraId="4293EBFA" w14:textId="29933DCA" w:rsidR="00825F3F" w:rsidRPr="00646D83" w:rsidRDefault="00825F3F" w:rsidP="004F62E7">
            <w:pPr>
              <w:jc w:val="right"/>
              <w:rPr>
                <w:color w:val="000000" w:themeColor="text1"/>
                <w:sz w:val="20"/>
                <w:szCs w:val="20"/>
                <w:lang w:val="fr-CA"/>
              </w:rPr>
            </w:pPr>
            <w:r w:rsidRPr="00646D83">
              <w:rPr>
                <w:color w:val="000000"/>
                <w:sz w:val="20"/>
                <w:szCs w:val="20"/>
                <w:lang w:val="fr-CA"/>
              </w:rPr>
              <w:t>0</w:t>
            </w:r>
            <w:r w:rsidR="00142242" w:rsidRPr="00646D83">
              <w:rPr>
                <w:color w:val="000000"/>
                <w:sz w:val="20"/>
                <w:szCs w:val="20"/>
                <w:lang w:val="fr-CA"/>
              </w:rPr>
              <w:t>,</w:t>
            </w:r>
            <w:r w:rsidRPr="00646D83">
              <w:rPr>
                <w:color w:val="000000"/>
                <w:sz w:val="20"/>
                <w:szCs w:val="20"/>
                <w:lang w:val="fr-CA"/>
              </w:rPr>
              <w:t>01</w:t>
            </w:r>
          </w:p>
        </w:tc>
        <w:tc>
          <w:tcPr>
            <w:tcW w:w="630" w:type="pct"/>
            <w:tcBorders>
              <w:top w:val="single" w:sz="4" w:space="0" w:color="auto"/>
              <w:left w:val="single" w:sz="4" w:space="0" w:color="auto"/>
              <w:bottom w:val="single" w:sz="4" w:space="0" w:color="auto"/>
              <w:right w:val="single" w:sz="4" w:space="0" w:color="auto"/>
            </w:tcBorders>
          </w:tcPr>
          <w:p w14:paraId="3FD0B2F5" w14:textId="39993FED"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c>
          <w:tcPr>
            <w:tcW w:w="630" w:type="pct"/>
            <w:tcBorders>
              <w:top w:val="single" w:sz="4" w:space="0" w:color="auto"/>
              <w:left w:val="single" w:sz="4" w:space="0" w:color="auto"/>
              <w:bottom w:val="single" w:sz="4" w:space="0" w:color="auto"/>
              <w:right w:val="single" w:sz="4" w:space="0" w:color="auto"/>
            </w:tcBorders>
            <w:noWrap/>
          </w:tcPr>
          <w:p w14:paraId="446E3260" w14:textId="06A57187" w:rsidR="00825F3F" w:rsidRPr="00646D83" w:rsidRDefault="00825F3F" w:rsidP="004F62E7">
            <w:pPr>
              <w:jc w:val="right"/>
              <w:rPr>
                <w:color w:val="000000" w:themeColor="text1"/>
                <w:sz w:val="20"/>
                <w:szCs w:val="20"/>
                <w:lang w:val="fr-CA"/>
              </w:rPr>
            </w:pPr>
            <w:r w:rsidRPr="00646D83">
              <w:rPr>
                <w:color w:val="000000" w:themeColor="text1"/>
                <w:sz w:val="20"/>
                <w:szCs w:val="20"/>
                <w:lang w:val="fr-CA"/>
              </w:rPr>
              <w:t>0</w:t>
            </w:r>
            <w:r w:rsidR="00142242" w:rsidRPr="00646D83">
              <w:rPr>
                <w:color w:val="000000" w:themeColor="text1"/>
                <w:sz w:val="20"/>
                <w:szCs w:val="20"/>
                <w:lang w:val="fr-CA"/>
              </w:rPr>
              <w:t>,</w:t>
            </w:r>
            <w:r w:rsidRPr="00646D83">
              <w:rPr>
                <w:color w:val="000000" w:themeColor="text1"/>
                <w:sz w:val="20"/>
                <w:szCs w:val="20"/>
                <w:lang w:val="fr-CA"/>
              </w:rPr>
              <w:t>00</w:t>
            </w:r>
          </w:p>
        </w:tc>
      </w:tr>
      <w:tr w:rsidR="00825F3F" w:rsidRPr="00646D83" w14:paraId="08B20D5E" w14:textId="77777777" w:rsidTr="004F62E7">
        <w:trPr>
          <w:cantSplit/>
        </w:trPr>
        <w:tc>
          <w:tcPr>
            <w:tcW w:w="1219" w:type="pct"/>
            <w:tcBorders>
              <w:top w:val="single" w:sz="4" w:space="0" w:color="auto"/>
              <w:left w:val="single" w:sz="4" w:space="0" w:color="auto"/>
              <w:bottom w:val="single" w:sz="4" w:space="0" w:color="auto"/>
              <w:right w:val="single" w:sz="4" w:space="0" w:color="auto"/>
            </w:tcBorders>
            <w:noWrap/>
            <w:hideMark/>
          </w:tcPr>
          <w:p w14:paraId="63E57AD2" w14:textId="77777777" w:rsidR="00825F3F" w:rsidRPr="00646D83" w:rsidRDefault="00825F3F" w:rsidP="004F62E7">
            <w:pPr>
              <w:ind w:left="25"/>
              <w:jc w:val="left"/>
              <w:rPr>
                <w:b/>
                <w:color w:val="000000" w:themeColor="text1"/>
                <w:sz w:val="20"/>
                <w:szCs w:val="20"/>
                <w:lang w:val="fr-CA"/>
              </w:rPr>
            </w:pPr>
            <w:r w:rsidRPr="00646D83">
              <w:rPr>
                <w:b/>
                <w:color w:val="000000" w:themeColor="text1"/>
                <w:sz w:val="20"/>
                <w:szCs w:val="20"/>
                <w:lang w:val="fr-CA"/>
              </w:rPr>
              <w:t xml:space="preserve">Total </w:t>
            </w:r>
          </w:p>
        </w:tc>
        <w:tc>
          <w:tcPr>
            <w:tcW w:w="630" w:type="pct"/>
            <w:tcBorders>
              <w:top w:val="single" w:sz="4" w:space="0" w:color="auto"/>
              <w:left w:val="nil"/>
              <w:bottom w:val="single" w:sz="4" w:space="0" w:color="auto"/>
              <w:right w:val="single" w:sz="4" w:space="0" w:color="auto"/>
            </w:tcBorders>
          </w:tcPr>
          <w:p w14:paraId="75A5BAE7" w14:textId="05CF02B5"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115</w:t>
            </w:r>
            <w:r w:rsidR="00142242" w:rsidRPr="00646D83">
              <w:rPr>
                <w:b/>
                <w:color w:val="000000" w:themeColor="text1"/>
                <w:sz w:val="20"/>
                <w:szCs w:val="20"/>
                <w:lang w:val="fr-CA"/>
              </w:rPr>
              <w:t>,</w:t>
            </w:r>
            <w:r w:rsidRPr="00646D83">
              <w:rPr>
                <w:b/>
                <w:color w:val="000000" w:themeColor="text1"/>
                <w:sz w:val="20"/>
                <w:szCs w:val="20"/>
                <w:lang w:val="fr-CA"/>
              </w:rPr>
              <w:t>38</w:t>
            </w:r>
          </w:p>
        </w:tc>
        <w:tc>
          <w:tcPr>
            <w:tcW w:w="630" w:type="pct"/>
            <w:tcBorders>
              <w:top w:val="single" w:sz="4" w:space="0" w:color="auto"/>
              <w:left w:val="single" w:sz="4" w:space="0" w:color="auto"/>
              <w:bottom w:val="single" w:sz="4" w:space="0" w:color="auto"/>
              <w:right w:val="single" w:sz="4" w:space="0" w:color="auto"/>
            </w:tcBorders>
          </w:tcPr>
          <w:p w14:paraId="72003058" w14:textId="42A2D076"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112</w:t>
            </w:r>
            <w:r w:rsidR="00142242" w:rsidRPr="00646D83">
              <w:rPr>
                <w:b/>
                <w:color w:val="000000" w:themeColor="text1"/>
                <w:sz w:val="20"/>
                <w:szCs w:val="20"/>
                <w:lang w:val="fr-CA"/>
              </w:rPr>
              <w:t>,</w:t>
            </w:r>
            <w:r w:rsidRPr="00646D83">
              <w:rPr>
                <w:b/>
                <w:color w:val="000000" w:themeColor="text1"/>
                <w:sz w:val="20"/>
                <w:szCs w:val="20"/>
                <w:lang w:val="fr-CA"/>
              </w:rPr>
              <w:t>28</w:t>
            </w:r>
          </w:p>
        </w:tc>
        <w:tc>
          <w:tcPr>
            <w:tcW w:w="630" w:type="pct"/>
            <w:tcBorders>
              <w:top w:val="single" w:sz="4" w:space="0" w:color="auto"/>
              <w:left w:val="single" w:sz="4" w:space="0" w:color="auto"/>
              <w:bottom w:val="single" w:sz="4" w:space="0" w:color="auto"/>
              <w:right w:val="single" w:sz="4" w:space="0" w:color="auto"/>
            </w:tcBorders>
          </w:tcPr>
          <w:p w14:paraId="0C4B86B3" w14:textId="32562F1E"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105</w:t>
            </w:r>
            <w:r w:rsidR="00142242" w:rsidRPr="00646D83">
              <w:rPr>
                <w:b/>
                <w:color w:val="000000" w:themeColor="text1"/>
                <w:sz w:val="20"/>
                <w:szCs w:val="20"/>
                <w:lang w:val="fr-CA"/>
              </w:rPr>
              <w:t>,</w:t>
            </w:r>
            <w:r w:rsidRPr="00646D83">
              <w:rPr>
                <w:b/>
                <w:color w:val="000000" w:themeColor="text1"/>
                <w:sz w:val="20"/>
                <w:szCs w:val="20"/>
                <w:lang w:val="fr-CA"/>
              </w:rPr>
              <w:t>90</w:t>
            </w:r>
          </w:p>
        </w:tc>
        <w:tc>
          <w:tcPr>
            <w:tcW w:w="630" w:type="pct"/>
            <w:tcBorders>
              <w:top w:val="single" w:sz="4" w:space="0" w:color="auto"/>
              <w:left w:val="single" w:sz="4" w:space="0" w:color="auto"/>
              <w:bottom w:val="single" w:sz="4" w:space="0" w:color="auto"/>
              <w:right w:val="single" w:sz="4" w:space="0" w:color="auto"/>
            </w:tcBorders>
          </w:tcPr>
          <w:p w14:paraId="487B35B4" w14:textId="394615F5"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103</w:t>
            </w:r>
            <w:r w:rsidR="00142242" w:rsidRPr="00646D83">
              <w:rPr>
                <w:b/>
                <w:color w:val="000000" w:themeColor="text1"/>
                <w:sz w:val="20"/>
                <w:szCs w:val="20"/>
                <w:lang w:val="fr-CA"/>
              </w:rPr>
              <w:t>,</w:t>
            </w:r>
            <w:r w:rsidRPr="00646D83">
              <w:rPr>
                <w:b/>
                <w:color w:val="000000" w:themeColor="text1"/>
                <w:sz w:val="20"/>
                <w:szCs w:val="20"/>
                <w:lang w:val="fr-CA"/>
              </w:rPr>
              <w:t>73</w:t>
            </w:r>
          </w:p>
        </w:tc>
        <w:tc>
          <w:tcPr>
            <w:tcW w:w="630" w:type="pct"/>
            <w:tcBorders>
              <w:top w:val="single" w:sz="4" w:space="0" w:color="auto"/>
              <w:left w:val="single" w:sz="4" w:space="0" w:color="auto"/>
              <w:bottom w:val="single" w:sz="4" w:space="0" w:color="auto"/>
              <w:right w:val="single" w:sz="4" w:space="0" w:color="auto"/>
            </w:tcBorders>
          </w:tcPr>
          <w:p w14:paraId="39C80877" w14:textId="34F6E118"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50</w:t>
            </w:r>
            <w:r w:rsidR="00142242" w:rsidRPr="00646D83">
              <w:rPr>
                <w:b/>
                <w:color w:val="000000" w:themeColor="text1"/>
                <w:sz w:val="20"/>
                <w:szCs w:val="20"/>
                <w:lang w:val="fr-CA"/>
              </w:rPr>
              <w:t>,</w:t>
            </w:r>
            <w:r w:rsidRPr="00646D83">
              <w:rPr>
                <w:b/>
                <w:color w:val="000000" w:themeColor="text1"/>
                <w:sz w:val="20"/>
                <w:szCs w:val="20"/>
                <w:lang w:val="fr-CA"/>
              </w:rPr>
              <w:t>62</w:t>
            </w:r>
          </w:p>
        </w:tc>
        <w:tc>
          <w:tcPr>
            <w:tcW w:w="630" w:type="pct"/>
            <w:tcBorders>
              <w:top w:val="single" w:sz="4" w:space="0" w:color="auto"/>
              <w:left w:val="single" w:sz="4" w:space="0" w:color="auto"/>
              <w:bottom w:val="single" w:sz="4" w:space="0" w:color="auto"/>
              <w:right w:val="single" w:sz="4" w:space="0" w:color="auto"/>
            </w:tcBorders>
            <w:noWrap/>
            <w:hideMark/>
          </w:tcPr>
          <w:p w14:paraId="49F9A169" w14:textId="1920DC74" w:rsidR="00825F3F" w:rsidRPr="00646D83" w:rsidRDefault="00825F3F" w:rsidP="004F62E7">
            <w:pPr>
              <w:jc w:val="right"/>
              <w:rPr>
                <w:b/>
                <w:color w:val="000000" w:themeColor="text1"/>
                <w:sz w:val="20"/>
                <w:szCs w:val="20"/>
                <w:lang w:val="fr-CA"/>
              </w:rPr>
            </w:pPr>
            <w:r w:rsidRPr="00646D83">
              <w:rPr>
                <w:b/>
                <w:color w:val="000000" w:themeColor="text1"/>
                <w:sz w:val="20"/>
                <w:szCs w:val="20"/>
                <w:lang w:val="fr-CA"/>
              </w:rPr>
              <w:t>161</w:t>
            </w:r>
            <w:r w:rsidR="00142242" w:rsidRPr="00646D83">
              <w:rPr>
                <w:b/>
                <w:color w:val="000000" w:themeColor="text1"/>
                <w:sz w:val="20"/>
                <w:szCs w:val="20"/>
                <w:lang w:val="fr-CA"/>
              </w:rPr>
              <w:t>,</w:t>
            </w:r>
            <w:r w:rsidRPr="00646D83">
              <w:rPr>
                <w:b/>
                <w:color w:val="000000" w:themeColor="text1"/>
                <w:sz w:val="20"/>
                <w:szCs w:val="20"/>
                <w:lang w:val="fr-CA"/>
              </w:rPr>
              <w:t>98</w:t>
            </w:r>
          </w:p>
        </w:tc>
      </w:tr>
    </w:tbl>
    <w:p w14:paraId="31B788EB" w14:textId="2EE5B280" w:rsidR="00825F3F" w:rsidRPr="00646D83" w:rsidRDefault="00825F3F" w:rsidP="00825F3F">
      <w:pPr>
        <w:rPr>
          <w:strike/>
          <w:sz w:val="16"/>
          <w:szCs w:val="16"/>
          <w:lang w:val="fr-CA"/>
        </w:rPr>
      </w:pPr>
      <w:r w:rsidRPr="00646D83">
        <w:rPr>
          <w:sz w:val="16"/>
          <w:szCs w:val="16"/>
          <w:lang w:val="fr-CA"/>
        </w:rPr>
        <w:t xml:space="preserve">* </w:t>
      </w:r>
      <w:r w:rsidR="00142242" w:rsidRPr="00646D83">
        <w:rPr>
          <w:sz w:val="16"/>
          <w:szCs w:val="16"/>
          <w:lang w:val="fr-CA"/>
        </w:rPr>
        <w:t>Donn</w:t>
      </w:r>
      <w:r w:rsidR="001A7107">
        <w:rPr>
          <w:sz w:val="16"/>
          <w:szCs w:val="16"/>
          <w:lang w:val="fr-CA"/>
        </w:rPr>
        <w:t>é</w:t>
      </w:r>
      <w:r w:rsidR="00142242" w:rsidRPr="00646D83">
        <w:rPr>
          <w:sz w:val="16"/>
          <w:szCs w:val="16"/>
          <w:lang w:val="fr-CA"/>
        </w:rPr>
        <w:t xml:space="preserve">es </w:t>
      </w:r>
      <w:r w:rsidR="001A7107">
        <w:rPr>
          <w:sz w:val="16"/>
          <w:szCs w:val="16"/>
          <w:lang w:val="fr-CA"/>
        </w:rPr>
        <w:t>provenant</w:t>
      </w:r>
      <w:r w:rsidR="00142242" w:rsidRPr="00646D83">
        <w:rPr>
          <w:sz w:val="16"/>
          <w:szCs w:val="16"/>
          <w:lang w:val="fr-CA"/>
        </w:rPr>
        <w:t xml:space="preserve"> du rapport de vérification de la consommation de HCFC</w:t>
      </w:r>
      <w:r w:rsidRPr="00646D83">
        <w:rPr>
          <w:sz w:val="16"/>
          <w:szCs w:val="16"/>
          <w:lang w:val="fr-CA"/>
        </w:rPr>
        <w:t xml:space="preserve">. </w:t>
      </w:r>
    </w:p>
    <w:p w14:paraId="690C7AEE" w14:textId="77777777" w:rsidR="00825F3F" w:rsidRPr="00646D83" w:rsidRDefault="00825F3F" w:rsidP="00825F3F">
      <w:pPr>
        <w:rPr>
          <w:sz w:val="16"/>
          <w:szCs w:val="16"/>
          <w:lang w:val="fr-CA"/>
        </w:rPr>
      </w:pPr>
    </w:p>
    <w:p w14:paraId="1ED4FB51" w14:textId="72C62C04" w:rsidR="00825F3F" w:rsidRPr="00646D83" w:rsidRDefault="00DB73F5" w:rsidP="00825F3F">
      <w:pPr>
        <w:pStyle w:val="Heading1"/>
        <w:rPr>
          <w:lang w:val="fr-CA"/>
        </w:rPr>
      </w:pPr>
      <w:r w:rsidRPr="00646D83">
        <w:rPr>
          <w:lang w:val="fr-CA"/>
        </w:rPr>
        <w:t>La consommation globale de HCFC a diminué graduellement de 2016 à 2019; la consommation de HCFC-22 et de HCFC-141b a</w:t>
      </w:r>
      <w:r w:rsidR="00C7503F" w:rsidRPr="00646D83">
        <w:rPr>
          <w:lang w:val="fr-CA"/>
        </w:rPr>
        <w:t xml:space="preserve"> chuté de façon importante </w:t>
      </w:r>
      <w:r w:rsidR="001A7107">
        <w:rPr>
          <w:lang w:val="fr-CA"/>
        </w:rPr>
        <w:t xml:space="preserve">en 2020 </w:t>
      </w:r>
      <w:r w:rsidR="00C7503F" w:rsidRPr="00646D83">
        <w:rPr>
          <w:lang w:val="fr-CA"/>
        </w:rPr>
        <w:t xml:space="preserve">à cause du </w:t>
      </w:r>
      <w:r w:rsidRPr="00646D83">
        <w:rPr>
          <w:lang w:val="fr-CA"/>
        </w:rPr>
        <w:t>ralentissement économique causé par la pandémie de la COVID-19, l’interdiction d’importer le HCFC-22 aux fins d’utilisation dans le secteur de la réfrigération et climatisation</w:t>
      </w:r>
      <w:r w:rsidR="001A7107">
        <w:rPr>
          <w:lang w:val="fr-CA"/>
        </w:rPr>
        <w:t>,</w:t>
      </w:r>
      <w:r w:rsidR="00825F3F" w:rsidRPr="00646D83">
        <w:rPr>
          <w:rStyle w:val="FootnoteReference"/>
          <w:lang w:val="fr-CA"/>
        </w:rPr>
        <w:footnoteReference w:id="43"/>
      </w:r>
      <w:r w:rsidR="00825F3F" w:rsidRPr="00646D83">
        <w:rPr>
          <w:lang w:val="fr-CA"/>
        </w:rPr>
        <w:t xml:space="preserve"> </w:t>
      </w:r>
      <w:r w:rsidRPr="00646D83">
        <w:rPr>
          <w:lang w:val="fr-CA"/>
        </w:rPr>
        <w:t>entrée en vigueur le 1</w:t>
      </w:r>
      <w:r w:rsidRPr="00646D83">
        <w:rPr>
          <w:vertAlign w:val="superscript"/>
          <w:lang w:val="fr-CA"/>
        </w:rPr>
        <w:t>er</w:t>
      </w:r>
      <w:r w:rsidRPr="00646D83">
        <w:rPr>
          <w:lang w:val="fr-CA"/>
        </w:rPr>
        <w:t xml:space="preserve"> janvier 2020</w:t>
      </w:r>
      <w:r w:rsidR="001A7107">
        <w:rPr>
          <w:lang w:val="fr-CA"/>
        </w:rPr>
        <w:t>,</w:t>
      </w:r>
      <w:r w:rsidR="00862201">
        <w:rPr>
          <w:lang w:val="fr-CA"/>
        </w:rPr>
        <w:t xml:space="preserve"> </w:t>
      </w:r>
      <w:r w:rsidRPr="00646D83">
        <w:rPr>
          <w:lang w:val="fr-CA"/>
        </w:rPr>
        <w:t>et l’introduction d’équipe</w:t>
      </w:r>
      <w:r w:rsidR="00971A50" w:rsidRPr="00646D83">
        <w:rPr>
          <w:lang w:val="fr-CA"/>
        </w:rPr>
        <w:t>ment de réfrigération et climati</w:t>
      </w:r>
      <w:r w:rsidRPr="00646D83">
        <w:rPr>
          <w:lang w:val="fr-CA"/>
        </w:rPr>
        <w:t xml:space="preserve">sation à base de HFC. L’augmentation de la consommation de HCFC-123 en 2020 est attribuable à </w:t>
      </w:r>
      <w:r w:rsidR="006D79D7">
        <w:rPr>
          <w:lang w:val="fr-CA"/>
        </w:rPr>
        <w:t>la</w:t>
      </w:r>
      <w:r w:rsidRPr="00646D83">
        <w:rPr>
          <w:lang w:val="fr-CA"/>
        </w:rPr>
        <w:t xml:space="preserve"> demande d’un importateur d’augmenter </w:t>
      </w:r>
      <w:r w:rsidR="00971A50" w:rsidRPr="00646D83">
        <w:rPr>
          <w:lang w:val="fr-CA"/>
        </w:rPr>
        <w:t>son quota</w:t>
      </w:r>
      <w:r w:rsidR="00C7503F" w:rsidRPr="00646D83">
        <w:rPr>
          <w:lang w:val="fr-CA"/>
        </w:rPr>
        <w:t xml:space="preserve"> contre une </w:t>
      </w:r>
      <w:r w:rsidR="00971A50" w:rsidRPr="00646D83">
        <w:rPr>
          <w:lang w:val="fr-CA"/>
        </w:rPr>
        <w:t>réduction correspon</w:t>
      </w:r>
      <w:r w:rsidR="00C7503F" w:rsidRPr="00646D83">
        <w:rPr>
          <w:lang w:val="fr-CA"/>
        </w:rPr>
        <w:t xml:space="preserve">dante </w:t>
      </w:r>
      <w:r w:rsidR="00971A50" w:rsidRPr="00646D83">
        <w:rPr>
          <w:lang w:val="fr-CA"/>
        </w:rPr>
        <w:t>de</w:t>
      </w:r>
      <w:r w:rsidR="00C7503F" w:rsidRPr="00646D83">
        <w:rPr>
          <w:lang w:val="fr-CA"/>
        </w:rPr>
        <w:t xml:space="preserve"> son quota d’</w:t>
      </w:r>
      <w:r w:rsidR="00971A50" w:rsidRPr="00646D83">
        <w:rPr>
          <w:lang w:val="fr-CA"/>
        </w:rPr>
        <w:t>impor</w:t>
      </w:r>
      <w:r w:rsidR="00C7503F" w:rsidRPr="00646D83">
        <w:rPr>
          <w:lang w:val="fr-CA"/>
        </w:rPr>
        <w:t>tation de HCFC-141b. Le gouvernement interdisait l’utilisation du HCF</w:t>
      </w:r>
      <w:r w:rsidR="00971A50" w:rsidRPr="00646D83">
        <w:rPr>
          <w:lang w:val="fr-CA"/>
        </w:rPr>
        <w:t>C-141b dans le secteur de fabrication de</w:t>
      </w:r>
      <w:r w:rsidR="00C7503F" w:rsidRPr="00646D83">
        <w:rPr>
          <w:lang w:val="fr-CA"/>
        </w:rPr>
        <w:t>s</w:t>
      </w:r>
      <w:r w:rsidR="00971A50" w:rsidRPr="00646D83">
        <w:rPr>
          <w:lang w:val="fr-CA"/>
        </w:rPr>
        <w:t xml:space="preserve"> </w:t>
      </w:r>
      <w:r w:rsidR="00C7503F" w:rsidRPr="00646D83">
        <w:rPr>
          <w:lang w:val="fr-CA"/>
        </w:rPr>
        <w:t>mousses depuis le 1</w:t>
      </w:r>
      <w:r w:rsidR="00C7503F" w:rsidRPr="00646D83">
        <w:rPr>
          <w:vertAlign w:val="superscript"/>
          <w:lang w:val="fr-CA"/>
        </w:rPr>
        <w:t>er</w:t>
      </w:r>
      <w:r w:rsidR="00C7503F" w:rsidRPr="00646D83">
        <w:rPr>
          <w:lang w:val="fr-CA"/>
        </w:rPr>
        <w:t xml:space="preserve"> janvier 2015, mais l’importation de HCFC-141b </w:t>
      </w:r>
      <w:r w:rsidR="006D79D7">
        <w:rPr>
          <w:lang w:val="fr-CA"/>
        </w:rPr>
        <w:t>demeure</w:t>
      </w:r>
      <w:r w:rsidR="00C7503F" w:rsidRPr="00646D83">
        <w:rPr>
          <w:lang w:val="fr-CA"/>
        </w:rPr>
        <w:t xml:space="preserve"> permise aux fins </w:t>
      </w:r>
      <w:r w:rsidR="00971A50" w:rsidRPr="00646D83">
        <w:rPr>
          <w:lang w:val="fr-CA"/>
        </w:rPr>
        <w:t>d’utilisation</w:t>
      </w:r>
      <w:r w:rsidR="00C7503F" w:rsidRPr="00646D83">
        <w:rPr>
          <w:lang w:val="fr-CA"/>
        </w:rPr>
        <w:t xml:space="preserve"> dans le secteur de l’entretien. D</w:t>
      </w:r>
      <w:r w:rsidR="00971A50" w:rsidRPr="00646D83">
        <w:rPr>
          <w:lang w:val="fr-CA"/>
        </w:rPr>
        <w:t>e</w:t>
      </w:r>
      <w:r w:rsidR="00C7503F" w:rsidRPr="00646D83">
        <w:rPr>
          <w:lang w:val="fr-CA"/>
        </w:rPr>
        <w:t xml:space="preserve"> petites qua</w:t>
      </w:r>
      <w:r w:rsidR="00971A50" w:rsidRPr="00646D83">
        <w:rPr>
          <w:lang w:val="fr-CA"/>
        </w:rPr>
        <w:t>nt</w:t>
      </w:r>
      <w:r w:rsidR="00C7503F" w:rsidRPr="00646D83">
        <w:rPr>
          <w:lang w:val="fr-CA"/>
        </w:rPr>
        <w:t>ités de HCFC-225</w:t>
      </w:r>
      <w:r w:rsidR="006D79D7">
        <w:rPr>
          <w:lang w:val="fr-CA"/>
        </w:rPr>
        <w:t>c</w:t>
      </w:r>
      <w:r w:rsidR="00C7503F" w:rsidRPr="00646D83">
        <w:rPr>
          <w:lang w:val="fr-CA"/>
        </w:rPr>
        <w:t>a et de HCFC-225cb étaient utilisées pour nettoyer les syst</w:t>
      </w:r>
      <w:r w:rsidR="00971A50" w:rsidRPr="00646D83">
        <w:rPr>
          <w:lang w:val="fr-CA"/>
        </w:rPr>
        <w:t>è</w:t>
      </w:r>
      <w:r w:rsidR="00C7503F" w:rsidRPr="00646D83">
        <w:rPr>
          <w:lang w:val="fr-CA"/>
        </w:rPr>
        <w:t>mes de réfrigération</w:t>
      </w:r>
      <w:r w:rsidR="00825F3F" w:rsidRPr="00646D83">
        <w:rPr>
          <w:lang w:val="fr-CA"/>
        </w:rPr>
        <w:t>.</w:t>
      </w:r>
    </w:p>
    <w:p w14:paraId="6BBA19C1" w14:textId="3D0D8309" w:rsidR="00825F3F" w:rsidRPr="00646D83" w:rsidRDefault="00971A50" w:rsidP="00825F3F">
      <w:pPr>
        <w:widowControl w:val="0"/>
        <w:rPr>
          <w:i/>
          <w:u w:val="single"/>
          <w:lang w:val="fr-CA"/>
        </w:rPr>
      </w:pPr>
      <w:r w:rsidRPr="00646D83">
        <w:rPr>
          <w:i/>
          <w:u w:val="single"/>
          <w:lang w:val="fr-CA"/>
        </w:rPr>
        <w:t>Rapport sur la mise en œuvre du programme de pays</w:t>
      </w:r>
      <w:r w:rsidR="00825F3F" w:rsidRPr="00646D83">
        <w:rPr>
          <w:i/>
          <w:u w:val="single"/>
          <w:lang w:val="fr-CA"/>
        </w:rPr>
        <w:t xml:space="preserve"> </w:t>
      </w:r>
    </w:p>
    <w:p w14:paraId="5D7AFE51" w14:textId="77777777" w:rsidR="00825F3F" w:rsidRPr="00646D83" w:rsidRDefault="00825F3F" w:rsidP="00825F3F">
      <w:pPr>
        <w:widowControl w:val="0"/>
        <w:rPr>
          <w:lang w:val="fr-CA"/>
        </w:rPr>
      </w:pPr>
    </w:p>
    <w:p w14:paraId="527B5758" w14:textId="6CB4111A" w:rsidR="00825F3F" w:rsidRPr="00646D83" w:rsidRDefault="00971A50" w:rsidP="00825F3F">
      <w:pPr>
        <w:pStyle w:val="Heading1"/>
        <w:widowControl w:val="0"/>
        <w:rPr>
          <w:lang w:val="fr-CA"/>
        </w:rPr>
      </w:pPr>
      <w:r w:rsidRPr="00646D83">
        <w:rPr>
          <w:lang w:val="fr-CA"/>
        </w:rPr>
        <w:t xml:space="preserve">Le gouvernement des Philippines a déclaré une consommation sectorielle de 63,20 tonnes PAO de HCFC dans son rapport sur la mise en œuvre du programme de pays pour l’année 2020, ce qui correspond aux données déclarées en vertu de l’article 7 du Protocole de Montréal. L’ONUDI a expliqué que la consommation de HCFC-22 </w:t>
      </w:r>
      <w:r w:rsidR="00F265D7" w:rsidRPr="00646D83">
        <w:rPr>
          <w:lang w:val="fr-CA"/>
        </w:rPr>
        <w:t xml:space="preserve">(56,02 tonnes PAO) et de HCFC-141b (6,52 tonnes PAO) déclarée </w:t>
      </w:r>
      <w:r w:rsidRPr="00646D83">
        <w:rPr>
          <w:lang w:val="fr-CA"/>
        </w:rPr>
        <w:t>dans le rapport sur le programme de pays</w:t>
      </w:r>
      <w:r w:rsidR="00F265D7" w:rsidRPr="00646D83">
        <w:rPr>
          <w:lang w:val="fr-CA"/>
        </w:rPr>
        <w:t xml:space="preserve"> comprend des réserves des années antérieures</w:t>
      </w:r>
      <w:r w:rsidR="00825F3F" w:rsidRPr="00646D83">
        <w:rPr>
          <w:lang w:val="fr-CA"/>
        </w:rPr>
        <w:t xml:space="preserve">. </w:t>
      </w:r>
    </w:p>
    <w:p w14:paraId="60D2B6B7" w14:textId="317348FC" w:rsidR="00825F3F" w:rsidRPr="00646D83" w:rsidRDefault="00F265D7" w:rsidP="00825F3F">
      <w:pPr>
        <w:rPr>
          <w:i/>
          <w:lang w:val="fr-CA"/>
        </w:rPr>
      </w:pPr>
      <w:r w:rsidRPr="00646D83">
        <w:rPr>
          <w:i/>
          <w:lang w:val="fr-CA"/>
        </w:rPr>
        <w:t>Rapport de vérification</w:t>
      </w:r>
    </w:p>
    <w:p w14:paraId="0EB86BF7" w14:textId="77777777" w:rsidR="00825F3F" w:rsidRPr="00646D83" w:rsidRDefault="00825F3F" w:rsidP="00825F3F">
      <w:pPr>
        <w:rPr>
          <w:lang w:val="fr-CA"/>
        </w:rPr>
      </w:pPr>
    </w:p>
    <w:p w14:paraId="5412A245" w14:textId="39B7C9F6" w:rsidR="00825F3F" w:rsidRPr="00646D83" w:rsidRDefault="00F265D7" w:rsidP="00825F3F">
      <w:pPr>
        <w:pStyle w:val="Heading1"/>
        <w:rPr>
          <w:lang w:val="fr-CA"/>
        </w:rPr>
      </w:pPr>
      <w:r w:rsidRPr="00646D83">
        <w:rPr>
          <w:lang w:val="fr-CA"/>
        </w:rPr>
        <w:t>Le rapport de vérification confirme que le gouvernement des Philippines applique son programme de permis et de quotas d’importation et d’exportation de HCFC et relève de petites différentes entre la consommation vérifiée de 2016, 2017 et 2018 et les données déclarées en vertu de l’article 7 du Protocole de Montréal, comme indiqué dans le tableau 9, ci-dessus, (c.-à-d., les données vérifiées présentent</w:t>
      </w:r>
      <w:r w:rsidR="002A0C85" w:rsidRPr="00646D83">
        <w:rPr>
          <w:lang w:val="fr-CA"/>
        </w:rPr>
        <w:t xml:space="preserve"> respectivement</w:t>
      </w:r>
      <w:r w:rsidR="006D79D7">
        <w:rPr>
          <w:lang w:val="fr-CA"/>
        </w:rPr>
        <w:t xml:space="preserve"> une différenc</w:t>
      </w:r>
      <w:r w:rsidRPr="00646D83">
        <w:rPr>
          <w:lang w:val="fr-CA"/>
        </w:rPr>
        <w:t>e de -0,1, +0,61 et -0,03 tonnes PAO</w:t>
      </w:r>
      <w:r w:rsidR="002A0C85" w:rsidRPr="00646D83">
        <w:rPr>
          <w:lang w:val="fr-CA"/>
        </w:rPr>
        <w:t xml:space="preserve"> attribuable à l’arrondissement). La vérification a permis de conclure que les données sur la consommation de SAO sont déclarées correctement, mais le vérificateur a toutefois recommandé que le gouvernement révise son programme de permis et de suivi en ligne afin d’y inclure un système d’alerte précoce pour détecter le commerce illicite</w:t>
      </w:r>
      <w:r w:rsidR="006D79D7">
        <w:rPr>
          <w:lang w:val="fr-CA"/>
        </w:rPr>
        <w:t>,</w:t>
      </w:r>
      <w:r w:rsidR="002A0C85" w:rsidRPr="00646D83">
        <w:rPr>
          <w:lang w:val="fr-CA"/>
        </w:rPr>
        <w:t xml:space="preserve"> qui repère immédiatement les importations sans permis, et l’expansion du programme afin d’y inclure les HFC. Ces recommandations seront prises en ligne de compte lors de la mise en œuvre des activités restantes du PGEH</w:t>
      </w:r>
      <w:r w:rsidR="00825F3F" w:rsidRPr="00646D83">
        <w:rPr>
          <w:lang w:val="fr-CA"/>
        </w:rPr>
        <w:t>.</w:t>
      </w:r>
    </w:p>
    <w:p w14:paraId="69E80C1A" w14:textId="68297D5A" w:rsidR="00825F3F" w:rsidRPr="00646D83" w:rsidRDefault="002A0C85" w:rsidP="00825F3F">
      <w:pPr>
        <w:rPr>
          <w:u w:val="single"/>
          <w:lang w:val="fr-CA"/>
        </w:rPr>
      </w:pPr>
      <w:r w:rsidRPr="00646D83">
        <w:rPr>
          <w:u w:val="single"/>
          <w:lang w:val="fr-CA"/>
        </w:rPr>
        <w:t>Rapport périodique sur la mise en œuvre de la première tranche de la phase II du PGEH</w:t>
      </w:r>
    </w:p>
    <w:p w14:paraId="062535E3" w14:textId="77777777" w:rsidR="00825F3F" w:rsidRPr="00646D83" w:rsidRDefault="00825F3F" w:rsidP="00825F3F">
      <w:pPr>
        <w:rPr>
          <w:lang w:val="fr-CA"/>
        </w:rPr>
      </w:pPr>
    </w:p>
    <w:p w14:paraId="5C910347" w14:textId="6919044E" w:rsidR="00825F3F" w:rsidRPr="00646D83" w:rsidRDefault="002A0C85" w:rsidP="00825F3F">
      <w:pPr>
        <w:rPr>
          <w:i/>
          <w:lang w:val="fr-CA"/>
        </w:rPr>
      </w:pPr>
      <w:r w:rsidRPr="00646D83">
        <w:rPr>
          <w:i/>
          <w:lang w:val="fr-CA"/>
        </w:rPr>
        <w:t xml:space="preserve">Cadre </w:t>
      </w:r>
      <w:r w:rsidR="00331D3E" w:rsidRPr="00646D83">
        <w:rPr>
          <w:i/>
          <w:lang w:val="fr-CA"/>
        </w:rPr>
        <w:t>juridique</w:t>
      </w:r>
    </w:p>
    <w:p w14:paraId="4237B560" w14:textId="77777777" w:rsidR="00825F3F" w:rsidRPr="00646D83" w:rsidRDefault="00825F3F" w:rsidP="00825F3F">
      <w:pPr>
        <w:rPr>
          <w:lang w:val="fr-CA"/>
        </w:rPr>
      </w:pPr>
    </w:p>
    <w:p w14:paraId="6E360401" w14:textId="13871555" w:rsidR="00825F3F" w:rsidRPr="00646D83" w:rsidRDefault="00331D3E" w:rsidP="00825F3F">
      <w:pPr>
        <w:pStyle w:val="Heading1"/>
        <w:rPr>
          <w:lang w:val="fr-CA"/>
        </w:rPr>
      </w:pPr>
      <w:r w:rsidRPr="00646D83">
        <w:rPr>
          <w:lang w:val="fr-CA"/>
        </w:rPr>
        <w:t>Le programme de permis et de quotas d’importation des HCFC est en vigueur depuis 2004. Le Bureau de gestion de l’environnement, par l’intermédiaire du Bureau de l’ozone des Philippines, détermine les quotas d’importation annuels d</w:t>
      </w:r>
      <w:r w:rsidR="00A92309">
        <w:rPr>
          <w:lang w:val="fr-CA"/>
        </w:rPr>
        <w:t>e HCFC en coordination avec le Bureau des d</w:t>
      </w:r>
      <w:r w:rsidRPr="00646D83">
        <w:rPr>
          <w:lang w:val="fr-CA"/>
        </w:rPr>
        <w:t xml:space="preserve">ouanes. Un programme de </w:t>
      </w:r>
      <w:r w:rsidR="00A92309">
        <w:rPr>
          <w:lang w:val="fr-CA"/>
        </w:rPr>
        <w:t>certification</w:t>
      </w:r>
      <w:r w:rsidRPr="00646D83">
        <w:rPr>
          <w:lang w:val="fr-CA"/>
        </w:rPr>
        <w:t xml:space="preserve"> des techniciens, un système de codes harmonisés et des normes d’étiquetage ont été ajoutés aux réglementations en 2013; l’interdiction d’importer/exporter le HCFC-141b dans le secteur de la fabrication des mousses et </w:t>
      </w:r>
      <w:r w:rsidR="0091507A">
        <w:rPr>
          <w:lang w:val="fr-CA"/>
        </w:rPr>
        <w:t xml:space="preserve">le HCFC-141b </w:t>
      </w:r>
      <w:r w:rsidRPr="00646D83">
        <w:rPr>
          <w:lang w:val="fr-CA"/>
        </w:rPr>
        <w:t xml:space="preserve">contenu dans des polyols </w:t>
      </w:r>
      <w:proofErr w:type="spellStart"/>
      <w:r w:rsidRPr="00646D83">
        <w:rPr>
          <w:lang w:val="fr-CA"/>
        </w:rPr>
        <w:t>prémélangés</w:t>
      </w:r>
      <w:proofErr w:type="spellEnd"/>
      <w:r w:rsidRPr="00646D83">
        <w:rPr>
          <w:lang w:val="fr-CA"/>
        </w:rPr>
        <w:t xml:space="preserve"> importés est en vigueur depuis le 1</w:t>
      </w:r>
      <w:r w:rsidRPr="00646D83">
        <w:rPr>
          <w:vertAlign w:val="superscript"/>
          <w:lang w:val="fr-CA"/>
        </w:rPr>
        <w:t>er</w:t>
      </w:r>
      <w:r w:rsidR="00A92309">
        <w:rPr>
          <w:lang w:val="fr-CA"/>
        </w:rPr>
        <w:t> </w:t>
      </w:r>
      <w:r w:rsidRPr="00646D83">
        <w:rPr>
          <w:lang w:val="fr-CA"/>
        </w:rPr>
        <w:t>janvier 2015; et l’interdiction d’importer du HCFC-22 aux fins d’utilisation dans le secteur de la fabrication d’équipement de réfrigération et climatisation est en vigueur depuis le 1</w:t>
      </w:r>
      <w:r w:rsidRPr="00646D83">
        <w:rPr>
          <w:vertAlign w:val="superscript"/>
          <w:lang w:val="fr-CA"/>
        </w:rPr>
        <w:t>er</w:t>
      </w:r>
      <w:r w:rsidRPr="00646D83">
        <w:rPr>
          <w:lang w:val="fr-CA"/>
        </w:rPr>
        <w:t xml:space="preserve"> janvier 2020. Les importat</w:t>
      </w:r>
      <w:r w:rsidR="00A92309">
        <w:rPr>
          <w:lang w:val="fr-CA"/>
        </w:rPr>
        <w:t>eurs</w:t>
      </w:r>
      <w:r w:rsidRPr="00646D83">
        <w:rPr>
          <w:lang w:val="fr-CA"/>
        </w:rPr>
        <w:t xml:space="preserve"> de </w:t>
      </w:r>
      <w:r w:rsidR="00A92309">
        <w:rPr>
          <w:lang w:val="fr-CA"/>
        </w:rPr>
        <w:t>substances</w:t>
      </w:r>
      <w:r w:rsidRPr="00646D83">
        <w:rPr>
          <w:lang w:val="fr-CA"/>
        </w:rPr>
        <w:t xml:space="preserve"> de remplacement sans SAO (c.-à-d., les HFC) </w:t>
      </w:r>
      <w:r w:rsidR="00A92309">
        <w:rPr>
          <w:lang w:val="fr-CA"/>
        </w:rPr>
        <w:t xml:space="preserve">doivent </w:t>
      </w:r>
      <w:r w:rsidRPr="00646D83">
        <w:rPr>
          <w:lang w:val="fr-CA"/>
        </w:rPr>
        <w:t>obtenir une autorisation d’impor</w:t>
      </w:r>
      <w:r w:rsidR="00B02506" w:rsidRPr="00646D83">
        <w:rPr>
          <w:lang w:val="fr-CA"/>
        </w:rPr>
        <w:t>t</w:t>
      </w:r>
      <w:r w:rsidR="00A92309">
        <w:rPr>
          <w:lang w:val="fr-CA"/>
        </w:rPr>
        <w:t>ation avant l’</w:t>
      </w:r>
      <w:r w:rsidRPr="00646D83">
        <w:rPr>
          <w:lang w:val="fr-CA"/>
        </w:rPr>
        <w:t xml:space="preserve">expédition depuis 2005, mais </w:t>
      </w:r>
      <w:r w:rsidR="00A92309">
        <w:rPr>
          <w:lang w:val="fr-CA"/>
        </w:rPr>
        <w:t xml:space="preserve">il n’existe actuellement </w:t>
      </w:r>
      <w:r w:rsidRPr="00646D83">
        <w:rPr>
          <w:lang w:val="fr-CA"/>
        </w:rPr>
        <w:t xml:space="preserve">aucune limite </w:t>
      </w:r>
      <w:r w:rsidR="00A92309">
        <w:rPr>
          <w:lang w:val="fr-CA"/>
        </w:rPr>
        <w:t>pour</w:t>
      </w:r>
      <w:r w:rsidRPr="00646D83">
        <w:rPr>
          <w:lang w:val="fr-CA"/>
        </w:rPr>
        <w:t xml:space="preserve"> les quantités importées</w:t>
      </w:r>
      <w:r w:rsidR="00825F3F" w:rsidRPr="00646D83">
        <w:rPr>
          <w:lang w:val="fr-CA"/>
        </w:rPr>
        <w:t xml:space="preserve">. </w:t>
      </w:r>
    </w:p>
    <w:p w14:paraId="29449C4A" w14:textId="50F76932" w:rsidR="00825F3F" w:rsidRPr="00646D83" w:rsidRDefault="00B02506" w:rsidP="00825F3F">
      <w:pPr>
        <w:pStyle w:val="Heading1"/>
        <w:rPr>
          <w:lang w:val="fr-CA"/>
        </w:rPr>
      </w:pPr>
      <w:r w:rsidRPr="00646D83">
        <w:rPr>
          <w:lang w:val="fr-CA"/>
        </w:rPr>
        <w:lastRenderedPageBreak/>
        <w:t>Trois séances de formation</w:t>
      </w:r>
      <w:r w:rsidR="007C6B76">
        <w:rPr>
          <w:lang w:val="fr-CA"/>
        </w:rPr>
        <w:t xml:space="preserve">, notamment </w:t>
      </w:r>
      <w:r w:rsidRPr="00646D83">
        <w:rPr>
          <w:lang w:val="fr-CA"/>
        </w:rPr>
        <w:t>sur le Protocole</w:t>
      </w:r>
      <w:r w:rsidR="00A92309">
        <w:rPr>
          <w:lang w:val="fr-CA"/>
        </w:rPr>
        <w:t xml:space="preserve"> de Montréal</w:t>
      </w:r>
      <w:r w:rsidRPr="00646D83">
        <w:rPr>
          <w:lang w:val="fr-CA"/>
        </w:rPr>
        <w:t>, la nécessité de vérifier et d’être vigilant pendant l’inspection et la surveillance d’importations réelles</w:t>
      </w:r>
      <w:r w:rsidR="00A92309">
        <w:rPr>
          <w:lang w:val="fr-CA"/>
        </w:rPr>
        <w:t>,</w:t>
      </w:r>
      <w:r w:rsidRPr="00646D83">
        <w:rPr>
          <w:lang w:val="fr-CA"/>
        </w:rPr>
        <w:t xml:space="preserve"> et l’utilisation d’identifiants de frigorigènes</w:t>
      </w:r>
      <w:r w:rsidR="007C6B76">
        <w:rPr>
          <w:lang w:val="fr-CA"/>
        </w:rPr>
        <w:t>,</w:t>
      </w:r>
      <w:r w:rsidRPr="00646D83">
        <w:rPr>
          <w:lang w:val="fr-CA"/>
        </w:rPr>
        <w:t xml:space="preserve"> ont été organisées à l’intention de 70 douaniers et agents d’application</w:t>
      </w:r>
      <w:r w:rsidR="0037190F">
        <w:rPr>
          <w:lang w:val="fr-CA"/>
        </w:rPr>
        <w:t xml:space="preserve"> </w:t>
      </w:r>
      <w:r w:rsidRPr="00646D83">
        <w:rPr>
          <w:lang w:val="fr-CA"/>
        </w:rPr>
        <w:t>; une quatrième séance pour 100 douaniers et agents d’application a été présentée en ligne au c</w:t>
      </w:r>
      <w:r w:rsidR="0037190F">
        <w:rPr>
          <w:lang w:val="fr-CA"/>
        </w:rPr>
        <w:t>ours de la pandémie de la COVID</w:t>
      </w:r>
      <w:r w:rsidR="0037190F">
        <w:rPr>
          <w:lang w:val="fr-CA"/>
        </w:rPr>
        <w:noBreakHyphen/>
      </w:r>
      <w:r w:rsidRPr="00646D83">
        <w:rPr>
          <w:lang w:val="fr-CA"/>
        </w:rPr>
        <w:t xml:space="preserve">19. </w:t>
      </w:r>
      <w:r w:rsidR="00C5750C" w:rsidRPr="00646D83">
        <w:rPr>
          <w:lang w:val="fr-CA"/>
        </w:rPr>
        <w:t>Ces formations ont permis aux Philippin</w:t>
      </w:r>
      <w:r w:rsidR="007C6B76">
        <w:rPr>
          <w:lang w:val="fr-CA"/>
        </w:rPr>
        <w:t>es de joindre le Réseau informel</w:t>
      </w:r>
      <w:r w:rsidR="00C5750C" w:rsidRPr="00646D83">
        <w:rPr>
          <w:lang w:val="fr-CA"/>
        </w:rPr>
        <w:t xml:space="preserve"> du consentement préalable donné en connaissance de cause. Le guide de formation des douaniers et des agents d’application a été</w:t>
      </w:r>
      <w:r w:rsidR="007C6B76">
        <w:rPr>
          <w:lang w:val="fr-CA"/>
        </w:rPr>
        <w:t xml:space="preserve"> révisé et mis à jour en 2020. Vingt-t</w:t>
      </w:r>
      <w:r w:rsidR="00C5750C" w:rsidRPr="00646D83">
        <w:rPr>
          <w:lang w:val="fr-CA"/>
        </w:rPr>
        <w:t>rois identifiants de frigorigènes ont été achetés et seront distribués aux bureaux des douanes des régions</w:t>
      </w:r>
      <w:r w:rsidR="00825F3F" w:rsidRPr="00646D83">
        <w:rPr>
          <w:lang w:val="fr-CA"/>
        </w:rPr>
        <w:t>.</w:t>
      </w:r>
    </w:p>
    <w:p w14:paraId="482C9B86" w14:textId="4AA9ED1F" w:rsidR="00825F3F" w:rsidRPr="00646D83" w:rsidRDefault="00C5750C" w:rsidP="00825F3F">
      <w:pPr>
        <w:pStyle w:val="Heading1"/>
        <w:rPr>
          <w:lang w:val="fr-CA"/>
        </w:rPr>
      </w:pPr>
      <w:r w:rsidRPr="00646D83">
        <w:rPr>
          <w:lang w:val="fr-CA"/>
        </w:rPr>
        <w:t>Trois re</w:t>
      </w:r>
      <w:r w:rsidR="003469D6" w:rsidRPr="00646D83">
        <w:rPr>
          <w:lang w:val="fr-CA"/>
        </w:rPr>
        <w:t>n</w:t>
      </w:r>
      <w:r w:rsidRPr="00646D83">
        <w:rPr>
          <w:lang w:val="fr-CA"/>
        </w:rPr>
        <w:t>contres en ligne ont é</w:t>
      </w:r>
      <w:r w:rsidR="003469D6" w:rsidRPr="00646D83">
        <w:rPr>
          <w:lang w:val="fr-CA"/>
        </w:rPr>
        <w:t>té organisé</w:t>
      </w:r>
      <w:r w:rsidR="007C6B76">
        <w:rPr>
          <w:lang w:val="fr-CA"/>
        </w:rPr>
        <w:t>e</w:t>
      </w:r>
      <w:r w:rsidR="003469D6" w:rsidRPr="00646D83">
        <w:rPr>
          <w:lang w:val="fr-CA"/>
        </w:rPr>
        <w:t>s avec les importateu</w:t>
      </w:r>
      <w:r w:rsidRPr="00646D83">
        <w:rPr>
          <w:lang w:val="fr-CA"/>
        </w:rPr>
        <w:t>rs enregistrés afin de discuter du système d’enregistrement en ligne et des exigen</w:t>
      </w:r>
      <w:r w:rsidR="003469D6" w:rsidRPr="00646D83">
        <w:rPr>
          <w:lang w:val="fr-CA"/>
        </w:rPr>
        <w:t>c</w:t>
      </w:r>
      <w:r w:rsidRPr="00646D83">
        <w:rPr>
          <w:lang w:val="fr-CA"/>
        </w:rPr>
        <w:t xml:space="preserve">es de déclaration annuelle des données. Le mandat d’un </w:t>
      </w:r>
      <w:r w:rsidR="003469D6" w:rsidRPr="00646D83">
        <w:rPr>
          <w:lang w:val="fr-CA"/>
        </w:rPr>
        <w:t xml:space="preserve">consultant en technologie de l’information a été préparé pour la mise à jour du programme de permis et de gestion des données. Deux réunions de coordination ont eu lieu avec des ministères gouvernementaux au sujet des politiques et réglementations sur les SAO. Le Bureau national de l’ozone et les autorités douanières tiendront compte des recommandations du rapport de vérification lors de la révision du programme </w:t>
      </w:r>
      <w:r w:rsidR="007C6B76">
        <w:rPr>
          <w:lang w:val="fr-CA"/>
        </w:rPr>
        <w:t xml:space="preserve">général </w:t>
      </w:r>
      <w:r w:rsidR="003469D6" w:rsidRPr="00646D83">
        <w:rPr>
          <w:lang w:val="fr-CA"/>
        </w:rPr>
        <w:t>de surveillance des importations de SAO et autres substances réglementées</w:t>
      </w:r>
      <w:r w:rsidR="007C6B76">
        <w:rPr>
          <w:lang w:val="fr-CA"/>
        </w:rPr>
        <w:t>,</w:t>
      </w:r>
      <w:r w:rsidR="003469D6" w:rsidRPr="00646D83">
        <w:rPr>
          <w:lang w:val="fr-CA"/>
        </w:rPr>
        <w:t xml:space="preserve"> afin d’y apporter les modifications nécessaires pour le rendre plus efficace</w:t>
      </w:r>
      <w:r w:rsidR="00825F3F" w:rsidRPr="00646D83">
        <w:rPr>
          <w:lang w:val="fr-CA"/>
        </w:rPr>
        <w:t>.</w:t>
      </w:r>
    </w:p>
    <w:p w14:paraId="725738F2" w14:textId="00B377A2" w:rsidR="00825F3F" w:rsidRPr="00646D83" w:rsidRDefault="003469D6" w:rsidP="00825F3F">
      <w:pPr>
        <w:rPr>
          <w:i/>
          <w:lang w:val="fr-CA"/>
        </w:rPr>
      </w:pPr>
      <w:r w:rsidRPr="00646D83">
        <w:rPr>
          <w:i/>
          <w:lang w:val="fr-CA"/>
        </w:rPr>
        <w:t>Secteur de la fabrication</w:t>
      </w:r>
    </w:p>
    <w:p w14:paraId="173090E1" w14:textId="77777777" w:rsidR="00825F3F" w:rsidRPr="00646D83" w:rsidRDefault="00825F3F" w:rsidP="00825F3F">
      <w:pPr>
        <w:rPr>
          <w:lang w:val="fr-CA"/>
        </w:rPr>
      </w:pPr>
    </w:p>
    <w:p w14:paraId="3D32D00B" w14:textId="7F1BE400" w:rsidR="00825F3F" w:rsidRPr="00646D83" w:rsidRDefault="003469D6" w:rsidP="00825F3F">
      <w:pPr>
        <w:pStyle w:val="Heading1"/>
        <w:rPr>
          <w:lang w:val="fr-CA"/>
        </w:rPr>
      </w:pPr>
      <w:r w:rsidRPr="00646D83">
        <w:rPr>
          <w:lang w:val="fr-CA"/>
        </w:rPr>
        <w:t>La phase II du PGEH co</w:t>
      </w:r>
      <w:r w:rsidR="00EF50B8" w:rsidRPr="00646D83">
        <w:rPr>
          <w:lang w:val="fr-CA"/>
        </w:rPr>
        <w:t>mprend la reconversion de quatre</w:t>
      </w:r>
      <w:r w:rsidRPr="00646D83">
        <w:rPr>
          <w:lang w:val="fr-CA"/>
        </w:rPr>
        <w:t xml:space="preserve"> entreprises de fabrication de climatiseurs </w:t>
      </w:r>
      <w:r w:rsidR="003262CE">
        <w:rPr>
          <w:lang w:val="fr-CA"/>
        </w:rPr>
        <w:t>à base de</w:t>
      </w:r>
      <w:r w:rsidRPr="00646D83">
        <w:rPr>
          <w:lang w:val="fr-CA"/>
        </w:rPr>
        <w:t xml:space="preserve"> HCFC-22 (</w:t>
      </w:r>
      <w:proofErr w:type="spellStart"/>
      <w:r w:rsidRPr="00646D83">
        <w:rPr>
          <w:color w:val="000000" w:themeColor="text1"/>
          <w:lang w:val="fr-CA"/>
        </w:rPr>
        <w:t>Conc</w:t>
      </w:r>
      <w:r w:rsidR="003262CE">
        <w:rPr>
          <w:color w:val="000000" w:themeColor="text1"/>
          <w:lang w:val="fr-CA"/>
        </w:rPr>
        <w:t>epcion</w:t>
      </w:r>
      <w:proofErr w:type="spellEnd"/>
      <w:r w:rsidR="003262CE">
        <w:rPr>
          <w:color w:val="000000" w:themeColor="text1"/>
          <w:lang w:val="fr-CA"/>
        </w:rPr>
        <w:t xml:space="preserve"> Carrier, Hitachi, Koppel</w:t>
      </w:r>
      <w:r w:rsidRPr="00646D83">
        <w:rPr>
          <w:color w:val="000000" w:themeColor="text1"/>
          <w:lang w:val="fr-CA"/>
        </w:rPr>
        <w:t xml:space="preserve"> </w:t>
      </w:r>
      <w:r w:rsidR="003262CE">
        <w:rPr>
          <w:color w:val="000000" w:themeColor="text1"/>
          <w:lang w:val="fr-CA"/>
        </w:rPr>
        <w:t>et</w:t>
      </w:r>
      <w:r w:rsidRPr="00646D83">
        <w:rPr>
          <w:color w:val="000000" w:themeColor="text1"/>
          <w:lang w:val="fr-CA"/>
        </w:rPr>
        <w:t xml:space="preserve"> Panasonic)</w:t>
      </w:r>
      <w:r w:rsidR="00EF50B8" w:rsidRPr="00646D83">
        <w:rPr>
          <w:color w:val="000000" w:themeColor="text1"/>
          <w:lang w:val="fr-CA"/>
        </w:rPr>
        <w:t xml:space="preserve"> à une technologie à base de HFC-32, </w:t>
      </w:r>
      <w:r w:rsidR="003262CE">
        <w:rPr>
          <w:color w:val="000000" w:themeColor="text1"/>
          <w:lang w:val="fr-CA"/>
        </w:rPr>
        <w:t>qui entraînera</w:t>
      </w:r>
      <w:r w:rsidR="00EF50B8" w:rsidRPr="00646D83">
        <w:rPr>
          <w:color w:val="000000" w:themeColor="text1"/>
          <w:lang w:val="fr-CA"/>
        </w:rPr>
        <w:t xml:space="preserve"> l’élimination de 15,57 tonnes PAO (283,12 </w:t>
      </w:r>
      <w:proofErr w:type="spellStart"/>
      <w:r w:rsidR="00EF50B8" w:rsidRPr="00646D83">
        <w:rPr>
          <w:color w:val="000000" w:themeColor="text1"/>
          <w:lang w:val="fr-CA"/>
        </w:rPr>
        <w:t>tm</w:t>
      </w:r>
      <w:proofErr w:type="spellEnd"/>
      <w:r w:rsidR="00EF50B8" w:rsidRPr="00646D83">
        <w:rPr>
          <w:color w:val="000000" w:themeColor="text1"/>
          <w:lang w:val="fr-CA"/>
        </w:rPr>
        <w:t>) de HCFC-22 au coût convenu de 1 793 307 $US plus les coûts d’appui à l’agence</w:t>
      </w:r>
      <w:r w:rsidR="00825F3F" w:rsidRPr="00646D83">
        <w:rPr>
          <w:lang w:val="fr-CA"/>
        </w:rPr>
        <w:t>.</w:t>
      </w:r>
      <w:r w:rsidR="00825F3F" w:rsidRPr="00646D83">
        <w:rPr>
          <w:rStyle w:val="FootnoteReference"/>
          <w:lang w:val="fr-CA"/>
        </w:rPr>
        <w:footnoteReference w:id="44"/>
      </w:r>
    </w:p>
    <w:p w14:paraId="61641AB3" w14:textId="23703819" w:rsidR="00825F3F" w:rsidRPr="00646D83" w:rsidRDefault="00EF50B8" w:rsidP="00825F3F">
      <w:pPr>
        <w:pStyle w:val="Heading1"/>
        <w:rPr>
          <w:lang w:val="fr-CA"/>
        </w:rPr>
      </w:pPr>
      <w:r w:rsidRPr="00646D83">
        <w:rPr>
          <w:lang w:val="fr-CA"/>
        </w:rPr>
        <w:t>L’ONUDI a indiqué</w:t>
      </w:r>
      <w:r w:rsidR="00F36A79">
        <w:rPr>
          <w:lang w:val="fr-CA"/>
        </w:rPr>
        <w:t>,</w:t>
      </w:r>
      <w:r w:rsidRPr="00646D83">
        <w:rPr>
          <w:lang w:val="fr-CA"/>
        </w:rPr>
        <w:t xml:space="preserve"> dans la demande de t</w:t>
      </w:r>
      <w:r w:rsidR="003262CE">
        <w:rPr>
          <w:lang w:val="fr-CA"/>
        </w:rPr>
        <w:t>r</w:t>
      </w:r>
      <w:r w:rsidRPr="00646D83">
        <w:rPr>
          <w:lang w:val="fr-CA"/>
        </w:rPr>
        <w:t>anche présentée à la 87</w:t>
      </w:r>
      <w:r w:rsidRPr="00646D83">
        <w:rPr>
          <w:vertAlign w:val="superscript"/>
          <w:lang w:val="fr-CA"/>
        </w:rPr>
        <w:t>e</w:t>
      </w:r>
      <w:r w:rsidRPr="00646D83">
        <w:rPr>
          <w:lang w:val="fr-CA"/>
        </w:rPr>
        <w:t xml:space="preserve"> réunion</w:t>
      </w:r>
      <w:r w:rsidR="00F36A79">
        <w:rPr>
          <w:lang w:val="fr-CA"/>
        </w:rPr>
        <w:t>,</w:t>
      </w:r>
      <w:r w:rsidRPr="00646D83">
        <w:rPr>
          <w:lang w:val="fr-CA"/>
        </w:rPr>
        <w:t xml:space="preserve"> que les entreprises bénéficiaires avaient reconverti leurs activités à une technologie à base de R-410A de leur propre chef au début de 2019,</w:t>
      </w:r>
      <w:r w:rsidR="002E3754" w:rsidRPr="00646D83">
        <w:rPr>
          <w:lang w:val="fr-CA"/>
        </w:rPr>
        <w:t xml:space="preserve"> et que la consommation de HCFC-</w:t>
      </w:r>
      <w:r w:rsidRPr="00646D83">
        <w:rPr>
          <w:lang w:val="fr-CA"/>
        </w:rPr>
        <w:t xml:space="preserve">22 associée </w:t>
      </w:r>
      <w:r w:rsidR="002E3754" w:rsidRPr="00646D83">
        <w:rPr>
          <w:lang w:val="fr-CA"/>
        </w:rPr>
        <w:t xml:space="preserve">à ces entreprises avait </w:t>
      </w:r>
      <w:r w:rsidRPr="00646D83">
        <w:rPr>
          <w:lang w:val="fr-CA"/>
        </w:rPr>
        <w:t xml:space="preserve">été éliminée. Le gouvernement des Philippines a aussi indiqué que ces entreprises </w:t>
      </w:r>
      <w:r w:rsidR="002E3754" w:rsidRPr="00646D83">
        <w:rPr>
          <w:lang w:val="fr-CA"/>
        </w:rPr>
        <w:t>pourr</w:t>
      </w:r>
      <w:r w:rsidR="00F36A79">
        <w:rPr>
          <w:lang w:val="fr-CA"/>
        </w:rPr>
        <w:t>o</w:t>
      </w:r>
      <w:r w:rsidR="002E3754" w:rsidRPr="00646D83">
        <w:rPr>
          <w:lang w:val="fr-CA"/>
        </w:rPr>
        <w:t>nt</w:t>
      </w:r>
      <w:r w:rsidRPr="00646D83">
        <w:rPr>
          <w:lang w:val="fr-CA"/>
        </w:rPr>
        <w:t xml:space="preserve"> participer au plan de réduction progressive des HFC</w:t>
      </w:r>
      <w:r w:rsidR="002E3754" w:rsidRPr="00646D83">
        <w:rPr>
          <w:lang w:val="fr-CA"/>
        </w:rPr>
        <w:t xml:space="preserve"> si elles sont admissibles au financement dans le contexte de la décision XXVIII/2</w:t>
      </w:r>
      <w:r w:rsidR="00825F3F" w:rsidRPr="00646D83">
        <w:rPr>
          <w:lang w:val="fr-CA"/>
        </w:rPr>
        <w:t xml:space="preserve">. </w:t>
      </w:r>
    </w:p>
    <w:p w14:paraId="586123A9" w14:textId="27CD2599" w:rsidR="00825F3F" w:rsidRPr="00646D83" w:rsidRDefault="002E3754" w:rsidP="00825F3F">
      <w:pPr>
        <w:pStyle w:val="Heading1"/>
        <w:rPr>
          <w:lang w:val="fr-CA"/>
        </w:rPr>
      </w:pPr>
      <w:r w:rsidRPr="00646D83">
        <w:rPr>
          <w:lang w:val="fr-CA"/>
        </w:rPr>
        <w:t xml:space="preserve">La reconversion </w:t>
      </w:r>
      <w:r w:rsidR="001E3273" w:rsidRPr="00646D83">
        <w:rPr>
          <w:lang w:val="fr-CA"/>
        </w:rPr>
        <w:t>de ces entreprises a connu un re</w:t>
      </w:r>
      <w:r w:rsidRPr="00646D83">
        <w:rPr>
          <w:lang w:val="fr-CA"/>
        </w:rPr>
        <w:t xml:space="preserve">tard considérable à cause de changements chez les cadres et dans l’organisation du </w:t>
      </w:r>
      <w:r w:rsidR="001E3273" w:rsidRPr="00646D83">
        <w:rPr>
          <w:lang w:val="fr-CA"/>
        </w:rPr>
        <w:t>Bureau de l’ozone des Philippines, et d’un changement d’agence désignée. Deux entreprises (Panasonic et Hitachi) ont indiqué en 2019 qu’elles avaient presque éliminé le HCFC-22 en rec</w:t>
      </w:r>
      <w:r w:rsidR="003262CE">
        <w:rPr>
          <w:lang w:val="fr-CA"/>
        </w:rPr>
        <w:t xml:space="preserve">onvertissant à une technologie à </w:t>
      </w:r>
      <w:r w:rsidR="001E3273" w:rsidRPr="00646D83">
        <w:rPr>
          <w:lang w:val="fr-CA"/>
        </w:rPr>
        <w:t xml:space="preserve">base de R-410A </w:t>
      </w:r>
      <w:r w:rsidR="005D0A18">
        <w:rPr>
          <w:lang w:val="fr-CA"/>
        </w:rPr>
        <w:t>par leurs propres moyens</w:t>
      </w:r>
      <w:r w:rsidR="0037190F">
        <w:rPr>
          <w:lang w:val="fr-CA"/>
        </w:rPr>
        <w:t xml:space="preserve"> </w:t>
      </w:r>
      <w:r w:rsidR="00A83FAA" w:rsidRPr="00646D83">
        <w:rPr>
          <w:lang w:val="fr-CA"/>
        </w:rPr>
        <w:t>; les échanges qui ont suiv</w:t>
      </w:r>
      <w:r w:rsidR="001E3273" w:rsidRPr="00646D83">
        <w:rPr>
          <w:lang w:val="fr-CA"/>
        </w:rPr>
        <w:t>i avec les deux autres entreprises (</w:t>
      </w:r>
      <w:proofErr w:type="spellStart"/>
      <w:r w:rsidR="001E3273" w:rsidRPr="00646D83">
        <w:rPr>
          <w:lang w:val="fr-CA"/>
        </w:rPr>
        <w:t>Concepcion</w:t>
      </w:r>
      <w:proofErr w:type="spellEnd"/>
      <w:r w:rsidR="001E3273" w:rsidRPr="00646D83">
        <w:rPr>
          <w:lang w:val="fr-CA"/>
        </w:rPr>
        <w:t xml:space="preserve"> et Panasonic) ont également révélé qu’elles avaient</w:t>
      </w:r>
      <w:r w:rsidR="00A83FAA" w:rsidRPr="00646D83">
        <w:rPr>
          <w:lang w:val="fr-CA"/>
        </w:rPr>
        <w:t xml:space="preserve"> presque terminé leur reconversi</w:t>
      </w:r>
      <w:r w:rsidR="001E3273" w:rsidRPr="00646D83">
        <w:rPr>
          <w:lang w:val="fr-CA"/>
        </w:rPr>
        <w:t xml:space="preserve">on </w:t>
      </w:r>
      <w:r w:rsidR="00A83FAA" w:rsidRPr="00646D83">
        <w:rPr>
          <w:lang w:val="fr-CA"/>
        </w:rPr>
        <w:t>à une technologie à base de</w:t>
      </w:r>
      <w:r w:rsidR="001E3273" w:rsidRPr="00646D83">
        <w:rPr>
          <w:lang w:val="fr-CA"/>
        </w:rPr>
        <w:t xml:space="preserve"> R-410A</w:t>
      </w:r>
      <w:r w:rsidR="00A83FAA" w:rsidRPr="00646D83">
        <w:rPr>
          <w:lang w:val="fr-CA"/>
        </w:rPr>
        <w:t xml:space="preserve"> en utilisant leurs propres ressources</w:t>
      </w:r>
      <w:r w:rsidR="00825F3F" w:rsidRPr="00646D83">
        <w:rPr>
          <w:lang w:val="fr-CA"/>
        </w:rPr>
        <w:t xml:space="preserve">. </w:t>
      </w:r>
    </w:p>
    <w:p w14:paraId="21A1F40C" w14:textId="773A12A9" w:rsidR="00825F3F" w:rsidRPr="00646D83" w:rsidRDefault="00A83FAA" w:rsidP="00825F3F">
      <w:pPr>
        <w:pStyle w:val="Heading1"/>
        <w:rPr>
          <w:lang w:val="fr-CA"/>
        </w:rPr>
      </w:pPr>
      <w:r w:rsidRPr="00646D83">
        <w:rPr>
          <w:lang w:val="fr-CA"/>
        </w:rPr>
        <w:t>Dans une communication officielle du 19 mai 2021, le gouvernement des Philippines, après une évaluation technique de la situation actuelle dans le secteur de la fabrication de climatiseurs, a demandé que l’ONUDI</w:t>
      </w:r>
      <w:r w:rsidR="00825F3F" w:rsidRPr="00646D83">
        <w:rPr>
          <w:rStyle w:val="FootnoteReference"/>
          <w:lang w:val="fr-CA"/>
        </w:rPr>
        <w:footnoteReference w:id="45"/>
      </w:r>
      <w:r w:rsidR="00825F3F" w:rsidRPr="00646D83">
        <w:rPr>
          <w:lang w:val="fr-CA"/>
        </w:rPr>
        <w:t xml:space="preserve"> </w:t>
      </w:r>
      <w:r w:rsidRPr="00646D83">
        <w:rPr>
          <w:lang w:val="fr-CA"/>
        </w:rPr>
        <w:t>annule le projet de reconversion des quatre entreprise</w:t>
      </w:r>
      <w:r w:rsidR="003262CE">
        <w:rPr>
          <w:lang w:val="fr-CA"/>
        </w:rPr>
        <w:t>s</w:t>
      </w:r>
      <w:r w:rsidRPr="00646D83">
        <w:rPr>
          <w:lang w:val="fr-CA"/>
        </w:rPr>
        <w:t xml:space="preserve"> de fabrication de climatiseurs et restitue les soldes au Fonds multilatéral</w:t>
      </w:r>
      <w:r w:rsidR="00825F3F" w:rsidRPr="00646D83">
        <w:rPr>
          <w:lang w:val="fr-CA"/>
        </w:rPr>
        <w:t xml:space="preserve">. </w:t>
      </w:r>
    </w:p>
    <w:p w14:paraId="5D1C282E" w14:textId="6F098D4B" w:rsidR="00825F3F" w:rsidRPr="00646D83" w:rsidRDefault="00A83FAA" w:rsidP="00825F3F">
      <w:pPr>
        <w:pStyle w:val="Heading1"/>
        <w:widowControl w:val="0"/>
        <w:rPr>
          <w:lang w:val="fr-CA"/>
        </w:rPr>
      </w:pPr>
      <w:r w:rsidRPr="00646D83">
        <w:rPr>
          <w:lang w:val="fr-CA"/>
        </w:rPr>
        <w:t>En plus du financement approuvé pour la reconversion des quatre entreprises, la somme de 211 000 $US a été approuvé</w:t>
      </w:r>
      <w:r w:rsidR="00A85C1B">
        <w:rPr>
          <w:lang w:val="fr-CA"/>
        </w:rPr>
        <w:t>e</w:t>
      </w:r>
      <w:r w:rsidRPr="00646D83">
        <w:rPr>
          <w:lang w:val="fr-CA"/>
        </w:rPr>
        <w:t xml:space="preserve"> pour l’assistance </w:t>
      </w:r>
      <w:r w:rsidR="009272EE" w:rsidRPr="00646D83">
        <w:rPr>
          <w:lang w:val="fr-CA"/>
        </w:rPr>
        <w:t>technique</w:t>
      </w:r>
      <w:r w:rsidRPr="00646D83">
        <w:rPr>
          <w:lang w:val="fr-CA"/>
        </w:rPr>
        <w:t xml:space="preserve"> et le so</w:t>
      </w:r>
      <w:r w:rsidR="009272EE" w:rsidRPr="00646D83">
        <w:rPr>
          <w:lang w:val="fr-CA"/>
        </w:rPr>
        <w:t>utien au secteur de la fabricati</w:t>
      </w:r>
      <w:r w:rsidRPr="00646D83">
        <w:rPr>
          <w:lang w:val="fr-CA"/>
        </w:rPr>
        <w:t xml:space="preserve">on, </w:t>
      </w:r>
      <w:r w:rsidR="00A85C1B">
        <w:rPr>
          <w:lang w:val="fr-CA"/>
        </w:rPr>
        <w:t>afin de favoriser une</w:t>
      </w:r>
      <w:r w:rsidR="009272EE" w:rsidRPr="00646D83">
        <w:rPr>
          <w:lang w:val="fr-CA"/>
        </w:rPr>
        <w:t xml:space="preserve"> manipulati</w:t>
      </w:r>
      <w:r w:rsidRPr="00646D83">
        <w:rPr>
          <w:lang w:val="fr-CA"/>
        </w:rPr>
        <w:t xml:space="preserve">on sécuritaire de l’équipement de climatisation </w:t>
      </w:r>
      <w:r w:rsidR="009272EE" w:rsidRPr="00646D83">
        <w:rPr>
          <w:lang w:val="fr-CA"/>
        </w:rPr>
        <w:t>à base d</w:t>
      </w:r>
      <w:r w:rsidR="00A85C1B">
        <w:rPr>
          <w:lang w:val="fr-CA"/>
        </w:rPr>
        <w:t>e frigorigènes inflammables. L</w:t>
      </w:r>
      <w:r w:rsidR="0037190F">
        <w:rPr>
          <w:lang w:val="fr-CA"/>
        </w:rPr>
        <w:t>es sommes approuvées</w:t>
      </w:r>
      <w:r w:rsidR="00A85C1B">
        <w:rPr>
          <w:lang w:val="fr-CA"/>
        </w:rPr>
        <w:t xml:space="preserve"> restantes </w:t>
      </w:r>
      <w:r w:rsidR="00A85C1B" w:rsidRPr="00646D83">
        <w:rPr>
          <w:lang w:val="fr-CA"/>
        </w:rPr>
        <w:t xml:space="preserve">pour la phase II </w:t>
      </w:r>
      <w:r w:rsidR="00A85C1B">
        <w:rPr>
          <w:lang w:val="fr-CA"/>
        </w:rPr>
        <w:t>comprendront toujours l</w:t>
      </w:r>
      <w:r w:rsidR="009272EE" w:rsidRPr="00646D83">
        <w:rPr>
          <w:lang w:val="fr-CA"/>
        </w:rPr>
        <w:t>e financement de l’assis</w:t>
      </w:r>
      <w:r w:rsidR="00A85C1B">
        <w:rPr>
          <w:lang w:val="fr-CA"/>
        </w:rPr>
        <w:t>tance technique, afin d’</w:t>
      </w:r>
      <w:r w:rsidR="009272EE" w:rsidRPr="00646D83">
        <w:rPr>
          <w:lang w:val="fr-CA"/>
        </w:rPr>
        <w:t>aider le secteur de la réfrigération et climatisation à étudier l’utilisation d’équipement à plus faible PRG et encourager son adoption sur le marché</w:t>
      </w:r>
      <w:r w:rsidR="00825F3F" w:rsidRPr="00646D83">
        <w:rPr>
          <w:lang w:val="fr-CA"/>
        </w:rPr>
        <w:t>.</w:t>
      </w:r>
    </w:p>
    <w:p w14:paraId="1C3E52EA" w14:textId="74071AD8" w:rsidR="00825F3F" w:rsidRPr="00646D83" w:rsidRDefault="009272EE" w:rsidP="00825F3F">
      <w:pPr>
        <w:pStyle w:val="Heading1"/>
        <w:numPr>
          <w:ilvl w:val="0"/>
          <w:numId w:val="0"/>
        </w:numPr>
        <w:rPr>
          <w:i/>
          <w:lang w:val="fr-CA"/>
        </w:rPr>
      </w:pPr>
      <w:r w:rsidRPr="00646D83">
        <w:rPr>
          <w:i/>
          <w:lang w:val="fr-CA"/>
        </w:rPr>
        <w:lastRenderedPageBreak/>
        <w:t>Secteur de l’entretien de l’équipement de réfrigération</w:t>
      </w:r>
    </w:p>
    <w:p w14:paraId="1DFFAB8F" w14:textId="06030C65" w:rsidR="00825F3F" w:rsidRPr="00646D83" w:rsidRDefault="009272EE" w:rsidP="00825F3F">
      <w:pPr>
        <w:pStyle w:val="Heading1"/>
        <w:rPr>
          <w:lang w:val="fr-CA"/>
        </w:rPr>
      </w:pPr>
      <w:r w:rsidRPr="00646D83">
        <w:rPr>
          <w:lang w:val="fr-CA"/>
        </w:rPr>
        <w:t>Le changement d’agence désignée et les contraintes imposées par la pandémie de la COVID-19 ont entraîné d’importants retards dans la mise en œuvre des activités du secteur de l’entretien de l’équipement de réfrigération</w:t>
      </w:r>
      <w:r w:rsidR="00825F3F" w:rsidRPr="00646D83">
        <w:rPr>
          <w:lang w:val="fr-CA"/>
        </w:rPr>
        <w:t xml:space="preserve">. </w:t>
      </w:r>
      <w:r w:rsidR="00F660D5" w:rsidRPr="00646D83">
        <w:rPr>
          <w:lang w:val="fr-CA"/>
        </w:rPr>
        <w:t xml:space="preserve">Des échanges </w:t>
      </w:r>
      <w:r w:rsidR="002A109D">
        <w:rPr>
          <w:lang w:val="fr-CA"/>
        </w:rPr>
        <w:t>sont en cours</w:t>
      </w:r>
      <w:r w:rsidR="00F660D5" w:rsidRPr="00646D83">
        <w:rPr>
          <w:lang w:val="fr-CA"/>
        </w:rPr>
        <w:t xml:space="preserve"> avec le centre de recyclage au sujet de la mise en œuvre de la collecte des HCFC et autres frigorigènes.</w:t>
      </w:r>
    </w:p>
    <w:p w14:paraId="74654A8A" w14:textId="5673CDEF" w:rsidR="00825F3F" w:rsidRPr="00646D83" w:rsidRDefault="00F660D5" w:rsidP="00825F3F">
      <w:pPr>
        <w:rPr>
          <w:i/>
          <w:lang w:val="fr-CA"/>
        </w:rPr>
      </w:pPr>
      <w:r w:rsidRPr="00646D83">
        <w:rPr>
          <w:i/>
          <w:lang w:val="fr-CA"/>
        </w:rPr>
        <w:t>Mise en œuvre et suivi du projet</w:t>
      </w:r>
    </w:p>
    <w:p w14:paraId="6CE975CF" w14:textId="77777777" w:rsidR="00825F3F" w:rsidRPr="00646D83" w:rsidRDefault="00825F3F" w:rsidP="00825F3F">
      <w:pPr>
        <w:rPr>
          <w:lang w:val="fr-CA"/>
        </w:rPr>
      </w:pPr>
    </w:p>
    <w:p w14:paraId="535972C5" w14:textId="33B61926" w:rsidR="00825F3F" w:rsidRPr="00646D83" w:rsidRDefault="00F660D5" w:rsidP="00825F3F">
      <w:pPr>
        <w:pStyle w:val="Heading1"/>
        <w:rPr>
          <w:lang w:val="fr-CA"/>
        </w:rPr>
      </w:pPr>
      <w:r w:rsidRPr="00646D83">
        <w:rPr>
          <w:lang w:val="fr-CA"/>
        </w:rPr>
        <w:t>Une part de 25 000 $US des 75 000 $US alloués au Bureau de gestion du projet pour la première tranche a été décaissée pour le personnel (17 500 $US), et les services de consultants et le recrutement d’experts (8 000 $US)</w:t>
      </w:r>
      <w:r w:rsidR="00825F3F" w:rsidRPr="00646D83">
        <w:rPr>
          <w:lang w:val="fr-CA"/>
        </w:rPr>
        <w:t xml:space="preserve">. </w:t>
      </w:r>
    </w:p>
    <w:p w14:paraId="2994D10D" w14:textId="75A762E6" w:rsidR="00825F3F" w:rsidRPr="00646D83" w:rsidRDefault="00F660D5" w:rsidP="00825F3F">
      <w:pPr>
        <w:pStyle w:val="Heading1"/>
        <w:keepNext/>
        <w:keepLines/>
        <w:numPr>
          <w:ilvl w:val="0"/>
          <w:numId w:val="0"/>
        </w:numPr>
        <w:rPr>
          <w:u w:val="single"/>
          <w:lang w:val="fr-CA"/>
        </w:rPr>
      </w:pPr>
      <w:r w:rsidRPr="00646D83">
        <w:rPr>
          <w:u w:val="single"/>
          <w:lang w:val="fr-CA"/>
        </w:rPr>
        <w:t>Niveau de décaissement</w:t>
      </w:r>
    </w:p>
    <w:p w14:paraId="4D249F43" w14:textId="7FFD9C61" w:rsidR="00825F3F" w:rsidRPr="00646D83" w:rsidRDefault="00F660D5" w:rsidP="00825F3F">
      <w:pPr>
        <w:pStyle w:val="Heading1"/>
        <w:rPr>
          <w:lang w:val="fr-CA"/>
        </w:rPr>
      </w:pPr>
      <w:r w:rsidRPr="00646D83">
        <w:rPr>
          <w:lang w:val="fr-CA"/>
        </w:rPr>
        <w:t>Une part de 201 438 $US (21 pour cent) des 1 010 023 $US approuv</w:t>
      </w:r>
      <w:r w:rsidR="00357AC3" w:rsidRPr="00646D83">
        <w:rPr>
          <w:lang w:val="fr-CA"/>
        </w:rPr>
        <w:t>é</w:t>
      </w:r>
      <w:r w:rsidRPr="00646D83">
        <w:rPr>
          <w:lang w:val="fr-CA"/>
        </w:rPr>
        <w:t>s à ce jour</w:t>
      </w:r>
      <w:r w:rsidR="00357AC3" w:rsidRPr="00646D83">
        <w:rPr>
          <w:lang w:val="fr-CA"/>
        </w:rPr>
        <w:t xml:space="preserve"> a été décaissée en date de mai 2021</w:t>
      </w:r>
      <w:r w:rsidR="0037190F">
        <w:rPr>
          <w:lang w:val="fr-CA"/>
        </w:rPr>
        <w:t xml:space="preserve"> </w:t>
      </w:r>
      <w:r w:rsidR="00357AC3" w:rsidRPr="00646D83">
        <w:rPr>
          <w:lang w:val="fr-CA"/>
        </w:rPr>
        <w:t>; aucune somme n’a été décaissée pour la reconversion des quatre entreprises de fabrication de climatiseurs</w:t>
      </w:r>
      <w:r w:rsidR="00825F3F" w:rsidRPr="00646D83">
        <w:rPr>
          <w:lang w:val="fr-CA"/>
        </w:rPr>
        <w:t xml:space="preserve">. </w:t>
      </w:r>
    </w:p>
    <w:p w14:paraId="10FEA862" w14:textId="62936D81" w:rsidR="00825F3F" w:rsidRPr="00646D83" w:rsidRDefault="00357AC3" w:rsidP="00825F3F">
      <w:pPr>
        <w:keepNext/>
        <w:rPr>
          <w:u w:val="single"/>
          <w:lang w:val="fr-CA"/>
        </w:rPr>
      </w:pPr>
      <w:r w:rsidRPr="00646D83">
        <w:rPr>
          <w:u w:val="single"/>
          <w:lang w:val="fr-CA"/>
        </w:rPr>
        <w:t>Rajustement du financement</w:t>
      </w:r>
    </w:p>
    <w:p w14:paraId="148E5F51" w14:textId="77777777" w:rsidR="00825F3F" w:rsidRPr="00646D83" w:rsidRDefault="00825F3F" w:rsidP="00825F3F">
      <w:pPr>
        <w:keepNext/>
        <w:rPr>
          <w:lang w:val="fr-CA"/>
        </w:rPr>
      </w:pPr>
    </w:p>
    <w:p w14:paraId="34EB643E" w14:textId="22ABD320" w:rsidR="00825F3F" w:rsidRPr="00646D83" w:rsidRDefault="00357AC3" w:rsidP="00825F3F">
      <w:pPr>
        <w:pStyle w:val="Heading1"/>
        <w:rPr>
          <w:lang w:val="fr-CA"/>
        </w:rPr>
      </w:pPr>
      <w:r w:rsidRPr="00646D83">
        <w:rPr>
          <w:lang w:val="fr-CA"/>
        </w:rPr>
        <w:t>Après avoir soustrait le financement du</w:t>
      </w:r>
      <w:r w:rsidR="007D20FD" w:rsidRPr="00646D83">
        <w:rPr>
          <w:lang w:val="fr-CA"/>
        </w:rPr>
        <w:t xml:space="preserve"> plan du secteur de la fabricati</w:t>
      </w:r>
      <w:r w:rsidRPr="00646D83">
        <w:rPr>
          <w:lang w:val="fr-CA"/>
        </w:rPr>
        <w:t>on de climatiseurs (1 793 307 $US) et retiré le volet d</w:t>
      </w:r>
      <w:r w:rsidR="007D20FD" w:rsidRPr="00646D83">
        <w:rPr>
          <w:lang w:val="fr-CA"/>
        </w:rPr>
        <w:t>e financement du Bureau de gesti</w:t>
      </w:r>
      <w:r w:rsidRPr="00646D83">
        <w:rPr>
          <w:lang w:val="fr-CA"/>
        </w:rPr>
        <w:t>on du projet assoc</w:t>
      </w:r>
      <w:r w:rsidR="007D20FD" w:rsidRPr="00646D83">
        <w:rPr>
          <w:lang w:val="fr-CA"/>
        </w:rPr>
        <w:t>ié au secteur de la réfrigératio</w:t>
      </w:r>
      <w:r w:rsidRPr="00646D83">
        <w:rPr>
          <w:lang w:val="fr-CA"/>
        </w:rPr>
        <w:t>n et climatisation (145 000 $U</w:t>
      </w:r>
      <w:r w:rsidR="007D20FD" w:rsidRPr="00646D83">
        <w:rPr>
          <w:lang w:val="fr-CA"/>
        </w:rPr>
        <w:t xml:space="preserve">S), le financement total de la </w:t>
      </w:r>
      <w:r w:rsidRPr="00646D83">
        <w:rPr>
          <w:lang w:val="fr-CA"/>
        </w:rPr>
        <w:t>phase II est de 811 750 $US plus les coûts d’appui à l’</w:t>
      </w:r>
      <w:r w:rsidR="007D20FD" w:rsidRPr="00646D83">
        <w:rPr>
          <w:lang w:val="fr-CA"/>
        </w:rPr>
        <w:t>a</w:t>
      </w:r>
      <w:r w:rsidRPr="00646D83">
        <w:rPr>
          <w:lang w:val="fr-CA"/>
        </w:rPr>
        <w:t>gence de 56 823 $US. L’ONUDI restituera la somme de 212 152 $US du financement déjà fourni à la première tranche</w:t>
      </w:r>
      <w:r w:rsidR="007D20FD" w:rsidRPr="00646D83">
        <w:rPr>
          <w:lang w:val="fr-CA"/>
        </w:rPr>
        <w:t>, y compris les coûts d’appui à l’agence,</w:t>
      </w:r>
      <w:r w:rsidRPr="00646D83">
        <w:rPr>
          <w:lang w:val="fr-CA"/>
        </w:rPr>
        <w:t xml:space="preserve"> au Fonds multilatéral,</w:t>
      </w:r>
      <w:r w:rsidR="007D20FD" w:rsidRPr="00646D83">
        <w:rPr>
          <w:lang w:val="fr-CA"/>
        </w:rPr>
        <w:t xml:space="preserve"> comme indiqué dans le tableau 10, ci-dessous </w:t>
      </w:r>
      <w:r w:rsidR="00825F3F" w:rsidRPr="00646D83">
        <w:rPr>
          <w:lang w:val="fr-CA"/>
        </w:rPr>
        <w:t>:</w:t>
      </w:r>
    </w:p>
    <w:p w14:paraId="457172BE" w14:textId="3A1DFFA4" w:rsidR="00825F3F" w:rsidRPr="00646D83" w:rsidRDefault="00825F3F" w:rsidP="00825F3F">
      <w:pPr>
        <w:pStyle w:val="Heading1"/>
        <w:keepNext/>
        <w:keepLines/>
        <w:numPr>
          <w:ilvl w:val="0"/>
          <w:numId w:val="0"/>
        </w:numPr>
        <w:spacing w:after="0"/>
        <w:rPr>
          <w:b/>
          <w:bCs/>
          <w:lang w:val="fr-CA"/>
        </w:rPr>
      </w:pPr>
      <w:r w:rsidRPr="00646D83">
        <w:rPr>
          <w:b/>
          <w:bCs/>
          <w:lang w:val="fr-CA"/>
        </w:rPr>
        <w:t>Table</w:t>
      </w:r>
      <w:r w:rsidR="007D20FD" w:rsidRPr="00646D83">
        <w:rPr>
          <w:b/>
          <w:bCs/>
          <w:lang w:val="fr-CA"/>
        </w:rPr>
        <w:t>au</w:t>
      </w:r>
      <w:r w:rsidRPr="00646D83">
        <w:rPr>
          <w:b/>
          <w:bCs/>
          <w:lang w:val="fr-CA"/>
        </w:rPr>
        <w:t xml:space="preserve"> 10. </w:t>
      </w:r>
      <w:r w:rsidR="007D20FD" w:rsidRPr="00646D83">
        <w:rPr>
          <w:b/>
          <w:bCs/>
          <w:lang w:val="fr-CA"/>
        </w:rPr>
        <w:t>Financement révisé de la phase II du PGEH pour les Philippines ($US)</w:t>
      </w:r>
    </w:p>
    <w:tbl>
      <w:tblPr>
        <w:tblW w:w="9357" w:type="dxa"/>
        <w:tblInd w:w="-5" w:type="dxa"/>
        <w:tblLayout w:type="fixed"/>
        <w:tblLook w:val="04A0" w:firstRow="1" w:lastRow="0" w:firstColumn="1" w:lastColumn="0" w:noHBand="0" w:noVBand="1"/>
      </w:tblPr>
      <w:tblGrid>
        <w:gridCol w:w="1980"/>
        <w:gridCol w:w="1475"/>
        <w:gridCol w:w="1475"/>
        <w:gridCol w:w="1476"/>
        <w:gridCol w:w="1475"/>
        <w:gridCol w:w="1476"/>
      </w:tblGrid>
      <w:tr w:rsidR="00825F3F" w:rsidRPr="00646D83" w14:paraId="17E1B0C5" w14:textId="77777777" w:rsidTr="004F62E7">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BC328" w14:textId="13EB0990" w:rsidR="00825F3F" w:rsidRPr="00646D83" w:rsidRDefault="007D20FD" w:rsidP="004F62E7">
            <w:pPr>
              <w:keepNext/>
              <w:keepLines/>
              <w:jc w:val="left"/>
              <w:rPr>
                <w:b/>
                <w:bCs/>
                <w:sz w:val="20"/>
                <w:szCs w:val="20"/>
                <w:lang w:val="fr-CA" w:eastAsia="en-GB"/>
              </w:rPr>
            </w:pPr>
            <w:r w:rsidRPr="00646D83">
              <w:rPr>
                <w:b/>
                <w:bCs/>
                <w:sz w:val="20"/>
                <w:szCs w:val="20"/>
                <w:lang w:val="fr-CA" w:eastAsia="en-GB"/>
              </w:rPr>
              <w:t>Élément de financement</w:t>
            </w:r>
          </w:p>
        </w:tc>
        <w:tc>
          <w:tcPr>
            <w:tcW w:w="1475" w:type="dxa"/>
            <w:tcBorders>
              <w:top w:val="single" w:sz="4" w:space="0" w:color="auto"/>
              <w:left w:val="nil"/>
              <w:bottom w:val="single" w:sz="4" w:space="0" w:color="auto"/>
              <w:right w:val="single" w:sz="4" w:space="0" w:color="auto"/>
            </w:tcBorders>
            <w:shd w:val="clear" w:color="auto" w:fill="auto"/>
            <w:hideMark/>
          </w:tcPr>
          <w:p w14:paraId="718AB117" w14:textId="7F5D7709" w:rsidR="00825F3F" w:rsidRPr="00646D83" w:rsidRDefault="000A6FD9" w:rsidP="004F62E7">
            <w:pPr>
              <w:keepNext/>
              <w:keepLines/>
              <w:jc w:val="center"/>
              <w:rPr>
                <w:b/>
                <w:bCs/>
                <w:color w:val="000000"/>
                <w:sz w:val="20"/>
                <w:szCs w:val="20"/>
                <w:lang w:val="fr-CA" w:eastAsia="en-GB"/>
              </w:rPr>
            </w:pPr>
            <w:r>
              <w:rPr>
                <w:b/>
                <w:bCs/>
                <w:color w:val="000000"/>
                <w:sz w:val="20"/>
                <w:szCs w:val="20"/>
                <w:lang w:val="fr-CA" w:eastAsia="en-GB"/>
              </w:rPr>
              <w:t>Coûts approuvés pour la phase </w:t>
            </w:r>
            <w:r w:rsidR="007D20FD" w:rsidRPr="00646D83">
              <w:rPr>
                <w:b/>
                <w:bCs/>
                <w:color w:val="000000"/>
                <w:sz w:val="20"/>
                <w:szCs w:val="20"/>
                <w:lang w:val="fr-CA" w:eastAsia="en-GB"/>
              </w:rPr>
              <w:t>II</w:t>
            </w:r>
          </w:p>
        </w:tc>
        <w:tc>
          <w:tcPr>
            <w:tcW w:w="1475" w:type="dxa"/>
            <w:tcBorders>
              <w:top w:val="single" w:sz="4" w:space="0" w:color="auto"/>
              <w:left w:val="nil"/>
              <w:bottom w:val="single" w:sz="4" w:space="0" w:color="auto"/>
              <w:right w:val="single" w:sz="4" w:space="0" w:color="auto"/>
            </w:tcBorders>
            <w:shd w:val="clear" w:color="auto" w:fill="auto"/>
            <w:hideMark/>
          </w:tcPr>
          <w:p w14:paraId="70B8BE35" w14:textId="10DF7CCE" w:rsidR="00825F3F" w:rsidRPr="00646D83" w:rsidRDefault="007D20FD" w:rsidP="004F62E7">
            <w:pPr>
              <w:keepNext/>
              <w:keepLines/>
              <w:jc w:val="center"/>
              <w:rPr>
                <w:b/>
                <w:bCs/>
                <w:color w:val="000000"/>
                <w:sz w:val="20"/>
                <w:szCs w:val="20"/>
                <w:lang w:val="fr-CA" w:eastAsia="en-GB"/>
              </w:rPr>
            </w:pPr>
            <w:r w:rsidRPr="00646D83">
              <w:rPr>
                <w:b/>
                <w:bCs/>
                <w:color w:val="000000"/>
                <w:sz w:val="20"/>
                <w:szCs w:val="20"/>
                <w:lang w:val="fr-CA" w:eastAsia="en-GB"/>
              </w:rPr>
              <w:t>Somme à retirer de l’Accord</w:t>
            </w:r>
          </w:p>
        </w:tc>
        <w:tc>
          <w:tcPr>
            <w:tcW w:w="1476" w:type="dxa"/>
            <w:tcBorders>
              <w:top w:val="single" w:sz="4" w:space="0" w:color="auto"/>
              <w:left w:val="nil"/>
              <w:bottom w:val="single" w:sz="4" w:space="0" w:color="auto"/>
              <w:right w:val="single" w:sz="4" w:space="0" w:color="auto"/>
            </w:tcBorders>
            <w:shd w:val="clear" w:color="auto" w:fill="auto"/>
            <w:hideMark/>
          </w:tcPr>
          <w:p w14:paraId="7A65E505" w14:textId="63EF8AAF" w:rsidR="00825F3F" w:rsidRPr="00646D83" w:rsidRDefault="007D20FD" w:rsidP="004F62E7">
            <w:pPr>
              <w:keepNext/>
              <w:keepLines/>
              <w:jc w:val="center"/>
              <w:rPr>
                <w:b/>
                <w:bCs/>
                <w:color w:val="000000"/>
                <w:sz w:val="20"/>
                <w:szCs w:val="20"/>
                <w:lang w:val="fr-CA" w:eastAsia="en-GB"/>
              </w:rPr>
            </w:pPr>
            <w:r w:rsidRPr="00646D83">
              <w:rPr>
                <w:b/>
                <w:bCs/>
                <w:color w:val="000000"/>
                <w:sz w:val="20"/>
                <w:szCs w:val="20"/>
                <w:lang w:val="fr-CA" w:eastAsia="en-GB"/>
              </w:rPr>
              <w:t>Coûts de projet révisés pour la phase II</w:t>
            </w:r>
          </w:p>
        </w:tc>
        <w:tc>
          <w:tcPr>
            <w:tcW w:w="1475" w:type="dxa"/>
            <w:tcBorders>
              <w:top w:val="single" w:sz="4" w:space="0" w:color="auto"/>
              <w:left w:val="nil"/>
              <w:bottom w:val="single" w:sz="4" w:space="0" w:color="auto"/>
              <w:right w:val="single" w:sz="4" w:space="0" w:color="auto"/>
            </w:tcBorders>
            <w:shd w:val="clear" w:color="auto" w:fill="auto"/>
            <w:hideMark/>
          </w:tcPr>
          <w:p w14:paraId="320FF511" w14:textId="100CB5C9" w:rsidR="00825F3F" w:rsidRPr="00646D83" w:rsidRDefault="007D20FD" w:rsidP="004F62E7">
            <w:pPr>
              <w:keepNext/>
              <w:keepLines/>
              <w:jc w:val="center"/>
              <w:rPr>
                <w:b/>
                <w:bCs/>
                <w:color w:val="000000"/>
                <w:sz w:val="20"/>
                <w:szCs w:val="20"/>
                <w:lang w:val="fr-CA" w:eastAsia="en-GB"/>
              </w:rPr>
            </w:pPr>
            <w:r w:rsidRPr="00646D83">
              <w:rPr>
                <w:b/>
                <w:bCs/>
                <w:color w:val="000000"/>
                <w:sz w:val="20"/>
                <w:szCs w:val="20"/>
                <w:lang w:val="fr-CA" w:eastAsia="en-GB"/>
              </w:rPr>
              <w:t>Somme approuvée à la première tranche</w:t>
            </w:r>
          </w:p>
        </w:tc>
        <w:tc>
          <w:tcPr>
            <w:tcW w:w="1476" w:type="dxa"/>
            <w:tcBorders>
              <w:top w:val="single" w:sz="4" w:space="0" w:color="auto"/>
              <w:left w:val="nil"/>
              <w:bottom w:val="single" w:sz="4" w:space="0" w:color="auto"/>
              <w:right w:val="single" w:sz="4" w:space="0" w:color="auto"/>
            </w:tcBorders>
            <w:shd w:val="clear" w:color="auto" w:fill="auto"/>
            <w:hideMark/>
          </w:tcPr>
          <w:p w14:paraId="29395795" w14:textId="19D48A85" w:rsidR="00825F3F" w:rsidRPr="00646D83" w:rsidRDefault="007D20FD" w:rsidP="004F62E7">
            <w:pPr>
              <w:keepNext/>
              <w:keepLines/>
              <w:jc w:val="center"/>
              <w:rPr>
                <w:b/>
                <w:bCs/>
                <w:sz w:val="20"/>
                <w:szCs w:val="20"/>
                <w:lang w:val="fr-CA" w:eastAsia="en-GB"/>
              </w:rPr>
            </w:pPr>
            <w:r w:rsidRPr="00646D83">
              <w:rPr>
                <w:b/>
                <w:bCs/>
                <w:sz w:val="20"/>
                <w:szCs w:val="20"/>
                <w:lang w:val="fr-CA" w:eastAsia="en-GB"/>
              </w:rPr>
              <w:t>Restitution au Fonds</w:t>
            </w:r>
          </w:p>
        </w:tc>
      </w:tr>
      <w:tr w:rsidR="00825F3F" w:rsidRPr="00646D83" w14:paraId="7EFF53CA" w14:textId="77777777" w:rsidTr="004F62E7">
        <w:tc>
          <w:tcPr>
            <w:tcW w:w="1980" w:type="dxa"/>
            <w:tcBorders>
              <w:top w:val="nil"/>
              <w:left w:val="single" w:sz="4" w:space="0" w:color="auto"/>
              <w:bottom w:val="single" w:sz="4" w:space="0" w:color="auto"/>
              <w:right w:val="single" w:sz="4" w:space="0" w:color="auto"/>
            </w:tcBorders>
            <w:shd w:val="clear" w:color="auto" w:fill="auto"/>
            <w:hideMark/>
          </w:tcPr>
          <w:p w14:paraId="48472D8A" w14:textId="35E1B42D" w:rsidR="00825F3F" w:rsidRPr="00646D83" w:rsidRDefault="007D20FD" w:rsidP="004F62E7">
            <w:pPr>
              <w:jc w:val="left"/>
              <w:rPr>
                <w:color w:val="000000"/>
                <w:sz w:val="20"/>
                <w:szCs w:val="20"/>
                <w:lang w:val="fr-CA" w:eastAsia="en-GB"/>
              </w:rPr>
            </w:pPr>
            <w:r w:rsidRPr="00646D83">
              <w:rPr>
                <w:color w:val="000000"/>
                <w:sz w:val="20"/>
                <w:szCs w:val="20"/>
                <w:lang w:val="fr-CA" w:eastAsia="en-GB"/>
              </w:rPr>
              <w:t>Projet de reconversion des entreprises de fabrication</w:t>
            </w:r>
          </w:p>
        </w:tc>
        <w:tc>
          <w:tcPr>
            <w:tcW w:w="1475" w:type="dxa"/>
            <w:tcBorders>
              <w:top w:val="nil"/>
              <w:left w:val="nil"/>
              <w:bottom w:val="single" w:sz="4" w:space="0" w:color="auto"/>
              <w:right w:val="single" w:sz="4" w:space="0" w:color="auto"/>
            </w:tcBorders>
            <w:shd w:val="clear" w:color="auto" w:fill="auto"/>
            <w:noWrap/>
            <w:hideMark/>
          </w:tcPr>
          <w:p w14:paraId="6DAAD4E8" w14:textId="5D71EBCF" w:rsidR="00825F3F" w:rsidRPr="00646D83" w:rsidRDefault="00825F3F" w:rsidP="004F62E7">
            <w:pPr>
              <w:jc w:val="right"/>
              <w:rPr>
                <w:color w:val="000000"/>
                <w:sz w:val="20"/>
                <w:szCs w:val="20"/>
                <w:lang w:val="fr-CA" w:eastAsia="en-GB"/>
              </w:rPr>
            </w:pPr>
            <w:r w:rsidRPr="00646D83">
              <w:rPr>
                <w:color w:val="000000"/>
                <w:sz w:val="20"/>
                <w:szCs w:val="20"/>
                <w:lang w:val="fr-CA" w:eastAsia="en-GB"/>
              </w:rPr>
              <w:t>1</w:t>
            </w:r>
            <w:r w:rsidR="007D20FD" w:rsidRPr="00646D83">
              <w:rPr>
                <w:color w:val="000000"/>
                <w:sz w:val="20"/>
                <w:szCs w:val="20"/>
                <w:lang w:val="fr-CA" w:eastAsia="en-GB"/>
              </w:rPr>
              <w:t xml:space="preserve"> </w:t>
            </w:r>
            <w:r w:rsidRPr="00646D83">
              <w:rPr>
                <w:color w:val="000000"/>
                <w:sz w:val="20"/>
                <w:szCs w:val="20"/>
                <w:lang w:val="fr-CA" w:eastAsia="en-GB"/>
              </w:rPr>
              <w:t>793</w:t>
            </w:r>
            <w:r w:rsidR="007D20FD" w:rsidRPr="00646D83">
              <w:rPr>
                <w:color w:val="000000"/>
                <w:sz w:val="20"/>
                <w:szCs w:val="20"/>
                <w:lang w:val="fr-CA" w:eastAsia="en-GB"/>
              </w:rPr>
              <w:t xml:space="preserve"> </w:t>
            </w:r>
            <w:r w:rsidRPr="00646D83">
              <w:rPr>
                <w:color w:val="000000"/>
                <w:sz w:val="20"/>
                <w:szCs w:val="20"/>
                <w:lang w:val="fr-CA" w:eastAsia="en-GB"/>
              </w:rPr>
              <w:t>307</w:t>
            </w:r>
          </w:p>
        </w:tc>
        <w:tc>
          <w:tcPr>
            <w:tcW w:w="1475" w:type="dxa"/>
            <w:tcBorders>
              <w:top w:val="nil"/>
              <w:left w:val="nil"/>
              <w:bottom w:val="single" w:sz="4" w:space="0" w:color="auto"/>
              <w:right w:val="single" w:sz="4" w:space="0" w:color="auto"/>
            </w:tcBorders>
            <w:shd w:val="clear" w:color="auto" w:fill="auto"/>
            <w:noWrap/>
            <w:hideMark/>
          </w:tcPr>
          <w:p w14:paraId="4DB6B6F3" w14:textId="376EED14" w:rsidR="00825F3F" w:rsidRPr="00646D83" w:rsidRDefault="00825F3F" w:rsidP="004F62E7">
            <w:pPr>
              <w:jc w:val="right"/>
              <w:rPr>
                <w:color w:val="000000"/>
                <w:sz w:val="20"/>
                <w:szCs w:val="20"/>
                <w:lang w:val="fr-CA" w:eastAsia="en-GB"/>
              </w:rPr>
            </w:pPr>
            <w:r w:rsidRPr="00646D83">
              <w:rPr>
                <w:color w:val="000000"/>
                <w:sz w:val="20"/>
                <w:szCs w:val="20"/>
                <w:lang w:val="fr-CA" w:eastAsia="en-GB"/>
              </w:rPr>
              <w:t>1</w:t>
            </w:r>
            <w:r w:rsidR="007D20FD" w:rsidRPr="00646D83">
              <w:rPr>
                <w:color w:val="000000"/>
                <w:sz w:val="20"/>
                <w:szCs w:val="20"/>
                <w:lang w:val="fr-CA" w:eastAsia="en-GB"/>
              </w:rPr>
              <w:t xml:space="preserve"> </w:t>
            </w:r>
            <w:r w:rsidRPr="00646D83">
              <w:rPr>
                <w:color w:val="000000"/>
                <w:sz w:val="20"/>
                <w:szCs w:val="20"/>
                <w:lang w:val="fr-CA" w:eastAsia="en-GB"/>
              </w:rPr>
              <w:t>793</w:t>
            </w:r>
            <w:r w:rsidR="007D20FD" w:rsidRPr="00646D83">
              <w:rPr>
                <w:color w:val="000000"/>
                <w:sz w:val="20"/>
                <w:szCs w:val="20"/>
                <w:lang w:val="fr-CA" w:eastAsia="en-GB"/>
              </w:rPr>
              <w:t xml:space="preserve"> </w:t>
            </w:r>
            <w:r w:rsidRPr="00646D83">
              <w:rPr>
                <w:color w:val="000000"/>
                <w:sz w:val="20"/>
                <w:szCs w:val="20"/>
                <w:lang w:val="fr-CA" w:eastAsia="en-GB"/>
              </w:rPr>
              <w:t>307</w:t>
            </w:r>
          </w:p>
        </w:tc>
        <w:tc>
          <w:tcPr>
            <w:tcW w:w="1476" w:type="dxa"/>
            <w:tcBorders>
              <w:top w:val="nil"/>
              <w:left w:val="nil"/>
              <w:bottom w:val="single" w:sz="4" w:space="0" w:color="auto"/>
              <w:right w:val="single" w:sz="4" w:space="0" w:color="auto"/>
            </w:tcBorders>
            <w:shd w:val="clear" w:color="auto" w:fill="auto"/>
            <w:noWrap/>
            <w:hideMark/>
          </w:tcPr>
          <w:p w14:paraId="75956D0E" w14:textId="77777777" w:rsidR="00825F3F" w:rsidRPr="00646D83" w:rsidRDefault="00825F3F" w:rsidP="004F62E7">
            <w:pPr>
              <w:jc w:val="right"/>
              <w:rPr>
                <w:color w:val="000000"/>
                <w:sz w:val="20"/>
                <w:szCs w:val="20"/>
                <w:lang w:val="fr-CA" w:eastAsia="en-GB"/>
              </w:rPr>
            </w:pPr>
            <w:r w:rsidRPr="00646D83">
              <w:rPr>
                <w:color w:val="000000"/>
                <w:sz w:val="20"/>
                <w:szCs w:val="20"/>
                <w:lang w:val="fr-CA" w:eastAsia="en-GB"/>
              </w:rPr>
              <w:t>0</w:t>
            </w:r>
          </w:p>
        </w:tc>
        <w:tc>
          <w:tcPr>
            <w:tcW w:w="1475" w:type="dxa"/>
            <w:tcBorders>
              <w:top w:val="nil"/>
              <w:left w:val="nil"/>
              <w:bottom w:val="single" w:sz="4" w:space="0" w:color="auto"/>
              <w:right w:val="single" w:sz="4" w:space="0" w:color="auto"/>
            </w:tcBorders>
            <w:shd w:val="clear" w:color="auto" w:fill="auto"/>
            <w:noWrap/>
            <w:hideMark/>
          </w:tcPr>
          <w:p w14:paraId="008597B1" w14:textId="05F7A00E" w:rsidR="00825F3F" w:rsidRPr="00646D83" w:rsidRDefault="00825F3F" w:rsidP="004F62E7">
            <w:pPr>
              <w:jc w:val="right"/>
              <w:rPr>
                <w:color w:val="000000"/>
                <w:sz w:val="20"/>
                <w:szCs w:val="20"/>
                <w:lang w:val="fr-CA" w:eastAsia="en-GB"/>
              </w:rPr>
            </w:pPr>
            <w:r w:rsidRPr="00646D83">
              <w:rPr>
                <w:color w:val="000000"/>
                <w:sz w:val="20"/>
                <w:szCs w:val="20"/>
                <w:lang w:val="fr-CA" w:eastAsia="en-GB"/>
              </w:rPr>
              <w:t>642</w:t>
            </w:r>
            <w:r w:rsidR="007D20FD" w:rsidRPr="00646D83">
              <w:rPr>
                <w:color w:val="000000"/>
                <w:sz w:val="20"/>
                <w:szCs w:val="20"/>
                <w:lang w:val="fr-CA" w:eastAsia="en-GB"/>
              </w:rPr>
              <w:t xml:space="preserve"> </w:t>
            </w:r>
            <w:r w:rsidRPr="00646D83">
              <w:rPr>
                <w:color w:val="000000"/>
                <w:sz w:val="20"/>
                <w:szCs w:val="20"/>
                <w:lang w:val="fr-CA" w:eastAsia="en-GB"/>
              </w:rPr>
              <w:t>783</w:t>
            </w:r>
          </w:p>
        </w:tc>
        <w:tc>
          <w:tcPr>
            <w:tcW w:w="1476" w:type="dxa"/>
            <w:tcBorders>
              <w:top w:val="nil"/>
              <w:left w:val="nil"/>
              <w:bottom w:val="single" w:sz="4" w:space="0" w:color="auto"/>
              <w:right w:val="single" w:sz="4" w:space="0" w:color="auto"/>
            </w:tcBorders>
            <w:shd w:val="clear" w:color="auto" w:fill="auto"/>
            <w:noWrap/>
            <w:hideMark/>
          </w:tcPr>
          <w:p w14:paraId="20192078" w14:textId="04A1879B" w:rsidR="00825F3F" w:rsidRPr="00646D83" w:rsidRDefault="00825F3F" w:rsidP="004F62E7">
            <w:pPr>
              <w:jc w:val="right"/>
              <w:rPr>
                <w:b/>
                <w:bCs/>
                <w:sz w:val="20"/>
                <w:szCs w:val="20"/>
                <w:lang w:val="fr-CA" w:eastAsia="en-GB"/>
              </w:rPr>
            </w:pPr>
            <w:r w:rsidRPr="00646D83">
              <w:rPr>
                <w:b/>
                <w:bCs/>
                <w:sz w:val="20"/>
                <w:szCs w:val="20"/>
                <w:lang w:val="fr-CA" w:eastAsia="en-GB"/>
              </w:rPr>
              <w:t>-642</w:t>
            </w:r>
            <w:r w:rsidR="007D20FD" w:rsidRPr="00646D83">
              <w:rPr>
                <w:b/>
                <w:bCs/>
                <w:sz w:val="20"/>
                <w:szCs w:val="20"/>
                <w:lang w:val="fr-CA" w:eastAsia="en-GB"/>
              </w:rPr>
              <w:t xml:space="preserve"> </w:t>
            </w:r>
            <w:r w:rsidRPr="00646D83">
              <w:rPr>
                <w:b/>
                <w:bCs/>
                <w:sz w:val="20"/>
                <w:szCs w:val="20"/>
                <w:lang w:val="fr-CA" w:eastAsia="en-GB"/>
              </w:rPr>
              <w:t>783</w:t>
            </w:r>
          </w:p>
        </w:tc>
      </w:tr>
      <w:tr w:rsidR="00825F3F" w:rsidRPr="00646D83" w14:paraId="2BAE621C"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243E5A91" w14:textId="6B3580ED" w:rsidR="00825F3F" w:rsidRPr="00646D83" w:rsidRDefault="007D20FD" w:rsidP="004F62E7">
            <w:pPr>
              <w:jc w:val="left"/>
              <w:rPr>
                <w:color w:val="000000"/>
                <w:sz w:val="20"/>
                <w:szCs w:val="20"/>
                <w:lang w:val="fr-CA" w:eastAsia="en-GB"/>
              </w:rPr>
            </w:pPr>
            <w:r w:rsidRPr="00646D83">
              <w:rPr>
                <w:color w:val="000000"/>
                <w:sz w:val="20"/>
                <w:szCs w:val="20"/>
                <w:lang w:val="fr-CA" w:eastAsia="en-GB"/>
              </w:rPr>
              <w:t>Assistance technique aux entreprises</w:t>
            </w:r>
          </w:p>
        </w:tc>
        <w:tc>
          <w:tcPr>
            <w:tcW w:w="1475" w:type="dxa"/>
            <w:tcBorders>
              <w:top w:val="nil"/>
              <w:left w:val="nil"/>
              <w:bottom w:val="single" w:sz="4" w:space="0" w:color="auto"/>
              <w:right w:val="single" w:sz="4" w:space="0" w:color="auto"/>
            </w:tcBorders>
            <w:shd w:val="clear" w:color="auto" w:fill="auto"/>
            <w:noWrap/>
            <w:hideMark/>
          </w:tcPr>
          <w:p w14:paraId="07253762" w14:textId="695143C6" w:rsidR="00825F3F" w:rsidRPr="00646D83" w:rsidRDefault="00825F3F" w:rsidP="004F62E7">
            <w:pPr>
              <w:jc w:val="right"/>
              <w:rPr>
                <w:color w:val="000000"/>
                <w:sz w:val="20"/>
                <w:szCs w:val="20"/>
                <w:lang w:val="fr-CA" w:eastAsia="en-GB"/>
              </w:rPr>
            </w:pPr>
            <w:r w:rsidRPr="00646D83">
              <w:rPr>
                <w:color w:val="000000"/>
                <w:sz w:val="20"/>
                <w:szCs w:val="20"/>
                <w:lang w:val="fr-CA" w:eastAsia="en-GB"/>
              </w:rPr>
              <w:t>211</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5" w:type="dxa"/>
            <w:tcBorders>
              <w:top w:val="nil"/>
              <w:left w:val="nil"/>
              <w:bottom w:val="single" w:sz="4" w:space="0" w:color="auto"/>
              <w:right w:val="single" w:sz="4" w:space="0" w:color="auto"/>
            </w:tcBorders>
            <w:shd w:val="clear" w:color="auto" w:fill="auto"/>
            <w:noWrap/>
            <w:hideMark/>
          </w:tcPr>
          <w:p w14:paraId="39CA61C0" w14:textId="77777777" w:rsidR="00825F3F" w:rsidRPr="00646D83" w:rsidRDefault="00825F3F" w:rsidP="004F62E7">
            <w:pPr>
              <w:jc w:val="right"/>
              <w:rPr>
                <w:color w:val="000000"/>
                <w:sz w:val="20"/>
                <w:szCs w:val="20"/>
                <w:lang w:val="fr-CA" w:eastAsia="en-GB"/>
              </w:rPr>
            </w:pPr>
            <w:r w:rsidRPr="00646D83">
              <w:rPr>
                <w:color w:val="000000"/>
                <w:sz w:val="20"/>
                <w:szCs w:val="20"/>
                <w:lang w:val="fr-CA" w:eastAsia="en-GB"/>
              </w:rPr>
              <w:t>0</w:t>
            </w:r>
          </w:p>
        </w:tc>
        <w:tc>
          <w:tcPr>
            <w:tcW w:w="1476" w:type="dxa"/>
            <w:tcBorders>
              <w:top w:val="nil"/>
              <w:left w:val="nil"/>
              <w:bottom w:val="single" w:sz="4" w:space="0" w:color="auto"/>
              <w:right w:val="single" w:sz="4" w:space="0" w:color="auto"/>
            </w:tcBorders>
            <w:shd w:val="clear" w:color="auto" w:fill="auto"/>
            <w:noWrap/>
            <w:hideMark/>
          </w:tcPr>
          <w:p w14:paraId="2414D09A" w14:textId="7AD5073A" w:rsidR="00825F3F" w:rsidRPr="00646D83" w:rsidRDefault="00825F3F" w:rsidP="004F62E7">
            <w:pPr>
              <w:jc w:val="right"/>
              <w:rPr>
                <w:color w:val="000000"/>
                <w:sz w:val="20"/>
                <w:szCs w:val="20"/>
                <w:lang w:val="fr-CA" w:eastAsia="en-GB"/>
              </w:rPr>
            </w:pPr>
            <w:r w:rsidRPr="00646D83">
              <w:rPr>
                <w:color w:val="000000"/>
                <w:sz w:val="20"/>
                <w:szCs w:val="20"/>
                <w:lang w:val="fr-CA" w:eastAsia="en-GB"/>
              </w:rPr>
              <w:t>211</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5" w:type="dxa"/>
            <w:tcBorders>
              <w:top w:val="nil"/>
              <w:left w:val="nil"/>
              <w:bottom w:val="single" w:sz="4" w:space="0" w:color="auto"/>
              <w:right w:val="single" w:sz="4" w:space="0" w:color="auto"/>
            </w:tcBorders>
            <w:shd w:val="clear" w:color="auto" w:fill="auto"/>
            <w:noWrap/>
            <w:hideMark/>
          </w:tcPr>
          <w:p w14:paraId="4D937338" w14:textId="1B86915A" w:rsidR="00825F3F" w:rsidRPr="00646D83" w:rsidRDefault="00825F3F" w:rsidP="004F62E7">
            <w:pPr>
              <w:jc w:val="right"/>
              <w:rPr>
                <w:color w:val="000000"/>
                <w:sz w:val="20"/>
                <w:szCs w:val="20"/>
                <w:lang w:val="fr-CA" w:eastAsia="en-GB"/>
              </w:rPr>
            </w:pPr>
            <w:r w:rsidRPr="00646D83">
              <w:rPr>
                <w:color w:val="000000"/>
                <w:sz w:val="20"/>
                <w:szCs w:val="20"/>
                <w:lang w:val="fr-CA" w:eastAsia="en-GB"/>
              </w:rPr>
              <w:t>99</w:t>
            </w:r>
            <w:r w:rsidR="007D20FD" w:rsidRPr="00646D83">
              <w:rPr>
                <w:color w:val="000000"/>
                <w:sz w:val="20"/>
                <w:szCs w:val="20"/>
                <w:lang w:val="fr-CA" w:eastAsia="en-GB"/>
              </w:rPr>
              <w:t xml:space="preserve"> </w:t>
            </w:r>
            <w:r w:rsidRPr="00646D83">
              <w:rPr>
                <w:color w:val="000000"/>
                <w:sz w:val="20"/>
                <w:szCs w:val="20"/>
                <w:lang w:val="fr-CA" w:eastAsia="en-GB"/>
              </w:rPr>
              <w:t>146</w:t>
            </w:r>
          </w:p>
        </w:tc>
        <w:tc>
          <w:tcPr>
            <w:tcW w:w="1476" w:type="dxa"/>
            <w:tcBorders>
              <w:top w:val="nil"/>
              <w:left w:val="nil"/>
              <w:bottom w:val="single" w:sz="4" w:space="0" w:color="auto"/>
              <w:right w:val="single" w:sz="4" w:space="0" w:color="auto"/>
            </w:tcBorders>
            <w:shd w:val="clear" w:color="auto" w:fill="auto"/>
            <w:noWrap/>
            <w:hideMark/>
          </w:tcPr>
          <w:p w14:paraId="2CB80BEE" w14:textId="7B745244" w:rsidR="00825F3F" w:rsidRPr="00646D83" w:rsidRDefault="00825F3F" w:rsidP="004F62E7">
            <w:pPr>
              <w:jc w:val="right"/>
              <w:rPr>
                <w:b/>
                <w:bCs/>
                <w:sz w:val="20"/>
                <w:szCs w:val="20"/>
                <w:lang w:val="fr-CA" w:eastAsia="en-GB"/>
              </w:rPr>
            </w:pPr>
            <w:r w:rsidRPr="00646D83">
              <w:rPr>
                <w:b/>
                <w:bCs/>
                <w:sz w:val="20"/>
                <w:szCs w:val="20"/>
                <w:lang w:val="fr-CA" w:eastAsia="en-GB"/>
              </w:rPr>
              <w:t>111</w:t>
            </w:r>
            <w:r w:rsidR="007D20FD" w:rsidRPr="00646D83">
              <w:rPr>
                <w:b/>
                <w:bCs/>
                <w:sz w:val="20"/>
                <w:szCs w:val="20"/>
                <w:lang w:val="fr-CA" w:eastAsia="en-GB"/>
              </w:rPr>
              <w:t xml:space="preserve"> </w:t>
            </w:r>
            <w:r w:rsidRPr="00646D83">
              <w:rPr>
                <w:b/>
                <w:bCs/>
                <w:sz w:val="20"/>
                <w:szCs w:val="20"/>
                <w:lang w:val="fr-CA" w:eastAsia="en-GB"/>
              </w:rPr>
              <w:t>854</w:t>
            </w:r>
          </w:p>
        </w:tc>
      </w:tr>
      <w:tr w:rsidR="00825F3F" w:rsidRPr="00646D83" w14:paraId="612578F0"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5BF68BEF" w14:textId="23AE3925" w:rsidR="00825F3F" w:rsidRPr="00646D83" w:rsidRDefault="007D20FD" w:rsidP="004F62E7">
            <w:pPr>
              <w:jc w:val="left"/>
              <w:rPr>
                <w:color w:val="000000"/>
                <w:sz w:val="20"/>
                <w:szCs w:val="20"/>
                <w:lang w:val="fr-CA" w:eastAsia="en-GB"/>
              </w:rPr>
            </w:pPr>
            <w:r w:rsidRPr="00646D83">
              <w:rPr>
                <w:color w:val="000000"/>
                <w:sz w:val="20"/>
                <w:szCs w:val="20"/>
                <w:lang w:val="fr-CA" w:eastAsia="en-GB"/>
              </w:rPr>
              <w:t>Activités d’élimination dans le secteur de l’entretien</w:t>
            </w:r>
          </w:p>
        </w:tc>
        <w:tc>
          <w:tcPr>
            <w:tcW w:w="1475" w:type="dxa"/>
            <w:tcBorders>
              <w:top w:val="nil"/>
              <w:left w:val="nil"/>
              <w:bottom w:val="single" w:sz="4" w:space="0" w:color="auto"/>
              <w:right w:val="single" w:sz="4" w:space="0" w:color="auto"/>
            </w:tcBorders>
            <w:shd w:val="clear" w:color="auto" w:fill="auto"/>
            <w:noWrap/>
            <w:hideMark/>
          </w:tcPr>
          <w:p w14:paraId="1C633FC5" w14:textId="5EAEDE11" w:rsidR="00825F3F" w:rsidRPr="00646D83" w:rsidRDefault="00825F3F" w:rsidP="004F62E7">
            <w:pPr>
              <w:jc w:val="right"/>
              <w:rPr>
                <w:color w:val="000000"/>
                <w:sz w:val="20"/>
                <w:szCs w:val="20"/>
                <w:lang w:val="fr-CA" w:eastAsia="en-GB"/>
              </w:rPr>
            </w:pPr>
            <w:r w:rsidRPr="00646D83">
              <w:rPr>
                <w:color w:val="000000"/>
                <w:sz w:val="20"/>
                <w:szCs w:val="20"/>
                <w:lang w:val="fr-CA" w:eastAsia="en-GB"/>
              </w:rPr>
              <w:t>525</w:t>
            </w:r>
            <w:r w:rsidR="007D20FD" w:rsidRPr="00646D83">
              <w:rPr>
                <w:color w:val="000000"/>
                <w:sz w:val="20"/>
                <w:szCs w:val="20"/>
                <w:lang w:val="fr-CA" w:eastAsia="en-GB"/>
              </w:rPr>
              <w:t xml:space="preserve"> </w:t>
            </w:r>
            <w:r w:rsidRPr="00646D83">
              <w:rPr>
                <w:color w:val="000000"/>
                <w:sz w:val="20"/>
                <w:szCs w:val="20"/>
                <w:lang w:val="fr-CA" w:eastAsia="en-GB"/>
              </w:rPr>
              <w:t>750</w:t>
            </w:r>
          </w:p>
        </w:tc>
        <w:tc>
          <w:tcPr>
            <w:tcW w:w="1475" w:type="dxa"/>
            <w:tcBorders>
              <w:top w:val="nil"/>
              <w:left w:val="nil"/>
              <w:bottom w:val="single" w:sz="4" w:space="0" w:color="auto"/>
              <w:right w:val="single" w:sz="4" w:space="0" w:color="auto"/>
            </w:tcBorders>
            <w:shd w:val="clear" w:color="auto" w:fill="auto"/>
            <w:noWrap/>
            <w:hideMark/>
          </w:tcPr>
          <w:p w14:paraId="26922A48" w14:textId="77777777" w:rsidR="00825F3F" w:rsidRPr="00646D83" w:rsidRDefault="00825F3F" w:rsidP="004F62E7">
            <w:pPr>
              <w:jc w:val="right"/>
              <w:rPr>
                <w:color w:val="000000"/>
                <w:sz w:val="20"/>
                <w:szCs w:val="20"/>
                <w:lang w:val="fr-CA" w:eastAsia="en-GB"/>
              </w:rPr>
            </w:pPr>
            <w:r w:rsidRPr="00646D83">
              <w:rPr>
                <w:color w:val="000000"/>
                <w:sz w:val="20"/>
                <w:szCs w:val="20"/>
                <w:lang w:val="fr-CA" w:eastAsia="en-GB"/>
              </w:rPr>
              <w:t>0</w:t>
            </w:r>
          </w:p>
        </w:tc>
        <w:tc>
          <w:tcPr>
            <w:tcW w:w="1476" w:type="dxa"/>
            <w:tcBorders>
              <w:top w:val="nil"/>
              <w:left w:val="nil"/>
              <w:bottom w:val="single" w:sz="4" w:space="0" w:color="auto"/>
              <w:right w:val="single" w:sz="4" w:space="0" w:color="auto"/>
            </w:tcBorders>
            <w:shd w:val="clear" w:color="auto" w:fill="auto"/>
            <w:noWrap/>
            <w:hideMark/>
          </w:tcPr>
          <w:p w14:paraId="506CCB18" w14:textId="4E09CF75" w:rsidR="00825F3F" w:rsidRPr="00646D83" w:rsidRDefault="00825F3F" w:rsidP="004F62E7">
            <w:pPr>
              <w:jc w:val="right"/>
              <w:rPr>
                <w:color w:val="000000"/>
                <w:sz w:val="20"/>
                <w:szCs w:val="20"/>
                <w:lang w:val="fr-CA" w:eastAsia="en-GB"/>
              </w:rPr>
            </w:pPr>
            <w:r w:rsidRPr="00646D83">
              <w:rPr>
                <w:color w:val="000000"/>
                <w:sz w:val="20"/>
                <w:szCs w:val="20"/>
                <w:lang w:val="fr-CA" w:eastAsia="en-GB"/>
              </w:rPr>
              <w:t>525</w:t>
            </w:r>
            <w:r w:rsidR="007D20FD" w:rsidRPr="00646D83">
              <w:rPr>
                <w:color w:val="000000"/>
                <w:sz w:val="20"/>
                <w:szCs w:val="20"/>
                <w:lang w:val="fr-CA" w:eastAsia="en-GB"/>
              </w:rPr>
              <w:t xml:space="preserve"> </w:t>
            </w:r>
            <w:r w:rsidRPr="00646D83">
              <w:rPr>
                <w:color w:val="000000"/>
                <w:sz w:val="20"/>
                <w:szCs w:val="20"/>
                <w:lang w:val="fr-CA" w:eastAsia="en-GB"/>
              </w:rPr>
              <w:t>750</w:t>
            </w:r>
          </w:p>
        </w:tc>
        <w:tc>
          <w:tcPr>
            <w:tcW w:w="1475" w:type="dxa"/>
            <w:tcBorders>
              <w:top w:val="nil"/>
              <w:left w:val="nil"/>
              <w:bottom w:val="single" w:sz="4" w:space="0" w:color="auto"/>
              <w:right w:val="single" w:sz="4" w:space="0" w:color="auto"/>
            </w:tcBorders>
            <w:shd w:val="clear" w:color="auto" w:fill="auto"/>
            <w:noWrap/>
            <w:hideMark/>
          </w:tcPr>
          <w:p w14:paraId="78B847BC" w14:textId="6E1ECCA7" w:rsidR="00825F3F" w:rsidRPr="00646D83" w:rsidRDefault="00825F3F" w:rsidP="004F62E7">
            <w:pPr>
              <w:jc w:val="right"/>
              <w:rPr>
                <w:color w:val="000000"/>
                <w:sz w:val="20"/>
                <w:szCs w:val="20"/>
                <w:lang w:val="fr-CA" w:eastAsia="en-GB"/>
              </w:rPr>
            </w:pPr>
            <w:r w:rsidRPr="00646D83">
              <w:rPr>
                <w:color w:val="000000"/>
                <w:sz w:val="20"/>
                <w:szCs w:val="20"/>
                <w:lang w:val="fr-CA" w:eastAsia="en-GB"/>
              </w:rPr>
              <w:t>193</w:t>
            </w:r>
            <w:r w:rsidR="007D20FD" w:rsidRPr="00646D83">
              <w:rPr>
                <w:color w:val="000000"/>
                <w:sz w:val="20"/>
                <w:szCs w:val="20"/>
                <w:lang w:val="fr-CA" w:eastAsia="en-GB"/>
              </w:rPr>
              <w:t xml:space="preserve"> </w:t>
            </w:r>
            <w:r w:rsidRPr="00646D83">
              <w:rPr>
                <w:color w:val="000000"/>
                <w:sz w:val="20"/>
                <w:szCs w:val="20"/>
                <w:lang w:val="fr-CA" w:eastAsia="en-GB"/>
              </w:rPr>
              <w:t>094</w:t>
            </w:r>
          </w:p>
        </w:tc>
        <w:tc>
          <w:tcPr>
            <w:tcW w:w="1476" w:type="dxa"/>
            <w:tcBorders>
              <w:top w:val="nil"/>
              <w:left w:val="nil"/>
              <w:bottom w:val="single" w:sz="4" w:space="0" w:color="auto"/>
              <w:right w:val="single" w:sz="4" w:space="0" w:color="auto"/>
            </w:tcBorders>
            <w:shd w:val="clear" w:color="auto" w:fill="auto"/>
            <w:noWrap/>
            <w:hideMark/>
          </w:tcPr>
          <w:p w14:paraId="50A4E657" w14:textId="021A28DE" w:rsidR="00825F3F" w:rsidRPr="00646D83" w:rsidRDefault="00825F3F" w:rsidP="004F62E7">
            <w:pPr>
              <w:jc w:val="right"/>
              <w:rPr>
                <w:b/>
                <w:bCs/>
                <w:sz w:val="20"/>
                <w:szCs w:val="20"/>
                <w:lang w:val="fr-CA" w:eastAsia="en-GB"/>
              </w:rPr>
            </w:pPr>
            <w:r w:rsidRPr="00646D83">
              <w:rPr>
                <w:b/>
                <w:bCs/>
                <w:sz w:val="20"/>
                <w:szCs w:val="20"/>
                <w:lang w:val="fr-CA" w:eastAsia="en-GB"/>
              </w:rPr>
              <w:t>332</w:t>
            </w:r>
            <w:r w:rsidR="007D20FD" w:rsidRPr="00646D83">
              <w:rPr>
                <w:b/>
                <w:bCs/>
                <w:sz w:val="20"/>
                <w:szCs w:val="20"/>
                <w:lang w:val="fr-CA" w:eastAsia="en-GB"/>
              </w:rPr>
              <w:t xml:space="preserve"> </w:t>
            </w:r>
            <w:r w:rsidRPr="00646D83">
              <w:rPr>
                <w:b/>
                <w:bCs/>
                <w:sz w:val="20"/>
                <w:szCs w:val="20"/>
                <w:lang w:val="fr-CA" w:eastAsia="en-GB"/>
              </w:rPr>
              <w:t>656</w:t>
            </w:r>
          </w:p>
        </w:tc>
      </w:tr>
      <w:tr w:rsidR="00825F3F" w:rsidRPr="00646D83" w14:paraId="33C50D70"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759D6726" w14:textId="34DD3418" w:rsidR="00825F3F" w:rsidRPr="00646D83" w:rsidRDefault="007D20FD" w:rsidP="007D20FD">
            <w:pPr>
              <w:jc w:val="left"/>
              <w:rPr>
                <w:color w:val="000000"/>
                <w:sz w:val="20"/>
                <w:szCs w:val="20"/>
                <w:lang w:val="fr-CA" w:eastAsia="en-GB"/>
              </w:rPr>
            </w:pPr>
            <w:r w:rsidRPr="00646D83">
              <w:rPr>
                <w:color w:val="000000"/>
                <w:sz w:val="20"/>
                <w:szCs w:val="20"/>
                <w:lang w:val="fr-CA" w:eastAsia="en-GB"/>
              </w:rPr>
              <w:t>Bureau de gestion de projet</w:t>
            </w:r>
          </w:p>
        </w:tc>
        <w:tc>
          <w:tcPr>
            <w:tcW w:w="1475" w:type="dxa"/>
            <w:tcBorders>
              <w:top w:val="nil"/>
              <w:left w:val="nil"/>
              <w:bottom w:val="single" w:sz="4" w:space="0" w:color="auto"/>
              <w:right w:val="single" w:sz="4" w:space="0" w:color="auto"/>
            </w:tcBorders>
            <w:shd w:val="clear" w:color="auto" w:fill="auto"/>
            <w:noWrap/>
            <w:hideMark/>
          </w:tcPr>
          <w:p w14:paraId="328B2673" w14:textId="1CD9AF77" w:rsidR="00825F3F" w:rsidRPr="00646D83" w:rsidRDefault="00825F3F" w:rsidP="004F62E7">
            <w:pPr>
              <w:jc w:val="right"/>
              <w:rPr>
                <w:color w:val="000000"/>
                <w:sz w:val="20"/>
                <w:szCs w:val="20"/>
                <w:lang w:val="fr-CA" w:eastAsia="en-GB"/>
              </w:rPr>
            </w:pPr>
            <w:r w:rsidRPr="00646D83">
              <w:rPr>
                <w:color w:val="000000"/>
                <w:sz w:val="20"/>
                <w:szCs w:val="20"/>
                <w:lang w:val="fr-CA" w:eastAsia="en-GB"/>
              </w:rPr>
              <w:t>220</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5" w:type="dxa"/>
            <w:tcBorders>
              <w:top w:val="nil"/>
              <w:left w:val="nil"/>
              <w:bottom w:val="single" w:sz="4" w:space="0" w:color="auto"/>
              <w:right w:val="single" w:sz="4" w:space="0" w:color="auto"/>
            </w:tcBorders>
            <w:shd w:val="clear" w:color="auto" w:fill="auto"/>
            <w:noWrap/>
            <w:hideMark/>
          </w:tcPr>
          <w:p w14:paraId="1F4ED72E" w14:textId="6C16BA37" w:rsidR="00825F3F" w:rsidRPr="00646D83" w:rsidRDefault="00825F3F" w:rsidP="004F62E7">
            <w:pPr>
              <w:jc w:val="right"/>
              <w:rPr>
                <w:color w:val="000000"/>
                <w:sz w:val="20"/>
                <w:szCs w:val="20"/>
                <w:lang w:val="fr-CA" w:eastAsia="en-GB"/>
              </w:rPr>
            </w:pPr>
            <w:r w:rsidRPr="00646D83">
              <w:rPr>
                <w:color w:val="000000"/>
                <w:sz w:val="20"/>
                <w:szCs w:val="20"/>
                <w:lang w:val="fr-CA" w:eastAsia="en-GB"/>
              </w:rPr>
              <w:t>145</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6" w:type="dxa"/>
            <w:tcBorders>
              <w:top w:val="nil"/>
              <w:left w:val="nil"/>
              <w:bottom w:val="single" w:sz="4" w:space="0" w:color="auto"/>
              <w:right w:val="single" w:sz="4" w:space="0" w:color="auto"/>
            </w:tcBorders>
            <w:shd w:val="clear" w:color="auto" w:fill="auto"/>
            <w:noWrap/>
            <w:hideMark/>
          </w:tcPr>
          <w:p w14:paraId="2EA1CB8A" w14:textId="033237F2" w:rsidR="00825F3F" w:rsidRPr="00646D83" w:rsidRDefault="00825F3F" w:rsidP="004F62E7">
            <w:pPr>
              <w:jc w:val="right"/>
              <w:rPr>
                <w:color w:val="000000"/>
                <w:sz w:val="20"/>
                <w:szCs w:val="20"/>
                <w:lang w:val="fr-CA" w:eastAsia="en-GB"/>
              </w:rPr>
            </w:pPr>
            <w:r w:rsidRPr="00646D83">
              <w:rPr>
                <w:color w:val="000000"/>
                <w:sz w:val="20"/>
                <w:szCs w:val="20"/>
                <w:lang w:val="fr-CA" w:eastAsia="en-GB"/>
              </w:rPr>
              <w:t>75</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5" w:type="dxa"/>
            <w:tcBorders>
              <w:top w:val="nil"/>
              <w:left w:val="nil"/>
              <w:bottom w:val="single" w:sz="4" w:space="0" w:color="auto"/>
              <w:right w:val="single" w:sz="4" w:space="0" w:color="auto"/>
            </w:tcBorders>
            <w:shd w:val="clear" w:color="auto" w:fill="auto"/>
            <w:noWrap/>
            <w:hideMark/>
          </w:tcPr>
          <w:p w14:paraId="100A4015" w14:textId="60F07CF9" w:rsidR="00825F3F" w:rsidRPr="00646D83" w:rsidRDefault="00825F3F" w:rsidP="004F62E7">
            <w:pPr>
              <w:jc w:val="right"/>
              <w:rPr>
                <w:color w:val="000000"/>
                <w:sz w:val="20"/>
                <w:szCs w:val="20"/>
                <w:lang w:val="fr-CA" w:eastAsia="en-GB"/>
              </w:rPr>
            </w:pPr>
            <w:r w:rsidRPr="00646D83">
              <w:rPr>
                <w:color w:val="000000"/>
                <w:sz w:val="20"/>
                <w:szCs w:val="20"/>
                <w:lang w:val="fr-CA" w:eastAsia="en-GB"/>
              </w:rPr>
              <w:t>75</w:t>
            </w:r>
            <w:r w:rsidR="007D20FD" w:rsidRPr="00646D83">
              <w:rPr>
                <w:color w:val="000000"/>
                <w:sz w:val="20"/>
                <w:szCs w:val="20"/>
                <w:lang w:val="fr-CA" w:eastAsia="en-GB"/>
              </w:rPr>
              <w:t xml:space="preserve"> </w:t>
            </w:r>
            <w:r w:rsidRPr="00646D83">
              <w:rPr>
                <w:color w:val="000000"/>
                <w:sz w:val="20"/>
                <w:szCs w:val="20"/>
                <w:lang w:val="fr-CA" w:eastAsia="en-GB"/>
              </w:rPr>
              <w:t>000</w:t>
            </w:r>
          </w:p>
        </w:tc>
        <w:tc>
          <w:tcPr>
            <w:tcW w:w="1476" w:type="dxa"/>
            <w:tcBorders>
              <w:top w:val="nil"/>
              <w:left w:val="nil"/>
              <w:bottom w:val="single" w:sz="4" w:space="0" w:color="auto"/>
              <w:right w:val="single" w:sz="4" w:space="0" w:color="auto"/>
            </w:tcBorders>
            <w:shd w:val="clear" w:color="auto" w:fill="auto"/>
            <w:noWrap/>
            <w:hideMark/>
          </w:tcPr>
          <w:p w14:paraId="74491C06" w14:textId="77777777" w:rsidR="00825F3F" w:rsidRPr="00646D83" w:rsidRDefault="00825F3F" w:rsidP="004F62E7">
            <w:pPr>
              <w:jc w:val="right"/>
              <w:rPr>
                <w:b/>
                <w:bCs/>
                <w:sz w:val="20"/>
                <w:szCs w:val="20"/>
                <w:lang w:val="fr-CA" w:eastAsia="en-GB"/>
              </w:rPr>
            </w:pPr>
            <w:r w:rsidRPr="00646D83">
              <w:rPr>
                <w:b/>
                <w:bCs/>
                <w:sz w:val="20"/>
                <w:szCs w:val="20"/>
                <w:lang w:val="fr-CA" w:eastAsia="en-GB"/>
              </w:rPr>
              <w:t>0</w:t>
            </w:r>
          </w:p>
        </w:tc>
      </w:tr>
      <w:tr w:rsidR="00825F3F" w:rsidRPr="00646D83" w14:paraId="6DD118AC"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29A153E3" w14:textId="36D0C002" w:rsidR="00825F3F" w:rsidRPr="00646D83" w:rsidRDefault="007D20FD" w:rsidP="004F62E7">
            <w:pPr>
              <w:jc w:val="left"/>
              <w:rPr>
                <w:color w:val="000000"/>
                <w:sz w:val="20"/>
                <w:szCs w:val="20"/>
                <w:lang w:val="fr-CA" w:eastAsia="en-GB"/>
              </w:rPr>
            </w:pPr>
            <w:r w:rsidRPr="00646D83">
              <w:rPr>
                <w:color w:val="000000"/>
                <w:sz w:val="20"/>
                <w:szCs w:val="20"/>
                <w:lang w:val="fr-CA" w:eastAsia="en-GB"/>
              </w:rPr>
              <w:t>Coût total du projet</w:t>
            </w:r>
            <w:r w:rsidR="00825F3F" w:rsidRPr="00646D83">
              <w:rPr>
                <w:color w:val="000000"/>
                <w:sz w:val="20"/>
                <w:szCs w:val="20"/>
                <w:lang w:val="fr-CA" w:eastAsia="en-GB"/>
              </w:rPr>
              <w:t xml:space="preserve"> </w:t>
            </w:r>
          </w:p>
        </w:tc>
        <w:tc>
          <w:tcPr>
            <w:tcW w:w="1475" w:type="dxa"/>
            <w:tcBorders>
              <w:top w:val="nil"/>
              <w:left w:val="nil"/>
              <w:bottom w:val="single" w:sz="4" w:space="0" w:color="auto"/>
              <w:right w:val="single" w:sz="4" w:space="0" w:color="auto"/>
            </w:tcBorders>
            <w:shd w:val="clear" w:color="auto" w:fill="auto"/>
            <w:noWrap/>
            <w:hideMark/>
          </w:tcPr>
          <w:p w14:paraId="2D1BE8E8" w14:textId="48EE9947"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2</w:t>
            </w:r>
            <w:r w:rsidR="007D20FD" w:rsidRPr="00646D83">
              <w:rPr>
                <w:b/>
                <w:bCs/>
                <w:color w:val="000000"/>
                <w:sz w:val="20"/>
                <w:szCs w:val="20"/>
                <w:lang w:val="fr-CA" w:eastAsia="en-GB"/>
              </w:rPr>
              <w:t xml:space="preserve"> </w:t>
            </w:r>
            <w:r w:rsidRPr="00646D83">
              <w:rPr>
                <w:b/>
                <w:bCs/>
                <w:color w:val="000000"/>
                <w:sz w:val="20"/>
                <w:szCs w:val="20"/>
                <w:lang w:val="fr-CA" w:eastAsia="en-GB"/>
              </w:rPr>
              <w:t>750</w:t>
            </w:r>
            <w:r w:rsidR="007D20FD" w:rsidRPr="00646D83">
              <w:rPr>
                <w:b/>
                <w:bCs/>
                <w:color w:val="000000"/>
                <w:sz w:val="20"/>
                <w:szCs w:val="20"/>
                <w:lang w:val="fr-CA" w:eastAsia="en-GB"/>
              </w:rPr>
              <w:t xml:space="preserve"> </w:t>
            </w:r>
            <w:r w:rsidRPr="00646D83">
              <w:rPr>
                <w:b/>
                <w:bCs/>
                <w:color w:val="000000"/>
                <w:sz w:val="20"/>
                <w:szCs w:val="20"/>
                <w:lang w:val="fr-CA" w:eastAsia="en-GB"/>
              </w:rPr>
              <w:t>057</w:t>
            </w:r>
          </w:p>
        </w:tc>
        <w:tc>
          <w:tcPr>
            <w:tcW w:w="1475" w:type="dxa"/>
            <w:tcBorders>
              <w:top w:val="nil"/>
              <w:left w:val="nil"/>
              <w:bottom w:val="single" w:sz="4" w:space="0" w:color="auto"/>
              <w:right w:val="single" w:sz="4" w:space="0" w:color="auto"/>
            </w:tcBorders>
            <w:shd w:val="clear" w:color="auto" w:fill="auto"/>
            <w:noWrap/>
            <w:hideMark/>
          </w:tcPr>
          <w:p w14:paraId="22C2E406" w14:textId="64425E42"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1</w:t>
            </w:r>
            <w:r w:rsidR="007D20FD" w:rsidRPr="00646D83">
              <w:rPr>
                <w:b/>
                <w:bCs/>
                <w:color w:val="000000"/>
                <w:sz w:val="20"/>
                <w:szCs w:val="20"/>
                <w:lang w:val="fr-CA" w:eastAsia="en-GB"/>
              </w:rPr>
              <w:t xml:space="preserve"> </w:t>
            </w:r>
            <w:r w:rsidRPr="00646D83">
              <w:rPr>
                <w:b/>
                <w:bCs/>
                <w:color w:val="000000"/>
                <w:sz w:val="20"/>
                <w:szCs w:val="20"/>
                <w:lang w:val="fr-CA" w:eastAsia="en-GB"/>
              </w:rPr>
              <w:t>938</w:t>
            </w:r>
            <w:r w:rsidR="007D20FD" w:rsidRPr="00646D83">
              <w:rPr>
                <w:b/>
                <w:bCs/>
                <w:color w:val="000000"/>
                <w:sz w:val="20"/>
                <w:szCs w:val="20"/>
                <w:lang w:val="fr-CA" w:eastAsia="en-GB"/>
              </w:rPr>
              <w:t xml:space="preserve"> </w:t>
            </w:r>
            <w:r w:rsidRPr="00646D83">
              <w:rPr>
                <w:b/>
                <w:bCs/>
                <w:color w:val="000000"/>
                <w:sz w:val="20"/>
                <w:szCs w:val="20"/>
                <w:lang w:val="fr-CA" w:eastAsia="en-GB"/>
              </w:rPr>
              <w:t>307</w:t>
            </w:r>
          </w:p>
        </w:tc>
        <w:tc>
          <w:tcPr>
            <w:tcW w:w="1476" w:type="dxa"/>
            <w:tcBorders>
              <w:top w:val="nil"/>
              <w:left w:val="nil"/>
              <w:bottom w:val="single" w:sz="4" w:space="0" w:color="auto"/>
              <w:right w:val="single" w:sz="4" w:space="0" w:color="auto"/>
            </w:tcBorders>
            <w:shd w:val="clear" w:color="auto" w:fill="auto"/>
            <w:noWrap/>
            <w:hideMark/>
          </w:tcPr>
          <w:p w14:paraId="29B2888E" w14:textId="2EE4393C"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811</w:t>
            </w:r>
            <w:r w:rsidR="007D20FD" w:rsidRPr="00646D83">
              <w:rPr>
                <w:b/>
                <w:bCs/>
                <w:color w:val="000000"/>
                <w:sz w:val="20"/>
                <w:szCs w:val="20"/>
                <w:lang w:val="fr-CA" w:eastAsia="en-GB"/>
              </w:rPr>
              <w:t xml:space="preserve"> </w:t>
            </w:r>
            <w:r w:rsidRPr="00646D83">
              <w:rPr>
                <w:b/>
                <w:bCs/>
                <w:color w:val="000000"/>
                <w:sz w:val="20"/>
                <w:szCs w:val="20"/>
                <w:lang w:val="fr-CA" w:eastAsia="en-GB"/>
              </w:rPr>
              <w:t>750</w:t>
            </w:r>
          </w:p>
        </w:tc>
        <w:tc>
          <w:tcPr>
            <w:tcW w:w="1475" w:type="dxa"/>
            <w:tcBorders>
              <w:top w:val="nil"/>
              <w:left w:val="nil"/>
              <w:bottom w:val="single" w:sz="4" w:space="0" w:color="auto"/>
              <w:right w:val="single" w:sz="4" w:space="0" w:color="auto"/>
            </w:tcBorders>
            <w:shd w:val="clear" w:color="auto" w:fill="auto"/>
            <w:noWrap/>
            <w:hideMark/>
          </w:tcPr>
          <w:p w14:paraId="412D8946" w14:textId="3DC7C75C"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1</w:t>
            </w:r>
            <w:r w:rsidR="007D20FD" w:rsidRPr="00646D83">
              <w:rPr>
                <w:b/>
                <w:bCs/>
                <w:color w:val="000000"/>
                <w:sz w:val="20"/>
                <w:szCs w:val="20"/>
                <w:lang w:val="fr-CA" w:eastAsia="en-GB"/>
              </w:rPr>
              <w:t xml:space="preserve"> </w:t>
            </w:r>
            <w:r w:rsidRPr="00646D83">
              <w:rPr>
                <w:b/>
                <w:bCs/>
                <w:color w:val="000000"/>
                <w:sz w:val="20"/>
                <w:szCs w:val="20"/>
                <w:lang w:val="fr-CA" w:eastAsia="en-GB"/>
              </w:rPr>
              <w:t>010</w:t>
            </w:r>
            <w:r w:rsidR="007D20FD" w:rsidRPr="00646D83">
              <w:rPr>
                <w:b/>
                <w:bCs/>
                <w:color w:val="000000"/>
                <w:sz w:val="20"/>
                <w:szCs w:val="20"/>
                <w:lang w:val="fr-CA" w:eastAsia="en-GB"/>
              </w:rPr>
              <w:t xml:space="preserve"> </w:t>
            </w:r>
            <w:r w:rsidRPr="00646D83">
              <w:rPr>
                <w:b/>
                <w:bCs/>
                <w:color w:val="000000"/>
                <w:sz w:val="20"/>
                <w:szCs w:val="20"/>
                <w:lang w:val="fr-CA" w:eastAsia="en-GB"/>
              </w:rPr>
              <w:t>023</w:t>
            </w:r>
          </w:p>
        </w:tc>
        <w:tc>
          <w:tcPr>
            <w:tcW w:w="1476" w:type="dxa"/>
            <w:tcBorders>
              <w:top w:val="nil"/>
              <w:left w:val="nil"/>
              <w:bottom w:val="single" w:sz="4" w:space="0" w:color="auto"/>
              <w:right w:val="single" w:sz="4" w:space="0" w:color="auto"/>
            </w:tcBorders>
            <w:shd w:val="clear" w:color="auto" w:fill="auto"/>
            <w:noWrap/>
            <w:hideMark/>
          </w:tcPr>
          <w:p w14:paraId="0AF82C88" w14:textId="5D2D1B02" w:rsidR="00825F3F" w:rsidRPr="00646D83" w:rsidRDefault="00825F3F" w:rsidP="004F62E7">
            <w:pPr>
              <w:jc w:val="right"/>
              <w:rPr>
                <w:b/>
                <w:bCs/>
                <w:sz w:val="20"/>
                <w:szCs w:val="20"/>
                <w:lang w:val="fr-CA" w:eastAsia="en-GB"/>
              </w:rPr>
            </w:pPr>
            <w:r w:rsidRPr="00646D83">
              <w:rPr>
                <w:b/>
                <w:bCs/>
                <w:sz w:val="20"/>
                <w:szCs w:val="20"/>
                <w:lang w:val="fr-CA" w:eastAsia="en-GB"/>
              </w:rPr>
              <w:t>-198</w:t>
            </w:r>
            <w:r w:rsidR="007D20FD" w:rsidRPr="00646D83">
              <w:rPr>
                <w:b/>
                <w:bCs/>
                <w:sz w:val="20"/>
                <w:szCs w:val="20"/>
                <w:lang w:val="fr-CA" w:eastAsia="en-GB"/>
              </w:rPr>
              <w:t xml:space="preserve"> </w:t>
            </w:r>
            <w:r w:rsidRPr="00646D83">
              <w:rPr>
                <w:b/>
                <w:bCs/>
                <w:sz w:val="20"/>
                <w:szCs w:val="20"/>
                <w:lang w:val="fr-CA" w:eastAsia="en-GB"/>
              </w:rPr>
              <w:t>273</w:t>
            </w:r>
          </w:p>
        </w:tc>
      </w:tr>
      <w:tr w:rsidR="00825F3F" w:rsidRPr="00646D83" w14:paraId="127713C3"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09AC7254" w14:textId="34794B06" w:rsidR="00825F3F" w:rsidRPr="00646D83" w:rsidRDefault="007D20FD" w:rsidP="004F62E7">
            <w:pPr>
              <w:jc w:val="left"/>
              <w:rPr>
                <w:color w:val="000000"/>
                <w:sz w:val="20"/>
                <w:szCs w:val="20"/>
                <w:lang w:val="fr-CA" w:eastAsia="en-GB"/>
              </w:rPr>
            </w:pPr>
            <w:r w:rsidRPr="00646D83">
              <w:rPr>
                <w:color w:val="000000"/>
                <w:sz w:val="20"/>
                <w:szCs w:val="20"/>
                <w:lang w:val="fr-CA" w:eastAsia="en-GB"/>
              </w:rPr>
              <w:t>Coûts d’appui à l’agence</w:t>
            </w:r>
            <w:r w:rsidR="00825F3F" w:rsidRPr="00646D83">
              <w:rPr>
                <w:color w:val="000000"/>
                <w:sz w:val="20"/>
                <w:szCs w:val="20"/>
                <w:lang w:val="fr-CA" w:eastAsia="en-GB"/>
              </w:rPr>
              <w:t xml:space="preserve"> </w:t>
            </w:r>
          </w:p>
        </w:tc>
        <w:tc>
          <w:tcPr>
            <w:tcW w:w="1475" w:type="dxa"/>
            <w:tcBorders>
              <w:top w:val="nil"/>
              <w:left w:val="nil"/>
              <w:bottom w:val="single" w:sz="4" w:space="0" w:color="auto"/>
              <w:right w:val="single" w:sz="4" w:space="0" w:color="auto"/>
            </w:tcBorders>
            <w:shd w:val="clear" w:color="auto" w:fill="auto"/>
            <w:noWrap/>
            <w:hideMark/>
          </w:tcPr>
          <w:p w14:paraId="37AAAD19" w14:textId="7D22EAA1" w:rsidR="00825F3F" w:rsidRPr="00646D83" w:rsidRDefault="00825F3F" w:rsidP="004F62E7">
            <w:pPr>
              <w:jc w:val="right"/>
              <w:rPr>
                <w:color w:val="000000"/>
                <w:sz w:val="20"/>
                <w:szCs w:val="20"/>
                <w:lang w:val="fr-CA" w:eastAsia="en-GB"/>
              </w:rPr>
            </w:pPr>
            <w:r w:rsidRPr="00646D83">
              <w:rPr>
                <w:color w:val="000000"/>
                <w:sz w:val="20"/>
                <w:szCs w:val="20"/>
                <w:lang w:val="fr-CA" w:eastAsia="en-GB"/>
              </w:rPr>
              <w:t>192</w:t>
            </w:r>
            <w:r w:rsidR="007D20FD" w:rsidRPr="00646D83">
              <w:rPr>
                <w:color w:val="000000"/>
                <w:sz w:val="20"/>
                <w:szCs w:val="20"/>
                <w:lang w:val="fr-CA" w:eastAsia="en-GB"/>
              </w:rPr>
              <w:t xml:space="preserve"> </w:t>
            </w:r>
            <w:r w:rsidRPr="00646D83">
              <w:rPr>
                <w:color w:val="000000"/>
                <w:sz w:val="20"/>
                <w:szCs w:val="20"/>
                <w:lang w:val="fr-CA" w:eastAsia="en-GB"/>
              </w:rPr>
              <w:t>504</w:t>
            </w:r>
          </w:p>
        </w:tc>
        <w:tc>
          <w:tcPr>
            <w:tcW w:w="1475" w:type="dxa"/>
            <w:tcBorders>
              <w:top w:val="nil"/>
              <w:left w:val="nil"/>
              <w:bottom w:val="single" w:sz="4" w:space="0" w:color="auto"/>
              <w:right w:val="single" w:sz="4" w:space="0" w:color="auto"/>
            </w:tcBorders>
            <w:shd w:val="clear" w:color="auto" w:fill="auto"/>
            <w:noWrap/>
            <w:hideMark/>
          </w:tcPr>
          <w:p w14:paraId="29BF74D8" w14:textId="1605E3D8" w:rsidR="00825F3F" w:rsidRPr="00646D83" w:rsidRDefault="00825F3F" w:rsidP="004F62E7">
            <w:pPr>
              <w:jc w:val="right"/>
              <w:rPr>
                <w:color w:val="000000"/>
                <w:sz w:val="20"/>
                <w:szCs w:val="20"/>
                <w:lang w:val="fr-CA" w:eastAsia="en-GB"/>
              </w:rPr>
            </w:pPr>
            <w:r w:rsidRPr="00646D83">
              <w:rPr>
                <w:color w:val="000000"/>
                <w:sz w:val="20"/>
                <w:szCs w:val="20"/>
                <w:lang w:val="fr-CA" w:eastAsia="en-GB"/>
              </w:rPr>
              <w:t>135</w:t>
            </w:r>
            <w:r w:rsidR="007D20FD" w:rsidRPr="00646D83">
              <w:rPr>
                <w:color w:val="000000"/>
                <w:sz w:val="20"/>
                <w:szCs w:val="20"/>
                <w:lang w:val="fr-CA" w:eastAsia="en-GB"/>
              </w:rPr>
              <w:t xml:space="preserve"> </w:t>
            </w:r>
            <w:r w:rsidRPr="00646D83">
              <w:rPr>
                <w:color w:val="000000"/>
                <w:sz w:val="20"/>
                <w:szCs w:val="20"/>
                <w:lang w:val="fr-CA" w:eastAsia="en-GB"/>
              </w:rPr>
              <w:t>681</w:t>
            </w:r>
          </w:p>
        </w:tc>
        <w:tc>
          <w:tcPr>
            <w:tcW w:w="1476" w:type="dxa"/>
            <w:tcBorders>
              <w:top w:val="nil"/>
              <w:left w:val="nil"/>
              <w:bottom w:val="single" w:sz="4" w:space="0" w:color="auto"/>
              <w:right w:val="single" w:sz="4" w:space="0" w:color="auto"/>
            </w:tcBorders>
            <w:shd w:val="clear" w:color="auto" w:fill="auto"/>
            <w:noWrap/>
            <w:hideMark/>
          </w:tcPr>
          <w:p w14:paraId="30F2575D" w14:textId="2BB11910" w:rsidR="00825F3F" w:rsidRPr="00646D83" w:rsidRDefault="00825F3F" w:rsidP="004F62E7">
            <w:pPr>
              <w:jc w:val="right"/>
              <w:rPr>
                <w:color w:val="000000"/>
                <w:sz w:val="20"/>
                <w:szCs w:val="20"/>
                <w:lang w:val="fr-CA" w:eastAsia="en-GB"/>
              </w:rPr>
            </w:pPr>
            <w:r w:rsidRPr="00646D83">
              <w:rPr>
                <w:color w:val="000000"/>
                <w:sz w:val="20"/>
                <w:szCs w:val="20"/>
                <w:lang w:val="fr-CA" w:eastAsia="en-GB"/>
              </w:rPr>
              <w:t>56</w:t>
            </w:r>
            <w:r w:rsidR="007D20FD" w:rsidRPr="00646D83">
              <w:rPr>
                <w:color w:val="000000"/>
                <w:sz w:val="20"/>
                <w:szCs w:val="20"/>
                <w:lang w:val="fr-CA" w:eastAsia="en-GB"/>
              </w:rPr>
              <w:t xml:space="preserve"> </w:t>
            </w:r>
            <w:r w:rsidRPr="00646D83">
              <w:rPr>
                <w:color w:val="000000"/>
                <w:sz w:val="20"/>
                <w:szCs w:val="20"/>
                <w:lang w:val="fr-CA" w:eastAsia="en-GB"/>
              </w:rPr>
              <w:t>823</w:t>
            </w:r>
          </w:p>
        </w:tc>
        <w:tc>
          <w:tcPr>
            <w:tcW w:w="1475" w:type="dxa"/>
            <w:tcBorders>
              <w:top w:val="nil"/>
              <w:left w:val="nil"/>
              <w:bottom w:val="single" w:sz="4" w:space="0" w:color="auto"/>
              <w:right w:val="single" w:sz="4" w:space="0" w:color="auto"/>
            </w:tcBorders>
            <w:shd w:val="clear" w:color="auto" w:fill="auto"/>
            <w:noWrap/>
            <w:hideMark/>
          </w:tcPr>
          <w:p w14:paraId="5C0E5CE8" w14:textId="631ECF4B" w:rsidR="00825F3F" w:rsidRPr="00646D83" w:rsidRDefault="00825F3F" w:rsidP="004F62E7">
            <w:pPr>
              <w:jc w:val="right"/>
              <w:rPr>
                <w:color w:val="000000"/>
                <w:sz w:val="20"/>
                <w:szCs w:val="20"/>
                <w:lang w:val="fr-CA" w:eastAsia="en-GB"/>
              </w:rPr>
            </w:pPr>
            <w:r w:rsidRPr="00646D83">
              <w:rPr>
                <w:color w:val="000000"/>
                <w:sz w:val="20"/>
                <w:szCs w:val="20"/>
                <w:lang w:val="fr-CA" w:eastAsia="en-GB"/>
              </w:rPr>
              <w:t>70</w:t>
            </w:r>
            <w:r w:rsidR="007D20FD" w:rsidRPr="00646D83">
              <w:rPr>
                <w:color w:val="000000"/>
                <w:sz w:val="20"/>
                <w:szCs w:val="20"/>
                <w:lang w:val="fr-CA" w:eastAsia="en-GB"/>
              </w:rPr>
              <w:t xml:space="preserve"> </w:t>
            </w:r>
            <w:r w:rsidRPr="00646D83">
              <w:rPr>
                <w:color w:val="000000"/>
                <w:sz w:val="20"/>
                <w:szCs w:val="20"/>
                <w:lang w:val="fr-CA" w:eastAsia="en-GB"/>
              </w:rPr>
              <w:t>702</w:t>
            </w:r>
          </w:p>
        </w:tc>
        <w:tc>
          <w:tcPr>
            <w:tcW w:w="1476" w:type="dxa"/>
            <w:tcBorders>
              <w:top w:val="nil"/>
              <w:left w:val="nil"/>
              <w:bottom w:val="single" w:sz="4" w:space="0" w:color="auto"/>
              <w:right w:val="single" w:sz="4" w:space="0" w:color="auto"/>
            </w:tcBorders>
            <w:shd w:val="clear" w:color="auto" w:fill="auto"/>
            <w:noWrap/>
            <w:hideMark/>
          </w:tcPr>
          <w:p w14:paraId="2E0F0D1E" w14:textId="0B09EAFA" w:rsidR="00825F3F" w:rsidRPr="00646D83" w:rsidRDefault="00825F3F" w:rsidP="004F62E7">
            <w:pPr>
              <w:jc w:val="right"/>
              <w:rPr>
                <w:b/>
                <w:bCs/>
                <w:sz w:val="20"/>
                <w:szCs w:val="20"/>
                <w:lang w:val="fr-CA" w:eastAsia="en-GB"/>
              </w:rPr>
            </w:pPr>
            <w:r w:rsidRPr="00646D83">
              <w:rPr>
                <w:b/>
                <w:bCs/>
                <w:sz w:val="20"/>
                <w:szCs w:val="20"/>
                <w:lang w:val="fr-CA" w:eastAsia="en-GB"/>
              </w:rPr>
              <w:t>-13</w:t>
            </w:r>
            <w:r w:rsidR="007D20FD" w:rsidRPr="00646D83">
              <w:rPr>
                <w:b/>
                <w:bCs/>
                <w:sz w:val="20"/>
                <w:szCs w:val="20"/>
                <w:lang w:val="fr-CA" w:eastAsia="en-GB"/>
              </w:rPr>
              <w:t xml:space="preserve"> </w:t>
            </w:r>
            <w:r w:rsidRPr="00646D83">
              <w:rPr>
                <w:b/>
                <w:bCs/>
                <w:sz w:val="20"/>
                <w:szCs w:val="20"/>
                <w:lang w:val="fr-CA" w:eastAsia="en-GB"/>
              </w:rPr>
              <w:t>879</w:t>
            </w:r>
          </w:p>
        </w:tc>
      </w:tr>
      <w:tr w:rsidR="00825F3F" w:rsidRPr="00646D83" w14:paraId="2A5531D6" w14:textId="77777777" w:rsidTr="004F62E7">
        <w:tc>
          <w:tcPr>
            <w:tcW w:w="1980" w:type="dxa"/>
            <w:tcBorders>
              <w:top w:val="nil"/>
              <w:left w:val="single" w:sz="4" w:space="0" w:color="auto"/>
              <w:bottom w:val="single" w:sz="4" w:space="0" w:color="auto"/>
              <w:right w:val="single" w:sz="4" w:space="0" w:color="auto"/>
            </w:tcBorders>
            <w:shd w:val="clear" w:color="auto" w:fill="auto"/>
            <w:noWrap/>
            <w:hideMark/>
          </w:tcPr>
          <w:p w14:paraId="7D3DEDD6" w14:textId="1CA70729" w:rsidR="00825F3F" w:rsidRPr="00646D83" w:rsidRDefault="007D20FD" w:rsidP="004F62E7">
            <w:pPr>
              <w:jc w:val="left"/>
              <w:rPr>
                <w:b/>
                <w:bCs/>
                <w:color w:val="000000"/>
                <w:sz w:val="20"/>
                <w:szCs w:val="20"/>
                <w:lang w:val="fr-CA" w:eastAsia="en-GB"/>
              </w:rPr>
            </w:pPr>
            <w:r w:rsidRPr="00646D83">
              <w:rPr>
                <w:b/>
                <w:bCs/>
                <w:color w:val="000000"/>
                <w:sz w:val="20"/>
                <w:szCs w:val="20"/>
                <w:lang w:val="fr-CA" w:eastAsia="en-GB"/>
              </w:rPr>
              <w:t>Coût total convenu</w:t>
            </w:r>
          </w:p>
        </w:tc>
        <w:tc>
          <w:tcPr>
            <w:tcW w:w="1475" w:type="dxa"/>
            <w:tcBorders>
              <w:top w:val="nil"/>
              <w:left w:val="nil"/>
              <w:bottom w:val="single" w:sz="4" w:space="0" w:color="auto"/>
              <w:right w:val="single" w:sz="4" w:space="0" w:color="auto"/>
            </w:tcBorders>
            <w:shd w:val="clear" w:color="auto" w:fill="auto"/>
            <w:noWrap/>
            <w:hideMark/>
          </w:tcPr>
          <w:p w14:paraId="4BDA2E51" w14:textId="6BAD847A"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2</w:t>
            </w:r>
            <w:r w:rsidR="007D20FD" w:rsidRPr="00646D83">
              <w:rPr>
                <w:b/>
                <w:bCs/>
                <w:color w:val="000000"/>
                <w:sz w:val="20"/>
                <w:szCs w:val="20"/>
                <w:lang w:val="fr-CA" w:eastAsia="en-GB"/>
              </w:rPr>
              <w:t xml:space="preserve"> </w:t>
            </w:r>
            <w:r w:rsidRPr="00646D83">
              <w:rPr>
                <w:b/>
                <w:bCs/>
                <w:color w:val="000000"/>
                <w:sz w:val="20"/>
                <w:szCs w:val="20"/>
                <w:lang w:val="fr-CA" w:eastAsia="en-GB"/>
              </w:rPr>
              <w:t>942</w:t>
            </w:r>
            <w:r w:rsidR="007D20FD" w:rsidRPr="00646D83">
              <w:rPr>
                <w:b/>
                <w:bCs/>
                <w:color w:val="000000"/>
                <w:sz w:val="20"/>
                <w:szCs w:val="20"/>
                <w:lang w:val="fr-CA" w:eastAsia="en-GB"/>
              </w:rPr>
              <w:t xml:space="preserve"> </w:t>
            </w:r>
            <w:r w:rsidRPr="00646D83">
              <w:rPr>
                <w:b/>
                <w:bCs/>
                <w:color w:val="000000"/>
                <w:sz w:val="20"/>
                <w:szCs w:val="20"/>
                <w:lang w:val="fr-CA" w:eastAsia="en-GB"/>
              </w:rPr>
              <w:t>561</w:t>
            </w:r>
          </w:p>
        </w:tc>
        <w:tc>
          <w:tcPr>
            <w:tcW w:w="1475" w:type="dxa"/>
            <w:tcBorders>
              <w:top w:val="nil"/>
              <w:left w:val="nil"/>
              <w:bottom w:val="single" w:sz="4" w:space="0" w:color="auto"/>
              <w:right w:val="single" w:sz="4" w:space="0" w:color="auto"/>
            </w:tcBorders>
            <w:shd w:val="clear" w:color="auto" w:fill="auto"/>
            <w:noWrap/>
            <w:hideMark/>
          </w:tcPr>
          <w:p w14:paraId="0C2FB1C5" w14:textId="05B8E882"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2</w:t>
            </w:r>
            <w:r w:rsidR="007D20FD" w:rsidRPr="00646D83">
              <w:rPr>
                <w:b/>
                <w:bCs/>
                <w:color w:val="000000"/>
                <w:sz w:val="20"/>
                <w:szCs w:val="20"/>
                <w:lang w:val="fr-CA" w:eastAsia="en-GB"/>
              </w:rPr>
              <w:t xml:space="preserve"> </w:t>
            </w:r>
            <w:r w:rsidRPr="00646D83">
              <w:rPr>
                <w:b/>
                <w:bCs/>
                <w:color w:val="000000"/>
                <w:sz w:val="20"/>
                <w:szCs w:val="20"/>
                <w:lang w:val="fr-CA" w:eastAsia="en-GB"/>
              </w:rPr>
              <w:t>073</w:t>
            </w:r>
            <w:r w:rsidR="007D20FD" w:rsidRPr="00646D83">
              <w:rPr>
                <w:b/>
                <w:bCs/>
                <w:color w:val="000000"/>
                <w:sz w:val="20"/>
                <w:szCs w:val="20"/>
                <w:lang w:val="fr-CA" w:eastAsia="en-GB"/>
              </w:rPr>
              <w:t xml:space="preserve"> </w:t>
            </w:r>
            <w:r w:rsidRPr="00646D83">
              <w:rPr>
                <w:b/>
                <w:bCs/>
                <w:color w:val="000000"/>
                <w:sz w:val="20"/>
                <w:szCs w:val="20"/>
                <w:lang w:val="fr-CA" w:eastAsia="en-GB"/>
              </w:rPr>
              <w:t>988</w:t>
            </w:r>
          </w:p>
        </w:tc>
        <w:tc>
          <w:tcPr>
            <w:tcW w:w="1476" w:type="dxa"/>
            <w:tcBorders>
              <w:top w:val="nil"/>
              <w:left w:val="nil"/>
              <w:bottom w:val="single" w:sz="4" w:space="0" w:color="auto"/>
              <w:right w:val="single" w:sz="4" w:space="0" w:color="auto"/>
            </w:tcBorders>
            <w:shd w:val="clear" w:color="auto" w:fill="auto"/>
            <w:noWrap/>
            <w:hideMark/>
          </w:tcPr>
          <w:p w14:paraId="1CC38BF7" w14:textId="573C5C63"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868</w:t>
            </w:r>
            <w:r w:rsidR="007D20FD" w:rsidRPr="00646D83">
              <w:rPr>
                <w:b/>
                <w:bCs/>
                <w:color w:val="000000"/>
                <w:sz w:val="20"/>
                <w:szCs w:val="20"/>
                <w:lang w:val="fr-CA" w:eastAsia="en-GB"/>
              </w:rPr>
              <w:t xml:space="preserve"> </w:t>
            </w:r>
            <w:r w:rsidRPr="00646D83">
              <w:rPr>
                <w:b/>
                <w:bCs/>
                <w:color w:val="000000"/>
                <w:sz w:val="20"/>
                <w:szCs w:val="20"/>
                <w:lang w:val="fr-CA" w:eastAsia="en-GB"/>
              </w:rPr>
              <w:t>573</w:t>
            </w:r>
          </w:p>
        </w:tc>
        <w:tc>
          <w:tcPr>
            <w:tcW w:w="1475" w:type="dxa"/>
            <w:tcBorders>
              <w:top w:val="nil"/>
              <w:left w:val="nil"/>
              <w:bottom w:val="single" w:sz="4" w:space="0" w:color="auto"/>
              <w:right w:val="single" w:sz="4" w:space="0" w:color="auto"/>
            </w:tcBorders>
            <w:shd w:val="clear" w:color="auto" w:fill="auto"/>
            <w:noWrap/>
            <w:hideMark/>
          </w:tcPr>
          <w:p w14:paraId="14DD3B74" w14:textId="197FA67B" w:rsidR="00825F3F" w:rsidRPr="00646D83" w:rsidRDefault="00825F3F" w:rsidP="004F62E7">
            <w:pPr>
              <w:jc w:val="right"/>
              <w:rPr>
                <w:b/>
                <w:bCs/>
                <w:color w:val="000000"/>
                <w:sz w:val="20"/>
                <w:szCs w:val="20"/>
                <w:lang w:val="fr-CA" w:eastAsia="en-GB"/>
              </w:rPr>
            </w:pPr>
            <w:r w:rsidRPr="00646D83">
              <w:rPr>
                <w:b/>
                <w:bCs/>
                <w:color w:val="000000"/>
                <w:sz w:val="20"/>
                <w:szCs w:val="20"/>
                <w:lang w:val="fr-CA" w:eastAsia="en-GB"/>
              </w:rPr>
              <w:t>1</w:t>
            </w:r>
            <w:r w:rsidR="007D20FD" w:rsidRPr="00646D83">
              <w:rPr>
                <w:b/>
                <w:bCs/>
                <w:color w:val="000000"/>
                <w:sz w:val="20"/>
                <w:szCs w:val="20"/>
                <w:lang w:val="fr-CA" w:eastAsia="en-GB"/>
              </w:rPr>
              <w:t xml:space="preserve"> </w:t>
            </w:r>
            <w:r w:rsidRPr="00646D83">
              <w:rPr>
                <w:b/>
                <w:bCs/>
                <w:color w:val="000000"/>
                <w:sz w:val="20"/>
                <w:szCs w:val="20"/>
                <w:lang w:val="fr-CA" w:eastAsia="en-GB"/>
              </w:rPr>
              <w:t>080</w:t>
            </w:r>
            <w:r w:rsidR="007D20FD" w:rsidRPr="00646D83">
              <w:rPr>
                <w:b/>
                <w:bCs/>
                <w:color w:val="000000"/>
                <w:sz w:val="20"/>
                <w:szCs w:val="20"/>
                <w:lang w:val="fr-CA" w:eastAsia="en-GB"/>
              </w:rPr>
              <w:t xml:space="preserve"> </w:t>
            </w:r>
            <w:r w:rsidRPr="00646D83">
              <w:rPr>
                <w:b/>
                <w:bCs/>
                <w:color w:val="000000"/>
                <w:sz w:val="20"/>
                <w:szCs w:val="20"/>
                <w:lang w:val="fr-CA" w:eastAsia="en-GB"/>
              </w:rPr>
              <w:t>725</w:t>
            </w:r>
          </w:p>
        </w:tc>
        <w:tc>
          <w:tcPr>
            <w:tcW w:w="1476" w:type="dxa"/>
            <w:tcBorders>
              <w:top w:val="nil"/>
              <w:left w:val="nil"/>
              <w:bottom w:val="single" w:sz="4" w:space="0" w:color="auto"/>
              <w:right w:val="single" w:sz="4" w:space="0" w:color="auto"/>
            </w:tcBorders>
            <w:shd w:val="clear" w:color="auto" w:fill="auto"/>
            <w:noWrap/>
            <w:hideMark/>
          </w:tcPr>
          <w:p w14:paraId="063E97E0" w14:textId="3107A8A3" w:rsidR="00825F3F" w:rsidRPr="00646D83" w:rsidRDefault="00825F3F" w:rsidP="004F62E7">
            <w:pPr>
              <w:jc w:val="right"/>
              <w:rPr>
                <w:b/>
                <w:bCs/>
                <w:sz w:val="20"/>
                <w:szCs w:val="20"/>
                <w:lang w:val="fr-CA" w:eastAsia="en-GB"/>
              </w:rPr>
            </w:pPr>
            <w:r w:rsidRPr="00646D83">
              <w:rPr>
                <w:b/>
                <w:bCs/>
                <w:sz w:val="20"/>
                <w:szCs w:val="20"/>
                <w:lang w:val="fr-CA" w:eastAsia="en-GB"/>
              </w:rPr>
              <w:t>-212</w:t>
            </w:r>
            <w:r w:rsidR="007D20FD" w:rsidRPr="00646D83">
              <w:rPr>
                <w:b/>
                <w:bCs/>
                <w:sz w:val="20"/>
                <w:szCs w:val="20"/>
                <w:lang w:val="fr-CA" w:eastAsia="en-GB"/>
              </w:rPr>
              <w:t xml:space="preserve"> </w:t>
            </w:r>
            <w:r w:rsidRPr="00646D83">
              <w:rPr>
                <w:b/>
                <w:bCs/>
                <w:sz w:val="20"/>
                <w:szCs w:val="20"/>
                <w:lang w:val="fr-CA" w:eastAsia="en-GB"/>
              </w:rPr>
              <w:t>152</w:t>
            </w:r>
          </w:p>
        </w:tc>
      </w:tr>
    </w:tbl>
    <w:p w14:paraId="2165A0D5" w14:textId="77777777" w:rsidR="00825F3F" w:rsidRPr="00646D83" w:rsidRDefault="00825F3F" w:rsidP="00825F3F">
      <w:pPr>
        <w:rPr>
          <w:lang w:val="fr-CA"/>
        </w:rPr>
      </w:pPr>
    </w:p>
    <w:p w14:paraId="52D7C6CC" w14:textId="7F500CC1" w:rsidR="00825F3F" w:rsidRPr="00646D83" w:rsidRDefault="00162358" w:rsidP="00825F3F">
      <w:pPr>
        <w:rPr>
          <w:u w:val="single"/>
          <w:lang w:val="fr-CA"/>
        </w:rPr>
      </w:pPr>
      <w:r w:rsidRPr="00646D83">
        <w:rPr>
          <w:u w:val="single"/>
          <w:lang w:val="fr-CA"/>
        </w:rPr>
        <w:t xml:space="preserve">Plan de mise en œuvre révisé </w:t>
      </w:r>
      <w:r w:rsidR="002A109D">
        <w:rPr>
          <w:u w:val="single"/>
          <w:lang w:val="fr-CA"/>
        </w:rPr>
        <w:t>de</w:t>
      </w:r>
      <w:r w:rsidRPr="00646D83">
        <w:rPr>
          <w:u w:val="single"/>
          <w:lang w:val="fr-CA"/>
        </w:rPr>
        <w:t xml:space="preserve"> la phase II du PGEH</w:t>
      </w:r>
    </w:p>
    <w:p w14:paraId="3AF25B86" w14:textId="77777777" w:rsidR="00825F3F" w:rsidRPr="00646D83" w:rsidRDefault="00825F3F" w:rsidP="00825F3F">
      <w:pPr>
        <w:rPr>
          <w:u w:val="single"/>
          <w:lang w:val="fr-CA"/>
        </w:rPr>
      </w:pPr>
    </w:p>
    <w:p w14:paraId="7EADEE3B" w14:textId="424E2107" w:rsidR="00825F3F" w:rsidRPr="00646D83" w:rsidRDefault="00162358" w:rsidP="00825F3F">
      <w:pPr>
        <w:pStyle w:val="Heading1"/>
        <w:rPr>
          <w:lang w:val="fr-CA"/>
        </w:rPr>
      </w:pPr>
      <w:r w:rsidRPr="00646D83">
        <w:rPr>
          <w:lang w:val="fr-CA"/>
        </w:rPr>
        <w:t xml:space="preserve">L’ONUDI a fourni un plan révisé pour la phase II qui sera mis en œuvre de 2021 à 2022 </w:t>
      </w:r>
      <w:r w:rsidR="00825F3F" w:rsidRPr="00646D83">
        <w:rPr>
          <w:lang w:val="fr-CA"/>
        </w:rPr>
        <w:t>:</w:t>
      </w:r>
    </w:p>
    <w:p w14:paraId="7199435E" w14:textId="36115B0A" w:rsidR="00825F3F" w:rsidRPr="00646D83" w:rsidRDefault="00162358" w:rsidP="00825F3F">
      <w:pPr>
        <w:pStyle w:val="Heading2"/>
        <w:rPr>
          <w:lang w:val="fr-CA"/>
        </w:rPr>
      </w:pPr>
      <w:r w:rsidRPr="00646D83">
        <w:rPr>
          <w:lang w:val="fr-CA"/>
        </w:rPr>
        <w:t>Assistance technique pour les politiques/l’application et les autorités douanières</w:t>
      </w:r>
      <w:r w:rsidR="000A6FD9">
        <w:rPr>
          <w:lang w:val="fr-CA"/>
        </w:rPr>
        <w:t> :</w:t>
      </w:r>
    </w:p>
    <w:p w14:paraId="1FBA69C2" w14:textId="7D28FCF7" w:rsidR="00825F3F" w:rsidRPr="00646D83" w:rsidRDefault="00162358" w:rsidP="00825F3F">
      <w:pPr>
        <w:pStyle w:val="Heading3"/>
        <w:rPr>
          <w:lang w:val="fr-CA"/>
        </w:rPr>
      </w:pPr>
      <w:r w:rsidRPr="00646D83">
        <w:rPr>
          <w:lang w:val="fr-CA"/>
        </w:rPr>
        <w:lastRenderedPageBreak/>
        <w:t>Quatre rencontres avec les parties prenantes réunissant 100 participants</w:t>
      </w:r>
      <w:r w:rsidR="003B3BBD">
        <w:rPr>
          <w:lang w:val="fr-CA"/>
        </w:rPr>
        <w:t>,</w:t>
      </w:r>
      <w:r w:rsidRPr="00646D83">
        <w:rPr>
          <w:lang w:val="fr-CA"/>
        </w:rPr>
        <w:t xml:space="preserve"> </w:t>
      </w:r>
      <w:r w:rsidR="00090374" w:rsidRPr="00646D83">
        <w:rPr>
          <w:lang w:val="fr-CA"/>
        </w:rPr>
        <w:t xml:space="preserve">afin d’élaborer des normes de rendement énergétiques minimales pour l’équipement de réfrigération et climatisation </w:t>
      </w:r>
      <w:r w:rsidR="003B3BBD">
        <w:rPr>
          <w:lang w:val="fr-CA"/>
        </w:rPr>
        <w:t>et ainsi</w:t>
      </w:r>
      <w:r w:rsidR="00090374" w:rsidRPr="00646D83">
        <w:rPr>
          <w:lang w:val="fr-CA"/>
        </w:rPr>
        <w:t xml:space="preserve"> faciliter la transition à des climatiseurs </w:t>
      </w:r>
      <w:proofErr w:type="spellStart"/>
      <w:r w:rsidR="00090374" w:rsidRPr="00646D83">
        <w:rPr>
          <w:lang w:val="fr-CA"/>
        </w:rPr>
        <w:t>éconergétiques</w:t>
      </w:r>
      <w:proofErr w:type="spellEnd"/>
      <w:r w:rsidR="00090374" w:rsidRPr="00646D83">
        <w:rPr>
          <w:lang w:val="fr-CA"/>
        </w:rPr>
        <w:t xml:space="preserve"> et encourager l’adoption de frigorigènes à faible PRG; décourager la demande pour des climatiseurs à </w:t>
      </w:r>
      <w:r w:rsidR="003B3BBD">
        <w:rPr>
          <w:lang w:val="fr-CA"/>
        </w:rPr>
        <w:t>b</w:t>
      </w:r>
      <w:r w:rsidR="00090374" w:rsidRPr="00646D83">
        <w:rPr>
          <w:lang w:val="fr-CA"/>
        </w:rPr>
        <w:t>ase de HCFC en émettant une circulaire afin d’informer les fournisseurs du marché des climatiseurs que les modèles de climatiseurs à base de HCFC-22 ne pourront pas être enregistrés ni vendus aux Philippines à compter de janvier 2023 (10 000 $US)</w:t>
      </w:r>
      <w:r w:rsidR="0037190F">
        <w:rPr>
          <w:lang w:val="fr-CA"/>
        </w:rPr>
        <w:t xml:space="preserve"> </w:t>
      </w:r>
      <w:r w:rsidR="00825F3F" w:rsidRPr="00646D83">
        <w:rPr>
          <w:lang w:val="fr-CA"/>
        </w:rPr>
        <w:t xml:space="preserve">; </w:t>
      </w:r>
    </w:p>
    <w:p w14:paraId="4D77EDA6" w14:textId="4AC1A479" w:rsidR="00825F3F" w:rsidRPr="00646D83" w:rsidRDefault="00090374" w:rsidP="00825F3F">
      <w:pPr>
        <w:pStyle w:val="Heading3"/>
        <w:rPr>
          <w:lang w:val="fr-CA"/>
        </w:rPr>
      </w:pPr>
      <w:r w:rsidRPr="00646D83">
        <w:rPr>
          <w:lang w:val="fr-CA"/>
        </w:rPr>
        <w:t>Quatre ateliers pour 150 douaniers et agents d’</w:t>
      </w:r>
      <w:r w:rsidR="00E80D29" w:rsidRPr="00646D83">
        <w:rPr>
          <w:lang w:val="fr-CA"/>
        </w:rPr>
        <w:t xml:space="preserve">application sur la surveillance des importations de SAO, la réglementation du commerce et des importations illicites de </w:t>
      </w:r>
      <w:r w:rsidR="003B3BBD">
        <w:rPr>
          <w:lang w:val="fr-CA"/>
        </w:rPr>
        <w:t xml:space="preserve">SAO; la mise </w:t>
      </w:r>
      <w:r w:rsidR="00E80D29" w:rsidRPr="00646D83">
        <w:rPr>
          <w:lang w:val="fr-CA"/>
        </w:rPr>
        <w:t>à jour du matériel de formation utilisé pour former les douaniers; l’examen du programme de permis en ligne pour y inclure les recommandations du rapport de vérification et un système d’alerte précoce pour détecter le commerce illicite; deux ateliers de formation en application efficace du programme de permis et de quotas pour 55 participants du gouvernement et distributeurs/fournisseurs de frigorigènes (107 410 $US)</w:t>
      </w:r>
      <w:r w:rsidR="0037190F">
        <w:rPr>
          <w:lang w:val="fr-CA"/>
        </w:rPr>
        <w:t xml:space="preserve"> </w:t>
      </w:r>
      <w:r w:rsidR="00825F3F" w:rsidRPr="00646D83">
        <w:rPr>
          <w:lang w:val="fr-CA"/>
        </w:rPr>
        <w:t xml:space="preserve">; </w:t>
      </w:r>
    </w:p>
    <w:p w14:paraId="0CE4DFA9" w14:textId="529DCF6B" w:rsidR="00825F3F" w:rsidRPr="00646D83" w:rsidRDefault="00E80D29" w:rsidP="00825F3F">
      <w:pPr>
        <w:pStyle w:val="Heading3"/>
        <w:rPr>
          <w:lang w:val="fr-CA"/>
        </w:rPr>
      </w:pPr>
      <w:r w:rsidRPr="00646D83">
        <w:rPr>
          <w:lang w:val="fr-CA"/>
        </w:rPr>
        <w:t>Évaluation du programme de gestion de données afin d’</w:t>
      </w:r>
      <w:r w:rsidR="00D232CA" w:rsidRPr="00646D83">
        <w:rPr>
          <w:lang w:val="fr-CA"/>
        </w:rPr>
        <w:t>y inclure une obligation d’enregistrement des fournisseurs de services d’entretien de l’équipement de réfrigération e</w:t>
      </w:r>
      <w:r w:rsidR="003B3BBD">
        <w:rPr>
          <w:lang w:val="fr-CA"/>
        </w:rPr>
        <w:t>t</w:t>
      </w:r>
      <w:r w:rsidR="00D232CA" w:rsidRPr="00646D83">
        <w:rPr>
          <w:lang w:val="fr-CA"/>
        </w:rPr>
        <w:t xml:space="preserve"> de climatisation</w:t>
      </w:r>
      <w:r w:rsidR="003B3BBD">
        <w:rPr>
          <w:lang w:val="fr-CA"/>
        </w:rPr>
        <w:t>,</w:t>
      </w:r>
      <w:r w:rsidR="00D232CA" w:rsidRPr="00646D83">
        <w:rPr>
          <w:lang w:val="fr-CA"/>
        </w:rPr>
        <w:t xml:space="preserve"> et améliorer la gestion du programme de permis en ligne</w:t>
      </w:r>
      <w:r w:rsidR="0037190F">
        <w:rPr>
          <w:lang w:val="fr-CA"/>
        </w:rPr>
        <w:t xml:space="preserve"> </w:t>
      </w:r>
      <w:r w:rsidR="00D232CA" w:rsidRPr="00646D83">
        <w:rPr>
          <w:lang w:val="fr-CA"/>
        </w:rPr>
        <w:t>; deux rencontres avec 15 distributeurs et fournisseurs de HCFC et d’équipement à base de HCFC afin de discuter des obligations d’enregistrement et de communication des données (22 000 $US)</w:t>
      </w:r>
      <w:r w:rsidR="0037190F">
        <w:rPr>
          <w:lang w:val="fr-CA"/>
        </w:rPr>
        <w:t xml:space="preserve"> </w:t>
      </w:r>
      <w:r w:rsidR="00825F3F" w:rsidRPr="00646D83">
        <w:rPr>
          <w:lang w:val="fr-CA"/>
        </w:rPr>
        <w:t xml:space="preserve">; </w:t>
      </w:r>
    </w:p>
    <w:p w14:paraId="43650E84" w14:textId="5CBE656D" w:rsidR="00825F3F" w:rsidRPr="00646D83" w:rsidRDefault="00D232CA" w:rsidP="00825F3F">
      <w:pPr>
        <w:pStyle w:val="Heading3"/>
        <w:rPr>
          <w:lang w:val="fr-CA"/>
        </w:rPr>
      </w:pPr>
      <w:r w:rsidRPr="00646D83">
        <w:rPr>
          <w:lang w:val="fr-CA"/>
        </w:rPr>
        <w:t>Vérif</w:t>
      </w:r>
      <w:r w:rsidR="003B3BBD">
        <w:rPr>
          <w:lang w:val="fr-CA"/>
        </w:rPr>
        <w:t>i</w:t>
      </w:r>
      <w:r w:rsidRPr="00646D83">
        <w:rPr>
          <w:lang w:val="fr-CA"/>
        </w:rPr>
        <w:t>cation de la consommation de HCFC et de la mise en œuvre du PGEH</w:t>
      </w:r>
      <w:r w:rsidR="003B3BBD">
        <w:rPr>
          <w:lang w:val="fr-CA"/>
        </w:rPr>
        <w:t xml:space="preserve"> (3 500 $US</w:t>
      </w:r>
      <w:r w:rsidR="00825F3F" w:rsidRPr="00646D83">
        <w:rPr>
          <w:lang w:val="fr-CA"/>
        </w:rPr>
        <w:t>)</w:t>
      </w:r>
      <w:r w:rsidR="0037190F">
        <w:rPr>
          <w:lang w:val="fr-CA"/>
        </w:rPr>
        <w:t xml:space="preserve"> </w:t>
      </w:r>
      <w:r w:rsidR="0078027D">
        <w:rPr>
          <w:lang w:val="fr-CA"/>
        </w:rPr>
        <w:t>;</w:t>
      </w:r>
    </w:p>
    <w:p w14:paraId="16EAB9AB" w14:textId="64919A73" w:rsidR="00825F3F" w:rsidRPr="00646D83" w:rsidRDefault="00110117" w:rsidP="00825F3F">
      <w:pPr>
        <w:pStyle w:val="Heading2"/>
        <w:rPr>
          <w:lang w:val="fr-CA"/>
        </w:rPr>
      </w:pPr>
      <w:r w:rsidRPr="00646D83">
        <w:rPr>
          <w:lang w:val="fr-CA"/>
        </w:rPr>
        <w:t>Assistance technique pour le secteur de l’entretien, afin de promouvoir les bo</w:t>
      </w:r>
      <w:r w:rsidR="007429E0">
        <w:rPr>
          <w:lang w:val="fr-CA"/>
        </w:rPr>
        <w:t>nnes pratiques de réfrigération</w:t>
      </w:r>
      <w:r w:rsidRPr="00646D83">
        <w:rPr>
          <w:lang w:val="fr-CA"/>
        </w:rPr>
        <w:t>, faire la démonstration de solutions de remplacement à faible PRG</w:t>
      </w:r>
      <w:r w:rsidR="007429E0">
        <w:rPr>
          <w:lang w:val="fr-CA"/>
        </w:rPr>
        <w:t> </w:t>
      </w:r>
      <w:r w:rsidR="0078027D">
        <w:rPr>
          <w:lang w:val="fr-CA"/>
        </w:rPr>
        <w:t xml:space="preserve">et encourager leur </w:t>
      </w:r>
      <w:r w:rsidR="0078027D" w:rsidRPr="00646D83">
        <w:rPr>
          <w:lang w:val="fr-CA"/>
        </w:rPr>
        <w:t xml:space="preserve">utilisation </w:t>
      </w:r>
      <w:r w:rsidR="007429E0">
        <w:rPr>
          <w:lang w:val="fr-CA"/>
        </w:rPr>
        <w:t>:</w:t>
      </w:r>
    </w:p>
    <w:p w14:paraId="45E1952F" w14:textId="24528211" w:rsidR="00825F3F" w:rsidRPr="00646D83" w:rsidRDefault="00110117" w:rsidP="00825F3F">
      <w:pPr>
        <w:pStyle w:val="Heading3"/>
        <w:rPr>
          <w:lang w:val="fr-CA"/>
        </w:rPr>
      </w:pPr>
      <w:r w:rsidRPr="00646D83">
        <w:rPr>
          <w:lang w:val="fr-CA"/>
        </w:rPr>
        <w:t>Formation de 100 techniciens</w:t>
      </w:r>
      <w:r w:rsidR="000A3AEC" w:rsidRPr="00646D83">
        <w:rPr>
          <w:lang w:val="fr-CA"/>
        </w:rPr>
        <w:t xml:space="preserve"> en réfrigération et climatisati</w:t>
      </w:r>
      <w:r w:rsidRPr="00646D83">
        <w:rPr>
          <w:lang w:val="fr-CA"/>
        </w:rPr>
        <w:t>on en bonnes pratiques de réfrigération afin de minimiser les fuite</w:t>
      </w:r>
      <w:r w:rsidR="007429E0">
        <w:rPr>
          <w:lang w:val="fr-CA"/>
        </w:rPr>
        <w:t>s dans l’</w:t>
      </w:r>
      <w:r w:rsidRPr="00646D83">
        <w:rPr>
          <w:lang w:val="fr-CA"/>
        </w:rPr>
        <w:t xml:space="preserve">équipement et les dangers associés aux frigorigènes inflammables; soutien technique </w:t>
      </w:r>
      <w:r w:rsidR="000A3AEC" w:rsidRPr="00646D83">
        <w:rPr>
          <w:lang w:val="fr-CA"/>
        </w:rPr>
        <w:t>pour le centre de re</w:t>
      </w:r>
      <w:r w:rsidR="007762F2" w:rsidRPr="00646D83">
        <w:rPr>
          <w:lang w:val="fr-CA"/>
        </w:rPr>
        <w:t>c</w:t>
      </w:r>
      <w:r w:rsidR="000A3AEC" w:rsidRPr="00646D83">
        <w:rPr>
          <w:lang w:val="fr-CA"/>
        </w:rPr>
        <w:t>yclage central; collecte des HCFC et autres frigorigèn</w:t>
      </w:r>
      <w:r w:rsidR="007762F2" w:rsidRPr="00646D83">
        <w:rPr>
          <w:lang w:val="fr-CA"/>
        </w:rPr>
        <w:t>es; examen des solutions d’élimination des substances réglementées inutilisées ou non désirées, et trois rencontres avec des parties prenantes et</w:t>
      </w:r>
      <w:r w:rsidR="007429E0">
        <w:rPr>
          <w:lang w:val="fr-CA"/>
        </w:rPr>
        <w:t xml:space="preserve"> trois réunions de coordination;</w:t>
      </w:r>
      <w:r w:rsidR="007762F2" w:rsidRPr="00646D83">
        <w:rPr>
          <w:lang w:val="fr-CA"/>
        </w:rPr>
        <w:t xml:space="preserve"> et embauche de deux consultants (138 000 $US</w:t>
      </w:r>
      <w:r w:rsidR="00825F3F" w:rsidRPr="00646D83">
        <w:rPr>
          <w:lang w:val="fr-CA"/>
        </w:rPr>
        <w:t>)</w:t>
      </w:r>
      <w:r w:rsidR="0037190F">
        <w:rPr>
          <w:lang w:val="fr-CA"/>
        </w:rPr>
        <w:t xml:space="preserve"> </w:t>
      </w:r>
      <w:r w:rsidR="00825F3F" w:rsidRPr="00646D83">
        <w:rPr>
          <w:lang w:val="fr-CA"/>
        </w:rPr>
        <w:t>;</w:t>
      </w:r>
    </w:p>
    <w:p w14:paraId="7A251186" w14:textId="0C949515" w:rsidR="00825F3F" w:rsidRPr="00646D83" w:rsidRDefault="007762F2" w:rsidP="00825F3F">
      <w:pPr>
        <w:pStyle w:val="Heading3"/>
        <w:rPr>
          <w:lang w:val="fr-CA"/>
        </w:rPr>
      </w:pPr>
      <w:r w:rsidRPr="00646D83">
        <w:rPr>
          <w:lang w:val="fr-CA"/>
        </w:rPr>
        <w:t>Suite de l’actualisation des capacités de formation, surtout de l’Autorité de la formation technique et du développement des compétences (TESDA) et des institutions accréditées par la TESDA</w:t>
      </w:r>
      <w:r w:rsidR="00F4429B" w:rsidRPr="00646D83">
        <w:rPr>
          <w:lang w:val="fr-CA"/>
        </w:rPr>
        <w:t>,</w:t>
      </w:r>
      <w:r w:rsidRPr="00646D83">
        <w:rPr>
          <w:lang w:val="fr-CA"/>
        </w:rPr>
        <w:t xml:space="preserve"> afin de renforcer l’accréd</w:t>
      </w:r>
      <w:r w:rsidR="00F4429B" w:rsidRPr="00646D83">
        <w:rPr>
          <w:lang w:val="fr-CA"/>
        </w:rPr>
        <w:t>itation des techniciens et du programme de formation</w:t>
      </w:r>
      <w:r w:rsidR="0041537E" w:rsidRPr="00646D83">
        <w:rPr>
          <w:lang w:val="fr-CA"/>
        </w:rPr>
        <w:t>,</w:t>
      </w:r>
      <w:r w:rsidR="00F4429B" w:rsidRPr="00646D83">
        <w:rPr>
          <w:lang w:val="fr-CA"/>
        </w:rPr>
        <w:t xml:space="preserve"> en dé</w:t>
      </w:r>
      <w:r w:rsidRPr="00646D83">
        <w:rPr>
          <w:lang w:val="fr-CA"/>
        </w:rPr>
        <w:t>veloppant du nouveau matériel et un nouveau code de pratique sur la manipulation des substances de remplacement inflammables po</w:t>
      </w:r>
      <w:r w:rsidR="0041537E" w:rsidRPr="00646D83">
        <w:rPr>
          <w:lang w:val="fr-CA"/>
        </w:rPr>
        <w:t>u</w:t>
      </w:r>
      <w:r w:rsidRPr="00646D83">
        <w:rPr>
          <w:lang w:val="fr-CA"/>
        </w:rPr>
        <w:t>r le HCFC-22 (c.-à-d., HFC-32 et R-290)</w:t>
      </w:r>
      <w:r w:rsidR="0041537E" w:rsidRPr="00646D83">
        <w:rPr>
          <w:lang w:val="fr-CA"/>
        </w:rPr>
        <w:t>,</w:t>
      </w:r>
      <w:r w:rsidRPr="00646D83">
        <w:rPr>
          <w:lang w:val="fr-CA"/>
        </w:rPr>
        <w:t xml:space="preserve"> </w:t>
      </w:r>
      <w:r w:rsidR="007429E0">
        <w:rPr>
          <w:lang w:val="fr-CA"/>
        </w:rPr>
        <w:t xml:space="preserve">et </w:t>
      </w:r>
      <w:r w:rsidR="0078027D">
        <w:rPr>
          <w:lang w:val="fr-CA"/>
        </w:rPr>
        <w:t xml:space="preserve">pour </w:t>
      </w:r>
      <w:r w:rsidR="007429E0">
        <w:rPr>
          <w:lang w:val="fr-CA"/>
        </w:rPr>
        <w:t>que</w:t>
      </w:r>
      <w:r w:rsidRPr="00646D83">
        <w:rPr>
          <w:lang w:val="fr-CA"/>
        </w:rPr>
        <w:t xml:space="preserve"> les techniciens soient prêts </w:t>
      </w:r>
      <w:r w:rsidR="00F4429B" w:rsidRPr="00646D83">
        <w:rPr>
          <w:lang w:val="fr-CA"/>
        </w:rPr>
        <w:t>à</w:t>
      </w:r>
      <w:r w:rsidR="0041537E" w:rsidRPr="00646D83">
        <w:rPr>
          <w:lang w:val="fr-CA"/>
        </w:rPr>
        <w:t xml:space="preserve"> faire face à</w:t>
      </w:r>
      <w:r w:rsidR="00F4429B" w:rsidRPr="00646D83">
        <w:rPr>
          <w:lang w:val="fr-CA"/>
        </w:rPr>
        <w:t xml:space="preserve"> l’utilisation a</w:t>
      </w:r>
      <w:r w:rsidR="0041537E" w:rsidRPr="00646D83">
        <w:rPr>
          <w:lang w:val="fr-CA"/>
        </w:rPr>
        <w:t>ccrue de ces substances; élaboration de nouveau</w:t>
      </w:r>
      <w:r w:rsidR="00F4429B" w:rsidRPr="00646D83">
        <w:rPr>
          <w:lang w:val="fr-CA"/>
        </w:rPr>
        <w:t xml:space="preserve"> matériel de formation pour les substances de remplac</w:t>
      </w:r>
      <w:r w:rsidR="0041537E" w:rsidRPr="00646D83">
        <w:rPr>
          <w:lang w:val="fr-CA"/>
        </w:rPr>
        <w:t>e</w:t>
      </w:r>
      <w:r w:rsidR="00F4429B" w:rsidRPr="00646D83">
        <w:rPr>
          <w:lang w:val="fr-CA"/>
        </w:rPr>
        <w:t xml:space="preserve">ment du HCFC-141b </w:t>
      </w:r>
      <w:r w:rsidR="0041537E" w:rsidRPr="00646D83">
        <w:rPr>
          <w:lang w:val="fr-CA"/>
        </w:rPr>
        <w:t>pour le ri</w:t>
      </w:r>
      <w:r w:rsidR="00F4429B" w:rsidRPr="00646D83">
        <w:rPr>
          <w:lang w:val="fr-CA"/>
        </w:rPr>
        <w:t>nçage dans le secteur de l’ent</w:t>
      </w:r>
      <w:r w:rsidR="007429E0">
        <w:rPr>
          <w:lang w:val="fr-CA"/>
        </w:rPr>
        <w:t>retien; formation d’au moins 25 </w:t>
      </w:r>
      <w:r w:rsidR="00F4429B" w:rsidRPr="00646D83">
        <w:rPr>
          <w:lang w:val="fr-CA"/>
        </w:rPr>
        <w:t xml:space="preserve">formateurs </w:t>
      </w:r>
      <w:r w:rsidR="009A2819">
        <w:rPr>
          <w:lang w:val="fr-CA"/>
        </w:rPr>
        <w:t>concernant</w:t>
      </w:r>
      <w:r w:rsidR="00F4429B" w:rsidRPr="00646D83">
        <w:rPr>
          <w:lang w:val="fr-CA"/>
        </w:rPr>
        <w:t xml:space="preserve"> le nouveau code de pratique; et cinq ateliers de formation pour 125 techniciens d’entr</w:t>
      </w:r>
      <w:r w:rsidR="0041537E" w:rsidRPr="00646D83">
        <w:rPr>
          <w:lang w:val="fr-CA"/>
        </w:rPr>
        <w:t>e</w:t>
      </w:r>
      <w:r w:rsidR="00F4429B" w:rsidRPr="00646D83">
        <w:rPr>
          <w:lang w:val="fr-CA"/>
        </w:rPr>
        <w:t xml:space="preserve">tien en vue de la </w:t>
      </w:r>
      <w:r w:rsidR="0041537E" w:rsidRPr="00646D83">
        <w:rPr>
          <w:lang w:val="fr-CA"/>
        </w:rPr>
        <w:t>certification</w:t>
      </w:r>
      <w:r w:rsidR="00F4429B" w:rsidRPr="00646D83">
        <w:rPr>
          <w:lang w:val="fr-CA"/>
        </w:rPr>
        <w:t xml:space="preserve"> en manipulation de substances de remplacement à f</w:t>
      </w:r>
      <w:r w:rsidR="0037190F">
        <w:rPr>
          <w:lang w:val="fr-CA"/>
        </w:rPr>
        <w:t>aible PRG (c.-à-d., HFC-32 et R</w:t>
      </w:r>
      <w:r w:rsidR="0037190F">
        <w:rPr>
          <w:lang w:val="fr-CA"/>
        </w:rPr>
        <w:noBreakHyphen/>
      </w:r>
      <w:r w:rsidR="00F4429B" w:rsidRPr="00646D83">
        <w:rPr>
          <w:lang w:val="fr-CA"/>
        </w:rPr>
        <w:t xml:space="preserve">290) </w:t>
      </w:r>
      <w:r w:rsidR="0041537E" w:rsidRPr="00646D83">
        <w:rPr>
          <w:lang w:val="fr-CA"/>
        </w:rPr>
        <w:t>et en substances de remplacem</w:t>
      </w:r>
      <w:r w:rsidR="00F4429B" w:rsidRPr="00646D83">
        <w:rPr>
          <w:lang w:val="fr-CA"/>
        </w:rPr>
        <w:t>ent du HCFC-141b (84 000 $US)</w:t>
      </w:r>
      <w:r w:rsidR="0037190F">
        <w:rPr>
          <w:lang w:val="fr-CA"/>
        </w:rPr>
        <w:t xml:space="preserve"> </w:t>
      </w:r>
      <w:r w:rsidR="00825F3F" w:rsidRPr="00646D83">
        <w:rPr>
          <w:lang w:val="fr-CA"/>
        </w:rPr>
        <w:t xml:space="preserve">; </w:t>
      </w:r>
    </w:p>
    <w:p w14:paraId="7B1E3FA2" w14:textId="4F80A258" w:rsidR="00825F3F" w:rsidRPr="00646D83" w:rsidRDefault="009A2819" w:rsidP="00825F3F">
      <w:pPr>
        <w:pStyle w:val="Heading3"/>
        <w:rPr>
          <w:lang w:val="fr-CA"/>
        </w:rPr>
      </w:pPr>
      <w:r>
        <w:rPr>
          <w:lang w:val="fr-CA"/>
        </w:rPr>
        <w:lastRenderedPageBreak/>
        <w:t>Étude sur l</w:t>
      </w:r>
      <w:r w:rsidR="0041537E" w:rsidRPr="00646D83">
        <w:rPr>
          <w:lang w:val="fr-CA"/>
        </w:rPr>
        <w:t>es substances de remplacement po</w:t>
      </w:r>
      <w:r w:rsidR="0037190F">
        <w:rPr>
          <w:lang w:val="fr-CA"/>
        </w:rPr>
        <w:t>ssible du HCFC-225ca et du HCFC</w:t>
      </w:r>
      <w:r w:rsidR="0037190F">
        <w:rPr>
          <w:lang w:val="fr-CA"/>
        </w:rPr>
        <w:noBreakHyphen/>
      </w:r>
      <w:r w:rsidR="0041537E" w:rsidRPr="00646D83">
        <w:rPr>
          <w:lang w:val="fr-CA"/>
        </w:rPr>
        <w:t xml:space="preserve">225cb pour nettoyer les systèmes de réfrigération et du HCFC-123 pour la lutte contre les incendies; information et instruction des parties prenantes sur les solutions de remplacement </w:t>
      </w:r>
      <w:r>
        <w:rPr>
          <w:lang w:val="fr-CA"/>
        </w:rPr>
        <w:t xml:space="preserve">et </w:t>
      </w:r>
      <w:r w:rsidR="0041537E" w:rsidRPr="00646D83">
        <w:rPr>
          <w:lang w:val="fr-CA"/>
        </w:rPr>
        <w:t>la rentabilité dans le cadre de deux ateliers réunissant un maximum de 40 participants (30 000 $US); étude visant à repérer les utilisation</w:t>
      </w:r>
      <w:r>
        <w:rPr>
          <w:lang w:val="fr-CA"/>
        </w:rPr>
        <w:t>s</w:t>
      </w:r>
      <w:r w:rsidR="0041537E" w:rsidRPr="00646D83">
        <w:rPr>
          <w:lang w:val="fr-CA"/>
        </w:rPr>
        <w:t xml:space="preserve"> du HCFC-141b comme solvant et à recommander des substances de remplacement pour le rinçage et deux ateliers de formation </w:t>
      </w:r>
      <w:r>
        <w:rPr>
          <w:lang w:val="fr-CA"/>
        </w:rPr>
        <w:t>sur les résultats</w:t>
      </w:r>
      <w:r w:rsidR="00903B0C">
        <w:rPr>
          <w:lang w:val="fr-CA"/>
        </w:rPr>
        <w:t xml:space="preserve"> </w:t>
      </w:r>
      <w:r w:rsidR="00903B0C" w:rsidRPr="00646D83">
        <w:rPr>
          <w:lang w:val="fr-CA"/>
        </w:rPr>
        <w:t>pour 60 p</w:t>
      </w:r>
      <w:r w:rsidR="00903B0C">
        <w:rPr>
          <w:lang w:val="fr-CA"/>
        </w:rPr>
        <w:t xml:space="preserve">articipants </w:t>
      </w:r>
      <w:r>
        <w:rPr>
          <w:lang w:val="fr-CA"/>
        </w:rPr>
        <w:t>(5</w:t>
      </w:r>
      <w:r w:rsidR="0041537E" w:rsidRPr="00646D83">
        <w:rPr>
          <w:lang w:val="fr-CA"/>
        </w:rPr>
        <w:t>0 000 $US)</w:t>
      </w:r>
      <w:r w:rsidR="0037190F">
        <w:rPr>
          <w:lang w:val="fr-CA"/>
        </w:rPr>
        <w:t xml:space="preserve"> </w:t>
      </w:r>
      <w:r w:rsidR="00825F3F" w:rsidRPr="00646D83">
        <w:rPr>
          <w:lang w:val="fr-CA"/>
        </w:rPr>
        <w:t>;</w:t>
      </w:r>
    </w:p>
    <w:p w14:paraId="527C10BA" w14:textId="4D776D50" w:rsidR="00825F3F" w:rsidRPr="00646D83" w:rsidRDefault="0041537E" w:rsidP="00825F3F">
      <w:pPr>
        <w:pStyle w:val="Heading2"/>
        <w:rPr>
          <w:lang w:val="fr-CA"/>
        </w:rPr>
      </w:pPr>
      <w:r w:rsidRPr="00646D83">
        <w:rPr>
          <w:lang w:val="fr-CA"/>
        </w:rPr>
        <w:t>Assistance technique pour promouvoir les substances de remplacement à faible PRG dans le secteur de la réfrigération et climatisation (106 902 $US</w:t>
      </w:r>
      <w:r w:rsidR="00825F3F" w:rsidRPr="00646D83">
        <w:rPr>
          <w:lang w:val="fr-CA"/>
        </w:rPr>
        <w:t>)</w:t>
      </w:r>
      <w:r w:rsidR="00903B0C">
        <w:rPr>
          <w:lang w:val="fr-CA"/>
        </w:rPr>
        <w:t> :</w:t>
      </w:r>
    </w:p>
    <w:p w14:paraId="7C9A988B" w14:textId="61D76740" w:rsidR="00825F3F" w:rsidRPr="00646D83" w:rsidRDefault="003860D4" w:rsidP="00825F3F">
      <w:pPr>
        <w:pStyle w:val="Heading3"/>
        <w:rPr>
          <w:lang w:val="fr-CA"/>
        </w:rPr>
      </w:pPr>
      <w:r w:rsidRPr="00646D83">
        <w:rPr>
          <w:lang w:val="fr-CA"/>
        </w:rPr>
        <w:t>Trois ateliers pour 100 fabricants, importateurs et utilisateurs de climatiseurs, afin de leur fournir de l’information et faire la démonstration</w:t>
      </w:r>
      <w:r w:rsidR="00903B0C">
        <w:rPr>
          <w:lang w:val="fr-CA"/>
        </w:rPr>
        <w:t xml:space="preserve"> </w:t>
      </w:r>
      <w:r w:rsidR="00903B0C" w:rsidRPr="00646D83">
        <w:rPr>
          <w:lang w:val="fr-CA"/>
        </w:rPr>
        <w:t>de substances de rempla</w:t>
      </w:r>
      <w:r w:rsidR="00903B0C">
        <w:rPr>
          <w:lang w:val="fr-CA"/>
        </w:rPr>
        <w:t>cement à faible PRG</w:t>
      </w:r>
      <w:r w:rsidRPr="00646D83">
        <w:rPr>
          <w:lang w:val="fr-CA"/>
        </w:rPr>
        <w:t xml:space="preserve">, </w:t>
      </w:r>
      <w:r w:rsidR="00903B0C">
        <w:rPr>
          <w:lang w:val="fr-CA"/>
        </w:rPr>
        <w:t xml:space="preserve">et </w:t>
      </w:r>
      <w:r w:rsidRPr="00646D83">
        <w:rPr>
          <w:lang w:val="fr-CA"/>
        </w:rPr>
        <w:t>encourager et promouvoir l</w:t>
      </w:r>
      <w:r w:rsidR="00903B0C">
        <w:rPr>
          <w:lang w:val="fr-CA"/>
        </w:rPr>
        <w:t xml:space="preserve">eur </w:t>
      </w:r>
      <w:r w:rsidRPr="00646D83">
        <w:rPr>
          <w:lang w:val="fr-CA"/>
        </w:rPr>
        <w:t>utilisation dans le secteur de la réfrigération et climatisation</w:t>
      </w:r>
      <w:r w:rsidR="0037190F">
        <w:rPr>
          <w:lang w:val="fr-CA"/>
        </w:rPr>
        <w:t xml:space="preserve"> </w:t>
      </w:r>
      <w:r w:rsidR="00825F3F" w:rsidRPr="00646D83">
        <w:rPr>
          <w:lang w:val="fr-CA"/>
        </w:rPr>
        <w:t xml:space="preserve">; </w:t>
      </w:r>
    </w:p>
    <w:p w14:paraId="51DAF8B1" w14:textId="15BAAFAE" w:rsidR="00825F3F" w:rsidRPr="00646D83" w:rsidRDefault="003860D4" w:rsidP="00825F3F">
      <w:pPr>
        <w:pStyle w:val="Heading3"/>
        <w:rPr>
          <w:lang w:val="fr-CA"/>
        </w:rPr>
      </w:pPr>
      <w:r w:rsidRPr="00646D83">
        <w:rPr>
          <w:lang w:val="fr-CA"/>
        </w:rPr>
        <w:t xml:space="preserve">Élaboration d’une étude de marché sur la situation actuelle du secteur de la réfrigération et climatisation aux Philippines </w:t>
      </w:r>
      <w:r w:rsidR="009A2819">
        <w:rPr>
          <w:lang w:val="fr-CA"/>
        </w:rPr>
        <w:t>qui se penchera sur</w:t>
      </w:r>
      <w:r w:rsidRPr="00646D83">
        <w:rPr>
          <w:lang w:val="fr-CA"/>
        </w:rPr>
        <w:t xml:space="preserve"> la disponibilité, la faisabilité technique et les avantages environnementaux et économiques possibles de la transition </w:t>
      </w:r>
      <w:r w:rsidR="00A14A63" w:rsidRPr="00646D83">
        <w:rPr>
          <w:lang w:val="fr-CA"/>
        </w:rPr>
        <w:t>à des s</w:t>
      </w:r>
      <w:r w:rsidRPr="00646D83">
        <w:rPr>
          <w:lang w:val="fr-CA"/>
        </w:rPr>
        <w:t xml:space="preserve">ubstances de remplacement </w:t>
      </w:r>
      <w:r w:rsidR="00A14A63" w:rsidRPr="00646D83">
        <w:rPr>
          <w:lang w:val="fr-CA"/>
        </w:rPr>
        <w:t>à</w:t>
      </w:r>
      <w:r w:rsidRPr="00646D83">
        <w:rPr>
          <w:lang w:val="fr-CA"/>
        </w:rPr>
        <w:t xml:space="preserve"> faible PRG </w:t>
      </w:r>
      <w:r w:rsidR="00A14A63" w:rsidRPr="00646D83">
        <w:rPr>
          <w:lang w:val="fr-CA"/>
        </w:rPr>
        <w:t>dans les équipement fabriqués et importés</w:t>
      </w:r>
      <w:r w:rsidR="0037190F">
        <w:rPr>
          <w:lang w:val="fr-CA"/>
        </w:rPr>
        <w:t xml:space="preserve"> </w:t>
      </w:r>
      <w:r w:rsidR="00825F3F" w:rsidRPr="00646D83">
        <w:rPr>
          <w:color w:val="000000"/>
          <w:lang w:val="fr-CA" w:eastAsia="en-GB"/>
        </w:rPr>
        <w:t xml:space="preserve">; </w:t>
      </w:r>
    </w:p>
    <w:p w14:paraId="5883833A" w14:textId="37F7F9B9" w:rsidR="00825F3F" w:rsidRPr="00646D83" w:rsidRDefault="00A14A63" w:rsidP="00825F3F">
      <w:pPr>
        <w:pStyle w:val="Heading3"/>
        <w:rPr>
          <w:lang w:val="fr-CA"/>
        </w:rPr>
      </w:pPr>
      <w:r w:rsidRPr="00646D83">
        <w:rPr>
          <w:lang w:val="fr-CA"/>
        </w:rPr>
        <w:t>Préparation d’un programme pilote de formation en ligne offert au public sur les sites Web d’apprentissage sur la manipulation sécuritaire des frigorigènes inflammables, toxiques et à haute pression</w:t>
      </w:r>
      <w:r w:rsidR="00F54810">
        <w:rPr>
          <w:lang w:val="fr-CA"/>
        </w:rPr>
        <w:t>,</w:t>
      </w:r>
      <w:r w:rsidRPr="00646D83">
        <w:rPr>
          <w:lang w:val="fr-CA"/>
        </w:rPr>
        <w:t xml:space="preserve"> destiné aux entreprises de fabrication, aux techniciens, aux utilisateurs, aux importateurs et aux autres parties </w:t>
      </w:r>
      <w:r w:rsidR="00F54810">
        <w:rPr>
          <w:lang w:val="fr-CA"/>
        </w:rPr>
        <w:t>prenantes, afin de favoriser l’</w:t>
      </w:r>
      <w:r w:rsidRPr="00646D83">
        <w:rPr>
          <w:lang w:val="fr-CA"/>
        </w:rPr>
        <w:t>adoption de ces solutions et de les inclure au programme de formation générale des techniciens d’entretien</w:t>
      </w:r>
      <w:r w:rsidR="0037190F">
        <w:rPr>
          <w:lang w:val="fr-CA"/>
        </w:rPr>
        <w:t xml:space="preserve"> </w:t>
      </w:r>
      <w:r w:rsidRPr="00646D83">
        <w:rPr>
          <w:lang w:val="fr-CA"/>
        </w:rPr>
        <w:t>;</w:t>
      </w:r>
      <w:r w:rsidR="0037190F">
        <w:rPr>
          <w:lang w:val="fr-CA"/>
        </w:rPr>
        <w:t xml:space="preserve"> et</w:t>
      </w:r>
    </w:p>
    <w:p w14:paraId="484E3B9C" w14:textId="5DA93252" w:rsidR="00825F3F" w:rsidRPr="00646D83" w:rsidRDefault="00A14A63" w:rsidP="00825F3F">
      <w:pPr>
        <w:pStyle w:val="Heading2"/>
        <w:keepNext/>
        <w:widowControl/>
        <w:rPr>
          <w:lang w:val="fr-CA"/>
        </w:rPr>
      </w:pPr>
      <w:r w:rsidRPr="00646D83">
        <w:rPr>
          <w:lang w:val="fr-CA"/>
        </w:rPr>
        <w:t>Bureau de gestion de projet</w:t>
      </w:r>
      <w:r w:rsidR="00825F3F" w:rsidRPr="00646D83">
        <w:rPr>
          <w:lang w:val="fr-CA"/>
        </w:rPr>
        <w:t xml:space="preserve"> </w:t>
      </w:r>
      <w:r w:rsidR="00F54810">
        <w:rPr>
          <w:lang w:val="fr-CA"/>
        </w:rPr>
        <w:t>(49 5</w:t>
      </w:r>
      <w:r w:rsidRPr="00646D83">
        <w:rPr>
          <w:lang w:val="fr-CA"/>
        </w:rPr>
        <w:t>00 $US)</w:t>
      </w:r>
      <w:r w:rsidR="00F54810">
        <w:rPr>
          <w:lang w:val="fr-CA"/>
        </w:rPr>
        <w:t> :</w:t>
      </w:r>
      <w:r w:rsidRPr="00646D83">
        <w:rPr>
          <w:lang w:val="fr-CA"/>
        </w:rPr>
        <w:t xml:space="preserve"> pour la mise en œuvre et la surveillance générales des activités, dont l’embauche d’un coordonnateur, la coordination des parties prenantes et des experts en sondages (29 500 $US); diffusion d’information sur divers sujets liés à la mise en œuvre de la phase II</w:t>
      </w:r>
      <w:r w:rsidR="00906EF7" w:rsidRPr="00646D83">
        <w:rPr>
          <w:lang w:val="fr-CA"/>
        </w:rPr>
        <w:t xml:space="preserve"> (10 000 $US); un expert pour mettre en œuvre la politique d’égalité des sexes du Fonds multilatéral conforme au guide de l’ONUDI sur </w:t>
      </w:r>
      <w:r w:rsidR="00F54810">
        <w:rPr>
          <w:lang w:val="fr-CA"/>
        </w:rPr>
        <w:t>l’</w:t>
      </w:r>
      <w:r w:rsidR="00906EF7" w:rsidRPr="00646D83">
        <w:rPr>
          <w:lang w:val="fr-CA"/>
        </w:rPr>
        <w:t xml:space="preserve">intégration de la prise en compte des questions de genre </w:t>
      </w:r>
      <w:r w:rsidR="00F54810">
        <w:rPr>
          <w:lang w:val="fr-CA"/>
        </w:rPr>
        <w:t>d</w:t>
      </w:r>
      <w:r w:rsidR="00906EF7" w:rsidRPr="00646D83">
        <w:rPr>
          <w:lang w:val="fr-CA"/>
        </w:rPr>
        <w:t>ans les projets du Protocole de Montréal; et suite de la mise en œuvre des programmes de sensibilisation générale (10 000 $US)</w:t>
      </w:r>
      <w:r w:rsidR="00825F3F" w:rsidRPr="00646D83">
        <w:rPr>
          <w:lang w:val="fr-CA"/>
        </w:rPr>
        <w:t>.</w:t>
      </w:r>
    </w:p>
    <w:p w14:paraId="7C51ACF4" w14:textId="097ECAD0" w:rsidR="00825F3F" w:rsidRPr="00646D83" w:rsidRDefault="00906EF7" w:rsidP="00825F3F">
      <w:pPr>
        <w:keepNext/>
        <w:rPr>
          <w:b/>
          <w:lang w:val="fr-CA"/>
        </w:rPr>
      </w:pPr>
      <w:r w:rsidRPr="00646D83">
        <w:rPr>
          <w:b/>
          <w:lang w:val="fr-CA"/>
        </w:rPr>
        <w:t>Observations du Secrétariat</w:t>
      </w:r>
    </w:p>
    <w:p w14:paraId="64651250" w14:textId="77777777" w:rsidR="00825F3F" w:rsidRPr="00646D83" w:rsidRDefault="00825F3F" w:rsidP="00825F3F">
      <w:pPr>
        <w:keepNext/>
        <w:rPr>
          <w:b/>
          <w:lang w:val="fr-CA"/>
        </w:rPr>
      </w:pPr>
    </w:p>
    <w:p w14:paraId="147C62B4" w14:textId="6539A730" w:rsidR="00825F3F" w:rsidRPr="00646D83" w:rsidRDefault="00906EF7" w:rsidP="00825F3F">
      <w:pPr>
        <w:keepNext/>
        <w:rPr>
          <w:i/>
          <w:lang w:val="fr-CA"/>
        </w:rPr>
      </w:pPr>
      <w:r w:rsidRPr="00646D83">
        <w:rPr>
          <w:i/>
          <w:lang w:val="fr-CA"/>
        </w:rPr>
        <w:t>Retrait du plan du secteur de la climatisation de la phase II</w:t>
      </w:r>
    </w:p>
    <w:p w14:paraId="02E34C7D" w14:textId="77777777" w:rsidR="00825F3F" w:rsidRPr="00646D83" w:rsidRDefault="00825F3F" w:rsidP="00825F3F">
      <w:pPr>
        <w:keepNext/>
        <w:rPr>
          <w:b/>
          <w:lang w:val="fr-CA"/>
        </w:rPr>
      </w:pPr>
    </w:p>
    <w:p w14:paraId="64FA1A9E" w14:textId="2B75C892" w:rsidR="00825F3F" w:rsidRPr="00646D83" w:rsidRDefault="00906EF7" w:rsidP="00825F3F">
      <w:pPr>
        <w:pStyle w:val="Heading1"/>
        <w:keepNext/>
        <w:rPr>
          <w:lang w:val="fr-CA"/>
        </w:rPr>
      </w:pPr>
      <w:r w:rsidRPr="00646D83">
        <w:rPr>
          <w:lang w:val="fr-CA"/>
        </w:rPr>
        <w:t>L’ONUDI avait</w:t>
      </w:r>
      <w:r w:rsidR="0020399A" w:rsidRPr="00646D83">
        <w:rPr>
          <w:lang w:val="fr-CA"/>
        </w:rPr>
        <w:t xml:space="preserve"> originalement présenté une demande de décaissement de la deuxième tranche de la phase II du PGEH au nom du gouvernement des Philippines</w:t>
      </w:r>
      <w:r w:rsidR="00825F3F" w:rsidRPr="00646D83">
        <w:rPr>
          <w:lang w:val="fr-CA"/>
        </w:rPr>
        <w:t>.</w:t>
      </w:r>
      <w:r w:rsidR="0020399A" w:rsidRPr="00646D83">
        <w:rPr>
          <w:lang w:val="fr-CA"/>
        </w:rPr>
        <w:t xml:space="preserve"> Dans son examen de la demande, le Secrétariat a pris note que plusieurs difficultés persistaient concernant le plan du secteur de la fabrication de climatiseurs, où deux des quatre entreprises bénéficiaires</w:t>
      </w:r>
      <w:r w:rsidR="00F54810">
        <w:rPr>
          <w:lang w:val="fr-CA"/>
        </w:rPr>
        <w:t xml:space="preserve"> avaient formellement demandé à </w:t>
      </w:r>
      <w:r w:rsidR="0020399A" w:rsidRPr="00646D83">
        <w:rPr>
          <w:lang w:val="fr-CA"/>
        </w:rPr>
        <w:t xml:space="preserve">être retirées du plan car elles avaient reconverti à une technologie à base de R-410A en utilisant leurs propres ressources, et </w:t>
      </w:r>
      <w:r w:rsidR="00323BCA" w:rsidRPr="00646D83">
        <w:rPr>
          <w:lang w:val="fr-CA"/>
        </w:rPr>
        <w:t xml:space="preserve">bien que les deux entreprises restantes demeuraient intéressées à reconvertir au HFC-32, elles avaient commencé leur reconversion au R-410A. Étant donné que l’ONUDI et le gouvernement des Philippines n’avaient pas encore commencé le décaissement des sommes à ces entreprises, et après avoir examiné les éléments techniques de la faisabilité de poursuivre ces reconversions, le gouvernement des Philippines a demandé l’annulation du plan du secteur de la fabrication de climatiseurs. L’ONUDI a indiqué que le </w:t>
      </w:r>
      <w:r w:rsidR="00323BCA" w:rsidRPr="00646D83">
        <w:rPr>
          <w:lang w:val="fr-CA"/>
        </w:rPr>
        <w:lastRenderedPageBreak/>
        <w:t>gouvernement sera en mesure d’appliquer l’interdiction d’importer des climatiseurs à base de HCFC-22 d’une capacité de moins de 36 000 BTU/heure à compter de janvier 2022.</w:t>
      </w:r>
    </w:p>
    <w:p w14:paraId="69DC1CFA" w14:textId="4352B2F7" w:rsidR="00825F3F" w:rsidRPr="00646D83" w:rsidRDefault="000626EB" w:rsidP="00825F3F">
      <w:pPr>
        <w:pStyle w:val="Heading1"/>
        <w:rPr>
          <w:strike/>
          <w:lang w:val="fr-CA"/>
        </w:rPr>
      </w:pPr>
      <w:r w:rsidRPr="00646D83">
        <w:rPr>
          <w:lang w:val="fr-CA"/>
        </w:rPr>
        <w:t>L’ONUDI a également indiqué que la somme de 212 152 $US, comprenant 53 273 $US et les coûts de 145 000 $US pour le Bureau de gestion du projet, associé</w:t>
      </w:r>
      <w:r w:rsidR="008C5C0E">
        <w:rPr>
          <w:lang w:val="fr-CA"/>
        </w:rPr>
        <w:t>e</w:t>
      </w:r>
      <w:r w:rsidRPr="00646D83">
        <w:rPr>
          <w:lang w:val="fr-CA"/>
        </w:rPr>
        <w:t xml:space="preserve"> au plan du secteur de la fabrication de climatiseurs, plus les coûts d’appui à l’agence de</w:t>
      </w:r>
      <w:r w:rsidR="00B45D0E">
        <w:rPr>
          <w:lang w:val="fr-CA"/>
        </w:rPr>
        <w:t xml:space="preserve"> 13 879 $US pour l’ONUDI, serai</w:t>
      </w:r>
      <w:r w:rsidRPr="00646D83">
        <w:rPr>
          <w:lang w:val="fr-CA"/>
        </w:rPr>
        <w:t>t restitué</w:t>
      </w:r>
      <w:r w:rsidR="00B45D0E">
        <w:rPr>
          <w:lang w:val="fr-CA"/>
        </w:rPr>
        <w:t>e</w:t>
      </w:r>
      <w:r w:rsidRPr="00646D83">
        <w:rPr>
          <w:lang w:val="fr-CA"/>
        </w:rPr>
        <w:t xml:space="preserve"> à la 89</w:t>
      </w:r>
      <w:r w:rsidRPr="00646D83">
        <w:rPr>
          <w:vertAlign w:val="superscript"/>
          <w:lang w:val="fr-CA"/>
        </w:rPr>
        <w:t>e</w:t>
      </w:r>
      <w:r w:rsidRPr="00646D83">
        <w:rPr>
          <w:lang w:val="fr-CA"/>
        </w:rPr>
        <w:t> réunion</w:t>
      </w:r>
      <w:r w:rsidR="00825F3F" w:rsidRPr="00646D83">
        <w:rPr>
          <w:lang w:val="fr-CA"/>
        </w:rPr>
        <w:t xml:space="preserve">. </w:t>
      </w:r>
    </w:p>
    <w:p w14:paraId="3C50A426" w14:textId="263D344D" w:rsidR="00825F3F" w:rsidRPr="00646D83" w:rsidRDefault="000626EB" w:rsidP="00825F3F">
      <w:pPr>
        <w:keepNext/>
        <w:rPr>
          <w:i/>
          <w:lang w:val="fr-CA"/>
        </w:rPr>
      </w:pPr>
      <w:r w:rsidRPr="00646D83">
        <w:rPr>
          <w:i/>
          <w:lang w:val="fr-CA"/>
        </w:rPr>
        <w:t>Plan d’action et répartition du financement révisés pour la phase II du PGEH</w:t>
      </w:r>
    </w:p>
    <w:p w14:paraId="7CB60CE9" w14:textId="77777777" w:rsidR="00825F3F" w:rsidRPr="00646D83" w:rsidRDefault="00825F3F" w:rsidP="00825F3F">
      <w:pPr>
        <w:keepNext/>
        <w:rPr>
          <w:i/>
          <w:lang w:val="fr-CA"/>
        </w:rPr>
      </w:pPr>
    </w:p>
    <w:p w14:paraId="6F1A2EF1" w14:textId="28395DF2" w:rsidR="00825F3F" w:rsidRPr="00646D83" w:rsidRDefault="000626EB" w:rsidP="0037190F">
      <w:pPr>
        <w:numPr>
          <w:ilvl w:val="0"/>
          <w:numId w:val="1"/>
        </w:numPr>
        <w:spacing w:after="240"/>
        <w:outlineLvl w:val="0"/>
        <w:rPr>
          <w:lang w:val="fr-CA"/>
        </w:rPr>
      </w:pPr>
      <w:r w:rsidRPr="00646D83">
        <w:rPr>
          <w:lang w:val="fr-CA"/>
        </w:rPr>
        <w:t xml:space="preserve">Le Secrétariat a pris note que le plan d’action proposé par l’ONUDI </w:t>
      </w:r>
      <w:r w:rsidR="008C5C0E">
        <w:rPr>
          <w:lang w:val="fr-CA"/>
        </w:rPr>
        <w:t>consistait en</w:t>
      </w:r>
      <w:r w:rsidR="00A56A98" w:rsidRPr="00646D83">
        <w:rPr>
          <w:lang w:val="fr-CA"/>
        </w:rPr>
        <w:t xml:space="preserve"> la suite des activités approuvées pour la première </w:t>
      </w:r>
      <w:r w:rsidR="009D41BB" w:rsidRPr="00646D83">
        <w:rPr>
          <w:lang w:val="fr-CA"/>
        </w:rPr>
        <w:t>tranche</w:t>
      </w:r>
      <w:r w:rsidR="00A56A98" w:rsidRPr="00646D83">
        <w:rPr>
          <w:lang w:val="fr-CA"/>
        </w:rPr>
        <w:t xml:space="preserve"> et comprenait les activités à mettre en œuvre au cours de la </w:t>
      </w:r>
      <w:r w:rsidR="008C5C0E">
        <w:rPr>
          <w:lang w:val="fr-CA"/>
        </w:rPr>
        <w:t>période</w:t>
      </w:r>
      <w:r w:rsidR="00A56A98" w:rsidRPr="00646D83">
        <w:rPr>
          <w:lang w:val="fr-CA"/>
        </w:rPr>
        <w:t xml:space="preserve"> restante de la phase II. Ces activités aideront le pays à maintenir la réduction de la consommation de HCFC grâce à l’</w:t>
      </w:r>
      <w:r w:rsidR="009D41BB" w:rsidRPr="00646D83">
        <w:rPr>
          <w:lang w:val="fr-CA"/>
        </w:rPr>
        <w:t>applicati</w:t>
      </w:r>
      <w:r w:rsidR="00A56A98" w:rsidRPr="00646D83">
        <w:rPr>
          <w:lang w:val="fr-CA"/>
        </w:rPr>
        <w:t xml:space="preserve">on de bonnes pratiques d’entretien; la mise à </w:t>
      </w:r>
      <w:r w:rsidR="009D41BB" w:rsidRPr="00646D83">
        <w:rPr>
          <w:lang w:val="fr-CA"/>
        </w:rPr>
        <w:t>niveau</w:t>
      </w:r>
      <w:r w:rsidR="00A56A98" w:rsidRPr="00646D83">
        <w:rPr>
          <w:lang w:val="fr-CA"/>
        </w:rPr>
        <w:t xml:space="preserve"> de l’entretien offert par les établissements de la TESDA; la promotion des substances de remplac</w:t>
      </w:r>
      <w:r w:rsidR="009D41BB" w:rsidRPr="00646D83">
        <w:rPr>
          <w:lang w:val="fr-CA"/>
        </w:rPr>
        <w:t>e</w:t>
      </w:r>
      <w:r w:rsidR="00A56A98" w:rsidRPr="00646D83">
        <w:rPr>
          <w:lang w:val="fr-CA"/>
        </w:rPr>
        <w:t>ment des HCFC et la formation des techniciens en manipulation sécuritaire des frigorigènes inflammables, dont le HFC-32; le renforcement du programme de permis et de quotas en améliorant la gestion des données et l</w:t>
      </w:r>
      <w:r w:rsidR="008C5C0E">
        <w:rPr>
          <w:lang w:val="fr-CA"/>
        </w:rPr>
        <w:t>a formation des douaniers; et u</w:t>
      </w:r>
      <w:r w:rsidR="00A56A98" w:rsidRPr="00646D83">
        <w:rPr>
          <w:lang w:val="fr-CA"/>
        </w:rPr>
        <w:t>ne nouvelle réglementation qui interdit l’</w:t>
      </w:r>
      <w:r w:rsidR="009D41BB" w:rsidRPr="00646D83">
        <w:rPr>
          <w:lang w:val="fr-CA"/>
        </w:rPr>
        <w:t>enregistr</w:t>
      </w:r>
      <w:r w:rsidR="00A56A98" w:rsidRPr="00646D83">
        <w:rPr>
          <w:lang w:val="fr-CA"/>
        </w:rPr>
        <w:t xml:space="preserve">ement </w:t>
      </w:r>
      <w:r w:rsidR="008C5C0E">
        <w:rPr>
          <w:lang w:val="fr-CA"/>
        </w:rPr>
        <w:t>de l’équipement à base de HCFC-2</w:t>
      </w:r>
      <w:r w:rsidR="00A56A98" w:rsidRPr="00646D83">
        <w:rPr>
          <w:lang w:val="fr-CA"/>
        </w:rPr>
        <w:t xml:space="preserve">2 à compter de 2021. </w:t>
      </w:r>
      <w:r w:rsidR="00541ADD" w:rsidRPr="00646D83">
        <w:rPr>
          <w:lang w:val="fr-CA"/>
        </w:rPr>
        <w:t xml:space="preserve">Il n’y a plus de tranche de financement associée à la phase II du PGEH pour les Philippines. Les Philippines continueront à offrir une assistance technique au secteur de la climatisation afin d’encourager et de promouvoir l’utilisation de substances de remplacement à faible PRG, </w:t>
      </w:r>
      <w:r w:rsidR="00C65798">
        <w:rPr>
          <w:lang w:val="fr-CA"/>
        </w:rPr>
        <w:t>sachant</w:t>
      </w:r>
      <w:r w:rsidR="00541ADD" w:rsidRPr="00646D83">
        <w:rPr>
          <w:lang w:val="fr-CA"/>
        </w:rPr>
        <w:t xml:space="preserve"> que l’équipement à base de R-410A continue à être u</w:t>
      </w:r>
      <w:r w:rsidR="00C65798">
        <w:rPr>
          <w:lang w:val="fr-CA"/>
        </w:rPr>
        <w:t>tilisé à grande échelle aux Philippines</w:t>
      </w:r>
      <w:r w:rsidR="00541ADD" w:rsidRPr="00646D83">
        <w:rPr>
          <w:lang w:val="fr-CA"/>
        </w:rPr>
        <w:t xml:space="preserve"> </w:t>
      </w:r>
      <w:r w:rsidR="00AE200F" w:rsidRPr="00646D83">
        <w:rPr>
          <w:lang w:val="fr-CA"/>
        </w:rPr>
        <w:t>par</w:t>
      </w:r>
      <w:r w:rsidR="00541ADD" w:rsidRPr="00646D83">
        <w:rPr>
          <w:lang w:val="fr-CA"/>
        </w:rPr>
        <w:t xml:space="preserve"> manque d’information</w:t>
      </w:r>
      <w:r w:rsidR="00C65798">
        <w:rPr>
          <w:lang w:val="fr-CA"/>
        </w:rPr>
        <w:t xml:space="preserve"> et</w:t>
      </w:r>
      <w:r w:rsidR="00541ADD" w:rsidRPr="00646D83">
        <w:rPr>
          <w:lang w:val="fr-CA"/>
        </w:rPr>
        <w:t xml:space="preserve"> à cause</w:t>
      </w:r>
      <w:r w:rsidR="00AE200F" w:rsidRPr="00646D83">
        <w:rPr>
          <w:lang w:val="fr-CA"/>
        </w:rPr>
        <w:t xml:space="preserve"> de la technologie de convertisseur qui permet à l’utilisateur de réaliser des économies; </w:t>
      </w:r>
      <w:r w:rsidR="00C65798">
        <w:rPr>
          <w:lang w:val="fr-CA"/>
        </w:rPr>
        <w:t>en fournissant</w:t>
      </w:r>
      <w:r w:rsidR="00AE200F" w:rsidRPr="00646D83">
        <w:rPr>
          <w:lang w:val="fr-CA"/>
        </w:rPr>
        <w:t xml:space="preserve"> d</w:t>
      </w:r>
      <w:r w:rsidR="00C65798">
        <w:rPr>
          <w:lang w:val="fr-CA"/>
        </w:rPr>
        <w:t>e l</w:t>
      </w:r>
      <w:r w:rsidR="00AE200F" w:rsidRPr="00646D83">
        <w:rPr>
          <w:lang w:val="fr-CA"/>
        </w:rPr>
        <w:t xml:space="preserve">’information technique sur les bienfaits d’une technologie à PRG plus faible </w:t>
      </w:r>
      <w:r w:rsidR="00C65798">
        <w:rPr>
          <w:lang w:val="fr-CA"/>
        </w:rPr>
        <w:t>qui utilise également la</w:t>
      </w:r>
      <w:r w:rsidR="00AE200F" w:rsidRPr="00646D83">
        <w:rPr>
          <w:lang w:val="fr-CA"/>
        </w:rPr>
        <w:t xml:space="preserve"> technol</w:t>
      </w:r>
      <w:r w:rsidR="009D41BB" w:rsidRPr="00646D83">
        <w:rPr>
          <w:lang w:val="fr-CA"/>
        </w:rPr>
        <w:t>ogie de convertisseur</w:t>
      </w:r>
      <w:r w:rsidR="00AE200F" w:rsidRPr="00646D83">
        <w:rPr>
          <w:lang w:val="fr-CA"/>
        </w:rPr>
        <w:t xml:space="preserve"> (c.-à-d., HFC-32) et</w:t>
      </w:r>
      <w:r w:rsidR="009D41BB" w:rsidRPr="00646D83">
        <w:rPr>
          <w:lang w:val="fr-CA"/>
        </w:rPr>
        <w:t xml:space="preserve"> </w:t>
      </w:r>
      <w:r w:rsidR="00C65798">
        <w:rPr>
          <w:lang w:val="fr-CA"/>
        </w:rPr>
        <w:t>d’</w:t>
      </w:r>
      <w:r w:rsidR="009D41BB" w:rsidRPr="00646D83">
        <w:rPr>
          <w:lang w:val="fr-CA"/>
        </w:rPr>
        <w:t>autres solutions de remplacement telles que le R-290</w:t>
      </w:r>
      <w:r w:rsidR="00C65798">
        <w:rPr>
          <w:lang w:val="fr-CA"/>
        </w:rPr>
        <w:t>,</w:t>
      </w:r>
      <w:r w:rsidR="00DA510C">
        <w:rPr>
          <w:lang w:val="fr-CA"/>
        </w:rPr>
        <w:t xml:space="preserve"> à toutes les parties prenantes;</w:t>
      </w:r>
      <w:r w:rsidR="009D41BB" w:rsidRPr="00646D83">
        <w:rPr>
          <w:lang w:val="fr-CA"/>
        </w:rPr>
        <w:t xml:space="preserve"> une analyse du marché prévu et l’interdiction d’importer de l’équipement à base de HCFC </w:t>
      </w:r>
      <w:r w:rsidR="00C65798">
        <w:rPr>
          <w:lang w:val="fr-CA"/>
        </w:rPr>
        <w:t>qui devrait</w:t>
      </w:r>
      <w:r w:rsidR="009D41BB" w:rsidRPr="00646D83">
        <w:rPr>
          <w:lang w:val="fr-CA"/>
        </w:rPr>
        <w:t xml:space="preserve"> entrer en vigueur en janvier 2022, </w:t>
      </w:r>
      <w:r w:rsidR="006863E3">
        <w:rPr>
          <w:lang w:val="fr-CA"/>
        </w:rPr>
        <w:t xml:space="preserve">qui </w:t>
      </w:r>
      <w:r w:rsidR="009D41BB" w:rsidRPr="00646D83">
        <w:rPr>
          <w:lang w:val="fr-CA"/>
        </w:rPr>
        <w:t>appuieront l’adoption de solutions de remplacement sur le marché</w:t>
      </w:r>
      <w:r w:rsidR="00825F3F" w:rsidRPr="00646D83">
        <w:rPr>
          <w:lang w:val="fr-CA"/>
        </w:rPr>
        <w:t xml:space="preserve">. </w:t>
      </w:r>
    </w:p>
    <w:p w14:paraId="5A87CDC2" w14:textId="744971F8" w:rsidR="00825F3F" w:rsidRPr="00646D83" w:rsidRDefault="009D41BB" w:rsidP="00825F3F">
      <w:pPr>
        <w:keepNext/>
        <w:keepLines/>
        <w:numPr>
          <w:ilvl w:val="0"/>
          <w:numId w:val="1"/>
        </w:numPr>
        <w:spacing w:after="240"/>
        <w:outlineLvl w:val="0"/>
        <w:rPr>
          <w:i/>
          <w:lang w:val="fr-CA"/>
        </w:rPr>
      </w:pPr>
      <w:r w:rsidRPr="00646D83">
        <w:rPr>
          <w:lang w:val="fr-CA"/>
        </w:rPr>
        <w:t xml:space="preserve">La phase II du PGEH devrait être achevée d’ici le 31 décembre 2022, conformément à l’Accord avec le Comité exécutif. </w:t>
      </w:r>
      <w:r w:rsidR="00674204" w:rsidRPr="00646D83">
        <w:rPr>
          <w:lang w:val="fr-CA"/>
        </w:rPr>
        <w:t>L’ONUDI a indiqué que la phase III du PGEH sera présentée à la 89</w:t>
      </w:r>
      <w:r w:rsidR="00674204" w:rsidRPr="00646D83">
        <w:rPr>
          <w:vertAlign w:val="superscript"/>
          <w:lang w:val="fr-CA"/>
        </w:rPr>
        <w:t>e</w:t>
      </w:r>
      <w:r w:rsidR="00674204" w:rsidRPr="00646D83">
        <w:rPr>
          <w:lang w:val="fr-CA"/>
        </w:rPr>
        <w:t xml:space="preserve"> réunion</w:t>
      </w:r>
      <w:r w:rsidR="00825F3F" w:rsidRPr="00646D83">
        <w:rPr>
          <w:lang w:val="fr-CA"/>
        </w:rPr>
        <w:t xml:space="preserve">. </w:t>
      </w:r>
    </w:p>
    <w:p w14:paraId="26ED6F35" w14:textId="2CB95BC5" w:rsidR="00825F3F" w:rsidRPr="00646D83" w:rsidRDefault="00674204" w:rsidP="00825F3F">
      <w:pPr>
        <w:keepNext/>
        <w:keepLines/>
        <w:spacing w:after="240"/>
        <w:outlineLvl w:val="0"/>
        <w:rPr>
          <w:i/>
          <w:lang w:val="fr-CA"/>
        </w:rPr>
      </w:pPr>
      <w:r w:rsidRPr="00646D83">
        <w:rPr>
          <w:i/>
          <w:lang w:val="fr-CA"/>
        </w:rPr>
        <w:t>Révision de l’</w:t>
      </w:r>
      <w:r w:rsidR="005B7EC6">
        <w:rPr>
          <w:i/>
          <w:lang w:val="fr-CA"/>
        </w:rPr>
        <w:t>Accord</w:t>
      </w:r>
      <w:r w:rsidRPr="00646D83">
        <w:rPr>
          <w:i/>
          <w:lang w:val="fr-CA"/>
        </w:rPr>
        <w:t xml:space="preserve"> sur le PGEH</w:t>
      </w:r>
    </w:p>
    <w:p w14:paraId="7DD01506" w14:textId="2C6A5175" w:rsidR="00825F3F" w:rsidRPr="00646D83" w:rsidRDefault="00674204" w:rsidP="00825F3F">
      <w:pPr>
        <w:numPr>
          <w:ilvl w:val="0"/>
          <w:numId w:val="1"/>
        </w:numPr>
        <w:spacing w:after="240"/>
        <w:outlineLvl w:val="0"/>
        <w:rPr>
          <w:lang w:val="fr-CA"/>
        </w:rPr>
      </w:pPr>
      <w:r w:rsidRPr="00646D83">
        <w:rPr>
          <w:lang w:val="fr-CA"/>
        </w:rPr>
        <w:t>L’</w:t>
      </w:r>
      <w:r w:rsidR="006A7310" w:rsidRPr="00646D83">
        <w:rPr>
          <w:lang w:val="fr-CA"/>
        </w:rPr>
        <w:t>Appendice 2-A de l’</w:t>
      </w:r>
      <w:r w:rsidRPr="00646D83">
        <w:rPr>
          <w:lang w:val="fr-CA"/>
        </w:rPr>
        <w:t xml:space="preserve">Accord entre le gouvernement des Philippines et le Comité exécutif a été mis à jour, compte tenu du retrait du secteur de la fabrication de climatiseurs de la phase II du PGEH et du calendrier de financement révisé, </w:t>
      </w:r>
      <w:r w:rsidR="006A7310" w:rsidRPr="00646D83">
        <w:rPr>
          <w:lang w:val="fr-CA"/>
        </w:rPr>
        <w:t xml:space="preserve">présenté </w:t>
      </w:r>
      <w:r w:rsidRPr="00646D83">
        <w:rPr>
          <w:lang w:val="fr-CA"/>
        </w:rPr>
        <w:t xml:space="preserve">dans le </w:t>
      </w:r>
      <w:r w:rsidR="006A7310" w:rsidRPr="00646D83">
        <w:rPr>
          <w:lang w:val="fr-CA"/>
        </w:rPr>
        <w:t xml:space="preserve">tableau 11, </w:t>
      </w:r>
      <w:r w:rsidRPr="00646D83">
        <w:rPr>
          <w:lang w:val="fr-CA"/>
        </w:rPr>
        <w:t xml:space="preserve">ci-dessous, </w:t>
      </w:r>
      <w:r w:rsidR="006A7310" w:rsidRPr="00646D83">
        <w:rPr>
          <w:lang w:val="fr-CA"/>
        </w:rPr>
        <w:t>et le paragraphe 17 a été mis à jour afin de préciser que l’Accord actualisé remplace l’Accord conclu à la 83</w:t>
      </w:r>
      <w:r w:rsidR="006A7310" w:rsidRPr="00646D83">
        <w:rPr>
          <w:vertAlign w:val="superscript"/>
          <w:lang w:val="fr-CA"/>
        </w:rPr>
        <w:t>e</w:t>
      </w:r>
      <w:r w:rsidR="006863E3">
        <w:rPr>
          <w:lang w:val="fr-CA"/>
        </w:rPr>
        <w:t xml:space="preserve"> réunion, joint à l’annexe IV</w:t>
      </w:r>
      <w:r w:rsidR="006A7310" w:rsidRPr="00646D83">
        <w:rPr>
          <w:lang w:val="fr-CA"/>
        </w:rPr>
        <w:t xml:space="preserve"> au présent document. L’Accord révisé complet sera annexé au rapport final de la 87</w:t>
      </w:r>
      <w:r w:rsidR="006A7310" w:rsidRPr="00646D83">
        <w:rPr>
          <w:vertAlign w:val="superscript"/>
          <w:lang w:val="fr-CA"/>
        </w:rPr>
        <w:t>e</w:t>
      </w:r>
      <w:r w:rsidR="006A7310" w:rsidRPr="00646D83">
        <w:rPr>
          <w:lang w:val="fr-CA"/>
        </w:rPr>
        <w:t xml:space="preserve"> réunion</w:t>
      </w:r>
      <w:r w:rsidR="00825F3F" w:rsidRPr="00646D83">
        <w:rPr>
          <w:lang w:val="fr-CA"/>
        </w:rPr>
        <w:t xml:space="preserve">. </w:t>
      </w:r>
    </w:p>
    <w:p w14:paraId="32C3800A" w14:textId="157CC54B" w:rsidR="00825F3F" w:rsidRPr="00646D83" w:rsidRDefault="00825F3F" w:rsidP="00825F3F">
      <w:pPr>
        <w:pStyle w:val="Heading1"/>
        <w:numPr>
          <w:ilvl w:val="0"/>
          <w:numId w:val="0"/>
        </w:numPr>
        <w:spacing w:after="0"/>
        <w:rPr>
          <w:b/>
          <w:bCs/>
          <w:lang w:val="fr-CA"/>
        </w:rPr>
      </w:pPr>
      <w:r w:rsidRPr="00646D83">
        <w:rPr>
          <w:b/>
          <w:bCs/>
          <w:lang w:val="fr-CA"/>
        </w:rPr>
        <w:t>Table</w:t>
      </w:r>
      <w:r w:rsidR="006A7310" w:rsidRPr="00646D83">
        <w:rPr>
          <w:b/>
          <w:bCs/>
          <w:lang w:val="fr-CA"/>
        </w:rPr>
        <w:t>au</w:t>
      </w:r>
      <w:r w:rsidRPr="00646D83">
        <w:rPr>
          <w:b/>
          <w:bCs/>
          <w:lang w:val="fr-CA"/>
        </w:rPr>
        <w:t xml:space="preserve"> 11. </w:t>
      </w:r>
      <w:r w:rsidR="006A7310" w:rsidRPr="00646D83">
        <w:rPr>
          <w:b/>
          <w:bCs/>
          <w:lang w:val="fr-CA"/>
        </w:rPr>
        <w:t>Répartition de la tranche de financement révisée de la phase II du PGEH pour les Philippines</w:t>
      </w:r>
    </w:p>
    <w:tbl>
      <w:tblPr>
        <w:tblStyle w:val="TableGrid"/>
        <w:tblW w:w="0" w:type="auto"/>
        <w:tblLook w:val="04A0" w:firstRow="1" w:lastRow="0" w:firstColumn="1" w:lastColumn="0" w:noHBand="0" w:noVBand="1"/>
      </w:tblPr>
      <w:tblGrid>
        <w:gridCol w:w="2674"/>
        <w:gridCol w:w="1112"/>
        <w:gridCol w:w="1113"/>
        <w:gridCol w:w="1113"/>
        <w:gridCol w:w="1112"/>
        <w:gridCol w:w="1113"/>
        <w:gridCol w:w="1113"/>
      </w:tblGrid>
      <w:tr w:rsidR="00825F3F" w:rsidRPr="00646D83" w14:paraId="4267EE33" w14:textId="77777777" w:rsidTr="004F62E7">
        <w:tc>
          <w:tcPr>
            <w:tcW w:w="2674" w:type="dxa"/>
            <w:hideMark/>
          </w:tcPr>
          <w:p w14:paraId="1113D907" w14:textId="34EB61EF" w:rsidR="00825F3F" w:rsidRPr="00646D83" w:rsidRDefault="00B8780A" w:rsidP="004F62E7">
            <w:pPr>
              <w:jc w:val="left"/>
              <w:rPr>
                <w:b/>
                <w:bCs/>
                <w:sz w:val="20"/>
                <w:szCs w:val="20"/>
                <w:lang w:val="fr-CA"/>
              </w:rPr>
            </w:pPr>
            <w:r w:rsidRPr="00646D83">
              <w:rPr>
                <w:b/>
                <w:bCs/>
                <w:sz w:val="20"/>
                <w:szCs w:val="20"/>
                <w:lang w:val="fr-CA"/>
              </w:rPr>
              <w:t>Détails</w:t>
            </w:r>
          </w:p>
        </w:tc>
        <w:tc>
          <w:tcPr>
            <w:tcW w:w="1112" w:type="dxa"/>
            <w:hideMark/>
          </w:tcPr>
          <w:p w14:paraId="41798968" w14:textId="77777777" w:rsidR="00825F3F" w:rsidRPr="00646D83" w:rsidRDefault="00825F3F" w:rsidP="004F62E7">
            <w:pPr>
              <w:jc w:val="center"/>
              <w:rPr>
                <w:b/>
                <w:bCs/>
                <w:sz w:val="20"/>
                <w:szCs w:val="20"/>
                <w:lang w:val="fr-CA"/>
              </w:rPr>
            </w:pPr>
            <w:r w:rsidRPr="00646D83">
              <w:rPr>
                <w:b/>
                <w:bCs/>
                <w:sz w:val="20"/>
                <w:szCs w:val="20"/>
                <w:lang w:val="fr-CA"/>
              </w:rPr>
              <w:t>2017</w:t>
            </w:r>
          </w:p>
        </w:tc>
        <w:tc>
          <w:tcPr>
            <w:tcW w:w="1113" w:type="dxa"/>
            <w:hideMark/>
          </w:tcPr>
          <w:p w14:paraId="6E992688" w14:textId="77777777" w:rsidR="00825F3F" w:rsidRPr="00646D83" w:rsidRDefault="00825F3F" w:rsidP="004F62E7">
            <w:pPr>
              <w:jc w:val="center"/>
              <w:rPr>
                <w:b/>
                <w:bCs/>
                <w:sz w:val="20"/>
                <w:szCs w:val="20"/>
                <w:lang w:val="fr-CA"/>
              </w:rPr>
            </w:pPr>
            <w:r w:rsidRPr="00646D83">
              <w:rPr>
                <w:b/>
                <w:bCs/>
                <w:sz w:val="20"/>
                <w:szCs w:val="20"/>
                <w:lang w:val="fr-CA"/>
              </w:rPr>
              <w:t>2018</w:t>
            </w:r>
          </w:p>
        </w:tc>
        <w:tc>
          <w:tcPr>
            <w:tcW w:w="1113" w:type="dxa"/>
            <w:hideMark/>
          </w:tcPr>
          <w:p w14:paraId="046821C0" w14:textId="77777777" w:rsidR="00825F3F" w:rsidRPr="00646D83" w:rsidRDefault="00825F3F" w:rsidP="004F62E7">
            <w:pPr>
              <w:jc w:val="center"/>
              <w:rPr>
                <w:b/>
                <w:bCs/>
                <w:sz w:val="20"/>
                <w:szCs w:val="20"/>
                <w:lang w:val="fr-CA"/>
              </w:rPr>
            </w:pPr>
            <w:r w:rsidRPr="00646D83">
              <w:rPr>
                <w:b/>
                <w:bCs/>
                <w:sz w:val="20"/>
                <w:szCs w:val="20"/>
                <w:lang w:val="fr-CA"/>
              </w:rPr>
              <w:t>2019</w:t>
            </w:r>
          </w:p>
        </w:tc>
        <w:tc>
          <w:tcPr>
            <w:tcW w:w="1112" w:type="dxa"/>
            <w:hideMark/>
          </w:tcPr>
          <w:p w14:paraId="29E37D6C" w14:textId="77777777" w:rsidR="00825F3F" w:rsidRPr="00646D83" w:rsidRDefault="00825F3F" w:rsidP="004F62E7">
            <w:pPr>
              <w:jc w:val="center"/>
              <w:rPr>
                <w:b/>
                <w:bCs/>
                <w:sz w:val="20"/>
                <w:szCs w:val="20"/>
                <w:lang w:val="fr-CA"/>
              </w:rPr>
            </w:pPr>
            <w:r w:rsidRPr="00646D83">
              <w:rPr>
                <w:b/>
                <w:bCs/>
                <w:sz w:val="20"/>
                <w:szCs w:val="20"/>
                <w:lang w:val="fr-CA"/>
              </w:rPr>
              <w:t>2020</w:t>
            </w:r>
          </w:p>
        </w:tc>
        <w:tc>
          <w:tcPr>
            <w:tcW w:w="1113" w:type="dxa"/>
            <w:hideMark/>
          </w:tcPr>
          <w:p w14:paraId="174F5454" w14:textId="77777777" w:rsidR="00825F3F" w:rsidRPr="00646D83" w:rsidRDefault="00825F3F" w:rsidP="004F62E7">
            <w:pPr>
              <w:jc w:val="center"/>
              <w:rPr>
                <w:b/>
                <w:bCs/>
                <w:sz w:val="20"/>
                <w:szCs w:val="20"/>
                <w:lang w:val="fr-CA"/>
              </w:rPr>
            </w:pPr>
            <w:r w:rsidRPr="00646D83">
              <w:rPr>
                <w:b/>
                <w:bCs/>
                <w:sz w:val="20"/>
                <w:szCs w:val="20"/>
                <w:lang w:val="fr-CA"/>
              </w:rPr>
              <w:t>2021</w:t>
            </w:r>
          </w:p>
        </w:tc>
        <w:tc>
          <w:tcPr>
            <w:tcW w:w="1113" w:type="dxa"/>
            <w:hideMark/>
          </w:tcPr>
          <w:p w14:paraId="5962E7EA" w14:textId="77777777" w:rsidR="00825F3F" w:rsidRPr="00646D83" w:rsidRDefault="00825F3F" w:rsidP="004F62E7">
            <w:pPr>
              <w:jc w:val="right"/>
              <w:rPr>
                <w:b/>
                <w:bCs/>
                <w:sz w:val="20"/>
                <w:szCs w:val="20"/>
                <w:lang w:val="fr-CA"/>
              </w:rPr>
            </w:pPr>
            <w:r w:rsidRPr="00646D83">
              <w:rPr>
                <w:b/>
                <w:bCs/>
                <w:sz w:val="20"/>
                <w:szCs w:val="20"/>
                <w:lang w:val="fr-CA"/>
              </w:rPr>
              <w:t>Total</w:t>
            </w:r>
          </w:p>
        </w:tc>
      </w:tr>
      <w:tr w:rsidR="00825F3F" w:rsidRPr="00646D83" w14:paraId="6B8817B7" w14:textId="77777777" w:rsidTr="004F62E7">
        <w:tc>
          <w:tcPr>
            <w:tcW w:w="9350" w:type="dxa"/>
            <w:gridSpan w:val="7"/>
            <w:hideMark/>
          </w:tcPr>
          <w:p w14:paraId="2829ED7A" w14:textId="23DC84E3" w:rsidR="00825F3F" w:rsidRPr="00646D83" w:rsidRDefault="00B8780A" w:rsidP="004F62E7">
            <w:pPr>
              <w:jc w:val="left"/>
              <w:rPr>
                <w:b/>
                <w:bCs/>
                <w:sz w:val="20"/>
                <w:szCs w:val="20"/>
                <w:lang w:val="fr-CA"/>
              </w:rPr>
            </w:pPr>
            <w:r w:rsidRPr="00646D83">
              <w:rPr>
                <w:b/>
                <w:bCs/>
                <w:sz w:val="20"/>
                <w:szCs w:val="20"/>
                <w:lang w:val="fr-CA"/>
              </w:rPr>
              <w:t>Version originale</w:t>
            </w:r>
            <w:r w:rsidR="00825F3F" w:rsidRPr="00646D83">
              <w:rPr>
                <w:b/>
                <w:bCs/>
                <w:sz w:val="20"/>
                <w:szCs w:val="20"/>
                <w:lang w:val="fr-CA"/>
              </w:rPr>
              <w:t xml:space="preserve"> </w:t>
            </w:r>
          </w:p>
        </w:tc>
      </w:tr>
      <w:tr w:rsidR="00825F3F" w:rsidRPr="00646D83" w14:paraId="03A00B33" w14:textId="77777777" w:rsidTr="004F62E7">
        <w:tc>
          <w:tcPr>
            <w:tcW w:w="2674" w:type="dxa"/>
            <w:hideMark/>
          </w:tcPr>
          <w:p w14:paraId="5F02C2BC" w14:textId="554454CB" w:rsidR="00825F3F" w:rsidRPr="00646D83" w:rsidRDefault="00B8780A" w:rsidP="004F62E7">
            <w:pPr>
              <w:jc w:val="left"/>
              <w:rPr>
                <w:sz w:val="20"/>
                <w:szCs w:val="20"/>
                <w:lang w:val="fr-CA"/>
              </w:rPr>
            </w:pPr>
            <w:r w:rsidRPr="00646D83">
              <w:rPr>
                <w:sz w:val="20"/>
                <w:szCs w:val="20"/>
                <w:lang w:val="fr-CA"/>
              </w:rPr>
              <w:t>Financement convenu</w:t>
            </w:r>
            <w:r w:rsidR="00825F3F" w:rsidRPr="00646D83">
              <w:rPr>
                <w:sz w:val="20"/>
                <w:szCs w:val="20"/>
                <w:lang w:val="fr-CA"/>
              </w:rPr>
              <w:t xml:space="preserve"> </w:t>
            </w:r>
          </w:p>
        </w:tc>
        <w:tc>
          <w:tcPr>
            <w:tcW w:w="1112" w:type="dxa"/>
            <w:hideMark/>
          </w:tcPr>
          <w:p w14:paraId="07F59EDC" w14:textId="38024874" w:rsidR="00825F3F" w:rsidRPr="00646D83" w:rsidRDefault="00825F3F" w:rsidP="004F62E7">
            <w:pPr>
              <w:jc w:val="right"/>
              <w:rPr>
                <w:sz w:val="20"/>
                <w:szCs w:val="20"/>
                <w:lang w:val="fr-CA"/>
              </w:rPr>
            </w:pPr>
            <w:r w:rsidRPr="00646D83">
              <w:rPr>
                <w:sz w:val="20"/>
                <w:szCs w:val="20"/>
                <w:lang w:val="fr-CA"/>
              </w:rPr>
              <w:t>1</w:t>
            </w:r>
            <w:r w:rsidR="00B8780A" w:rsidRPr="00646D83">
              <w:rPr>
                <w:sz w:val="20"/>
                <w:szCs w:val="20"/>
                <w:lang w:val="fr-CA"/>
              </w:rPr>
              <w:t xml:space="preserve"> </w:t>
            </w:r>
            <w:r w:rsidRPr="00646D83">
              <w:rPr>
                <w:sz w:val="20"/>
                <w:szCs w:val="20"/>
                <w:lang w:val="fr-CA"/>
              </w:rPr>
              <w:t>010</w:t>
            </w:r>
            <w:r w:rsidR="00B8780A" w:rsidRPr="00646D83">
              <w:rPr>
                <w:sz w:val="20"/>
                <w:szCs w:val="20"/>
                <w:lang w:val="fr-CA"/>
              </w:rPr>
              <w:t xml:space="preserve"> </w:t>
            </w:r>
            <w:r w:rsidRPr="00646D83">
              <w:rPr>
                <w:sz w:val="20"/>
                <w:szCs w:val="20"/>
                <w:lang w:val="fr-CA"/>
              </w:rPr>
              <w:t>023</w:t>
            </w:r>
          </w:p>
        </w:tc>
        <w:tc>
          <w:tcPr>
            <w:tcW w:w="1113" w:type="dxa"/>
            <w:hideMark/>
          </w:tcPr>
          <w:p w14:paraId="74DC1B5C"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3B129687" w14:textId="52D567DF" w:rsidR="00825F3F" w:rsidRPr="00646D83" w:rsidRDefault="00825F3F" w:rsidP="004F62E7">
            <w:pPr>
              <w:jc w:val="right"/>
              <w:rPr>
                <w:sz w:val="20"/>
                <w:szCs w:val="20"/>
                <w:lang w:val="fr-CA"/>
              </w:rPr>
            </w:pPr>
            <w:r w:rsidRPr="00646D83">
              <w:rPr>
                <w:sz w:val="20"/>
                <w:szCs w:val="20"/>
                <w:lang w:val="fr-CA"/>
              </w:rPr>
              <w:t>1</w:t>
            </w:r>
            <w:r w:rsidR="00B8780A" w:rsidRPr="00646D83">
              <w:rPr>
                <w:sz w:val="20"/>
                <w:szCs w:val="20"/>
                <w:lang w:val="fr-CA"/>
              </w:rPr>
              <w:t xml:space="preserve"> </w:t>
            </w:r>
            <w:r w:rsidRPr="00646D83">
              <w:rPr>
                <w:sz w:val="20"/>
                <w:szCs w:val="20"/>
                <w:lang w:val="fr-CA"/>
              </w:rPr>
              <w:t>450</w:t>
            </w:r>
            <w:r w:rsidR="00B8780A" w:rsidRPr="00646D83">
              <w:rPr>
                <w:sz w:val="20"/>
                <w:szCs w:val="20"/>
                <w:lang w:val="fr-CA"/>
              </w:rPr>
              <w:t xml:space="preserve"> </w:t>
            </w:r>
            <w:r w:rsidRPr="00646D83">
              <w:rPr>
                <w:sz w:val="20"/>
                <w:szCs w:val="20"/>
                <w:lang w:val="fr-CA"/>
              </w:rPr>
              <w:t>029</w:t>
            </w:r>
          </w:p>
        </w:tc>
        <w:tc>
          <w:tcPr>
            <w:tcW w:w="1112" w:type="dxa"/>
            <w:hideMark/>
          </w:tcPr>
          <w:p w14:paraId="5325877E"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61CBCD6E" w14:textId="486812F9" w:rsidR="00825F3F" w:rsidRPr="00646D83" w:rsidRDefault="00825F3F" w:rsidP="004F62E7">
            <w:pPr>
              <w:jc w:val="right"/>
              <w:rPr>
                <w:sz w:val="20"/>
                <w:szCs w:val="20"/>
                <w:lang w:val="fr-CA"/>
              </w:rPr>
            </w:pPr>
            <w:r w:rsidRPr="00646D83">
              <w:rPr>
                <w:sz w:val="20"/>
                <w:szCs w:val="20"/>
                <w:lang w:val="fr-CA"/>
              </w:rPr>
              <w:t>290</w:t>
            </w:r>
            <w:r w:rsidR="00B8780A" w:rsidRPr="00646D83">
              <w:rPr>
                <w:sz w:val="20"/>
                <w:szCs w:val="20"/>
                <w:lang w:val="fr-CA"/>
              </w:rPr>
              <w:t xml:space="preserve"> </w:t>
            </w:r>
            <w:r w:rsidRPr="00646D83">
              <w:rPr>
                <w:sz w:val="20"/>
                <w:szCs w:val="20"/>
                <w:lang w:val="fr-CA"/>
              </w:rPr>
              <w:t>005</w:t>
            </w:r>
          </w:p>
        </w:tc>
        <w:tc>
          <w:tcPr>
            <w:tcW w:w="1113" w:type="dxa"/>
            <w:hideMark/>
          </w:tcPr>
          <w:p w14:paraId="6294DAF0" w14:textId="5BDE9412" w:rsidR="00825F3F" w:rsidRPr="00646D83" w:rsidRDefault="00825F3F" w:rsidP="004F62E7">
            <w:pPr>
              <w:jc w:val="right"/>
              <w:rPr>
                <w:b/>
                <w:bCs/>
                <w:sz w:val="20"/>
                <w:szCs w:val="20"/>
                <w:lang w:val="fr-CA"/>
              </w:rPr>
            </w:pPr>
            <w:r w:rsidRPr="00646D83">
              <w:rPr>
                <w:b/>
                <w:bCs/>
                <w:sz w:val="20"/>
                <w:szCs w:val="20"/>
                <w:lang w:val="fr-CA"/>
              </w:rPr>
              <w:t>2</w:t>
            </w:r>
            <w:r w:rsidR="00B8780A" w:rsidRPr="00646D83">
              <w:rPr>
                <w:b/>
                <w:bCs/>
                <w:sz w:val="20"/>
                <w:szCs w:val="20"/>
                <w:lang w:val="fr-CA"/>
              </w:rPr>
              <w:t xml:space="preserve"> </w:t>
            </w:r>
            <w:r w:rsidRPr="00646D83">
              <w:rPr>
                <w:b/>
                <w:bCs/>
                <w:sz w:val="20"/>
                <w:szCs w:val="20"/>
                <w:lang w:val="fr-CA"/>
              </w:rPr>
              <w:t>750</w:t>
            </w:r>
            <w:r w:rsidR="00B8780A" w:rsidRPr="00646D83">
              <w:rPr>
                <w:b/>
                <w:bCs/>
                <w:sz w:val="20"/>
                <w:szCs w:val="20"/>
                <w:lang w:val="fr-CA"/>
              </w:rPr>
              <w:t xml:space="preserve"> </w:t>
            </w:r>
            <w:r w:rsidRPr="00646D83">
              <w:rPr>
                <w:b/>
                <w:bCs/>
                <w:sz w:val="20"/>
                <w:szCs w:val="20"/>
                <w:lang w:val="fr-CA"/>
              </w:rPr>
              <w:t>057</w:t>
            </w:r>
          </w:p>
        </w:tc>
      </w:tr>
      <w:tr w:rsidR="00825F3F" w:rsidRPr="00646D83" w14:paraId="7E376BC9" w14:textId="77777777" w:rsidTr="004F62E7">
        <w:tc>
          <w:tcPr>
            <w:tcW w:w="2674" w:type="dxa"/>
            <w:hideMark/>
          </w:tcPr>
          <w:p w14:paraId="2DDA471F" w14:textId="2DB1112B" w:rsidR="00825F3F" w:rsidRPr="00646D83" w:rsidRDefault="00B8780A" w:rsidP="004F62E7">
            <w:pPr>
              <w:jc w:val="left"/>
              <w:rPr>
                <w:sz w:val="20"/>
                <w:szCs w:val="20"/>
                <w:lang w:val="fr-CA"/>
              </w:rPr>
            </w:pPr>
            <w:r w:rsidRPr="00646D83">
              <w:rPr>
                <w:sz w:val="20"/>
                <w:szCs w:val="20"/>
                <w:lang w:val="fr-CA"/>
              </w:rPr>
              <w:t>Coûts d’appui</w:t>
            </w:r>
          </w:p>
        </w:tc>
        <w:tc>
          <w:tcPr>
            <w:tcW w:w="1112" w:type="dxa"/>
            <w:hideMark/>
          </w:tcPr>
          <w:p w14:paraId="29E72E74" w14:textId="1FA0AA23" w:rsidR="00825F3F" w:rsidRPr="00646D83" w:rsidRDefault="00825F3F" w:rsidP="004F62E7">
            <w:pPr>
              <w:jc w:val="right"/>
              <w:rPr>
                <w:sz w:val="20"/>
                <w:szCs w:val="20"/>
                <w:lang w:val="fr-CA"/>
              </w:rPr>
            </w:pPr>
            <w:r w:rsidRPr="00646D83">
              <w:rPr>
                <w:sz w:val="20"/>
                <w:szCs w:val="20"/>
                <w:lang w:val="fr-CA"/>
              </w:rPr>
              <w:t>70</w:t>
            </w:r>
            <w:r w:rsidR="00B8780A" w:rsidRPr="00646D83">
              <w:rPr>
                <w:sz w:val="20"/>
                <w:szCs w:val="20"/>
                <w:lang w:val="fr-CA"/>
              </w:rPr>
              <w:t xml:space="preserve"> </w:t>
            </w:r>
            <w:r w:rsidRPr="00646D83">
              <w:rPr>
                <w:sz w:val="20"/>
                <w:szCs w:val="20"/>
                <w:lang w:val="fr-CA"/>
              </w:rPr>
              <w:t>702</w:t>
            </w:r>
          </w:p>
        </w:tc>
        <w:tc>
          <w:tcPr>
            <w:tcW w:w="1113" w:type="dxa"/>
            <w:hideMark/>
          </w:tcPr>
          <w:p w14:paraId="24EDE8D7"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560A4BA2" w14:textId="652676B6" w:rsidR="00825F3F" w:rsidRPr="00646D83" w:rsidRDefault="00825F3F" w:rsidP="004F62E7">
            <w:pPr>
              <w:jc w:val="right"/>
              <w:rPr>
                <w:sz w:val="20"/>
                <w:szCs w:val="20"/>
                <w:lang w:val="fr-CA"/>
              </w:rPr>
            </w:pPr>
            <w:r w:rsidRPr="00646D83">
              <w:rPr>
                <w:sz w:val="20"/>
                <w:szCs w:val="20"/>
                <w:lang w:val="fr-CA"/>
              </w:rPr>
              <w:t>101</w:t>
            </w:r>
            <w:r w:rsidR="00B8780A" w:rsidRPr="00646D83">
              <w:rPr>
                <w:sz w:val="20"/>
                <w:szCs w:val="20"/>
                <w:lang w:val="fr-CA"/>
              </w:rPr>
              <w:t xml:space="preserve"> </w:t>
            </w:r>
            <w:r w:rsidRPr="00646D83">
              <w:rPr>
                <w:sz w:val="20"/>
                <w:szCs w:val="20"/>
                <w:lang w:val="fr-CA"/>
              </w:rPr>
              <w:t>502</w:t>
            </w:r>
          </w:p>
        </w:tc>
        <w:tc>
          <w:tcPr>
            <w:tcW w:w="1112" w:type="dxa"/>
            <w:hideMark/>
          </w:tcPr>
          <w:p w14:paraId="64046349"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1761D4C5" w14:textId="482DEBFC" w:rsidR="00825F3F" w:rsidRPr="00646D83" w:rsidRDefault="00825F3F" w:rsidP="004F62E7">
            <w:pPr>
              <w:jc w:val="right"/>
              <w:rPr>
                <w:sz w:val="20"/>
                <w:szCs w:val="20"/>
                <w:lang w:val="fr-CA"/>
              </w:rPr>
            </w:pPr>
            <w:r w:rsidRPr="00646D83">
              <w:rPr>
                <w:sz w:val="20"/>
                <w:szCs w:val="20"/>
                <w:lang w:val="fr-CA"/>
              </w:rPr>
              <w:t>20</w:t>
            </w:r>
            <w:r w:rsidR="00B8780A" w:rsidRPr="00646D83">
              <w:rPr>
                <w:sz w:val="20"/>
                <w:szCs w:val="20"/>
                <w:lang w:val="fr-CA"/>
              </w:rPr>
              <w:t xml:space="preserve"> </w:t>
            </w:r>
            <w:r w:rsidRPr="00646D83">
              <w:rPr>
                <w:sz w:val="20"/>
                <w:szCs w:val="20"/>
                <w:lang w:val="fr-CA"/>
              </w:rPr>
              <w:t>300</w:t>
            </w:r>
          </w:p>
        </w:tc>
        <w:tc>
          <w:tcPr>
            <w:tcW w:w="1113" w:type="dxa"/>
            <w:hideMark/>
          </w:tcPr>
          <w:p w14:paraId="1F2C369A" w14:textId="68DA624E" w:rsidR="00825F3F" w:rsidRPr="00646D83" w:rsidRDefault="00825F3F" w:rsidP="004F62E7">
            <w:pPr>
              <w:jc w:val="right"/>
              <w:rPr>
                <w:b/>
                <w:bCs/>
                <w:sz w:val="20"/>
                <w:szCs w:val="20"/>
                <w:lang w:val="fr-CA"/>
              </w:rPr>
            </w:pPr>
            <w:r w:rsidRPr="00646D83">
              <w:rPr>
                <w:b/>
                <w:bCs/>
                <w:sz w:val="20"/>
                <w:szCs w:val="20"/>
                <w:lang w:val="fr-CA"/>
              </w:rPr>
              <w:t>192</w:t>
            </w:r>
            <w:r w:rsidR="00B8780A" w:rsidRPr="00646D83">
              <w:rPr>
                <w:b/>
                <w:bCs/>
                <w:sz w:val="20"/>
                <w:szCs w:val="20"/>
                <w:lang w:val="fr-CA"/>
              </w:rPr>
              <w:t xml:space="preserve"> </w:t>
            </w:r>
            <w:r w:rsidRPr="00646D83">
              <w:rPr>
                <w:b/>
                <w:bCs/>
                <w:sz w:val="20"/>
                <w:szCs w:val="20"/>
                <w:lang w:val="fr-CA"/>
              </w:rPr>
              <w:t>504</w:t>
            </w:r>
          </w:p>
        </w:tc>
      </w:tr>
      <w:tr w:rsidR="00825F3F" w:rsidRPr="00646D83" w14:paraId="74EDBA50" w14:textId="77777777" w:rsidTr="004F62E7">
        <w:tc>
          <w:tcPr>
            <w:tcW w:w="2674" w:type="dxa"/>
            <w:hideMark/>
          </w:tcPr>
          <w:p w14:paraId="2F2F06EA" w14:textId="64CC6EEF" w:rsidR="00825F3F" w:rsidRPr="00646D83" w:rsidRDefault="00B8780A" w:rsidP="004F62E7">
            <w:pPr>
              <w:jc w:val="left"/>
              <w:rPr>
                <w:sz w:val="20"/>
                <w:szCs w:val="20"/>
                <w:lang w:val="fr-CA"/>
              </w:rPr>
            </w:pPr>
            <w:r w:rsidRPr="00646D83">
              <w:rPr>
                <w:sz w:val="20"/>
                <w:szCs w:val="20"/>
                <w:lang w:val="fr-CA"/>
              </w:rPr>
              <w:t>Total des coûts convenus</w:t>
            </w:r>
            <w:r w:rsidR="00825F3F" w:rsidRPr="00646D83">
              <w:rPr>
                <w:sz w:val="20"/>
                <w:szCs w:val="20"/>
                <w:lang w:val="fr-CA"/>
              </w:rPr>
              <w:t xml:space="preserve"> </w:t>
            </w:r>
          </w:p>
        </w:tc>
        <w:tc>
          <w:tcPr>
            <w:tcW w:w="1112" w:type="dxa"/>
            <w:hideMark/>
          </w:tcPr>
          <w:p w14:paraId="3A291374" w14:textId="2B09561F" w:rsidR="00825F3F" w:rsidRPr="00646D83" w:rsidRDefault="00825F3F" w:rsidP="004F62E7">
            <w:pPr>
              <w:jc w:val="right"/>
              <w:rPr>
                <w:sz w:val="20"/>
                <w:szCs w:val="20"/>
                <w:lang w:val="fr-CA"/>
              </w:rPr>
            </w:pPr>
            <w:r w:rsidRPr="00646D83">
              <w:rPr>
                <w:sz w:val="20"/>
                <w:szCs w:val="20"/>
                <w:lang w:val="fr-CA"/>
              </w:rPr>
              <w:t>1</w:t>
            </w:r>
            <w:r w:rsidR="00B8780A" w:rsidRPr="00646D83">
              <w:rPr>
                <w:sz w:val="20"/>
                <w:szCs w:val="20"/>
                <w:lang w:val="fr-CA"/>
              </w:rPr>
              <w:t xml:space="preserve"> </w:t>
            </w:r>
            <w:r w:rsidRPr="00646D83">
              <w:rPr>
                <w:sz w:val="20"/>
                <w:szCs w:val="20"/>
                <w:lang w:val="fr-CA"/>
              </w:rPr>
              <w:t>080</w:t>
            </w:r>
            <w:r w:rsidR="00B8780A" w:rsidRPr="00646D83">
              <w:rPr>
                <w:sz w:val="20"/>
                <w:szCs w:val="20"/>
                <w:lang w:val="fr-CA"/>
              </w:rPr>
              <w:t xml:space="preserve"> </w:t>
            </w:r>
            <w:r w:rsidRPr="00646D83">
              <w:rPr>
                <w:sz w:val="20"/>
                <w:szCs w:val="20"/>
                <w:lang w:val="fr-CA"/>
              </w:rPr>
              <w:t>725</w:t>
            </w:r>
          </w:p>
        </w:tc>
        <w:tc>
          <w:tcPr>
            <w:tcW w:w="1113" w:type="dxa"/>
            <w:hideMark/>
          </w:tcPr>
          <w:p w14:paraId="54DC17D0"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1A8A7C21" w14:textId="59BC60B8" w:rsidR="00825F3F" w:rsidRPr="00646D83" w:rsidRDefault="00825F3F" w:rsidP="004F62E7">
            <w:pPr>
              <w:jc w:val="right"/>
              <w:rPr>
                <w:sz w:val="20"/>
                <w:szCs w:val="20"/>
                <w:lang w:val="fr-CA"/>
              </w:rPr>
            </w:pPr>
            <w:r w:rsidRPr="00646D83">
              <w:rPr>
                <w:sz w:val="20"/>
                <w:szCs w:val="20"/>
                <w:lang w:val="fr-CA"/>
              </w:rPr>
              <w:t>1</w:t>
            </w:r>
            <w:r w:rsidR="00B8780A" w:rsidRPr="00646D83">
              <w:rPr>
                <w:sz w:val="20"/>
                <w:szCs w:val="20"/>
                <w:lang w:val="fr-CA"/>
              </w:rPr>
              <w:t xml:space="preserve"> </w:t>
            </w:r>
            <w:r w:rsidRPr="00646D83">
              <w:rPr>
                <w:sz w:val="20"/>
                <w:szCs w:val="20"/>
                <w:lang w:val="fr-CA"/>
              </w:rPr>
              <w:t>551</w:t>
            </w:r>
            <w:r w:rsidR="00B8780A" w:rsidRPr="00646D83">
              <w:rPr>
                <w:sz w:val="20"/>
                <w:szCs w:val="20"/>
                <w:lang w:val="fr-CA"/>
              </w:rPr>
              <w:t xml:space="preserve"> </w:t>
            </w:r>
            <w:r w:rsidRPr="00646D83">
              <w:rPr>
                <w:sz w:val="20"/>
                <w:szCs w:val="20"/>
                <w:lang w:val="fr-CA"/>
              </w:rPr>
              <w:t>531</w:t>
            </w:r>
          </w:p>
        </w:tc>
        <w:tc>
          <w:tcPr>
            <w:tcW w:w="1112" w:type="dxa"/>
            <w:hideMark/>
          </w:tcPr>
          <w:p w14:paraId="4DC8B13D" w14:textId="77777777" w:rsidR="00825F3F" w:rsidRPr="00646D83" w:rsidRDefault="00825F3F" w:rsidP="004F62E7">
            <w:pPr>
              <w:jc w:val="right"/>
              <w:rPr>
                <w:sz w:val="20"/>
                <w:szCs w:val="20"/>
                <w:lang w:val="fr-CA"/>
              </w:rPr>
            </w:pPr>
            <w:r w:rsidRPr="00646D83">
              <w:rPr>
                <w:sz w:val="20"/>
                <w:szCs w:val="20"/>
                <w:lang w:val="fr-CA"/>
              </w:rPr>
              <w:t>0</w:t>
            </w:r>
          </w:p>
        </w:tc>
        <w:tc>
          <w:tcPr>
            <w:tcW w:w="1113" w:type="dxa"/>
            <w:hideMark/>
          </w:tcPr>
          <w:p w14:paraId="2744544B" w14:textId="236E872D" w:rsidR="00825F3F" w:rsidRPr="00646D83" w:rsidRDefault="00825F3F" w:rsidP="004F62E7">
            <w:pPr>
              <w:jc w:val="right"/>
              <w:rPr>
                <w:sz w:val="20"/>
                <w:szCs w:val="20"/>
                <w:lang w:val="fr-CA"/>
              </w:rPr>
            </w:pPr>
            <w:r w:rsidRPr="00646D83">
              <w:rPr>
                <w:sz w:val="20"/>
                <w:szCs w:val="20"/>
                <w:lang w:val="fr-CA"/>
              </w:rPr>
              <w:t>310</w:t>
            </w:r>
            <w:r w:rsidR="00B8780A" w:rsidRPr="00646D83">
              <w:rPr>
                <w:sz w:val="20"/>
                <w:szCs w:val="20"/>
                <w:lang w:val="fr-CA"/>
              </w:rPr>
              <w:t xml:space="preserve"> </w:t>
            </w:r>
            <w:r w:rsidRPr="00646D83">
              <w:rPr>
                <w:sz w:val="20"/>
                <w:szCs w:val="20"/>
                <w:lang w:val="fr-CA"/>
              </w:rPr>
              <w:t>305</w:t>
            </w:r>
          </w:p>
        </w:tc>
        <w:tc>
          <w:tcPr>
            <w:tcW w:w="1113" w:type="dxa"/>
            <w:hideMark/>
          </w:tcPr>
          <w:p w14:paraId="036280A4" w14:textId="540147E3" w:rsidR="00825F3F" w:rsidRPr="00646D83" w:rsidRDefault="00825F3F" w:rsidP="004F62E7">
            <w:pPr>
              <w:jc w:val="right"/>
              <w:rPr>
                <w:b/>
                <w:bCs/>
                <w:sz w:val="20"/>
                <w:szCs w:val="20"/>
                <w:lang w:val="fr-CA"/>
              </w:rPr>
            </w:pPr>
            <w:r w:rsidRPr="00646D83">
              <w:rPr>
                <w:b/>
                <w:bCs/>
                <w:sz w:val="20"/>
                <w:szCs w:val="20"/>
                <w:lang w:val="fr-CA"/>
              </w:rPr>
              <w:t>2</w:t>
            </w:r>
            <w:r w:rsidR="00B8780A" w:rsidRPr="00646D83">
              <w:rPr>
                <w:b/>
                <w:bCs/>
                <w:sz w:val="20"/>
                <w:szCs w:val="20"/>
                <w:lang w:val="fr-CA"/>
              </w:rPr>
              <w:t xml:space="preserve"> </w:t>
            </w:r>
            <w:r w:rsidRPr="00646D83">
              <w:rPr>
                <w:b/>
                <w:bCs/>
                <w:sz w:val="20"/>
                <w:szCs w:val="20"/>
                <w:lang w:val="fr-CA"/>
              </w:rPr>
              <w:t>942</w:t>
            </w:r>
            <w:r w:rsidR="00B8780A" w:rsidRPr="00646D83">
              <w:rPr>
                <w:b/>
                <w:bCs/>
                <w:sz w:val="20"/>
                <w:szCs w:val="20"/>
                <w:lang w:val="fr-CA"/>
              </w:rPr>
              <w:t xml:space="preserve"> </w:t>
            </w:r>
            <w:r w:rsidRPr="00646D83">
              <w:rPr>
                <w:b/>
                <w:bCs/>
                <w:sz w:val="20"/>
                <w:szCs w:val="20"/>
                <w:lang w:val="fr-CA"/>
              </w:rPr>
              <w:t>561</w:t>
            </w:r>
          </w:p>
        </w:tc>
      </w:tr>
      <w:tr w:rsidR="00825F3F" w:rsidRPr="00646D83" w14:paraId="3F2ADB74" w14:textId="77777777" w:rsidTr="004F62E7">
        <w:tc>
          <w:tcPr>
            <w:tcW w:w="9350" w:type="dxa"/>
            <w:gridSpan w:val="7"/>
            <w:hideMark/>
          </w:tcPr>
          <w:p w14:paraId="5F118BBE" w14:textId="2ED31CFE" w:rsidR="00825F3F" w:rsidRPr="00646D83" w:rsidRDefault="00B8780A" w:rsidP="004F62E7">
            <w:pPr>
              <w:jc w:val="left"/>
              <w:rPr>
                <w:b/>
                <w:bCs/>
                <w:sz w:val="20"/>
                <w:szCs w:val="20"/>
                <w:lang w:val="fr-CA"/>
              </w:rPr>
            </w:pPr>
            <w:r w:rsidRPr="00646D83">
              <w:rPr>
                <w:b/>
                <w:bCs/>
                <w:sz w:val="20"/>
                <w:szCs w:val="20"/>
                <w:lang w:val="fr-CA"/>
              </w:rPr>
              <w:t>Version révisée</w:t>
            </w:r>
            <w:r w:rsidR="00825F3F" w:rsidRPr="00646D83">
              <w:rPr>
                <w:b/>
                <w:bCs/>
                <w:sz w:val="20"/>
                <w:szCs w:val="20"/>
                <w:lang w:val="fr-CA"/>
              </w:rPr>
              <w:t xml:space="preserve"> </w:t>
            </w:r>
          </w:p>
        </w:tc>
      </w:tr>
      <w:tr w:rsidR="00B8780A" w:rsidRPr="00646D83" w14:paraId="4F8D0CB0" w14:textId="77777777" w:rsidTr="004F62E7">
        <w:tc>
          <w:tcPr>
            <w:tcW w:w="2674" w:type="dxa"/>
            <w:hideMark/>
          </w:tcPr>
          <w:p w14:paraId="6A31CC67" w14:textId="7A1D66EC" w:rsidR="00B8780A" w:rsidRPr="00646D83" w:rsidRDefault="00B8780A" w:rsidP="00B8780A">
            <w:pPr>
              <w:jc w:val="left"/>
              <w:rPr>
                <w:sz w:val="20"/>
                <w:szCs w:val="20"/>
                <w:lang w:val="fr-CA"/>
              </w:rPr>
            </w:pPr>
            <w:r w:rsidRPr="00646D83">
              <w:rPr>
                <w:sz w:val="20"/>
                <w:szCs w:val="20"/>
                <w:lang w:val="fr-CA"/>
              </w:rPr>
              <w:t xml:space="preserve">Financement convenu </w:t>
            </w:r>
          </w:p>
        </w:tc>
        <w:tc>
          <w:tcPr>
            <w:tcW w:w="1112" w:type="dxa"/>
            <w:vAlign w:val="center"/>
            <w:hideMark/>
          </w:tcPr>
          <w:p w14:paraId="137B6E67" w14:textId="523C4774" w:rsidR="00B8780A" w:rsidRPr="00646D83" w:rsidRDefault="00B8780A" w:rsidP="00B8780A">
            <w:pPr>
              <w:jc w:val="right"/>
              <w:rPr>
                <w:sz w:val="20"/>
                <w:szCs w:val="20"/>
                <w:lang w:val="fr-CA"/>
              </w:rPr>
            </w:pPr>
            <w:r w:rsidRPr="00646D83">
              <w:rPr>
                <w:color w:val="000000"/>
                <w:sz w:val="20"/>
                <w:szCs w:val="20"/>
                <w:lang w:val="fr-CA"/>
              </w:rPr>
              <w:t>811 750</w:t>
            </w:r>
          </w:p>
        </w:tc>
        <w:tc>
          <w:tcPr>
            <w:tcW w:w="1113" w:type="dxa"/>
            <w:vAlign w:val="center"/>
            <w:hideMark/>
          </w:tcPr>
          <w:p w14:paraId="014716E0"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1F453E5B"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2" w:type="dxa"/>
            <w:vAlign w:val="center"/>
            <w:hideMark/>
          </w:tcPr>
          <w:p w14:paraId="3E75FEA1"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4FB63619"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1C4649E1" w14:textId="7B66EB98" w:rsidR="00B8780A" w:rsidRPr="00646D83" w:rsidRDefault="00B8780A" w:rsidP="00B8780A">
            <w:pPr>
              <w:jc w:val="right"/>
              <w:rPr>
                <w:b/>
                <w:bCs/>
                <w:sz w:val="20"/>
                <w:szCs w:val="20"/>
                <w:lang w:val="fr-CA"/>
              </w:rPr>
            </w:pPr>
            <w:r w:rsidRPr="00646D83">
              <w:rPr>
                <w:b/>
                <w:bCs/>
                <w:color w:val="000000"/>
                <w:sz w:val="20"/>
                <w:szCs w:val="20"/>
                <w:lang w:val="fr-CA"/>
              </w:rPr>
              <w:t>811 750</w:t>
            </w:r>
          </w:p>
        </w:tc>
      </w:tr>
      <w:tr w:rsidR="00B8780A" w:rsidRPr="00646D83" w14:paraId="7EC69D18" w14:textId="77777777" w:rsidTr="004F62E7">
        <w:tc>
          <w:tcPr>
            <w:tcW w:w="2674" w:type="dxa"/>
            <w:hideMark/>
          </w:tcPr>
          <w:p w14:paraId="712C8E81" w14:textId="59892135" w:rsidR="00B8780A" w:rsidRPr="00646D83" w:rsidRDefault="00B8780A" w:rsidP="00B8780A">
            <w:pPr>
              <w:jc w:val="left"/>
              <w:rPr>
                <w:sz w:val="20"/>
                <w:szCs w:val="20"/>
                <w:lang w:val="fr-CA"/>
              </w:rPr>
            </w:pPr>
            <w:r w:rsidRPr="00646D83">
              <w:rPr>
                <w:sz w:val="20"/>
                <w:szCs w:val="20"/>
                <w:lang w:val="fr-CA"/>
              </w:rPr>
              <w:t>Coûts d’appui</w:t>
            </w:r>
          </w:p>
        </w:tc>
        <w:tc>
          <w:tcPr>
            <w:tcW w:w="1112" w:type="dxa"/>
            <w:vAlign w:val="center"/>
            <w:hideMark/>
          </w:tcPr>
          <w:p w14:paraId="5563F182" w14:textId="7C4CBF75" w:rsidR="00B8780A" w:rsidRPr="00646D83" w:rsidRDefault="00B8780A" w:rsidP="00B8780A">
            <w:pPr>
              <w:jc w:val="right"/>
              <w:rPr>
                <w:sz w:val="20"/>
                <w:szCs w:val="20"/>
                <w:lang w:val="fr-CA"/>
              </w:rPr>
            </w:pPr>
            <w:r w:rsidRPr="00646D83">
              <w:rPr>
                <w:color w:val="000000"/>
                <w:sz w:val="20"/>
                <w:szCs w:val="20"/>
                <w:lang w:val="fr-CA"/>
              </w:rPr>
              <w:t>56 823</w:t>
            </w:r>
          </w:p>
        </w:tc>
        <w:tc>
          <w:tcPr>
            <w:tcW w:w="1113" w:type="dxa"/>
            <w:vAlign w:val="center"/>
            <w:hideMark/>
          </w:tcPr>
          <w:p w14:paraId="7634F1CC"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682D1CB0"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2" w:type="dxa"/>
            <w:vAlign w:val="center"/>
            <w:hideMark/>
          </w:tcPr>
          <w:p w14:paraId="25B27643"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4A6FB883"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3B066111" w14:textId="414F5E15" w:rsidR="00B8780A" w:rsidRPr="00646D83" w:rsidRDefault="00B8780A" w:rsidP="00B8780A">
            <w:pPr>
              <w:jc w:val="right"/>
              <w:rPr>
                <w:b/>
                <w:bCs/>
                <w:sz w:val="20"/>
                <w:szCs w:val="20"/>
                <w:lang w:val="fr-CA"/>
              </w:rPr>
            </w:pPr>
            <w:r w:rsidRPr="00646D83">
              <w:rPr>
                <w:b/>
                <w:bCs/>
                <w:color w:val="000000"/>
                <w:sz w:val="20"/>
                <w:szCs w:val="20"/>
                <w:lang w:val="fr-CA"/>
              </w:rPr>
              <w:t>56 823</w:t>
            </w:r>
          </w:p>
        </w:tc>
      </w:tr>
      <w:tr w:rsidR="00B8780A" w:rsidRPr="00646D83" w14:paraId="61508010" w14:textId="77777777" w:rsidTr="004F62E7">
        <w:tc>
          <w:tcPr>
            <w:tcW w:w="2674" w:type="dxa"/>
            <w:hideMark/>
          </w:tcPr>
          <w:p w14:paraId="24858C58" w14:textId="34238BB9" w:rsidR="00B8780A" w:rsidRPr="00646D83" w:rsidRDefault="00B8780A" w:rsidP="00B8780A">
            <w:pPr>
              <w:jc w:val="left"/>
              <w:rPr>
                <w:sz w:val="20"/>
                <w:szCs w:val="20"/>
                <w:lang w:val="fr-CA"/>
              </w:rPr>
            </w:pPr>
            <w:r w:rsidRPr="00646D83">
              <w:rPr>
                <w:sz w:val="20"/>
                <w:szCs w:val="20"/>
                <w:lang w:val="fr-CA"/>
              </w:rPr>
              <w:t xml:space="preserve">Total des coûts convenus </w:t>
            </w:r>
          </w:p>
        </w:tc>
        <w:tc>
          <w:tcPr>
            <w:tcW w:w="1112" w:type="dxa"/>
            <w:vAlign w:val="center"/>
            <w:hideMark/>
          </w:tcPr>
          <w:p w14:paraId="3265D1BA" w14:textId="5170DEE9" w:rsidR="00B8780A" w:rsidRPr="00646D83" w:rsidRDefault="00B8780A" w:rsidP="00B8780A">
            <w:pPr>
              <w:jc w:val="right"/>
              <w:rPr>
                <w:sz w:val="20"/>
                <w:szCs w:val="20"/>
                <w:lang w:val="fr-CA"/>
              </w:rPr>
            </w:pPr>
            <w:r w:rsidRPr="00646D83">
              <w:rPr>
                <w:color w:val="000000"/>
                <w:sz w:val="20"/>
                <w:szCs w:val="20"/>
                <w:lang w:val="fr-CA"/>
              </w:rPr>
              <w:t>868 573</w:t>
            </w:r>
          </w:p>
        </w:tc>
        <w:tc>
          <w:tcPr>
            <w:tcW w:w="1113" w:type="dxa"/>
            <w:vAlign w:val="center"/>
            <w:hideMark/>
          </w:tcPr>
          <w:p w14:paraId="072BAA89"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3139F4B4"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2" w:type="dxa"/>
            <w:vAlign w:val="center"/>
            <w:hideMark/>
          </w:tcPr>
          <w:p w14:paraId="176D7A4E"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5DF9BECD" w14:textId="77777777" w:rsidR="00B8780A" w:rsidRPr="00646D83" w:rsidRDefault="00B8780A" w:rsidP="00B8780A">
            <w:pPr>
              <w:jc w:val="right"/>
              <w:rPr>
                <w:sz w:val="20"/>
                <w:szCs w:val="20"/>
                <w:lang w:val="fr-CA"/>
              </w:rPr>
            </w:pPr>
            <w:r w:rsidRPr="00646D83">
              <w:rPr>
                <w:color w:val="000000"/>
                <w:sz w:val="20"/>
                <w:szCs w:val="20"/>
                <w:lang w:val="fr-CA"/>
              </w:rPr>
              <w:t>0</w:t>
            </w:r>
          </w:p>
        </w:tc>
        <w:tc>
          <w:tcPr>
            <w:tcW w:w="1113" w:type="dxa"/>
            <w:vAlign w:val="center"/>
            <w:hideMark/>
          </w:tcPr>
          <w:p w14:paraId="5119AEB7" w14:textId="7D1B25ED" w:rsidR="00B8780A" w:rsidRPr="00646D83" w:rsidRDefault="00B8780A" w:rsidP="00B8780A">
            <w:pPr>
              <w:jc w:val="right"/>
              <w:rPr>
                <w:b/>
                <w:bCs/>
                <w:sz w:val="20"/>
                <w:szCs w:val="20"/>
                <w:lang w:val="fr-CA"/>
              </w:rPr>
            </w:pPr>
            <w:r w:rsidRPr="00646D83">
              <w:rPr>
                <w:b/>
                <w:bCs/>
                <w:color w:val="000000"/>
                <w:sz w:val="20"/>
                <w:szCs w:val="20"/>
                <w:lang w:val="fr-CA"/>
              </w:rPr>
              <w:t>868 573</w:t>
            </w:r>
          </w:p>
        </w:tc>
      </w:tr>
    </w:tbl>
    <w:p w14:paraId="0EBD61CB" w14:textId="0F7B5684" w:rsidR="00825F3F" w:rsidRPr="00646D83" w:rsidRDefault="00825F3F" w:rsidP="00825F3F">
      <w:pPr>
        <w:keepNext/>
        <w:keepLines/>
        <w:tabs>
          <w:tab w:val="left" w:pos="720"/>
        </w:tabs>
        <w:spacing w:after="240"/>
        <w:outlineLvl w:val="0"/>
        <w:rPr>
          <w:b/>
          <w:lang w:val="fr-CA"/>
        </w:rPr>
      </w:pPr>
      <w:r w:rsidRPr="00646D83">
        <w:rPr>
          <w:b/>
          <w:lang w:val="fr-CA"/>
        </w:rPr>
        <w:lastRenderedPageBreak/>
        <w:t>Recomm</w:t>
      </w:r>
      <w:r w:rsidR="00B8780A" w:rsidRPr="00646D83">
        <w:rPr>
          <w:b/>
          <w:lang w:val="fr-CA"/>
        </w:rPr>
        <w:t>a</w:t>
      </w:r>
      <w:r w:rsidRPr="00646D83">
        <w:rPr>
          <w:b/>
          <w:lang w:val="fr-CA"/>
        </w:rPr>
        <w:t>ndation</w:t>
      </w:r>
    </w:p>
    <w:p w14:paraId="125D6358" w14:textId="690D3F79" w:rsidR="00825F3F" w:rsidRPr="00646D83" w:rsidRDefault="00B8780A" w:rsidP="00825F3F">
      <w:pPr>
        <w:keepNext/>
        <w:keepLines/>
        <w:numPr>
          <w:ilvl w:val="0"/>
          <w:numId w:val="1"/>
        </w:numPr>
        <w:spacing w:after="240"/>
        <w:outlineLvl w:val="2"/>
        <w:rPr>
          <w:lang w:val="fr-CA"/>
        </w:rPr>
      </w:pPr>
      <w:r w:rsidRPr="00646D83">
        <w:rPr>
          <w:lang w:val="fr-CA"/>
        </w:rPr>
        <w:t xml:space="preserve">Le Comité exécutif pourrait souhaiter </w:t>
      </w:r>
      <w:r w:rsidR="00825F3F" w:rsidRPr="00646D83">
        <w:rPr>
          <w:lang w:val="fr-CA"/>
        </w:rPr>
        <w:t>:</w:t>
      </w:r>
    </w:p>
    <w:p w14:paraId="23B8DC18" w14:textId="1298DD69" w:rsidR="00825F3F" w:rsidRPr="00646D83" w:rsidRDefault="00B8780A" w:rsidP="00825F3F">
      <w:pPr>
        <w:pStyle w:val="Heading2"/>
        <w:rPr>
          <w:lang w:val="fr-CA"/>
        </w:rPr>
      </w:pPr>
      <w:r w:rsidRPr="00646D83">
        <w:rPr>
          <w:lang w:val="fr-CA"/>
        </w:rPr>
        <w:t>Prendre note de la demande du gouvernement des Philippines de retirer le plan du secteur de la fabrication de climatiseurs de la phase Ii du plan de gestion de l'élimination des HCFC</w:t>
      </w:r>
      <w:r w:rsidR="00044DF8" w:rsidRPr="00646D83">
        <w:rPr>
          <w:lang w:val="fr-CA"/>
        </w:rPr>
        <w:t xml:space="preserve"> (PGEH</w:t>
      </w:r>
      <w:r w:rsidRPr="00646D83">
        <w:rPr>
          <w:lang w:val="fr-CA"/>
        </w:rPr>
        <w:t>) présenté</w:t>
      </w:r>
      <w:r w:rsidR="006863E3">
        <w:rPr>
          <w:lang w:val="fr-CA"/>
        </w:rPr>
        <w:t>e</w:t>
      </w:r>
      <w:r w:rsidRPr="00646D83">
        <w:rPr>
          <w:lang w:val="fr-CA"/>
        </w:rPr>
        <w:t xml:space="preserve"> dans le document UNEP/OzL.Pro/ExCom/80/48, en précisant que toutes les entreprises visées par le plan de secteur ont éliminé leur consommation de HCFC-22 (15,57 tonnes PAO</w:t>
      </w:r>
      <w:r w:rsidR="00825F3F" w:rsidRPr="00646D83">
        <w:rPr>
          <w:lang w:val="fr-CA"/>
        </w:rPr>
        <w:t>)</w:t>
      </w:r>
      <w:r w:rsidR="0037190F">
        <w:rPr>
          <w:lang w:val="fr-CA"/>
        </w:rPr>
        <w:t xml:space="preserve"> </w:t>
      </w:r>
      <w:r w:rsidR="00825F3F" w:rsidRPr="00646D83">
        <w:rPr>
          <w:lang w:val="fr-CA"/>
        </w:rPr>
        <w:t xml:space="preserve">; </w:t>
      </w:r>
    </w:p>
    <w:p w14:paraId="05E0563F" w14:textId="4D8B9A45" w:rsidR="00825F3F" w:rsidRPr="00646D83" w:rsidRDefault="00044DF8" w:rsidP="00825F3F">
      <w:pPr>
        <w:pStyle w:val="Heading2"/>
        <w:rPr>
          <w:lang w:val="fr-CA"/>
        </w:rPr>
      </w:pPr>
      <w:r w:rsidRPr="00646D83">
        <w:rPr>
          <w:lang w:val="fr-CA"/>
        </w:rPr>
        <w:t xml:space="preserve">Prendre note également </w:t>
      </w:r>
      <w:r w:rsidR="00825F3F" w:rsidRPr="00646D83">
        <w:rPr>
          <w:lang w:val="fr-CA"/>
        </w:rPr>
        <w:t>:</w:t>
      </w:r>
    </w:p>
    <w:p w14:paraId="0A5953FB" w14:textId="05CE0BFF" w:rsidR="00825F3F" w:rsidRPr="00646D83" w:rsidRDefault="00044DF8" w:rsidP="00044DF8">
      <w:pPr>
        <w:pStyle w:val="ListParagraph"/>
        <w:numPr>
          <w:ilvl w:val="2"/>
          <w:numId w:val="42"/>
        </w:numPr>
        <w:spacing w:after="240"/>
        <w:outlineLvl w:val="2"/>
        <w:rPr>
          <w:lang w:val="fr-CA"/>
        </w:rPr>
      </w:pPr>
      <w:r w:rsidRPr="00646D83">
        <w:rPr>
          <w:lang w:val="fr-CA"/>
        </w:rPr>
        <w:t>Que la somme de 2 073 988 $US, comprenant 1 793 307 $US pour le plan du secteur de la fabrication de climatiseurs, les coûts connexes du Bureau de gestion du projet de 145 000 $US et les coûts d’appui à l’agence de 135 681 $US pour l’ONUD</w:t>
      </w:r>
      <w:r w:rsidR="0069246D">
        <w:rPr>
          <w:lang w:val="fr-CA"/>
        </w:rPr>
        <w:t>I</w:t>
      </w:r>
      <w:r w:rsidRPr="00646D83">
        <w:rPr>
          <w:lang w:val="fr-CA"/>
        </w:rPr>
        <w:t>, approuvé</w:t>
      </w:r>
      <w:r w:rsidR="0069246D">
        <w:rPr>
          <w:lang w:val="fr-CA"/>
        </w:rPr>
        <w:t>e</w:t>
      </w:r>
      <w:r w:rsidRPr="00646D83">
        <w:rPr>
          <w:lang w:val="fr-CA"/>
        </w:rPr>
        <w:t xml:space="preserve"> en principe pour la phase II du PGEH, ser</w:t>
      </w:r>
      <w:r w:rsidR="0069246D">
        <w:rPr>
          <w:lang w:val="fr-CA"/>
        </w:rPr>
        <w:t>a</w:t>
      </w:r>
      <w:r w:rsidRPr="00646D83">
        <w:rPr>
          <w:lang w:val="fr-CA"/>
        </w:rPr>
        <w:t xml:space="preserve"> retiré</w:t>
      </w:r>
      <w:r w:rsidR="0069246D">
        <w:rPr>
          <w:lang w:val="fr-CA"/>
        </w:rPr>
        <w:t>e</w:t>
      </w:r>
      <w:r w:rsidRPr="00646D83">
        <w:rPr>
          <w:lang w:val="fr-CA"/>
        </w:rPr>
        <w:t xml:space="preserve"> de l’Accord entre le gouvernement des Philippines et le Comité exécutif</w:t>
      </w:r>
      <w:r w:rsidR="0037190F">
        <w:rPr>
          <w:lang w:val="fr-CA"/>
        </w:rPr>
        <w:t xml:space="preserve"> </w:t>
      </w:r>
      <w:r w:rsidRPr="00646D83">
        <w:rPr>
          <w:lang w:val="fr-CA"/>
        </w:rPr>
        <w:t>;</w:t>
      </w:r>
    </w:p>
    <w:p w14:paraId="1FF7744A" w14:textId="6B8C9A5D" w:rsidR="00825F3F" w:rsidRPr="00646D83" w:rsidRDefault="00CE09BA" w:rsidP="00825F3F">
      <w:pPr>
        <w:numPr>
          <w:ilvl w:val="2"/>
          <w:numId w:val="42"/>
        </w:numPr>
        <w:spacing w:after="240"/>
        <w:outlineLvl w:val="2"/>
        <w:rPr>
          <w:lang w:val="fr-CA"/>
        </w:rPr>
      </w:pPr>
      <w:r w:rsidRPr="00646D83">
        <w:rPr>
          <w:lang w:val="fr-CA"/>
        </w:rPr>
        <w:t xml:space="preserve">Que le Secrétariat du Fonds a actualisé l’Accord entre le gouvernement des Philippines et le Comité exécutif, joint à l’annexe IV au document UNEP/OzL.Pro/ExCom/87/9, en particulier l’Appendice 2-A, afin de retirer le secteur de la fabrication de climatiseurs et le paragraphe 17 </w:t>
      </w:r>
      <w:r w:rsidR="0069246D">
        <w:rPr>
          <w:lang w:val="fr-CA"/>
        </w:rPr>
        <w:t>pour indiquer</w:t>
      </w:r>
      <w:r w:rsidRPr="00646D83">
        <w:rPr>
          <w:lang w:val="fr-CA"/>
        </w:rPr>
        <w:t xml:space="preserve"> que la version révisée de l’Accord remplace l’Accord conclu à la 83</w:t>
      </w:r>
      <w:r w:rsidRPr="00646D83">
        <w:rPr>
          <w:vertAlign w:val="superscript"/>
          <w:lang w:val="fr-CA"/>
        </w:rPr>
        <w:t>e</w:t>
      </w:r>
      <w:r w:rsidRPr="00646D83">
        <w:rPr>
          <w:lang w:val="fr-CA"/>
        </w:rPr>
        <w:t xml:space="preserve"> réunion</w:t>
      </w:r>
      <w:r w:rsidR="0037190F">
        <w:rPr>
          <w:lang w:val="fr-CA"/>
        </w:rPr>
        <w:t xml:space="preserve"> </w:t>
      </w:r>
      <w:r w:rsidRPr="00646D83">
        <w:rPr>
          <w:lang w:val="fr-CA"/>
        </w:rPr>
        <w:t>;</w:t>
      </w:r>
    </w:p>
    <w:p w14:paraId="733505E2" w14:textId="463803B1" w:rsidR="00825F3F" w:rsidRPr="00646D83" w:rsidRDefault="00CE09BA" w:rsidP="006E3900">
      <w:pPr>
        <w:spacing w:after="240"/>
        <w:ind w:left="1440" w:hanging="720"/>
        <w:outlineLvl w:val="2"/>
        <w:rPr>
          <w:lang w:val="fr-CA"/>
        </w:rPr>
      </w:pPr>
      <w:r w:rsidRPr="00646D83">
        <w:rPr>
          <w:lang w:val="fr-CA"/>
        </w:rPr>
        <w:t>b)</w:t>
      </w:r>
      <w:r w:rsidRPr="00646D83">
        <w:rPr>
          <w:lang w:val="fr-CA"/>
        </w:rPr>
        <w:tab/>
      </w:r>
      <w:r w:rsidR="006E3900" w:rsidRPr="00646D83">
        <w:rPr>
          <w:lang w:val="fr-CA"/>
        </w:rPr>
        <w:t xml:space="preserve">Demander à l’ONUDI de restituer au Fonds multilatéral la somme de 212 152 $US, comprenant 53 273 $US pour le plan du secteur de la fabrication de climatiseurs et les coûts connexes du Bureau de gestion de projet de </w:t>
      </w:r>
      <w:r w:rsidR="0069246D">
        <w:rPr>
          <w:lang w:val="fr-CA"/>
        </w:rPr>
        <w:t>1</w:t>
      </w:r>
      <w:r w:rsidR="006E3900" w:rsidRPr="00646D83">
        <w:rPr>
          <w:lang w:val="fr-CA"/>
        </w:rPr>
        <w:t xml:space="preserve">45 000 $US, </w:t>
      </w:r>
      <w:r w:rsidR="00DA510C">
        <w:rPr>
          <w:lang w:val="fr-CA"/>
        </w:rPr>
        <w:t>de même que</w:t>
      </w:r>
      <w:r w:rsidR="006E3900" w:rsidRPr="00646D83">
        <w:rPr>
          <w:lang w:val="fr-CA"/>
        </w:rPr>
        <w:t xml:space="preserve"> les coûts d’appui à l’agence de 13 879 $US pour l’ONUDI, approuvé</w:t>
      </w:r>
      <w:r w:rsidR="0069246D">
        <w:rPr>
          <w:lang w:val="fr-CA"/>
        </w:rPr>
        <w:t>e dans l</w:t>
      </w:r>
      <w:r w:rsidR="006E3900" w:rsidRPr="00646D83">
        <w:rPr>
          <w:lang w:val="fr-CA"/>
        </w:rPr>
        <w:t>e cadre de la première tranche</w:t>
      </w:r>
      <w:r w:rsidR="0069246D">
        <w:rPr>
          <w:lang w:val="fr-CA"/>
        </w:rPr>
        <w:t xml:space="preserve"> de</w:t>
      </w:r>
      <w:r w:rsidR="006E3900" w:rsidRPr="00646D83">
        <w:rPr>
          <w:lang w:val="fr-CA"/>
        </w:rPr>
        <w:t xml:space="preserve"> la phase II du PGEH, à la 89</w:t>
      </w:r>
      <w:r w:rsidR="006E3900" w:rsidRPr="00646D83">
        <w:rPr>
          <w:vertAlign w:val="superscript"/>
          <w:lang w:val="fr-CA"/>
        </w:rPr>
        <w:t>e</w:t>
      </w:r>
      <w:r w:rsidR="006E3900" w:rsidRPr="00646D83">
        <w:rPr>
          <w:lang w:val="fr-CA"/>
        </w:rPr>
        <w:t xml:space="preserve"> réunion</w:t>
      </w:r>
      <w:r w:rsidR="0037190F">
        <w:rPr>
          <w:lang w:val="fr-CA"/>
        </w:rPr>
        <w:t xml:space="preserve"> </w:t>
      </w:r>
      <w:r w:rsidR="00825F3F" w:rsidRPr="00646D83">
        <w:rPr>
          <w:lang w:val="fr-CA"/>
        </w:rPr>
        <w:t xml:space="preserve">; </w:t>
      </w:r>
    </w:p>
    <w:p w14:paraId="542FA87C" w14:textId="3EA2B5E0" w:rsidR="00825F3F" w:rsidRPr="00646D83" w:rsidRDefault="006E3900" w:rsidP="006E3900">
      <w:pPr>
        <w:pStyle w:val="Heading2"/>
        <w:rPr>
          <w:lang w:val="fr-CA"/>
        </w:rPr>
      </w:pPr>
      <w:r w:rsidRPr="00646D83">
        <w:rPr>
          <w:lang w:val="fr-CA"/>
        </w:rPr>
        <w:t>Approuver le plan de mise en œuvre de la tranche</w:t>
      </w:r>
      <w:r w:rsidR="00872B24" w:rsidRPr="00646D83">
        <w:rPr>
          <w:lang w:val="fr-CA"/>
        </w:rPr>
        <w:t xml:space="preserve"> de </w:t>
      </w:r>
      <w:r w:rsidR="0069246D">
        <w:rPr>
          <w:lang w:val="fr-CA"/>
        </w:rPr>
        <w:t>2021</w:t>
      </w:r>
      <w:r w:rsidR="00872B24" w:rsidRPr="00646D83">
        <w:rPr>
          <w:lang w:val="fr-CA"/>
        </w:rPr>
        <w:t>-2022 pour toutes les autres activités de la phase II</w:t>
      </w:r>
      <w:r w:rsidR="0037190F">
        <w:rPr>
          <w:lang w:val="fr-CA"/>
        </w:rPr>
        <w:t xml:space="preserve"> </w:t>
      </w:r>
      <w:r w:rsidR="00825F3F" w:rsidRPr="00646D83">
        <w:rPr>
          <w:lang w:val="fr-CA"/>
        </w:rPr>
        <w:t>;</w:t>
      </w:r>
      <w:r w:rsidR="0037190F">
        <w:rPr>
          <w:lang w:val="fr-CA"/>
        </w:rPr>
        <w:t xml:space="preserve"> et</w:t>
      </w:r>
    </w:p>
    <w:p w14:paraId="435F80C7" w14:textId="3CB4A66A" w:rsidR="00825F3F" w:rsidRPr="00646D83" w:rsidRDefault="00872B24" w:rsidP="006E3900">
      <w:pPr>
        <w:pStyle w:val="Heading2"/>
        <w:numPr>
          <w:ilvl w:val="1"/>
          <w:numId w:val="46"/>
        </w:numPr>
        <w:rPr>
          <w:lang w:val="fr-CA"/>
        </w:rPr>
      </w:pPr>
      <w:r w:rsidRPr="00646D83">
        <w:rPr>
          <w:lang w:val="fr-CA"/>
        </w:rPr>
        <w:t>Demander au gouvernement des Philippines et à l’ONUDI de remettre tous les ans des rapports périodiques sur la mise en œuvre du programme de travail de la dernière tranche jusqu’à l’achèvement du projet, des rapports de vérification jusqu’à l’approbation de la phase III et le rapport d’achèvement de projet à la deuxième réunion de 2023.</w:t>
      </w:r>
      <w:r w:rsidR="00825F3F" w:rsidRPr="00646D83">
        <w:rPr>
          <w:lang w:val="fr-CA"/>
        </w:rPr>
        <w:t xml:space="preserve"> </w:t>
      </w:r>
    </w:p>
    <w:p w14:paraId="2268E268" w14:textId="1C03B590" w:rsidR="00825F3F" w:rsidRPr="00CF5797" w:rsidRDefault="00825F3F" w:rsidP="00825F3F">
      <w:pPr>
        <w:keepNext/>
        <w:keepLines/>
        <w:spacing w:after="240"/>
        <w:rPr>
          <w:lang w:val="fr-CA"/>
        </w:rPr>
      </w:pPr>
      <w:r w:rsidRPr="0037190F">
        <w:rPr>
          <w:u w:val="single"/>
          <w:lang w:val="fr-CA"/>
        </w:rPr>
        <w:t>Uruguay</w:t>
      </w:r>
      <w:r w:rsidR="005B7EC6" w:rsidRPr="0037190F">
        <w:rPr>
          <w:u w:val="single"/>
          <w:lang w:val="fr-CA"/>
        </w:rPr>
        <w:t xml:space="preserve"> </w:t>
      </w:r>
      <w:r w:rsidRPr="0037190F">
        <w:rPr>
          <w:u w:val="single"/>
          <w:lang w:val="fr-CA"/>
        </w:rPr>
        <w:t xml:space="preserve">: </w:t>
      </w:r>
      <w:r w:rsidR="005B7EC6" w:rsidRPr="0037190F">
        <w:rPr>
          <w:u w:val="single"/>
          <w:lang w:val="fr-CA"/>
        </w:rPr>
        <w:t>Plan de gestion de l'élimination des HCFC (phase II : demande de prorogation de la date d’</w:t>
      </w:r>
      <w:r w:rsidR="007E14DE" w:rsidRPr="0037190F">
        <w:rPr>
          <w:u w:val="single"/>
          <w:lang w:val="fr-CA"/>
        </w:rPr>
        <w:t>achèvement de la troisième (et dernière) tranche et rapport périodique sur la mise en œuvre dans le secteur des mousses</w:t>
      </w:r>
      <w:r w:rsidRPr="0037190F">
        <w:rPr>
          <w:u w:val="single"/>
          <w:lang w:val="fr-CA"/>
        </w:rPr>
        <w:t>)</w:t>
      </w:r>
      <w:r w:rsidRPr="0037190F">
        <w:rPr>
          <w:lang w:val="fr-CA"/>
        </w:rPr>
        <w:t xml:space="preserve"> (</w:t>
      </w:r>
      <w:r w:rsidR="007E14DE" w:rsidRPr="0037190F">
        <w:rPr>
          <w:lang w:val="fr-CA"/>
        </w:rPr>
        <w:t>PNUD</w:t>
      </w:r>
      <w:r w:rsidRPr="0037190F">
        <w:rPr>
          <w:lang w:val="fr-CA"/>
        </w:rPr>
        <w:t>)</w:t>
      </w:r>
    </w:p>
    <w:p w14:paraId="2CC27B89" w14:textId="0445C776" w:rsidR="00825F3F" w:rsidRPr="00CF5797" w:rsidRDefault="007E14DE" w:rsidP="00825F3F">
      <w:pPr>
        <w:keepNext/>
        <w:keepLines/>
        <w:spacing w:after="240"/>
        <w:ind w:left="1440" w:hanging="1440"/>
        <w:rPr>
          <w:b/>
          <w:lang w:val="fr-CA"/>
        </w:rPr>
      </w:pPr>
      <w:r w:rsidRPr="00CF5797">
        <w:rPr>
          <w:b/>
          <w:lang w:val="fr-CA"/>
        </w:rPr>
        <w:t>Contexte</w:t>
      </w:r>
    </w:p>
    <w:p w14:paraId="3C0A02BF" w14:textId="0202A6FC" w:rsidR="00825F3F" w:rsidRPr="00CF5797" w:rsidRDefault="007E14DE" w:rsidP="00825F3F">
      <w:pPr>
        <w:pStyle w:val="Heading1"/>
        <w:rPr>
          <w:lang w:val="fr-CA"/>
        </w:rPr>
      </w:pPr>
      <w:r w:rsidRPr="00CF5797">
        <w:rPr>
          <w:lang w:val="fr-CA"/>
        </w:rPr>
        <w:t>Le PNUD, en qualité d’agence d’exécution désignée, a présenté une demande de prorogation de la mise en œuvre de la phase II du plan de gestion de l'élimination des HCFC (PGEH) au nom du gouvernement de l’Uruguay, et un rapport périodique sur la mise en œuvre de la reconversion des entreprises du secteur des mousses</w:t>
      </w:r>
      <w:r w:rsidR="00A60880" w:rsidRPr="00CF5797">
        <w:rPr>
          <w:lang w:val="fr-CA"/>
        </w:rPr>
        <w:t xml:space="preserve"> et la disponibilité des HFO et des formules à base de HFO</w:t>
      </w:r>
      <w:r w:rsidR="0016037D" w:rsidRPr="00CF5797">
        <w:rPr>
          <w:lang w:val="fr-CA"/>
        </w:rPr>
        <w:t xml:space="preserve"> et leurs composants connexes, </w:t>
      </w:r>
      <w:r w:rsidR="00EB3C61" w:rsidRPr="00CF5797">
        <w:rPr>
          <w:lang w:val="fr-CA"/>
        </w:rPr>
        <w:t>en réponse</w:t>
      </w:r>
      <w:r w:rsidR="0016037D" w:rsidRPr="00CF5797">
        <w:rPr>
          <w:lang w:val="fr-CA"/>
        </w:rPr>
        <w:t xml:space="preserve"> à la demande du Comité exécutif formulée au titre du processus d’approbation intersessions pour la 85</w:t>
      </w:r>
      <w:r w:rsidR="0016037D" w:rsidRPr="00CF5797">
        <w:rPr>
          <w:vertAlign w:val="superscript"/>
          <w:lang w:val="fr-CA"/>
        </w:rPr>
        <w:t>e</w:t>
      </w:r>
      <w:r w:rsidR="0016037D" w:rsidRPr="00CF5797">
        <w:rPr>
          <w:lang w:val="fr-CA"/>
        </w:rPr>
        <w:t xml:space="preserve"> réunion (PAI-85)</w:t>
      </w:r>
      <w:r w:rsidR="00825F3F" w:rsidRPr="00CF5797">
        <w:rPr>
          <w:rStyle w:val="FootnoteReference"/>
          <w:lang w:val="fr-CA"/>
        </w:rPr>
        <w:footnoteReference w:id="46"/>
      </w:r>
      <w:r w:rsidR="00825F3F" w:rsidRPr="00CF5797">
        <w:rPr>
          <w:lang w:val="fr-CA"/>
        </w:rPr>
        <w:t xml:space="preserve"> </w:t>
      </w:r>
      <w:r w:rsidR="0016037D" w:rsidRPr="00CF5797">
        <w:rPr>
          <w:lang w:val="fr-CA"/>
        </w:rPr>
        <w:t>en mai</w:t>
      </w:r>
      <w:r w:rsidR="00825F3F" w:rsidRPr="00CF5797">
        <w:rPr>
          <w:lang w:val="fr-CA"/>
        </w:rPr>
        <w:t xml:space="preserve"> 2020.</w:t>
      </w:r>
    </w:p>
    <w:p w14:paraId="67183A44" w14:textId="5E580ECF" w:rsidR="00825F3F" w:rsidRPr="00CF5797" w:rsidRDefault="0016037D" w:rsidP="00825F3F">
      <w:pPr>
        <w:numPr>
          <w:ilvl w:val="0"/>
          <w:numId w:val="1"/>
        </w:numPr>
        <w:spacing w:after="240"/>
        <w:outlineLvl w:val="0"/>
        <w:rPr>
          <w:lang w:val="fr-CA"/>
        </w:rPr>
      </w:pPr>
      <w:r w:rsidRPr="00CF5797">
        <w:rPr>
          <w:lang w:val="fr-CA"/>
        </w:rPr>
        <w:lastRenderedPageBreak/>
        <w:t>La phase II du PGEH a été approuvée à la 77</w:t>
      </w:r>
      <w:r w:rsidRPr="00CF5797">
        <w:rPr>
          <w:vertAlign w:val="superscript"/>
          <w:lang w:val="fr-CA"/>
        </w:rPr>
        <w:t>e</w:t>
      </w:r>
      <w:r w:rsidRPr="00CF5797">
        <w:rPr>
          <w:lang w:val="fr-CA"/>
        </w:rPr>
        <w:t xml:space="preserve"> réunion</w:t>
      </w:r>
      <w:r w:rsidR="00825F3F" w:rsidRPr="00CF5797">
        <w:rPr>
          <w:lang w:val="fr-CA"/>
        </w:rPr>
        <w:t>,</w:t>
      </w:r>
      <w:r w:rsidR="00825F3F" w:rsidRPr="00CF5797">
        <w:rPr>
          <w:rStyle w:val="FootnoteReference"/>
          <w:lang w:val="fr-CA"/>
        </w:rPr>
        <w:footnoteReference w:id="47"/>
      </w:r>
      <w:r w:rsidR="00825F3F" w:rsidRPr="00CF5797">
        <w:rPr>
          <w:lang w:val="fr-CA"/>
        </w:rPr>
        <w:t xml:space="preserve"> </w:t>
      </w:r>
      <w:r w:rsidRPr="00CF5797">
        <w:rPr>
          <w:lang w:val="fr-CA"/>
        </w:rPr>
        <w:t xml:space="preserve">afin d’attendre l’objectif de </w:t>
      </w:r>
      <w:r w:rsidR="000C5487" w:rsidRPr="00CF5797">
        <w:rPr>
          <w:lang w:val="fr-CA"/>
        </w:rPr>
        <w:t>réduction d</w:t>
      </w:r>
      <w:r w:rsidRPr="00CF5797">
        <w:rPr>
          <w:lang w:val="fr-CA"/>
        </w:rPr>
        <w:t xml:space="preserve">e 35 pour cent de la valeur de </w:t>
      </w:r>
      <w:r w:rsidR="000C5487" w:rsidRPr="00CF5797">
        <w:rPr>
          <w:lang w:val="fr-CA"/>
        </w:rPr>
        <w:t>réfé</w:t>
      </w:r>
      <w:r w:rsidRPr="00CF5797">
        <w:rPr>
          <w:lang w:val="fr-CA"/>
        </w:rPr>
        <w:t>rence avant 2020, pour la somme totale de 1 105 157 $US plus les coûts d’appui à l’agence. La ph</w:t>
      </w:r>
      <w:r w:rsidR="000C5487" w:rsidRPr="00CF5797">
        <w:rPr>
          <w:lang w:val="fr-CA"/>
        </w:rPr>
        <w:t>a</w:t>
      </w:r>
      <w:r w:rsidRPr="00CF5797">
        <w:rPr>
          <w:lang w:val="fr-CA"/>
        </w:rPr>
        <w:t>se II du PGEH comprend un volet sur l’</w:t>
      </w:r>
      <w:r w:rsidR="000C5487" w:rsidRPr="00CF5797">
        <w:rPr>
          <w:lang w:val="fr-CA"/>
        </w:rPr>
        <w:t>éliminati</w:t>
      </w:r>
      <w:r w:rsidRPr="00CF5797">
        <w:rPr>
          <w:lang w:val="fr-CA"/>
        </w:rPr>
        <w:t>on complète du HCFC-141b contenu da</w:t>
      </w:r>
      <w:r w:rsidR="000C5487" w:rsidRPr="00CF5797">
        <w:rPr>
          <w:lang w:val="fr-CA"/>
        </w:rPr>
        <w:t xml:space="preserve">ns les polyols </w:t>
      </w:r>
      <w:proofErr w:type="spellStart"/>
      <w:r w:rsidR="000C5487" w:rsidRPr="00CF5797">
        <w:rPr>
          <w:lang w:val="fr-CA"/>
        </w:rPr>
        <w:t>prémélangés</w:t>
      </w:r>
      <w:proofErr w:type="spellEnd"/>
      <w:r w:rsidR="000C5487" w:rsidRPr="00CF5797">
        <w:rPr>
          <w:lang w:val="fr-CA"/>
        </w:rPr>
        <w:t xml:space="preserve"> impor</w:t>
      </w:r>
      <w:r w:rsidRPr="00CF5797">
        <w:rPr>
          <w:lang w:val="fr-CA"/>
        </w:rPr>
        <w:t xml:space="preserve">tés (5,33 tonnes PAO) utilisé dans 21 PME fabriquant de la mousse de polyuréthanne. </w:t>
      </w:r>
      <w:r w:rsidR="000C5487" w:rsidRPr="00CF5797">
        <w:rPr>
          <w:lang w:val="fr-CA"/>
        </w:rPr>
        <w:t>Le choix s’est arrêté sur une technologie à base de formules de HFO</w:t>
      </w:r>
      <w:r w:rsidR="00825F3F" w:rsidRPr="00CF5797">
        <w:rPr>
          <w:lang w:val="fr-CA"/>
        </w:rPr>
        <w:t xml:space="preserve">. </w:t>
      </w:r>
    </w:p>
    <w:p w14:paraId="27803D96" w14:textId="5A34056F" w:rsidR="00825F3F" w:rsidRPr="00CF5797" w:rsidRDefault="009F004F" w:rsidP="00825F3F">
      <w:pPr>
        <w:numPr>
          <w:ilvl w:val="0"/>
          <w:numId w:val="1"/>
        </w:numPr>
        <w:spacing w:after="240"/>
        <w:outlineLvl w:val="0"/>
        <w:rPr>
          <w:lang w:val="fr-CA"/>
        </w:rPr>
      </w:pPr>
      <w:r w:rsidRPr="00CF5797">
        <w:rPr>
          <w:rFonts w:eastAsia="MS Mincho"/>
          <w:lang w:val="fr-CA"/>
        </w:rPr>
        <w:t>La troisième et dernière tranche de la phase II, représentant la somme de 111 268 $US, et le plan de mise en œuvre de la tranche correspondant, ont été approuvés au titre du PAI-85. La phase II devrait être achevée au 31 décembre 2021, conformément au paragraphe 14 de l’Accord entre le gou</w:t>
      </w:r>
      <w:r w:rsidR="00A60880" w:rsidRPr="00CF5797">
        <w:rPr>
          <w:rFonts w:eastAsia="MS Mincho"/>
          <w:lang w:val="fr-CA"/>
        </w:rPr>
        <w:t>vernement et le Comité exécutif</w:t>
      </w:r>
      <w:r w:rsidRPr="00CF5797">
        <w:rPr>
          <w:rFonts w:eastAsia="MS Mincho"/>
          <w:lang w:val="fr-CA"/>
        </w:rPr>
        <w:t>. La phase II</w:t>
      </w:r>
      <w:r w:rsidR="00407CDC" w:rsidRPr="00CF5797">
        <w:rPr>
          <w:rFonts w:eastAsia="MS Mincho"/>
          <w:lang w:val="fr-CA"/>
        </w:rPr>
        <w:t>I</w:t>
      </w:r>
      <w:r w:rsidRPr="00CF5797">
        <w:rPr>
          <w:rFonts w:eastAsia="MS Mincho"/>
          <w:lang w:val="fr-CA"/>
        </w:rPr>
        <w:t xml:space="preserve"> du PGEH pour l’élimination complète des HCFC a été approuvée au titre de au PAI-86</w:t>
      </w:r>
      <w:r w:rsidR="00825F3F" w:rsidRPr="00CF5797">
        <w:rPr>
          <w:rStyle w:val="FootnoteReference"/>
          <w:lang w:val="fr-CA"/>
        </w:rPr>
        <w:footnoteReference w:id="48"/>
      </w:r>
      <w:r w:rsidR="00825F3F" w:rsidRPr="00CF5797">
        <w:rPr>
          <w:lang w:val="fr-CA"/>
        </w:rPr>
        <w:t xml:space="preserve"> </w:t>
      </w:r>
      <w:r w:rsidRPr="00CF5797">
        <w:rPr>
          <w:rFonts w:eastAsia="MS Mincho"/>
          <w:lang w:val="fr-CA"/>
        </w:rPr>
        <w:t>en décembre</w:t>
      </w:r>
      <w:r w:rsidR="00825F3F" w:rsidRPr="00CF5797">
        <w:rPr>
          <w:rFonts w:eastAsia="MS Mincho"/>
          <w:lang w:val="fr-CA"/>
        </w:rPr>
        <w:t xml:space="preserve"> 2020</w:t>
      </w:r>
      <w:r w:rsidR="00825F3F" w:rsidRPr="00CF5797">
        <w:rPr>
          <w:lang w:val="fr-CA"/>
        </w:rPr>
        <w:t xml:space="preserve">. </w:t>
      </w:r>
    </w:p>
    <w:p w14:paraId="7DC77922" w14:textId="18C159C1" w:rsidR="00825F3F" w:rsidRPr="00CF5797" w:rsidRDefault="00C4171E" w:rsidP="00825F3F">
      <w:pPr>
        <w:pStyle w:val="Heading1"/>
        <w:rPr>
          <w:i/>
          <w:lang w:val="fr-CA"/>
        </w:rPr>
      </w:pPr>
      <w:r w:rsidRPr="00CF5797">
        <w:rPr>
          <w:rFonts w:eastAsia="MS Mincho"/>
          <w:lang w:val="fr-CA"/>
        </w:rPr>
        <w:t>Dans l</w:t>
      </w:r>
      <w:r w:rsidR="00407CDC" w:rsidRPr="00CF5797">
        <w:rPr>
          <w:rFonts w:eastAsia="MS Mincho"/>
          <w:lang w:val="fr-CA"/>
        </w:rPr>
        <w:t>e rapport périodique présenté à</w:t>
      </w:r>
      <w:r w:rsidRPr="00CF5797">
        <w:rPr>
          <w:rFonts w:eastAsia="MS Mincho"/>
          <w:lang w:val="fr-CA"/>
        </w:rPr>
        <w:t xml:space="preserve"> la 86</w:t>
      </w:r>
      <w:r w:rsidRPr="00CF5797">
        <w:rPr>
          <w:rFonts w:eastAsia="MS Mincho"/>
          <w:vertAlign w:val="superscript"/>
          <w:lang w:val="fr-CA"/>
        </w:rPr>
        <w:t>e</w:t>
      </w:r>
      <w:r w:rsidRPr="00CF5797">
        <w:rPr>
          <w:rFonts w:eastAsia="MS Mincho"/>
          <w:lang w:val="fr-CA"/>
        </w:rPr>
        <w:t xml:space="preserve"> réunion, le PNUD a déclaré qu’une seule entreprise (James) avait reconverti au cyclopentane pour une élimination apparentée de 1,02 tonne PAO (9,3 </w:t>
      </w:r>
      <w:proofErr w:type="spellStart"/>
      <w:r w:rsidRPr="00CF5797">
        <w:rPr>
          <w:rFonts w:eastAsia="MS Mincho"/>
          <w:lang w:val="fr-CA"/>
        </w:rPr>
        <w:t>tm</w:t>
      </w:r>
      <w:proofErr w:type="spellEnd"/>
      <w:r w:rsidRPr="00CF5797">
        <w:rPr>
          <w:rFonts w:eastAsia="MS Mincho"/>
          <w:lang w:val="fr-CA"/>
        </w:rPr>
        <w:t>) d</w:t>
      </w:r>
      <w:r w:rsidR="00A60880" w:rsidRPr="00CF5797">
        <w:rPr>
          <w:rFonts w:eastAsia="MS Mincho"/>
          <w:lang w:val="fr-CA"/>
        </w:rPr>
        <w:t>e</w:t>
      </w:r>
      <w:r w:rsidR="00407CDC" w:rsidRPr="00CF5797">
        <w:rPr>
          <w:rFonts w:eastAsia="MS Mincho"/>
          <w:lang w:val="fr-CA"/>
        </w:rPr>
        <w:t xml:space="preserve"> </w:t>
      </w:r>
      <w:r w:rsidRPr="00CF5797">
        <w:rPr>
          <w:rFonts w:eastAsia="MS Mincho"/>
          <w:lang w:val="fr-CA"/>
        </w:rPr>
        <w:t>HCFC-141</w:t>
      </w:r>
      <w:proofErr w:type="gramStart"/>
      <w:r w:rsidRPr="00CF5797">
        <w:rPr>
          <w:rFonts w:eastAsia="MS Mincho"/>
          <w:lang w:val="fr-CA"/>
        </w:rPr>
        <w:t>b;</w:t>
      </w:r>
      <w:proofErr w:type="gramEnd"/>
      <w:r w:rsidRPr="00CF5797">
        <w:rPr>
          <w:rFonts w:eastAsia="MS Mincho"/>
          <w:lang w:val="fr-CA"/>
        </w:rPr>
        <w:t xml:space="preserve"> les autres PME n’avaient pas</w:t>
      </w:r>
      <w:r w:rsidR="00407CDC" w:rsidRPr="00CF5797">
        <w:rPr>
          <w:rFonts w:eastAsia="MS Mincho"/>
          <w:lang w:val="fr-CA"/>
        </w:rPr>
        <w:t xml:space="preserve"> été en mesure de reconvertir, </w:t>
      </w:r>
      <w:r w:rsidRPr="00CF5797">
        <w:rPr>
          <w:rFonts w:eastAsia="MS Mincho"/>
          <w:lang w:val="fr-CA"/>
        </w:rPr>
        <w:t>à l’origine, à cause de la difficulté à se procurer des HFO sur le marché local en soutien à la r</w:t>
      </w:r>
      <w:r w:rsidR="00B63145" w:rsidRPr="00CF5797">
        <w:rPr>
          <w:rFonts w:eastAsia="MS Mincho"/>
          <w:lang w:val="fr-CA"/>
        </w:rPr>
        <w:t>econversi</w:t>
      </w:r>
      <w:r w:rsidRPr="00CF5797">
        <w:rPr>
          <w:rFonts w:eastAsia="MS Mincho"/>
          <w:lang w:val="fr-CA"/>
        </w:rPr>
        <w:t>on. Un expert tech</w:t>
      </w:r>
      <w:r w:rsidR="00B63145" w:rsidRPr="00CF5797">
        <w:rPr>
          <w:rFonts w:eastAsia="MS Mincho"/>
          <w:lang w:val="fr-CA"/>
        </w:rPr>
        <w:t>nique a été embauché pour travai</w:t>
      </w:r>
      <w:r w:rsidRPr="00CF5797">
        <w:rPr>
          <w:rFonts w:eastAsia="MS Mincho"/>
          <w:lang w:val="fr-CA"/>
        </w:rPr>
        <w:t>ller avec les différentes</w:t>
      </w:r>
      <w:r w:rsidR="00B63145" w:rsidRPr="00CF5797">
        <w:rPr>
          <w:rFonts w:eastAsia="MS Mincho"/>
          <w:lang w:val="fr-CA"/>
        </w:rPr>
        <w:t xml:space="preserve"> </w:t>
      </w:r>
      <w:r w:rsidRPr="00CF5797">
        <w:rPr>
          <w:rFonts w:eastAsia="MS Mincho"/>
          <w:lang w:val="fr-CA"/>
        </w:rPr>
        <w:t xml:space="preserve">entreprises afin de déterminer leurs besoins précis, et des échanges ont eu lieu avec les fournisseurs pouvant fournir de petites quantités de formules à base de HFO, </w:t>
      </w:r>
      <w:r w:rsidR="003B1AA0" w:rsidRPr="00CF5797">
        <w:rPr>
          <w:rFonts w:eastAsia="MS Mincho"/>
          <w:lang w:val="fr-CA"/>
        </w:rPr>
        <w:t>compte tenu de la petite taille du marché local pour ces solutions de remplacement. Un protocole d’</w:t>
      </w:r>
      <w:r w:rsidR="00B63145" w:rsidRPr="00CF5797">
        <w:rPr>
          <w:rFonts w:eastAsia="MS Mincho"/>
          <w:lang w:val="fr-CA"/>
        </w:rPr>
        <w:t>essai a été éla</w:t>
      </w:r>
      <w:r w:rsidR="003B1AA0" w:rsidRPr="00CF5797">
        <w:rPr>
          <w:rFonts w:eastAsia="MS Mincho"/>
          <w:lang w:val="fr-CA"/>
        </w:rPr>
        <w:t xml:space="preserve">boré </w:t>
      </w:r>
      <w:r w:rsidR="00407CDC" w:rsidRPr="00CF5797">
        <w:rPr>
          <w:rFonts w:eastAsia="MS Mincho"/>
          <w:lang w:val="fr-CA"/>
        </w:rPr>
        <w:t>afin</w:t>
      </w:r>
      <w:r w:rsidR="003B1AA0" w:rsidRPr="00CF5797">
        <w:rPr>
          <w:rFonts w:eastAsia="MS Mincho"/>
          <w:lang w:val="fr-CA"/>
        </w:rPr>
        <w:t xml:space="preserve"> de s’assurer que les mousses fabriquées à partir d’un agent de gonflage à base de HFO respectaient </w:t>
      </w:r>
      <w:r w:rsidR="00407CDC" w:rsidRPr="00CF5797">
        <w:rPr>
          <w:rFonts w:eastAsia="MS Mincho"/>
          <w:lang w:val="fr-CA"/>
        </w:rPr>
        <w:t xml:space="preserve">toutes </w:t>
      </w:r>
      <w:r w:rsidR="003B1AA0" w:rsidRPr="00CF5797">
        <w:rPr>
          <w:rFonts w:eastAsia="MS Mincho"/>
          <w:lang w:val="fr-CA"/>
        </w:rPr>
        <w:t>les exigenc</w:t>
      </w:r>
      <w:r w:rsidR="00B63145" w:rsidRPr="00CF5797">
        <w:rPr>
          <w:rFonts w:eastAsia="MS Mincho"/>
          <w:lang w:val="fr-CA"/>
        </w:rPr>
        <w:t>e</w:t>
      </w:r>
      <w:r w:rsidR="003B1AA0" w:rsidRPr="00CF5797">
        <w:rPr>
          <w:rFonts w:eastAsia="MS Mincho"/>
          <w:lang w:val="fr-CA"/>
        </w:rPr>
        <w:t>s tec</w:t>
      </w:r>
      <w:r w:rsidR="00B63145" w:rsidRPr="00CF5797">
        <w:rPr>
          <w:rFonts w:eastAsia="MS Mincho"/>
          <w:lang w:val="fr-CA"/>
        </w:rPr>
        <w:t>h</w:t>
      </w:r>
      <w:r w:rsidR="003B1AA0" w:rsidRPr="00CF5797">
        <w:rPr>
          <w:rFonts w:eastAsia="MS Mincho"/>
          <w:lang w:val="fr-CA"/>
        </w:rPr>
        <w:t xml:space="preserve">niques des PME, de diffuser de l’information aux </w:t>
      </w:r>
      <w:r w:rsidR="00B63145" w:rsidRPr="00CF5797">
        <w:rPr>
          <w:rFonts w:eastAsia="MS Mincho"/>
          <w:lang w:val="fr-CA"/>
        </w:rPr>
        <w:t>fournisseurs</w:t>
      </w:r>
      <w:r w:rsidR="003B1AA0" w:rsidRPr="00CF5797">
        <w:rPr>
          <w:rFonts w:eastAsia="MS Mincho"/>
          <w:lang w:val="fr-CA"/>
        </w:rPr>
        <w:t xml:space="preserve"> locaux de formules et de promo</w:t>
      </w:r>
      <w:r w:rsidR="00B63145" w:rsidRPr="00CF5797">
        <w:rPr>
          <w:rFonts w:eastAsia="MS Mincho"/>
          <w:lang w:val="fr-CA"/>
        </w:rPr>
        <w:t>u</w:t>
      </w:r>
      <w:r w:rsidR="003B1AA0" w:rsidRPr="00CF5797">
        <w:rPr>
          <w:rFonts w:eastAsia="MS Mincho"/>
          <w:lang w:val="fr-CA"/>
        </w:rPr>
        <w:t xml:space="preserve">voir l’adoption de ces formules. Les essais de la technologie à base de HFO étaient prévus pour le premier trimestre de 2020, mais ont été retardés à cause de la pandémie de la COVID-19. </w:t>
      </w:r>
      <w:r w:rsidR="00176AF1" w:rsidRPr="00CF5797">
        <w:rPr>
          <w:rFonts w:eastAsia="MS Mincho"/>
          <w:lang w:val="fr-CA"/>
        </w:rPr>
        <w:t>L</w:t>
      </w:r>
      <w:r w:rsidR="003B1AA0" w:rsidRPr="00CF5797">
        <w:rPr>
          <w:rFonts w:eastAsia="MS Mincho"/>
          <w:lang w:val="fr-CA"/>
        </w:rPr>
        <w:t>a reconversion d</w:t>
      </w:r>
      <w:r w:rsidR="00B63145" w:rsidRPr="00CF5797">
        <w:rPr>
          <w:rFonts w:eastAsia="MS Mincho"/>
          <w:lang w:val="fr-CA"/>
        </w:rPr>
        <w:t>e</w:t>
      </w:r>
      <w:r w:rsidR="003B1AA0" w:rsidRPr="00CF5797">
        <w:rPr>
          <w:rFonts w:eastAsia="MS Mincho"/>
          <w:lang w:val="fr-CA"/>
        </w:rPr>
        <w:t>s entreprises de mousse devrait être achevée</w:t>
      </w:r>
      <w:r w:rsidR="00B63145" w:rsidRPr="00CF5797">
        <w:rPr>
          <w:rFonts w:eastAsia="MS Mincho"/>
          <w:lang w:val="fr-CA"/>
        </w:rPr>
        <w:t xml:space="preserve"> d’ici à juin 2021</w:t>
      </w:r>
      <w:r w:rsidR="00176AF1" w:rsidRPr="00CF5797">
        <w:rPr>
          <w:rFonts w:eastAsia="MS Mincho"/>
          <w:lang w:val="fr-CA"/>
        </w:rPr>
        <w:t xml:space="preserve">, s’il n’y a pas d’autres contretemps causés par la COVID-19, </w:t>
      </w:r>
      <w:r w:rsidR="00B63145" w:rsidRPr="00CF5797">
        <w:rPr>
          <w:rFonts w:eastAsia="MS Mincho"/>
          <w:lang w:val="fr-CA"/>
        </w:rPr>
        <w:t>et les formules à base de HFO seront vendues sur le marché peu après</w:t>
      </w:r>
      <w:r w:rsidR="00825F3F" w:rsidRPr="00CF5797">
        <w:rPr>
          <w:lang w:val="fr-CA"/>
        </w:rPr>
        <w:t xml:space="preserve">. </w:t>
      </w:r>
    </w:p>
    <w:p w14:paraId="687EFECA" w14:textId="6E060D1B" w:rsidR="00825F3F" w:rsidRPr="00CF5797" w:rsidRDefault="00B63145" w:rsidP="00825F3F">
      <w:pPr>
        <w:pStyle w:val="Heading1"/>
        <w:keepNext/>
        <w:keepLines/>
        <w:numPr>
          <w:ilvl w:val="0"/>
          <w:numId w:val="0"/>
        </w:numPr>
        <w:rPr>
          <w:i/>
          <w:lang w:val="fr-CA"/>
        </w:rPr>
      </w:pPr>
      <w:r w:rsidRPr="00CF5797">
        <w:rPr>
          <w:i/>
          <w:lang w:val="fr-CA"/>
        </w:rPr>
        <w:t>Consommation de HCFC</w:t>
      </w:r>
    </w:p>
    <w:p w14:paraId="6B018BE2" w14:textId="3CAD37E2" w:rsidR="00825F3F" w:rsidRPr="00CF5797" w:rsidRDefault="004E3AB9" w:rsidP="00825F3F">
      <w:pPr>
        <w:pStyle w:val="Heading1"/>
        <w:rPr>
          <w:lang w:val="fr-CA"/>
        </w:rPr>
      </w:pPr>
      <w:r w:rsidRPr="00CF5797">
        <w:rPr>
          <w:lang w:val="fr-CA"/>
        </w:rPr>
        <w:t xml:space="preserve">Le gouvernement de l’Uruguay a déclaré une consommation de 14,08 tonnes PAO de HCFC pour l’année 2019, ce qui représente 40 pour cent de moins que la valeur de référence des HCFC aux fins de conformité. Les données déclarées en vertu de l’article 7 n’ont pas </w:t>
      </w:r>
      <w:r w:rsidR="008826E1" w:rsidRPr="00CF5797">
        <w:rPr>
          <w:lang w:val="fr-CA"/>
        </w:rPr>
        <w:t xml:space="preserve">encore </w:t>
      </w:r>
      <w:r w:rsidRPr="00CF5797">
        <w:rPr>
          <w:lang w:val="fr-CA"/>
        </w:rPr>
        <w:t>été transmises pour l’année 2020</w:t>
      </w:r>
      <w:r w:rsidR="00825F3F" w:rsidRPr="00CF5797">
        <w:rPr>
          <w:lang w:val="fr-CA"/>
        </w:rPr>
        <w:t>.</w:t>
      </w:r>
    </w:p>
    <w:p w14:paraId="35604AA6" w14:textId="5E86CB2B" w:rsidR="00825F3F" w:rsidRPr="00CF5797" w:rsidRDefault="004E3AB9" w:rsidP="00825F3F">
      <w:pPr>
        <w:pStyle w:val="Heading1"/>
        <w:numPr>
          <w:ilvl w:val="0"/>
          <w:numId w:val="0"/>
        </w:numPr>
        <w:rPr>
          <w:b/>
          <w:bCs/>
          <w:lang w:val="fr-CA"/>
        </w:rPr>
      </w:pPr>
      <w:r w:rsidRPr="00CF5797">
        <w:rPr>
          <w:b/>
          <w:bCs/>
          <w:lang w:val="fr-CA"/>
        </w:rPr>
        <w:t>Rapport périodique</w:t>
      </w:r>
    </w:p>
    <w:p w14:paraId="4A1C8B5C" w14:textId="0010FA3F" w:rsidR="00825F3F" w:rsidRPr="00CF5797" w:rsidRDefault="004E3AB9" w:rsidP="00825F3F">
      <w:pPr>
        <w:pStyle w:val="Heading1"/>
        <w:numPr>
          <w:ilvl w:val="0"/>
          <w:numId w:val="0"/>
        </w:numPr>
        <w:rPr>
          <w:i/>
          <w:lang w:val="fr-CA"/>
        </w:rPr>
      </w:pPr>
      <w:r w:rsidRPr="00CF5797">
        <w:rPr>
          <w:i/>
          <w:lang w:val="fr-CA"/>
        </w:rPr>
        <w:t xml:space="preserve">Secteur de la fabrication de mousse de polyuréthanne </w:t>
      </w:r>
    </w:p>
    <w:p w14:paraId="441B2615" w14:textId="060B3CD0" w:rsidR="00825F3F" w:rsidRPr="00CF5797" w:rsidRDefault="004E3AB9" w:rsidP="00825F3F">
      <w:pPr>
        <w:pStyle w:val="Heading1"/>
        <w:rPr>
          <w:lang w:val="fr-CA"/>
        </w:rPr>
      </w:pPr>
      <w:r w:rsidRPr="00CF5797">
        <w:rPr>
          <w:lang w:val="fr-CA"/>
        </w:rPr>
        <w:t>L’état du projet de reconversion est résumé dans le tableau 12</w:t>
      </w:r>
      <w:r w:rsidR="00825F3F" w:rsidRPr="00CF5797">
        <w:rPr>
          <w:lang w:val="fr-CA"/>
        </w:rPr>
        <w:t>.</w:t>
      </w:r>
    </w:p>
    <w:p w14:paraId="6090CF6A" w14:textId="11F95836" w:rsidR="00825F3F" w:rsidRPr="00CF5797" w:rsidRDefault="00825F3F" w:rsidP="00825F3F">
      <w:pPr>
        <w:keepNext/>
        <w:keepLines/>
        <w:rPr>
          <w:b/>
          <w:sz w:val="21"/>
          <w:szCs w:val="21"/>
          <w:lang w:val="fr-CA"/>
        </w:rPr>
      </w:pPr>
      <w:r w:rsidRPr="00CF5797">
        <w:rPr>
          <w:b/>
          <w:sz w:val="21"/>
          <w:szCs w:val="21"/>
          <w:lang w:val="fr-CA"/>
        </w:rPr>
        <w:lastRenderedPageBreak/>
        <w:t>Table</w:t>
      </w:r>
      <w:r w:rsidR="004E3AB9" w:rsidRPr="00CF5797">
        <w:rPr>
          <w:b/>
          <w:sz w:val="21"/>
          <w:szCs w:val="21"/>
          <w:lang w:val="fr-CA"/>
        </w:rPr>
        <w:t>au</w:t>
      </w:r>
      <w:r w:rsidRPr="00CF5797">
        <w:rPr>
          <w:b/>
          <w:sz w:val="21"/>
          <w:szCs w:val="21"/>
          <w:lang w:val="fr-CA"/>
        </w:rPr>
        <w:t xml:space="preserve"> 12. </w:t>
      </w:r>
      <w:r w:rsidR="004E3AB9" w:rsidRPr="00CF5797">
        <w:rPr>
          <w:b/>
          <w:sz w:val="21"/>
          <w:szCs w:val="21"/>
          <w:lang w:val="fr-CA"/>
        </w:rPr>
        <w:t>Sommaire des progrès dans le projet de reconversion du secteur des mousses</w:t>
      </w:r>
    </w:p>
    <w:tbl>
      <w:tblPr>
        <w:tblStyle w:val="TableGrid"/>
        <w:tblW w:w="9355" w:type="dxa"/>
        <w:tblLayout w:type="fixed"/>
        <w:tblCellMar>
          <w:left w:w="58" w:type="dxa"/>
          <w:right w:w="58" w:type="dxa"/>
        </w:tblCellMar>
        <w:tblLook w:val="04A0" w:firstRow="1" w:lastRow="0" w:firstColumn="1" w:lastColumn="0" w:noHBand="0" w:noVBand="1"/>
      </w:tblPr>
      <w:tblGrid>
        <w:gridCol w:w="1256"/>
        <w:gridCol w:w="1169"/>
        <w:gridCol w:w="629"/>
        <w:gridCol w:w="810"/>
        <w:gridCol w:w="5491"/>
      </w:tblGrid>
      <w:tr w:rsidR="00825F3F" w:rsidRPr="00CF5797" w14:paraId="144118AB" w14:textId="77777777" w:rsidTr="00E14C84">
        <w:tc>
          <w:tcPr>
            <w:tcW w:w="671" w:type="pct"/>
            <w:vMerge w:val="restart"/>
            <w:vAlign w:val="center"/>
          </w:tcPr>
          <w:p w14:paraId="2E7202E8" w14:textId="7AE80B1C" w:rsidR="00825F3F" w:rsidRPr="00CF5797" w:rsidRDefault="004E3AB9" w:rsidP="004F62E7">
            <w:pPr>
              <w:keepNext/>
              <w:keepLines/>
              <w:widowControl w:val="0"/>
              <w:jc w:val="left"/>
              <w:rPr>
                <w:bCs/>
                <w:color w:val="000000"/>
                <w:sz w:val="20"/>
                <w:lang w:val="fr-CA"/>
              </w:rPr>
            </w:pPr>
            <w:r w:rsidRPr="00CF5797">
              <w:rPr>
                <w:b/>
                <w:bCs/>
                <w:color w:val="000000"/>
                <w:sz w:val="20"/>
                <w:lang w:val="fr-CA"/>
              </w:rPr>
              <w:t>Sous-secteur</w:t>
            </w:r>
          </w:p>
        </w:tc>
        <w:tc>
          <w:tcPr>
            <w:tcW w:w="625" w:type="pct"/>
            <w:vMerge w:val="restart"/>
            <w:tcMar>
              <w:left w:w="0" w:type="dxa"/>
              <w:right w:w="0" w:type="dxa"/>
            </w:tcMar>
          </w:tcPr>
          <w:p w14:paraId="66E6393F" w14:textId="78E2F334" w:rsidR="00825F3F" w:rsidRPr="00CF5797" w:rsidRDefault="004E3AB9" w:rsidP="004F62E7">
            <w:pPr>
              <w:keepNext/>
              <w:keepLines/>
              <w:widowControl w:val="0"/>
              <w:jc w:val="center"/>
              <w:rPr>
                <w:bCs/>
                <w:color w:val="000000"/>
                <w:sz w:val="20"/>
                <w:lang w:val="fr-CA"/>
              </w:rPr>
            </w:pPr>
            <w:proofErr w:type="spellStart"/>
            <w:r w:rsidRPr="00CF5797">
              <w:rPr>
                <w:b/>
                <w:sz w:val="20"/>
                <w:lang w:val="fr-CA"/>
              </w:rPr>
              <w:t>N</w:t>
            </w:r>
            <w:r w:rsidRPr="00CF5797">
              <w:rPr>
                <w:b/>
                <w:sz w:val="20"/>
                <w:vertAlign w:val="superscript"/>
                <w:lang w:val="fr-CA"/>
              </w:rPr>
              <w:t>bre</w:t>
            </w:r>
            <w:proofErr w:type="spellEnd"/>
            <w:r w:rsidRPr="00CF5797">
              <w:rPr>
                <w:b/>
                <w:sz w:val="20"/>
                <w:vertAlign w:val="superscript"/>
                <w:lang w:val="fr-CA"/>
              </w:rPr>
              <w:t xml:space="preserve"> </w:t>
            </w:r>
            <w:r w:rsidRPr="00CF5797">
              <w:rPr>
                <w:b/>
                <w:sz w:val="20"/>
                <w:lang w:val="fr-CA"/>
              </w:rPr>
              <w:t>d’entreprises</w:t>
            </w:r>
          </w:p>
        </w:tc>
        <w:tc>
          <w:tcPr>
            <w:tcW w:w="769" w:type="pct"/>
            <w:gridSpan w:val="2"/>
            <w:vAlign w:val="center"/>
          </w:tcPr>
          <w:p w14:paraId="292F2438" w14:textId="10591611" w:rsidR="00825F3F" w:rsidRPr="00CF5797" w:rsidRDefault="004E3AB9" w:rsidP="004F62E7">
            <w:pPr>
              <w:keepNext/>
              <w:keepLines/>
              <w:widowControl w:val="0"/>
              <w:jc w:val="center"/>
              <w:rPr>
                <w:color w:val="000000"/>
                <w:sz w:val="20"/>
                <w:lang w:val="fr-CA"/>
              </w:rPr>
            </w:pPr>
            <w:r w:rsidRPr="00CF5797">
              <w:rPr>
                <w:b/>
                <w:bCs/>
                <w:color w:val="000000"/>
                <w:sz w:val="20"/>
                <w:lang w:val="fr-CA"/>
              </w:rPr>
              <w:t>Consommation</w:t>
            </w:r>
          </w:p>
        </w:tc>
        <w:tc>
          <w:tcPr>
            <w:tcW w:w="2935" w:type="pct"/>
            <w:vMerge w:val="restart"/>
            <w:vAlign w:val="center"/>
          </w:tcPr>
          <w:p w14:paraId="108D3544" w14:textId="5D3C9F76" w:rsidR="00825F3F" w:rsidRPr="00CF5797" w:rsidDel="00731049" w:rsidRDefault="00E14C84" w:rsidP="004F62E7">
            <w:pPr>
              <w:pStyle w:val="ListParagraph"/>
              <w:keepNext/>
              <w:keepLines/>
              <w:widowControl w:val="0"/>
              <w:ind w:left="158"/>
              <w:jc w:val="center"/>
              <w:rPr>
                <w:bCs/>
                <w:color w:val="000000"/>
                <w:sz w:val="20"/>
                <w:lang w:val="fr-CA"/>
              </w:rPr>
            </w:pPr>
            <w:r w:rsidRPr="00CF5797">
              <w:rPr>
                <w:b/>
                <w:bCs/>
                <w:color w:val="000000"/>
                <w:sz w:val="20"/>
                <w:lang w:val="fr-CA"/>
              </w:rPr>
              <w:t>État</w:t>
            </w:r>
          </w:p>
        </w:tc>
      </w:tr>
      <w:tr w:rsidR="00825F3F" w:rsidRPr="00CF5797" w14:paraId="42C1AFF2" w14:textId="77777777" w:rsidTr="00E14C84">
        <w:tc>
          <w:tcPr>
            <w:tcW w:w="671" w:type="pct"/>
            <w:vMerge/>
            <w:tcMar>
              <w:left w:w="0" w:type="dxa"/>
              <w:right w:w="0" w:type="dxa"/>
            </w:tcMar>
            <w:vAlign w:val="center"/>
          </w:tcPr>
          <w:p w14:paraId="205C1CFC" w14:textId="77777777" w:rsidR="00825F3F" w:rsidRPr="00CF5797" w:rsidRDefault="00825F3F" w:rsidP="004F62E7">
            <w:pPr>
              <w:keepNext/>
              <w:keepLines/>
              <w:widowControl w:val="0"/>
              <w:jc w:val="center"/>
              <w:rPr>
                <w:bCs/>
                <w:color w:val="000000"/>
                <w:lang w:val="fr-CA"/>
              </w:rPr>
            </w:pPr>
          </w:p>
        </w:tc>
        <w:tc>
          <w:tcPr>
            <w:tcW w:w="625" w:type="pct"/>
            <w:vMerge/>
            <w:tcMar>
              <w:left w:w="0" w:type="dxa"/>
              <w:right w:w="0" w:type="dxa"/>
            </w:tcMar>
            <w:vAlign w:val="center"/>
          </w:tcPr>
          <w:p w14:paraId="08D0A041" w14:textId="77777777" w:rsidR="00825F3F" w:rsidRPr="00CF5797" w:rsidRDefault="00825F3F" w:rsidP="004F62E7">
            <w:pPr>
              <w:keepNext/>
              <w:keepLines/>
              <w:widowControl w:val="0"/>
              <w:jc w:val="center"/>
              <w:rPr>
                <w:bCs/>
                <w:color w:val="000000"/>
                <w:lang w:val="fr-CA"/>
              </w:rPr>
            </w:pPr>
          </w:p>
        </w:tc>
        <w:tc>
          <w:tcPr>
            <w:tcW w:w="336" w:type="pct"/>
            <w:tcMar>
              <w:left w:w="0" w:type="dxa"/>
              <w:right w:w="0" w:type="dxa"/>
            </w:tcMar>
            <w:vAlign w:val="center"/>
          </w:tcPr>
          <w:p w14:paraId="46A093A3" w14:textId="7DDABC9B" w:rsidR="00825F3F" w:rsidRPr="00CF5797" w:rsidRDefault="004E3AB9" w:rsidP="004F62E7">
            <w:pPr>
              <w:keepNext/>
              <w:keepLines/>
              <w:widowControl w:val="0"/>
              <w:jc w:val="center"/>
              <w:rPr>
                <w:color w:val="000000"/>
                <w:lang w:val="fr-CA"/>
              </w:rPr>
            </w:pPr>
            <w:r w:rsidRPr="00CF5797">
              <w:rPr>
                <w:b/>
                <w:lang w:val="fr-CA"/>
              </w:rPr>
              <w:t>Tm</w:t>
            </w:r>
          </w:p>
        </w:tc>
        <w:tc>
          <w:tcPr>
            <w:tcW w:w="433" w:type="pct"/>
            <w:tcMar>
              <w:left w:w="0" w:type="dxa"/>
              <w:right w:w="0" w:type="dxa"/>
            </w:tcMar>
            <w:vAlign w:val="center"/>
          </w:tcPr>
          <w:p w14:paraId="194CACA2" w14:textId="78F1C54A" w:rsidR="00825F3F" w:rsidRPr="00CF5797" w:rsidRDefault="00E14C84" w:rsidP="004F62E7">
            <w:pPr>
              <w:keepNext/>
              <w:keepLines/>
              <w:widowControl w:val="0"/>
              <w:jc w:val="center"/>
              <w:rPr>
                <w:color w:val="000000"/>
                <w:lang w:val="fr-CA"/>
              </w:rPr>
            </w:pPr>
            <w:r w:rsidRPr="00CF5797">
              <w:rPr>
                <w:b/>
                <w:lang w:val="fr-CA"/>
              </w:rPr>
              <w:t>Tonnes PAO</w:t>
            </w:r>
          </w:p>
        </w:tc>
        <w:tc>
          <w:tcPr>
            <w:tcW w:w="2935" w:type="pct"/>
            <w:vMerge/>
            <w:tcMar>
              <w:left w:w="0" w:type="dxa"/>
              <w:right w:w="0" w:type="dxa"/>
            </w:tcMar>
            <w:vAlign w:val="center"/>
          </w:tcPr>
          <w:p w14:paraId="2D878337" w14:textId="77777777" w:rsidR="00825F3F" w:rsidRPr="00CF5797" w:rsidDel="00731049" w:rsidRDefault="00825F3F" w:rsidP="004F62E7">
            <w:pPr>
              <w:pStyle w:val="ListParagraph"/>
              <w:keepNext/>
              <w:keepLines/>
              <w:widowControl w:val="0"/>
              <w:ind w:left="158"/>
              <w:jc w:val="center"/>
              <w:rPr>
                <w:b/>
                <w:bCs/>
                <w:color w:val="000000"/>
                <w:lang w:val="fr-CA"/>
              </w:rPr>
            </w:pPr>
          </w:p>
        </w:tc>
      </w:tr>
      <w:tr w:rsidR="00825F3F" w:rsidRPr="0049199D" w14:paraId="77CE5D89" w14:textId="77777777" w:rsidTr="00E14C84">
        <w:tc>
          <w:tcPr>
            <w:tcW w:w="671" w:type="pct"/>
          </w:tcPr>
          <w:p w14:paraId="1B879E06" w14:textId="46992F6B" w:rsidR="00825F3F" w:rsidRPr="00CF5797" w:rsidRDefault="00E14C84" w:rsidP="004F62E7">
            <w:pPr>
              <w:keepNext/>
              <w:keepLines/>
              <w:widowControl w:val="0"/>
              <w:jc w:val="left"/>
              <w:rPr>
                <w:lang w:val="fr-CA"/>
              </w:rPr>
            </w:pPr>
            <w:r w:rsidRPr="00CF5797">
              <w:rPr>
                <w:bCs/>
                <w:color w:val="000000"/>
                <w:lang w:val="fr-CA"/>
              </w:rPr>
              <w:t>Chauffe-eau</w:t>
            </w:r>
          </w:p>
        </w:tc>
        <w:tc>
          <w:tcPr>
            <w:tcW w:w="625" w:type="pct"/>
            <w:tcMar>
              <w:right w:w="144" w:type="dxa"/>
            </w:tcMar>
          </w:tcPr>
          <w:p w14:paraId="3CC60E1E" w14:textId="77777777" w:rsidR="00825F3F" w:rsidRPr="00CF5797" w:rsidRDefault="00825F3F" w:rsidP="004F62E7">
            <w:pPr>
              <w:keepNext/>
              <w:keepLines/>
              <w:widowControl w:val="0"/>
              <w:ind w:right="10"/>
              <w:jc w:val="right"/>
              <w:rPr>
                <w:bCs/>
                <w:color w:val="000000"/>
                <w:lang w:val="fr-CA"/>
              </w:rPr>
            </w:pPr>
            <w:r w:rsidRPr="00CF5797">
              <w:rPr>
                <w:bCs/>
                <w:color w:val="000000"/>
                <w:lang w:val="fr-CA"/>
              </w:rPr>
              <w:t>5</w:t>
            </w:r>
          </w:p>
        </w:tc>
        <w:tc>
          <w:tcPr>
            <w:tcW w:w="336" w:type="pct"/>
          </w:tcPr>
          <w:p w14:paraId="151868BF" w14:textId="42DB370A" w:rsidR="00825F3F" w:rsidRPr="00CF5797" w:rsidRDefault="00825F3F" w:rsidP="004F62E7">
            <w:pPr>
              <w:keepNext/>
              <w:keepLines/>
              <w:widowControl w:val="0"/>
              <w:jc w:val="right"/>
              <w:rPr>
                <w:b/>
                <w:bCs/>
                <w:color w:val="000000"/>
                <w:lang w:val="fr-CA"/>
              </w:rPr>
            </w:pPr>
            <w:r w:rsidRPr="00CF5797">
              <w:rPr>
                <w:color w:val="000000"/>
                <w:lang w:val="fr-CA"/>
              </w:rPr>
              <w:t>13</w:t>
            </w:r>
            <w:r w:rsidR="00E14C84" w:rsidRPr="00CF5797">
              <w:rPr>
                <w:color w:val="000000"/>
                <w:lang w:val="fr-CA"/>
              </w:rPr>
              <w:t>,</w:t>
            </w:r>
            <w:r w:rsidRPr="00CF5797">
              <w:rPr>
                <w:color w:val="000000"/>
                <w:lang w:val="fr-CA"/>
              </w:rPr>
              <w:t>07</w:t>
            </w:r>
          </w:p>
        </w:tc>
        <w:tc>
          <w:tcPr>
            <w:tcW w:w="433" w:type="pct"/>
          </w:tcPr>
          <w:p w14:paraId="647724AD" w14:textId="6DF706A1" w:rsidR="00825F3F" w:rsidRPr="00CF5797" w:rsidRDefault="00825F3F" w:rsidP="004F62E7">
            <w:pPr>
              <w:keepNext/>
              <w:keepLines/>
              <w:widowControl w:val="0"/>
              <w:jc w:val="right"/>
              <w:rPr>
                <w:b/>
                <w:bCs/>
                <w:color w:val="000000"/>
                <w:lang w:val="fr-CA"/>
              </w:rPr>
            </w:pPr>
            <w:r w:rsidRPr="00CF5797">
              <w:rPr>
                <w:color w:val="000000"/>
                <w:lang w:val="fr-CA"/>
              </w:rPr>
              <w:t>1</w:t>
            </w:r>
            <w:r w:rsidR="00E14C84" w:rsidRPr="00CF5797">
              <w:rPr>
                <w:color w:val="000000"/>
                <w:lang w:val="fr-CA"/>
              </w:rPr>
              <w:t>,</w:t>
            </w:r>
            <w:r w:rsidRPr="00CF5797">
              <w:rPr>
                <w:color w:val="000000"/>
                <w:lang w:val="fr-CA"/>
              </w:rPr>
              <w:t>44</w:t>
            </w:r>
          </w:p>
        </w:tc>
        <w:tc>
          <w:tcPr>
            <w:tcW w:w="2935" w:type="pct"/>
          </w:tcPr>
          <w:p w14:paraId="49C6F104" w14:textId="6CDFDBCC" w:rsidR="00825F3F" w:rsidRPr="00CF5797" w:rsidRDefault="00E14C84" w:rsidP="004F62E7">
            <w:pPr>
              <w:pStyle w:val="ListParagraph"/>
              <w:keepNext/>
              <w:keepLines/>
              <w:widowControl w:val="0"/>
              <w:numPr>
                <w:ilvl w:val="0"/>
                <w:numId w:val="40"/>
              </w:numPr>
              <w:ind w:left="158" w:hanging="158"/>
              <w:jc w:val="left"/>
              <w:rPr>
                <w:lang w:val="fr-CA"/>
              </w:rPr>
            </w:pPr>
            <w:r w:rsidRPr="00CF5797">
              <w:rPr>
                <w:bCs/>
                <w:color w:val="000000"/>
                <w:lang w:val="fr-CA"/>
              </w:rPr>
              <w:t>La reconversion d’une entreprise (James) au cyclopentane est terminée</w:t>
            </w:r>
            <w:r w:rsidR="00825F3F" w:rsidRPr="00CF5797">
              <w:rPr>
                <w:lang w:val="fr-CA"/>
              </w:rPr>
              <w:t xml:space="preserve">. </w:t>
            </w:r>
          </w:p>
          <w:p w14:paraId="7018FD11" w14:textId="7A2DA549" w:rsidR="00825F3F" w:rsidRPr="00CF5797" w:rsidRDefault="00E14C84" w:rsidP="004F62E7">
            <w:pPr>
              <w:pStyle w:val="ListParagraph"/>
              <w:keepNext/>
              <w:keepLines/>
              <w:widowControl w:val="0"/>
              <w:numPr>
                <w:ilvl w:val="0"/>
                <w:numId w:val="40"/>
              </w:numPr>
              <w:ind w:left="158" w:hanging="158"/>
              <w:jc w:val="left"/>
              <w:rPr>
                <w:lang w:val="fr-CA"/>
              </w:rPr>
            </w:pPr>
            <w:r w:rsidRPr="00CF5797">
              <w:rPr>
                <w:lang w:val="fr-CA"/>
              </w:rPr>
              <w:t>Des rencontres ont eu lieu et des protocoles d’essai ont été partagés avec deux entreprises (</w:t>
            </w:r>
            <w:proofErr w:type="spellStart"/>
            <w:r w:rsidRPr="00CF5797">
              <w:rPr>
                <w:lang w:val="fr-CA"/>
              </w:rPr>
              <w:t>Rivomark</w:t>
            </w:r>
            <w:proofErr w:type="spellEnd"/>
            <w:r w:rsidRPr="00CF5797">
              <w:rPr>
                <w:lang w:val="fr-CA"/>
              </w:rPr>
              <w:t xml:space="preserve"> S.A et </w:t>
            </w:r>
            <w:proofErr w:type="spellStart"/>
            <w:r w:rsidRPr="00CF5797">
              <w:rPr>
                <w:lang w:val="fr-CA"/>
              </w:rPr>
              <w:t>Warners</w:t>
            </w:r>
            <w:proofErr w:type="spellEnd"/>
            <w:r w:rsidRPr="00CF5797">
              <w:rPr>
                <w:lang w:val="fr-CA"/>
              </w:rPr>
              <w:t xml:space="preserve">). Une reconversion est commencée et devrait être achevée d’ici la fin de 2021 et l’autre devrait commencer bientôt, dès que la pandémie </w:t>
            </w:r>
            <w:r w:rsidR="008826E1" w:rsidRPr="00CF5797">
              <w:rPr>
                <w:lang w:val="fr-CA"/>
              </w:rPr>
              <w:t>sera</w:t>
            </w:r>
            <w:r w:rsidRPr="00CF5797">
              <w:rPr>
                <w:lang w:val="fr-CA"/>
              </w:rPr>
              <w:t xml:space="preserve"> sous contrôle</w:t>
            </w:r>
            <w:r w:rsidR="00825F3F" w:rsidRPr="00CF5797">
              <w:rPr>
                <w:lang w:val="fr-CA"/>
              </w:rPr>
              <w:t xml:space="preserve">. </w:t>
            </w:r>
          </w:p>
          <w:p w14:paraId="09B1747C" w14:textId="442AD848" w:rsidR="00825F3F" w:rsidRPr="00CF5797" w:rsidRDefault="00516D9C" w:rsidP="008826E1">
            <w:pPr>
              <w:pStyle w:val="ListParagraph"/>
              <w:keepNext/>
              <w:keepLines/>
              <w:widowControl w:val="0"/>
              <w:numPr>
                <w:ilvl w:val="0"/>
                <w:numId w:val="40"/>
              </w:numPr>
              <w:ind w:left="158" w:hanging="158"/>
              <w:jc w:val="left"/>
              <w:rPr>
                <w:bCs/>
                <w:color w:val="000000"/>
                <w:lang w:val="fr-CA"/>
              </w:rPr>
            </w:pPr>
            <w:r w:rsidRPr="00CF5797">
              <w:rPr>
                <w:lang w:val="fr-CA"/>
              </w:rPr>
              <w:t>La reconversion de deux entreprises (IMA et Orion) est en attente de connaître les niveaux de production de l’après COVID-19</w:t>
            </w:r>
            <w:r w:rsidR="00825F3F" w:rsidRPr="00CF5797">
              <w:rPr>
                <w:lang w:val="fr-CA"/>
              </w:rPr>
              <w:t xml:space="preserve">. </w:t>
            </w:r>
          </w:p>
        </w:tc>
      </w:tr>
      <w:tr w:rsidR="00825F3F" w:rsidRPr="0049199D" w14:paraId="25D2112E" w14:textId="77777777" w:rsidTr="00E14C84">
        <w:tc>
          <w:tcPr>
            <w:tcW w:w="671" w:type="pct"/>
          </w:tcPr>
          <w:p w14:paraId="42E73C38" w14:textId="3BF7DA4E" w:rsidR="00825F3F" w:rsidRPr="00CF5797" w:rsidRDefault="00E14C84" w:rsidP="004F62E7">
            <w:pPr>
              <w:widowControl w:val="0"/>
              <w:jc w:val="left"/>
              <w:rPr>
                <w:lang w:val="fr-CA"/>
              </w:rPr>
            </w:pPr>
            <w:r w:rsidRPr="00CF5797">
              <w:rPr>
                <w:bCs/>
                <w:color w:val="000000"/>
                <w:lang w:val="fr-CA"/>
              </w:rPr>
              <w:t>Panneaux en discontinu</w:t>
            </w:r>
          </w:p>
        </w:tc>
        <w:tc>
          <w:tcPr>
            <w:tcW w:w="625" w:type="pct"/>
            <w:tcMar>
              <w:right w:w="144" w:type="dxa"/>
            </w:tcMar>
          </w:tcPr>
          <w:p w14:paraId="3BFDF61A" w14:textId="77777777" w:rsidR="00825F3F" w:rsidRPr="00CF5797" w:rsidRDefault="00825F3F" w:rsidP="004F62E7">
            <w:pPr>
              <w:widowControl w:val="0"/>
              <w:ind w:right="10"/>
              <w:jc w:val="right"/>
              <w:rPr>
                <w:bCs/>
                <w:color w:val="000000"/>
                <w:lang w:val="fr-CA"/>
              </w:rPr>
            </w:pPr>
            <w:r w:rsidRPr="00CF5797">
              <w:rPr>
                <w:bCs/>
                <w:color w:val="000000"/>
                <w:lang w:val="fr-CA"/>
              </w:rPr>
              <w:t>1</w:t>
            </w:r>
          </w:p>
        </w:tc>
        <w:tc>
          <w:tcPr>
            <w:tcW w:w="336" w:type="pct"/>
          </w:tcPr>
          <w:p w14:paraId="18D72168" w14:textId="27A0D243" w:rsidR="00825F3F" w:rsidRPr="00CF5797" w:rsidRDefault="00825F3F" w:rsidP="004F62E7">
            <w:pPr>
              <w:widowControl w:val="0"/>
              <w:jc w:val="right"/>
              <w:rPr>
                <w:b/>
                <w:bCs/>
                <w:color w:val="000000"/>
                <w:lang w:val="fr-CA"/>
              </w:rPr>
            </w:pPr>
            <w:r w:rsidRPr="00CF5797">
              <w:rPr>
                <w:color w:val="000000"/>
                <w:lang w:val="fr-CA"/>
              </w:rPr>
              <w:t>1</w:t>
            </w:r>
            <w:r w:rsidR="00E14C84" w:rsidRPr="00CF5797">
              <w:rPr>
                <w:color w:val="000000"/>
                <w:lang w:val="fr-CA"/>
              </w:rPr>
              <w:t>,</w:t>
            </w:r>
            <w:r w:rsidRPr="00CF5797">
              <w:rPr>
                <w:color w:val="000000"/>
                <w:lang w:val="fr-CA"/>
              </w:rPr>
              <w:t>04</w:t>
            </w:r>
          </w:p>
        </w:tc>
        <w:tc>
          <w:tcPr>
            <w:tcW w:w="433" w:type="pct"/>
          </w:tcPr>
          <w:p w14:paraId="10296415" w14:textId="5A38BE2C"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11</w:t>
            </w:r>
          </w:p>
        </w:tc>
        <w:tc>
          <w:tcPr>
            <w:tcW w:w="2935" w:type="pct"/>
          </w:tcPr>
          <w:p w14:paraId="1EF1302E" w14:textId="3AB81840" w:rsidR="00825F3F" w:rsidRPr="00CF5797" w:rsidRDefault="00516D9C" w:rsidP="008826E1">
            <w:pPr>
              <w:pStyle w:val="ListParagraph"/>
              <w:widowControl w:val="0"/>
              <w:numPr>
                <w:ilvl w:val="0"/>
                <w:numId w:val="40"/>
              </w:numPr>
              <w:ind w:left="158" w:hanging="158"/>
              <w:jc w:val="left"/>
              <w:rPr>
                <w:lang w:val="fr-CA"/>
              </w:rPr>
            </w:pPr>
            <w:r w:rsidRPr="00CF5797">
              <w:rPr>
                <w:lang w:val="fr-CA"/>
              </w:rPr>
              <w:t>La reconversion (</w:t>
            </w:r>
            <w:proofErr w:type="spellStart"/>
            <w:r w:rsidRPr="00CF5797">
              <w:rPr>
                <w:lang w:val="fr-CA"/>
              </w:rPr>
              <w:t>Colder</w:t>
            </w:r>
            <w:proofErr w:type="spellEnd"/>
            <w:r w:rsidRPr="00CF5797">
              <w:rPr>
                <w:lang w:val="fr-CA"/>
              </w:rPr>
              <w:t>) est en attente de connaître les niveaux de production de l’après COVID-19</w:t>
            </w:r>
            <w:r w:rsidR="00825F3F" w:rsidRPr="00CF5797">
              <w:rPr>
                <w:lang w:val="fr-CA"/>
              </w:rPr>
              <w:t>.</w:t>
            </w:r>
          </w:p>
        </w:tc>
      </w:tr>
      <w:tr w:rsidR="00825F3F" w:rsidRPr="0049199D" w14:paraId="36A6E778" w14:textId="77777777" w:rsidTr="00E14C84">
        <w:tc>
          <w:tcPr>
            <w:tcW w:w="671" w:type="pct"/>
          </w:tcPr>
          <w:p w14:paraId="06E9DB98" w14:textId="43871DC6" w:rsidR="00825F3F" w:rsidRPr="00CF5797" w:rsidRDefault="00E14C84" w:rsidP="004F62E7">
            <w:pPr>
              <w:widowControl w:val="0"/>
              <w:jc w:val="left"/>
              <w:rPr>
                <w:lang w:val="fr-CA"/>
              </w:rPr>
            </w:pPr>
            <w:r w:rsidRPr="00CF5797">
              <w:rPr>
                <w:bCs/>
                <w:color w:val="000000"/>
                <w:lang w:val="fr-CA"/>
              </w:rPr>
              <w:t>Article</w:t>
            </w:r>
            <w:r w:rsidR="008826E1" w:rsidRPr="00CF5797">
              <w:rPr>
                <w:bCs/>
                <w:color w:val="000000"/>
                <w:lang w:val="fr-CA"/>
              </w:rPr>
              <w:t>s</w:t>
            </w:r>
            <w:r w:rsidRPr="00CF5797">
              <w:rPr>
                <w:bCs/>
                <w:color w:val="000000"/>
                <w:lang w:val="fr-CA"/>
              </w:rPr>
              <w:t xml:space="preserve"> résistant à la chaleur</w:t>
            </w:r>
          </w:p>
        </w:tc>
        <w:tc>
          <w:tcPr>
            <w:tcW w:w="625" w:type="pct"/>
            <w:tcMar>
              <w:right w:w="144" w:type="dxa"/>
            </w:tcMar>
          </w:tcPr>
          <w:p w14:paraId="549A0D71" w14:textId="77777777" w:rsidR="00825F3F" w:rsidRPr="00CF5797" w:rsidRDefault="00825F3F" w:rsidP="004F62E7">
            <w:pPr>
              <w:widowControl w:val="0"/>
              <w:ind w:right="10"/>
              <w:jc w:val="right"/>
              <w:rPr>
                <w:bCs/>
                <w:color w:val="000000"/>
                <w:lang w:val="fr-CA"/>
              </w:rPr>
            </w:pPr>
            <w:r w:rsidRPr="00CF5797">
              <w:rPr>
                <w:bCs/>
                <w:color w:val="000000"/>
                <w:lang w:val="fr-CA"/>
              </w:rPr>
              <w:t>1</w:t>
            </w:r>
          </w:p>
        </w:tc>
        <w:tc>
          <w:tcPr>
            <w:tcW w:w="336" w:type="pct"/>
          </w:tcPr>
          <w:p w14:paraId="35027CDF" w14:textId="52D2746F"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12</w:t>
            </w:r>
          </w:p>
        </w:tc>
        <w:tc>
          <w:tcPr>
            <w:tcW w:w="433" w:type="pct"/>
          </w:tcPr>
          <w:p w14:paraId="3B7D422A" w14:textId="47ECDE9C"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01</w:t>
            </w:r>
          </w:p>
        </w:tc>
        <w:tc>
          <w:tcPr>
            <w:tcW w:w="2935" w:type="pct"/>
          </w:tcPr>
          <w:p w14:paraId="4F602637" w14:textId="33FA6C6D" w:rsidR="00825F3F" w:rsidRPr="00CF5797" w:rsidRDefault="00516D9C" w:rsidP="008826E1">
            <w:pPr>
              <w:pStyle w:val="ListParagraph"/>
              <w:widowControl w:val="0"/>
              <w:numPr>
                <w:ilvl w:val="0"/>
                <w:numId w:val="40"/>
              </w:numPr>
              <w:ind w:left="158" w:hanging="158"/>
              <w:jc w:val="left"/>
              <w:rPr>
                <w:bCs/>
                <w:color w:val="000000"/>
                <w:lang w:val="fr-CA"/>
              </w:rPr>
            </w:pPr>
            <w:r w:rsidRPr="00CF5797">
              <w:rPr>
                <w:lang w:val="fr-CA"/>
              </w:rPr>
              <w:t>Il y a eu des rencontres avec l’entreprise (</w:t>
            </w:r>
            <w:proofErr w:type="spellStart"/>
            <w:r w:rsidRPr="00CF5797">
              <w:rPr>
                <w:lang w:val="fr-CA"/>
              </w:rPr>
              <w:t>Ferroco</w:t>
            </w:r>
            <w:proofErr w:type="spellEnd"/>
            <w:r w:rsidRPr="00CF5797">
              <w:rPr>
                <w:lang w:val="fr-CA"/>
              </w:rPr>
              <w:t xml:space="preserve">) et les protocoles d’essai ont été partagés, </w:t>
            </w:r>
            <w:r w:rsidR="008826E1" w:rsidRPr="00CF5797">
              <w:rPr>
                <w:lang w:val="fr-CA"/>
              </w:rPr>
              <w:t>une nouvelle formule</w:t>
            </w:r>
            <w:r w:rsidRPr="00CF5797">
              <w:rPr>
                <w:lang w:val="fr-CA"/>
              </w:rPr>
              <w:t xml:space="preserve"> à base d’eau a été reconnu</w:t>
            </w:r>
            <w:r w:rsidR="008826E1" w:rsidRPr="00CF5797">
              <w:rPr>
                <w:lang w:val="fr-CA"/>
              </w:rPr>
              <w:t>e</w:t>
            </w:r>
            <w:r w:rsidRPr="00CF5797">
              <w:rPr>
                <w:lang w:val="fr-CA"/>
              </w:rPr>
              <w:t xml:space="preserve"> comme étant convenable; l’entreprise attend que le fournisseur puisse importer un échantillon aux fins d’essai</w:t>
            </w:r>
            <w:r w:rsidR="008826E1" w:rsidRPr="00CF5797">
              <w:rPr>
                <w:lang w:val="fr-CA"/>
              </w:rPr>
              <w:t>,</w:t>
            </w:r>
            <w:r w:rsidRPr="00CF5797">
              <w:rPr>
                <w:lang w:val="fr-CA"/>
              </w:rPr>
              <w:t xml:space="preserve"> afin de régler la dose</w:t>
            </w:r>
          </w:p>
        </w:tc>
      </w:tr>
      <w:tr w:rsidR="00825F3F" w:rsidRPr="0049199D" w14:paraId="722F1572" w14:textId="77777777" w:rsidTr="00E14C84">
        <w:trPr>
          <w:trHeight w:val="188"/>
        </w:trPr>
        <w:tc>
          <w:tcPr>
            <w:tcW w:w="671" w:type="pct"/>
          </w:tcPr>
          <w:p w14:paraId="3C0AB81E" w14:textId="0ED946B3" w:rsidR="00825F3F" w:rsidRPr="00CF5797" w:rsidRDefault="00E14C84" w:rsidP="004F62E7">
            <w:pPr>
              <w:widowControl w:val="0"/>
              <w:jc w:val="left"/>
              <w:rPr>
                <w:lang w:val="fr-CA"/>
              </w:rPr>
            </w:pPr>
            <w:r w:rsidRPr="00CF5797">
              <w:rPr>
                <w:bCs/>
                <w:color w:val="000000"/>
                <w:lang w:val="fr-CA"/>
              </w:rPr>
              <w:t>Pellicule intégrée</w:t>
            </w:r>
          </w:p>
        </w:tc>
        <w:tc>
          <w:tcPr>
            <w:tcW w:w="625" w:type="pct"/>
            <w:tcMar>
              <w:right w:w="144" w:type="dxa"/>
            </w:tcMar>
          </w:tcPr>
          <w:p w14:paraId="0246225B" w14:textId="77777777" w:rsidR="00825F3F" w:rsidRPr="00CF5797" w:rsidRDefault="00825F3F" w:rsidP="004F62E7">
            <w:pPr>
              <w:widowControl w:val="0"/>
              <w:ind w:right="10"/>
              <w:jc w:val="right"/>
              <w:rPr>
                <w:bCs/>
                <w:color w:val="000000"/>
                <w:lang w:val="fr-CA"/>
              </w:rPr>
            </w:pPr>
            <w:r w:rsidRPr="00CF5797">
              <w:rPr>
                <w:bCs/>
                <w:color w:val="000000"/>
                <w:lang w:val="fr-CA"/>
              </w:rPr>
              <w:t>1</w:t>
            </w:r>
          </w:p>
        </w:tc>
        <w:tc>
          <w:tcPr>
            <w:tcW w:w="336" w:type="pct"/>
          </w:tcPr>
          <w:p w14:paraId="57A0AD29" w14:textId="54FEF9A7"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28</w:t>
            </w:r>
          </w:p>
        </w:tc>
        <w:tc>
          <w:tcPr>
            <w:tcW w:w="433" w:type="pct"/>
          </w:tcPr>
          <w:p w14:paraId="4A1FEF43" w14:textId="5C4AFE4E"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03</w:t>
            </w:r>
          </w:p>
        </w:tc>
        <w:tc>
          <w:tcPr>
            <w:tcW w:w="2935" w:type="pct"/>
          </w:tcPr>
          <w:p w14:paraId="462AC75D" w14:textId="12247B81" w:rsidR="00825F3F" w:rsidRPr="00CF5797" w:rsidRDefault="00516D9C" w:rsidP="0090436B">
            <w:pPr>
              <w:pStyle w:val="ListParagraph"/>
              <w:widowControl w:val="0"/>
              <w:numPr>
                <w:ilvl w:val="0"/>
                <w:numId w:val="40"/>
              </w:numPr>
              <w:ind w:left="158" w:hanging="158"/>
              <w:jc w:val="left"/>
              <w:rPr>
                <w:bCs/>
                <w:color w:val="000000"/>
                <w:lang w:val="fr-CA"/>
              </w:rPr>
            </w:pPr>
            <w:r w:rsidRPr="00CF5797">
              <w:rPr>
                <w:lang w:val="fr-CA"/>
              </w:rPr>
              <w:t>La reconversion (</w:t>
            </w:r>
            <w:proofErr w:type="spellStart"/>
            <w:r w:rsidR="00B164EF" w:rsidRPr="00CF5797">
              <w:rPr>
                <w:lang w:val="fr-CA"/>
              </w:rPr>
              <w:t>Fumaya</w:t>
            </w:r>
            <w:proofErr w:type="spellEnd"/>
            <w:r w:rsidRPr="00CF5797">
              <w:rPr>
                <w:lang w:val="fr-CA"/>
              </w:rPr>
              <w:t>) est en attente de connaître les niveaux de production de l’après COVID-19</w:t>
            </w:r>
          </w:p>
        </w:tc>
      </w:tr>
      <w:tr w:rsidR="00825F3F" w:rsidRPr="0049199D" w14:paraId="1AD604D0" w14:textId="77777777" w:rsidTr="00E14C84">
        <w:tc>
          <w:tcPr>
            <w:tcW w:w="671" w:type="pct"/>
          </w:tcPr>
          <w:p w14:paraId="1356AE61" w14:textId="1D8B9DEA" w:rsidR="00825F3F" w:rsidRPr="00CF5797" w:rsidRDefault="00E14C84" w:rsidP="004F62E7">
            <w:pPr>
              <w:widowControl w:val="0"/>
              <w:jc w:val="left"/>
              <w:rPr>
                <w:lang w:val="fr-CA"/>
              </w:rPr>
            </w:pPr>
            <w:r w:rsidRPr="00CF5797">
              <w:rPr>
                <w:bCs/>
                <w:color w:val="000000"/>
                <w:lang w:val="fr-CA"/>
              </w:rPr>
              <w:t>À vaporiser</w:t>
            </w:r>
          </w:p>
        </w:tc>
        <w:tc>
          <w:tcPr>
            <w:tcW w:w="625" w:type="pct"/>
            <w:tcMar>
              <w:right w:w="144" w:type="dxa"/>
            </w:tcMar>
          </w:tcPr>
          <w:p w14:paraId="7F6C6B5E" w14:textId="77777777" w:rsidR="00825F3F" w:rsidRPr="00CF5797" w:rsidRDefault="00825F3F" w:rsidP="004F62E7">
            <w:pPr>
              <w:widowControl w:val="0"/>
              <w:ind w:right="10"/>
              <w:jc w:val="right"/>
              <w:rPr>
                <w:bCs/>
                <w:color w:val="000000"/>
                <w:lang w:val="fr-CA"/>
              </w:rPr>
            </w:pPr>
            <w:r w:rsidRPr="00CF5797">
              <w:rPr>
                <w:bCs/>
                <w:color w:val="000000"/>
                <w:lang w:val="fr-CA"/>
              </w:rPr>
              <w:t>12</w:t>
            </w:r>
          </w:p>
        </w:tc>
        <w:tc>
          <w:tcPr>
            <w:tcW w:w="336" w:type="pct"/>
          </w:tcPr>
          <w:p w14:paraId="7D5FF4D3" w14:textId="7081C1C1" w:rsidR="00825F3F" w:rsidRPr="00CF5797" w:rsidRDefault="00825F3F" w:rsidP="004F62E7">
            <w:pPr>
              <w:widowControl w:val="0"/>
              <w:jc w:val="right"/>
              <w:rPr>
                <w:b/>
                <w:bCs/>
                <w:color w:val="000000"/>
                <w:lang w:val="fr-CA"/>
              </w:rPr>
            </w:pPr>
            <w:r w:rsidRPr="00CF5797">
              <w:rPr>
                <w:color w:val="000000"/>
                <w:lang w:val="fr-CA"/>
              </w:rPr>
              <w:t>35</w:t>
            </w:r>
            <w:r w:rsidR="00E14C84" w:rsidRPr="00CF5797">
              <w:rPr>
                <w:color w:val="000000"/>
                <w:lang w:val="fr-CA"/>
              </w:rPr>
              <w:t>,</w:t>
            </w:r>
            <w:r w:rsidRPr="00CF5797">
              <w:rPr>
                <w:color w:val="000000"/>
                <w:lang w:val="fr-CA"/>
              </w:rPr>
              <w:t>62</w:t>
            </w:r>
          </w:p>
        </w:tc>
        <w:tc>
          <w:tcPr>
            <w:tcW w:w="433" w:type="pct"/>
          </w:tcPr>
          <w:p w14:paraId="65403045" w14:textId="51DEC400" w:rsidR="00825F3F" w:rsidRPr="00CF5797" w:rsidRDefault="00825F3F" w:rsidP="004F62E7">
            <w:pPr>
              <w:widowControl w:val="0"/>
              <w:jc w:val="right"/>
              <w:rPr>
                <w:b/>
                <w:bCs/>
                <w:color w:val="000000"/>
                <w:lang w:val="fr-CA"/>
              </w:rPr>
            </w:pPr>
            <w:r w:rsidRPr="00CF5797">
              <w:rPr>
                <w:color w:val="000000"/>
                <w:lang w:val="fr-CA"/>
              </w:rPr>
              <w:t>3</w:t>
            </w:r>
            <w:r w:rsidR="00E14C84" w:rsidRPr="00CF5797">
              <w:rPr>
                <w:color w:val="000000"/>
                <w:lang w:val="fr-CA"/>
              </w:rPr>
              <w:t>,</w:t>
            </w:r>
            <w:r w:rsidRPr="00CF5797">
              <w:rPr>
                <w:color w:val="000000"/>
                <w:lang w:val="fr-CA"/>
              </w:rPr>
              <w:t>92</w:t>
            </w:r>
          </w:p>
        </w:tc>
        <w:tc>
          <w:tcPr>
            <w:tcW w:w="2935" w:type="pct"/>
          </w:tcPr>
          <w:p w14:paraId="6A88BD60" w14:textId="17FCA013" w:rsidR="00825F3F" w:rsidRPr="00CF5797" w:rsidRDefault="00B164EF" w:rsidP="0090436B">
            <w:pPr>
              <w:pStyle w:val="ListParagraph"/>
              <w:widowControl w:val="0"/>
              <w:numPr>
                <w:ilvl w:val="0"/>
                <w:numId w:val="40"/>
              </w:numPr>
              <w:ind w:left="158" w:hanging="158"/>
              <w:jc w:val="left"/>
              <w:rPr>
                <w:bCs/>
                <w:color w:val="000000"/>
                <w:lang w:val="fr-CA"/>
              </w:rPr>
            </w:pPr>
            <w:r w:rsidRPr="00CF5797">
              <w:rPr>
                <w:lang w:val="fr-CA"/>
              </w:rPr>
              <w:t>Des progrès ont été accomplis dans certaines entreprises important des formules à base de HFO, mais les résultats des essais de performance n’ont pas été satisfaisants ca</w:t>
            </w:r>
            <w:r w:rsidR="0090436B" w:rsidRPr="00CF5797">
              <w:rPr>
                <w:lang w:val="fr-CA"/>
              </w:rPr>
              <w:t>r</w:t>
            </w:r>
            <w:r w:rsidRPr="00CF5797">
              <w:rPr>
                <w:lang w:val="fr-CA"/>
              </w:rPr>
              <w:t xml:space="preserve"> la mousse n</w:t>
            </w:r>
            <w:r w:rsidR="0090436B" w:rsidRPr="00CF5797">
              <w:rPr>
                <w:lang w:val="fr-CA"/>
              </w:rPr>
              <w:t>e r</w:t>
            </w:r>
            <w:r w:rsidRPr="00CF5797">
              <w:rPr>
                <w:lang w:val="fr-CA"/>
              </w:rPr>
              <w:t>épondait pas aux normes actuelles. Les essais supplémentaires ont été retardés à cause de la pandémie</w:t>
            </w:r>
            <w:r w:rsidR="00825F3F" w:rsidRPr="00CF5797">
              <w:rPr>
                <w:lang w:val="fr-CA"/>
              </w:rPr>
              <w:t xml:space="preserve">. </w:t>
            </w:r>
          </w:p>
        </w:tc>
      </w:tr>
      <w:tr w:rsidR="00825F3F" w:rsidRPr="0049199D" w14:paraId="4811A737" w14:textId="77777777" w:rsidTr="00E14C84">
        <w:tc>
          <w:tcPr>
            <w:tcW w:w="671" w:type="pct"/>
          </w:tcPr>
          <w:p w14:paraId="1F83597C" w14:textId="205B9E97" w:rsidR="00825F3F" w:rsidRPr="00CF5797" w:rsidRDefault="00E14C84" w:rsidP="004F62E7">
            <w:pPr>
              <w:widowControl w:val="0"/>
              <w:jc w:val="left"/>
              <w:rPr>
                <w:bCs/>
                <w:color w:val="000000"/>
                <w:lang w:val="fr-CA"/>
              </w:rPr>
            </w:pPr>
            <w:r w:rsidRPr="00CF5797">
              <w:rPr>
                <w:bCs/>
                <w:color w:val="000000"/>
                <w:lang w:val="fr-CA"/>
              </w:rPr>
              <w:t>Flottai</w:t>
            </w:r>
            <w:r w:rsidR="00B164EF" w:rsidRPr="00CF5797">
              <w:rPr>
                <w:bCs/>
                <w:color w:val="000000"/>
                <w:lang w:val="fr-CA"/>
              </w:rPr>
              <w:t>son</w:t>
            </w:r>
          </w:p>
        </w:tc>
        <w:tc>
          <w:tcPr>
            <w:tcW w:w="625" w:type="pct"/>
            <w:tcMar>
              <w:right w:w="144" w:type="dxa"/>
            </w:tcMar>
          </w:tcPr>
          <w:p w14:paraId="0D0CAD30" w14:textId="77777777" w:rsidR="00825F3F" w:rsidRPr="00CF5797" w:rsidRDefault="00825F3F" w:rsidP="004F62E7">
            <w:pPr>
              <w:widowControl w:val="0"/>
              <w:ind w:right="10"/>
              <w:jc w:val="right"/>
              <w:rPr>
                <w:bCs/>
                <w:color w:val="000000"/>
                <w:lang w:val="fr-CA"/>
              </w:rPr>
            </w:pPr>
            <w:r w:rsidRPr="00CF5797">
              <w:rPr>
                <w:bCs/>
                <w:color w:val="000000"/>
                <w:lang w:val="fr-CA"/>
              </w:rPr>
              <w:t>1</w:t>
            </w:r>
          </w:p>
        </w:tc>
        <w:tc>
          <w:tcPr>
            <w:tcW w:w="336" w:type="pct"/>
          </w:tcPr>
          <w:p w14:paraId="3A5CB453" w14:textId="53954CA9"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10</w:t>
            </w:r>
          </w:p>
        </w:tc>
        <w:tc>
          <w:tcPr>
            <w:tcW w:w="433" w:type="pct"/>
          </w:tcPr>
          <w:p w14:paraId="117E9C3D" w14:textId="33860B79" w:rsidR="00825F3F" w:rsidRPr="00CF5797" w:rsidRDefault="00825F3F" w:rsidP="004F62E7">
            <w:pPr>
              <w:widowControl w:val="0"/>
              <w:jc w:val="right"/>
              <w:rPr>
                <w:b/>
                <w:bCs/>
                <w:color w:val="000000"/>
                <w:lang w:val="fr-CA"/>
              </w:rPr>
            </w:pPr>
            <w:r w:rsidRPr="00CF5797">
              <w:rPr>
                <w:color w:val="000000"/>
                <w:lang w:val="fr-CA"/>
              </w:rPr>
              <w:t>0</w:t>
            </w:r>
            <w:r w:rsidR="00E14C84" w:rsidRPr="00CF5797">
              <w:rPr>
                <w:color w:val="000000"/>
                <w:lang w:val="fr-CA"/>
              </w:rPr>
              <w:t>,</w:t>
            </w:r>
            <w:r w:rsidRPr="00CF5797">
              <w:rPr>
                <w:color w:val="000000"/>
                <w:lang w:val="fr-CA"/>
              </w:rPr>
              <w:t>01</w:t>
            </w:r>
          </w:p>
        </w:tc>
        <w:tc>
          <w:tcPr>
            <w:tcW w:w="2935" w:type="pct"/>
          </w:tcPr>
          <w:p w14:paraId="413C7999" w14:textId="7A3BA648" w:rsidR="00825F3F" w:rsidRPr="00CF5797" w:rsidRDefault="00B164EF" w:rsidP="0090436B">
            <w:pPr>
              <w:pStyle w:val="ListParagraph"/>
              <w:widowControl w:val="0"/>
              <w:numPr>
                <w:ilvl w:val="0"/>
                <w:numId w:val="40"/>
              </w:numPr>
              <w:ind w:left="158" w:hanging="158"/>
              <w:jc w:val="left"/>
              <w:rPr>
                <w:lang w:val="fr-CA"/>
              </w:rPr>
            </w:pPr>
            <w:r w:rsidRPr="00CF5797">
              <w:rPr>
                <w:lang w:val="fr-CA"/>
              </w:rPr>
              <w:t xml:space="preserve">La reconversion </w:t>
            </w:r>
            <w:r w:rsidR="0090436B" w:rsidRPr="00CF5797">
              <w:rPr>
                <w:lang w:val="fr-CA"/>
              </w:rPr>
              <w:t>(</w:t>
            </w:r>
            <w:r w:rsidRPr="00CF5797">
              <w:rPr>
                <w:lang w:val="fr-CA"/>
              </w:rPr>
              <w:t>Nolan) est en attente de connaître les niveaux de production de l’après laCOVID-19</w:t>
            </w:r>
          </w:p>
        </w:tc>
      </w:tr>
      <w:tr w:rsidR="00825F3F" w:rsidRPr="00CF5797" w14:paraId="02D1C316" w14:textId="77777777" w:rsidTr="00E14C84">
        <w:tc>
          <w:tcPr>
            <w:tcW w:w="671" w:type="pct"/>
          </w:tcPr>
          <w:p w14:paraId="6848D181" w14:textId="77777777" w:rsidR="00825F3F" w:rsidRPr="00CF5797" w:rsidRDefault="00825F3F" w:rsidP="004F62E7">
            <w:pPr>
              <w:widowControl w:val="0"/>
              <w:jc w:val="left"/>
              <w:rPr>
                <w:b/>
                <w:bCs/>
                <w:color w:val="000000"/>
                <w:lang w:val="fr-CA"/>
              </w:rPr>
            </w:pPr>
            <w:r w:rsidRPr="00CF5797">
              <w:rPr>
                <w:b/>
                <w:bCs/>
                <w:color w:val="000000"/>
                <w:lang w:val="fr-CA"/>
              </w:rPr>
              <w:t>Total</w:t>
            </w:r>
          </w:p>
        </w:tc>
        <w:tc>
          <w:tcPr>
            <w:tcW w:w="625" w:type="pct"/>
            <w:tcMar>
              <w:right w:w="144" w:type="dxa"/>
            </w:tcMar>
          </w:tcPr>
          <w:p w14:paraId="4C9A2A9D" w14:textId="77777777" w:rsidR="00825F3F" w:rsidRPr="00CF5797" w:rsidRDefault="00825F3F" w:rsidP="004F62E7">
            <w:pPr>
              <w:widowControl w:val="0"/>
              <w:ind w:right="10"/>
              <w:jc w:val="right"/>
              <w:rPr>
                <w:b/>
                <w:lang w:val="fr-CA"/>
              </w:rPr>
            </w:pPr>
            <w:r w:rsidRPr="00CF5797">
              <w:rPr>
                <w:b/>
                <w:lang w:val="fr-CA"/>
              </w:rPr>
              <w:t>21</w:t>
            </w:r>
          </w:p>
        </w:tc>
        <w:tc>
          <w:tcPr>
            <w:tcW w:w="336" w:type="pct"/>
          </w:tcPr>
          <w:p w14:paraId="5161A053" w14:textId="2DAD5A0D" w:rsidR="00825F3F" w:rsidRPr="00CF5797" w:rsidRDefault="00825F3F" w:rsidP="004F62E7">
            <w:pPr>
              <w:widowControl w:val="0"/>
              <w:jc w:val="right"/>
              <w:rPr>
                <w:b/>
                <w:bCs/>
                <w:color w:val="000000"/>
                <w:lang w:val="fr-CA"/>
              </w:rPr>
            </w:pPr>
            <w:r w:rsidRPr="00CF5797">
              <w:rPr>
                <w:b/>
                <w:color w:val="000000"/>
                <w:lang w:val="fr-CA"/>
              </w:rPr>
              <w:t>50</w:t>
            </w:r>
            <w:r w:rsidR="00E14C84" w:rsidRPr="00CF5797">
              <w:rPr>
                <w:b/>
                <w:color w:val="000000"/>
                <w:lang w:val="fr-CA"/>
              </w:rPr>
              <w:t>,</w:t>
            </w:r>
            <w:r w:rsidRPr="00CF5797">
              <w:rPr>
                <w:b/>
                <w:color w:val="000000"/>
                <w:lang w:val="fr-CA"/>
              </w:rPr>
              <w:t>23</w:t>
            </w:r>
          </w:p>
        </w:tc>
        <w:tc>
          <w:tcPr>
            <w:tcW w:w="433" w:type="pct"/>
          </w:tcPr>
          <w:p w14:paraId="29508172" w14:textId="1DA92AE5" w:rsidR="00825F3F" w:rsidRPr="00CF5797" w:rsidRDefault="00825F3F" w:rsidP="004F62E7">
            <w:pPr>
              <w:widowControl w:val="0"/>
              <w:jc w:val="right"/>
              <w:rPr>
                <w:b/>
                <w:bCs/>
                <w:color w:val="000000"/>
                <w:lang w:val="fr-CA"/>
              </w:rPr>
            </w:pPr>
            <w:r w:rsidRPr="00CF5797">
              <w:rPr>
                <w:b/>
                <w:color w:val="000000"/>
                <w:lang w:val="fr-CA"/>
              </w:rPr>
              <w:t>5</w:t>
            </w:r>
            <w:r w:rsidR="00E14C84" w:rsidRPr="00CF5797">
              <w:rPr>
                <w:b/>
                <w:color w:val="000000"/>
                <w:lang w:val="fr-CA"/>
              </w:rPr>
              <w:t>,</w:t>
            </w:r>
            <w:r w:rsidRPr="00CF5797">
              <w:rPr>
                <w:b/>
                <w:color w:val="000000"/>
                <w:lang w:val="fr-CA"/>
              </w:rPr>
              <w:t>53</w:t>
            </w:r>
          </w:p>
        </w:tc>
        <w:tc>
          <w:tcPr>
            <w:tcW w:w="2935" w:type="pct"/>
          </w:tcPr>
          <w:p w14:paraId="1082BE78" w14:textId="77777777" w:rsidR="00825F3F" w:rsidRPr="00CF5797" w:rsidRDefault="00825F3F" w:rsidP="004F62E7">
            <w:pPr>
              <w:widowControl w:val="0"/>
              <w:rPr>
                <w:b/>
                <w:lang w:val="fr-CA"/>
              </w:rPr>
            </w:pPr>
          </w:p>
        </w:tc>
      </w:tr>
    </w:tbl>
    <w:p w14:paraId="4435CD07" w14:textId="77777777" w:rsidR="00825F3F" w:rsidRPr="00CF5797" w:rsidRDefault="00825F3F" w:rsidP="00825F3F">
      <w:pPr>
        <w:widowControl w:val="0"/>
        <w:rPr>
          <w:lang w:val="fr-CA"/>
        </w:rPr>
      </w:pPr>
    </w:p>
    <w:p w14:paraId="5F075B90" w14:textId="19FCA689" w:rsidR="00825F3F" w:rsidRPr="00CF5797" w:rsidRDefault="00B164EF" w:rsidP="00825F3F">
      <w:pPr>
        <w:pStyle w:val="Heading1"/>
        <w:rPr>
          <w:lang w:val="fr-CA"/>
        </w:rPr>
      </w:pPr>
      <w:r w:rsidRPr="00CF5797">
        <w:rPr>
          <w:lang w:val="fr-CA"/>
        </w:rPr>
        <w:t>Le Bureau national de l’ozone, avec l’appui du PNUD et d’un expert en mousse</w:t>
      </w:r>
      <w:r w:rsidR="0090436B" w:rsidRPr="00CF5797">
        <w:rPr>
          <w:lang w:val="fr-CA"/>
        </w:rPr>
        <w:t>s</w:t>
      </w:r>
      <w:r w:rsidRPr="00CF5797">
        <w:rPr>
          <w:lang w:val="fr-CA"/>
        </w:rPr>
        <w:t>, collabore avec différentes sociétés de formulation de la région et des distributeurs locaux afin de faciliter l’obten</w:t>
      </w:r>
      <w:r w:rsidR="005B22DB" w:rsidRPr="00CF5797">
        <w:rPr>
          <w:lang w:val="fr-CA"/>
        </w:rPr>
        <w:t>t</w:t>
      </w:r>
      <w:r w:rsidRPr="00CF5797">
        <w:rPr>
          <w:lang w:val="fr-CA"/>
        </w:rPr>
        <w:t>ion d’échantillons de formules de mousse de polyuréthanne à base de HFO</w:t>
      </w:r>
      <w:r w:rsidR="0090436B" w:rsidRPr="00CF5797">
        <w:rPr>
          <w:lang w:val="fr-CA"/>
        </w:rPr>
        <w:t>,</w:t>
      </w:r>
      <w:r w:rsidRPr="00CF5797">
        <w:rPr>
          <w:lang w:val="fr-CA"/>
        </w:rPr>
        <w:t xml:space="preserve"> tout en examina</w:t>
      </w:r>
      <w:r w:rsidR="005B22DB" w:rsidRPr="00CF5797">
        <w:rPr>
          <w:lang w:val="fr-CA"/>
        </w:rPr>
        <w:t>n</w:t>
      </w:r>
      <w:r w:rsidRPr="00CF5797">
        <w:rPr>
          <w:lang w:val="fr-CA"/>
        </w:rPr>
        <w:t xml:space="preserve">t des solutions telles que la réception des formules de mousse de polyuréthanne </w:t>
      </w:r>
      <w:r w:rsidR="00252419" w:rsidRPr="00CF5797">
        <w:rPr>
          <w:lang w:val="fr-CA"/>
        </w:rPr>
        <w:t>à base de HFO</w:t>
      </w:r>
      <w:r w:rsidR="00BD0C47" w:rsidRPr="00CF5797">
        <w:rPr>
          <w:lang w:val="fr-CA"/>
        </w:rPr>
        <w:t xml:space="preserve"> </w:t>
      </w:r>
      <w:r w:rsidRPr="00CF5797">
        <w:rPr>
          <w:lang w:val="fr-CA"/>
        </w:rPr>
        <w:t>sans</w:t>
      </w:r>
      <w:r w:rsidR="00EA6E18" w:rsidRPr="00CF5797">
        <w:rPr>
          <w:lang w:val="fr-CA"/>
        </w:rPr>
        <w:t xml:space="preserve"> catalyseur </w:t>
      </w:r>
      <w:r w:rsidR="0090436B" w:rsidRPr="00CF5797">
        <w:rPr>
          <w:lang w:val="fr-CA"/>
        </w:rPr>
        <w:t>pour</w:t>
      </w:r>
      <w:r w:rsidR="005B22DB" w:rsidRPr="00CF5797">
        <w:rPr>
          <w:lang w:val="fr-CA"/>
        </w:rPr>
        <w:t xml:space="preserve"> faire le mélange sur place, o</w:t>
      </w:r>
      <w:r w:rsidR="00EA6E18" w:rsidRPr="00CF5797">
        <w:rPr>
          <w:lang w:val="fr-CA"/>
        </w:rPr>
        <w:t xml:space="preserve">u l’essai d’autres solutions de remplacement à faible PRG (telles que les formules à base d’eau). </w:t>
      </w:r>
      <w:r w:rsidR="005B22DB" w:rsidRPr="00CF5797">
        <w:rPr>
          <w:lang w:val="fr-CA"/>
        </w:rPr>
        <w:t>Les cinq importateur</w:t>
      </w:r>
      <w:r w:rsidR="0090436B" w:rsidRPr="00CF5797">
        <w:rPr>
          <w:lang w:val="fr-CA"/>
        </w:rPr>
        <w:t>s/distributeurs d’</w:t>
      </w:r>
      <w:r w:rsidR="00EA6E18" w:rsidRPr="00CF5797">
        <w:rPr>
          <w:lang w:val="fr-CA"/>
        </w:rPr>
        <w:t>agents de gonflage de la mousse au pays évaluent actuellement di</w:t>
      </w:r>
      <w:r w:rsidR="005B22DB" w:rsidRPr="00CF5797">
        <w:rPr>
          <w:lang w:val="fr-CA"/>
        </w:rPr>
        <w:t>fférentes solutions de remplacement du HCFC-141b co</w:t>
      </w:r>
      <w:r w:rsidR="00EA6E18" w:rsidRPr="00CF5797">
        <w:rPr>
          <w:lang w:val="fr-CA"/>
        </w:rPr>
        <w:t xml:space="preserve">ntenu dans des polyols </w:t>
      </w:r>
      <w:proofErr w:type="spellStart"/>
      <w:r w:rsidR="00EA6E18" w:rsidRPr="00CF5797">
        <w:rPr>
          <w:lang w:val="fr-CA"/>
        </w:rPr>
        <w:t>prémélangés</w:t>
      </w:r>
      <w:proofErr w:type="spellEnd"/>
      <w:r w:rsidR="00EA6E18" w:rsidRPr="00CF5797">
        <w:rPr>
          <w:lang w:val="fr-CA"/>
        </w:rPr>
        <w:t xml:space="preserve"> importés</w:t>
      </w:r>
      <w:r w:rsidR="0090436B" w:rsidRPr="00CF5797">
        <w:rPr>
          <w:lang w:val="fr-CA"/>
        </w:rPr>
        <w:t>,</w:t>
      </w:r>
      <w:r w:rsidR="00EA6E18" w:rsidRPr="00CF5797">
        <w:rPr>
          <w:lang w:val="fr-CA"/>
        </w:rPr>
        <w:t xml:space="preserve"> </w:t>
      </w:r>
      <w:r w:rsidR="00BD0C47" w:rsidRPr="00CF5797">
        <w:rPr>
          <w:lang w:val="fr-CA"/>
        </w:rPr>
        <w:t xml:space="preserve">dont les formules de gonflage à l’eau et à base de HFO. Le Bureau national de l’ozone travaille en étroite collaboration avec des importateurs </w:t>
      </w:r>
      <w:r w:rsidR="00EA6E18" w:rsidRPr="00CF5797">
        <w:rPr>
          <w:lang w:val="fr-CA"/>
        </w:rPr>
        <w:t xml:space="preserve">afin </w:t>
      </w:r>
      <w:r w:rsidR="0090436B" w:rsidRPr="00CF5797">
        <w:rPr>
          <w:lang w:val="fr-CA"/>
        </w:rPr>
        <w:t>de garantir</w:t>
      </w:r>
      <w:r w:rsidR="00EA6E18" w:rsidRPr="00CF5797">
        <w:rPr>
          <w:lang w:val="fr-CA"/>
        </w:rPr>
        <w:t xml:space="preserve"> l’approvisionnement de ces solutions, sachant qu’</w:t>
      </w:r>
      <w:r w:rsidR="005B22DB" w:rsidRPr="00CF5797">
        <w:rPr>
          <w:lang w:val="fr-CA"/>
        </w:rPr>
        <w:t>il est plus di</w:t>
      </w:r>
      <w:r w:rsidR="00EA6E18" w:rsidRPr="00CF5797">
        <w:rPr>
          <w:lang w:val="fr-CA"/>
        </w:rPr>
        <w:t>fficile de se procurer des matières premières à ca</w:t>
      </w:r>
      <w:r w:rsidR="0090436B" w:rsidRPr="00CF5797">
        <w:rPr>
          <w:lang w:val="fr-CA"/>
        </w:rPr>
        <w:t>u</w:t>
      </w:r>
      <w:r w:rsidR="00EA6E18" w:rsidRPr="00CF5797">
        <w:rPr>
          <w:lang w:val="fr-CA"/>
        </w:rPr>
        <w:t>se de la pandémie, ce qui a causé des ruptures de stocks de polyols et autres co</w:t>
      </w:r>
      <w:r w:rsidR="005B22DB" w:rsidRPr="00CF5797">
        <w:rPr>
          <w:lang w:val="fr-CA"/>
        </w:rPr>
        <w:t>m</w:t>
      </w:r>
      <w:r w:rsidR="00EA6E18" w:rsidRPr="00CF5797">
        <w:rPr>
          <w:lang w:val="fr-CA"/>
        </w:rPr>
        <w:t xml:space="preserve">posants, de même qu’une augmentation </w:t>
      </w:r>
      <w:r w:rsidR="005B22DB" w:rsidRPr="00CF5797">
        <w:rPr>
          <w:lang w:val="fr-CA"/>
        </w:rPr>
        <w:t>draconienne des coûts de transport</w:t>
      </w:r>
      <w:r w:rsidR="00825F3F" w:rsidRPr="00CF5797">
        <w:rPr>
          <w:lang w:val="fr-CA"/>
        </w:rPr>
        <w:t>.</w:t>
      </w:r>
    </w:p>
    <w:p w14:paraId="385081DF" w14:textId="76EF92F3" w:rsidR="00825F3F" w:rsidRPr="00CF5797" w:rsidRDefault="005B22DB" w:rsidP="00825F3F">
      <w:pPr>
        <w:rPr>
          <w:i/>
          <w:lang w:val="fr-CA"/>
        </w:rPr>
      </w:pPr>
      <w:r w:rsidRPr="00CF5797">
        <w:rPr>
          <w:i/>
          <w:lang w:val="fr-CA"/>
        </w:rPr>
        <w:t>Secteur de l’entretien de l’équipement de réfrigération</w:t>
      </w:r>
    </w:p>
    <w:p w14:paraId="03932AB2" w14:textId="77777777" w:rsidR="00825F3F" w:rsidRPr="00CF5797" w:rsidRDefault="00825F3F" w:rsidP="00825F3F">
      <w:pPr>
        <w:rPr>
          <w:lang w:val="fr-CA"/>
        </w:rPr>
      </w:pPr>
    </w:p>
    <w:p w14:paraId="3FD9AA9B" w14:textId="567E641D" w:rsidR="00825F3F" w:rsidRPr="00CF5797" w:rsidRDefault="005B22DB" w:rsidP="00825F3F">
      <w:pPr>
        <w:numPr>
          <w:ilvl w:val="0"/>
          <w:numId w:val="1"/>
        </w:numPr>
        <w:tabs>
          <w:tab w:val="clear" w:pos="0"/>
          <w:tab w:val="num" w:pos="710"/>
        </w:tabs>
        <w:spacing w:after="240"/>
        <w:outlineLvl w:val="0"/>
        <w:rPr>
          <w:rFonts w:eastAsia="MS Mincho"/>
          <w:lang w:val="fr-CA"/>
        </w:rPr>
      </w:pPr>
      <w:r w:rsidRPr="00CF5797">
        <w:rPr>
          <w:lang w:val="fr-CA"/>
        </w:rPr>
        <w:t xml:space="preserve">Les activités suivantes ont été mises en œuvre de mars 2020 à avril 2021 </w:t>
      </w:r>
      <w:r w:rsidR="00825F3F" w:rsidRPr="00CF5797">
        <w:rPr>
          <w:lang w:val="fr-CA"/>
        </w:rPr>
        <w:t>:</w:t>
      </w:r>
    </w:p>
    <w:p w14:paraId="1C72E223" w14:textId="10901CB5" w:rsidR="00825F3F" w:rsidRPr="00CF5797" w:rsidRDefault="005B22DB" w:rsidP="00825F3F">
      <w:pPr>
        <w:pStyle w:val="Heading2"/>
        <w:rPr>
          <w:lang w:val="fr-CA"/>
        </w:rPr>
      </w:pPr>
      <w:r w:rsidRPr="00CF5797">
        <w:rPr>
          <w:lang w:val="fr-CA"/>
        </w:rPr>
        <w:t>Rencontres avec le ministère de l’Industrie afin d’établir l</w:t>
      </w:r>
      <w:r w:rsidR="0090436B" w:rsidRPr="00CF5797">
        <w:rPr>
          <w:lang w:val="fr-CA"/>
        </w:rPr>
        <w:t>e</w:t>
      </w:r>
      <w:r w:rsidRPr="00CF5797">
        <w:rPr>
          <w:lang w:val="fr-CA"/>
        </w:rPr>
        <w:t>s recommandations techniques pour encourager l’utilisation de substances de remplacement des SAO dans les nouveaux projets d’investissement grâce à des mesures d’encouragement financières</w:t>
      </w:r>
      <w:r w:rsidR="0037190F">
        <w:rPr>
          <w:lang w:val="fr-CA"/>
        </w:rPr>
        <w:t xml:space="preserve"> </w:t>
      </w:r>
      <w:r w:rsidR="00825F3F" w:rsidRPr="00CF5797">
        <w:rPr>
          <w:lang w:val="fr-CA"/>
        </w:rPr>
        <w:t>;</w:t>
      </w:r>
    </w:p>
    <w:p w14:paraId="7E5A2CC8" w14:textId="31766428" w:rsidR="00825F3F" w:rsidRPr="00CF5797" w:rsidRDefault="005B22DB" w:rsidP="00032998">
      <w:pPr>
        <w:pStyle w:val="Heading2"/>
        <w:rPr>
          <w:lang w:val="fr-CA"/>
        </w:rPr>
      </w:pPr>
      <w:r w:rsidRPr="00CF5797">
        <w:rPr>
          <w:lang w:val="fr-CA"/>
        </w:rPr>
        <w:lastRenderedPageBreak/>
        <w:t>Rencontres avec les importateurs de HCFC et d’équipement à base de HCFC afin d’évaluer les tendances du marché et communiquer de l’</w:t>
      </w:r>
      <w:r w:rsidR="00032998" w:rsidRPr="00CF5797">
        <w:rPr>
          <w:lang w:val="fr-CA"/>
        </w:rPr>
        <w:t>informati</w:t>
      </w:r>
      <w:r w:rsidRPr="00CF5797">
        <w:rPr>
          <w:lang w:val="fr-CA"/>
        </w:rPr>
        <w:t>on sur les mesures de réglementation des importations, les dates d’élimination et les activités liées au PGEH</w:t>
      </w:r>
      <w:r w:rsidR="0037190F">
        <w:rPr>
          <w:lang w:val="fr-CA"/>
        </w:rPr>
        <w:t xml:space="preserve"> </w:t>
      </w:r>
      <w:r w:rsidR="00527C31" w:rsidRPr="00CF5797">
        <w:rPr>
          <w:lang w:val="fr-CA"/>
        </w:rPr>
        <w:t>;</w:t>
      </w:r>
      <w:r w:rsidRPr="00CF5797">
        <w:rPr>
          <w:lang w:val="fr-CA"/>
        </w:rPr>
        <w:t xml:space="preserve"> et </w:t>
      </w:r>
      <w:r w:rsidR="00032998" w:rsidRPr="00CF5797">
        <w:rPr>
          <w:lang w:val="fr-CA"/>
        </w:rPr>
        <w:t>un examen d</w:t>
      </w:r>
      <w:r w:rsidRPr="00CF5797">
        <w:rPr>
          <w:lang w:val="fr-CA"/>
        </w:rPr>
        <w:t xml:space="preserve">es codes tarifaires et </w:t>
      </w:r>
      <w:r w:rsidR="00032998" w:rsidRPr="00CF5797">
        <w:rPr>
          <w:lang w:val="fr-CA"/>
        </w:rPr>
        <w:t>des classificati</w:t>
      </w:r>
      <w:r w:rsidRPr="00CF5797">
        <w:rPr>
          <w:lang w:val="fr-CA"/>
        </w:rPr>
        <w:t>ons de l’</w:t>
      </w:r>
      <w:r w:rsidR="00032998" w:rsidRPr="00CF5797">
        <w:rPr>
          <w:lang w:val="fr-CA"/>
        </w:rPr>
        <w:t>équipement de réfrigérati</w:t>
      </w:r>
      <w:r w:rsidRPr="00CF5797">
        <w:rPr>
          <w:lang w:val="fr-CA"/>
        </w:rPr>
        <w:t xml:space="preserve">on et climatisation </w:t>
      </w:r>
      <w:r w:rsidR="00032998" w:rsidRPr="00CF5797">
        <w:rPr>
          <w:lang w:val="fr-CA"/>
        </w:rPr>
        <w:t xml:space="preserve">a été réalisé </w:t>
      </w:r>
      <w:r w:rsidRPr="00CF5797">
        <w:rPr>
          <w:lang w:val="fr-CA"/>
        </w:rPr>
        <w:t>afin d’améliorer</w:t>
      </w:r>
      <w:r w:rsidR="00FF7537" w:rsidRPr="00CF5797">
        <w:rPr>
          <w:lang w:val="fr-CA"/>
        </w:rPr>
        <w:t xml:space="preserve"> le contrôle des importations</w:t>
      </w:r>
      <w:r w:rsidR="0037190F">
        <w:rPr>
          <w:lang w:val="fr-CA"/>
        </w:rPr>
        <w:t xml:space="preserve"> </w:t>
      </w:r>
      <w:r w:rsidR="00825F3F" w:rsidRPr="00CF5797">
        <w:rPr>
          <w:lang w:val="fr-CA"/>
        </w:rPr>
        <w:t>;</w:t>
      </w:r>
    </w:p>
    <w:p w14:paraId="6474ED37" w14:textId="2B776DCC" w:rsidR="00825F3F" w:rsidRPr="00CF5797" w:rsidRDefault="00032998" w:rsidP="00825F3F">
      <w:pPr>
        <w:pStyle w:val="Heading2"/>
        <w:rPr>
          <w:lang w:val="fr-CA"/>
        </w:rPr>
      </w:pPr>
      <w:r w:rsidRPr="00CF5797">
        <w:rPr>
          <w:lang w:val="fr-CA"/>
        </w:rPr>
        <w:t>Échange d’information entre les autorités douanières de l’Argentine, du Paraguay et de l’Uruguay, et conseils et orientations sur les mesures de réglementation des importations de HCFC</w:t>
      </w:r>
      <w:r w:rsidR="0037190F">
        <w:rPr>
          <w:lang w:val="fr-CA"/>
        </w:rPr>
        <w:t xml:space="preserve"> </w:t>
      </w:r>
      <w:r w:rsidR="00825F3F" w:rsidRPr="00CF5797">
        <w:rPr>
          <w:lang w:val="fr-CA"/>
        </w:rPr>
        <w:t>;</w:t>
      </w:r>
    </w:p>
    <w:p w14:paraId="74BD3ADB" w14:textId="05809222" w:rsidR="00825F3F" w:rsidRPr="00CF5797" w:rsidRDefault="00032998" w:rsidP="00825F3F">
      <w:pPr>
        <w:pStyle w:val="Heading2"/>
        <w:rPr>
          <w:lang w:val="fr-CA"/>
        </w:rPr>
      </w:pPr>
      <w:r w:rsidRPr="00CF5797">
        <w:rPr>
          <w:lang w:val="fr-CA"/>
        </w:rPr>
        <w:t>Deux webinaires réunissant 262 technic</w:t>
      </w:r>
      <w:r w:rsidR="00F5041D" w:rsidRPr="00CF5797">
        <w:rPr>
          <w:lang w:val="fr-CA"/>
        </w:rPr>
        <w:t>iens en réfrigération et climatisati</w:t>
      </w:r>
      <w:r w:rsidRPr="00CF5797">
        <w:rPr>
          <w:lang w:val="fr-CA"/>
        </w:rPr>
        <w:t>on sur les bonnes pratiques d’entretien, le contrôle des fuites et les nouvelles tendances dans le secteur de la réfrigération et climatisation</w:t>
      </w:r>
      <w:r w:rsidR="0037190F">
        <w:rPr>
          <w:lang w:val="fr-CA"/>
        </w:rPr>
        <w:t xml:space="preserve"> </w:t>
      </w:r>
      <w:r w:rsidRPr="00CF5797">
        <w:rPr>
          <w:lang w:val="fr-CA"/>
        </w:rPr>
        <w:t>; début des échanges avec un consultant concernant la préparation d’un manuel des bonnes pratiques en réfrigération, et un webinaire sur l’utilisation d’équipement à base d’ammoniaque</w:t>
      </w:r>
      <w:r w:rsidR="00F5041D" w:rsidRPr="00CF5797">
        <w:rPr>
          <w:lang w:val="fr-CA"/>
        </w:rPr>
        <w:t xml:space="preserve"> </w:t>
      </w:r>
      <w:r w:rsidR="00527C31" w:rsidRPr="00CF5797">
        <w:rPr>
          <w:lang w:val="fr-CA"/>
        </w:rPr>
        <w:t>auquel ont participé</w:t>
      </w:r>
      <w:r w:rsidR="00F5041D" w:rsidRPr="00CF5797">
        <w:rPr>
          <w:lang w:val="fr-CA"/>
        </w:rPr>
        <w:t xml:space="preserve"> 279 techniciens en réfrigération et climatisation</w:t>
      </w:r>
      <w:r w:rsidR="0037190F">
        <w:rPr>
          <w:lang w:val="fr-CA"/>
        </w:rPr>
        <w:t xml:space="preserve"> </w:t>
      </w:r>
      <w:r w:rsidR="00825F3F" w:rsidRPr="00CF5797">
        <w:rPr>
          <w:lang w:val="fr-CA"/>
        </w:rPr>
        <w:t>;</w:t>
      </w:r>
    </w:p>
    <w:p w14:paraId="1A87E8A2" w14:textId="7F432257" w:rsidR="00825F3F" w:rsidRPr="00CF5797" w:rsidRDefault="00F5041D" w:rsidP="00825F3F">
      <w:pPr>
        <w:pStyle w:val="Heading2"/>
        <w:rPr>
          <w:lang w:val="fr-CA"/>
        </w:rPr>
      </w:pPr>
      <w:r w:rsidRPr="00CF5797">
        <w:rPr>
          <w:lang w:val="fr-CA"/>
        </w:rPr>
        <w:t>Rencontres avec des responsables de supermarchés afin de recenser les trois principales sources de consommation de HCFC et les quantités</w:t>
      </w:r>
      <w:r w:rsidR="0037190F">
        <w:rPr>
          <w:lang w:val="fr-CA"/>
        </w:rPr>
        <w:t xml:space="preserve"> </w:t>
      </w:r>
      <w:r w:rsidR="00825F3F" w:rsidRPr="00CF5797">
        <w:rPr>
          <w:lang w:val="fr-CA"/>
        </w:rPr>
        <w:t>;</w:t>
      </w:r>
      <w:r w:rsidR="0037190F">
        <w:rPr>
          <w:lang w:val="fr-CA"/>
        </w:rPr>
        <w:t xml:space="preserve"> et</w:t>
      </w:r>
    </w:p>
    <w:p w14:paraId="6AF4591A" w14:textId="5F82129D" w:rsidR="00825F3F" w:rsidRPr="00CF5797" w:rsidRDefault="00F5041D" w:rsidP="00825F3F">
      <w:pPr>
        <w:pStyle w:val="Heading2"/>
        <w:rPr>
          <w:lang w:val="fr-CA"/>
        </w:rPr>
      </w:pPr>
      <w:r w:rsidRPr="00CF5797">
        <w:rPr>
          <w:lang w:val="fr-CA"/>
        </w:rPr>
        <w:t>Distribution de matériel de sensibilisation à la couche d’ozone et au Protocole de Montréal au grand public et aux techniciens en réfrigération et climatisation, et mise à jour de la page Web apparentée</w:t>
      </w:r>
      <w:r w:rsidR="00527C31" w:rsidRPr="00CF5797">
        <w:rPr>
          <w:lang w:val="fr-CA"/>
        </w:rPr>
        <w:t>.</w:t>
      </w:r>
    </w:p>
    <w:p w14:paraId="3B0B3ADF" w14:textId="54AFED13" w:rsidR="00825F3F" w:rsidRPr="00CF5797" w:rsidRDefault="00F5041D" w:rsidP="00825F3F">
      <w:pPr>
        <w:pStyle w:val="Heading2"/>
        <w:keepNext/>
        <w:keepLines/>
        <w:numPr>
          <w:ilvl w:val="0"/>
          <w:numId w:val="0"/>
        </w:numPr>
        <w:rPr>
          <w:u w:val="single"/>
          <w:lang w:val="fr-CA"/>
        </w:rPr>
      </w:pPr>
      <w:r w:rsidRPr="00CF5797">
        <w:rPr>
          <w:u w:val="single"/>
          <w:lang w:val="fr-CA"/>
        </w:rPr>
        <w:t>Niveau de décaissement</w:t>
      </w:r>
    </w:p>
    <w:p w14:paraId="38DE63BD" w14:textId="489FABFC" w:rsidR="00825F3F" w:rsidRPr="00CF5797" w:rsidRDefault="00F5041D" w:rsidP="00825F3F">
      <w:pPr>
        <w:pStyle w:val="Heading1"/>
        <w:keepNext/>
        <w:keepLines/>
        <w:rPr>
          <w:b/>
          <w:lang w:val="fr-CA"/>
        </w:rPr>
      </w:pPr>
      <w:r w:rsidRPr="00CF5797">
        <w:rPr>
          <w:lang w:val="fr-CA"/>
        </w:rPr>
        <w:t>Une part de 653 199 $US des 1 105 157 $US approuvés à ce jour a été décaissée, comme indiqué dans le tableau 13</w:t>
      </w:r>
      <w:r w:rsidR="00825F3F" w:rsidRPr="00CF5797">
        <w:rPr>
          <w:lang w:val="fr-CA"/>
        </w:rPr>
        <w:t xml:space="preserve">. </w:t>
      </w:r>
    </w:p>
    <w:p w14:paraId="46A5249F" w14:textId="5A2BE754" w:rsidR="00825F3F" w:rsidRPr="00CF5797" w:rsidRDefault="00825F3F" w:rsidP="00825F3F">
      <w:pPr>
        <w:pStyle w:val="Heading1"/>
        <w:numPr>
          <w:ilvl w:val="0"/>
          <w:numId w:val="0"/>
        </w:numPr>
        <w:spacing w:after="0"/>
        <w:rPr>
          <w:b/>
          <w:lang w:val="fr-CA"/>
        </w:rPr>
      </w:pPr>
      <w:r w:rsidRPr="00CF5797">
        <w:rPr>
          <w:b/>
          <w:lang w:val="fr-CA"/>
        </w:rPr>
        <w:t>Table</w:t>
      </w:r>
      <w:r w:rsidR="00F5041D" w:rsidRPr="00CF5797">
        <w:rPr>
          <w:b/>
          <w:lang w:val="fr-CA"/>
        </w:rPr>
        <w:t>au</w:t>
      </w:r>
      <w:r w:rsidRPr="00CF5797">
        <w:rPr>
          <w:b/>
          <w:lang w:val="fr-CA"/>
        </w:rPr>
        <w:t xml:space="preserve"> 13. </w:t>
      </w:r>
      <w:r w:rsidR="00F5041D" w:rsidRPr="00CF5797">
        <w:rPr>
          <w:b/>
          <w:lang w:val="fr-CA"/>
        </w:rPr>
        <w:t>R</w:t>
      </w:r>
      <w:r w:rsidR="00F10C2C" w:rsidRPr="00CF5797">
        <w:rPr>
          <w:b/>
          <w:lang w:val="fr-CA"/>
        </w:rPr>
        <w:t>apport financier de l</w:t>
      </w:r>
      <w:r w:rsidR="00F5041D" w:rsidRPr="00CF5797">
        <w:rPr>
          <w:b/>
          <w:lang w:val="fr-CA"/>
        </w:rPr>
        <w:t>a phase II du PGEH pour l’Uruguay ($US)</w:t>
      </w:r>
    </w:p>
    <w:tbl>
      <w:tblPr>
        <w:tblW w:w="9360" w:type="dxa"/>
        <w:tblInd w:w="-5" w:type="dxa"/>
        <w:tblLayout w:type="fixed"/>
        <w:tblLook w:val="04A0" w:firstRow="1" w:lastRow="0" w:firstColumn="1" w:lastColumn="0" w:noHBand="0" w:noVBand="1"/>
      </w:tblPr>
      <w:tblGrid>
        <w:gridCol w:w="2340"/>
        <w:gridCol w:w="2340"/>
        <w:gridCol w:w="2340"/>
        <w:gridCol w:w="2340"/>
      </w:tblGrid>
      <w:tr w:rsidR="00825F3F" w:rsidRPr="00CF5797" w14:paraId="694DBE19" w14:textId="77777777" w:rsidTr="004F62E7">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AD53B" w14:textId="77777777" w:rsidR="00825F3F" w:rsidRPr="00CF5797" w:rsidRDefault="00825F3F" w:rsidP="004F62E7">
            <w:pPr>
              <w:jc w:val="left"/>
              <w:rPr>
                <w:b/>
                <w:color w:val="000000"/>
                <w:sz w:val="20"/>
                <w:szCs w:val="20"/>
                <w:lang w:val="fr-CA" w:eastAsia="en-CA"/>
              </w:rPr>
            </w:pPr>
            <w:r w:rsidRPr="00CF5797">
              <w:rPr>
                <w:b/>
                <w:color w:val="000000"/>
                <w:sz w:val="20"/>
                <w:szCs w:val="20"/>
                <w:lang w:val="fr-CA" w:eastAsia="en-CA"/>
              </w:rPr>
              <w:t>Tranche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B5320BC" w14:textId="2E891B56" w:rsidR="00825F3F" w:rsidRPr="00CF5797" w:rsidRDefault="00F10C2C" w:rsidP="004F62E7">
            <w:pPr>
              <w:jc w:val="center"/>
              <w:rPr>
                <w:b/>
                <w:color w:val="000000"/>
                <w:sz w:val="20"/>
                <w:szCs w:val="20"/>
                <w:lang w:val="fr-CA" w:eastAsia="en-CA"/>
              </w:rPr>
            </w:pPr>
            <w:r w:rsidRPr="00CF5797">
              <w:rPr>
                <w:b/>
                <w:color w:val="000000"/>
                <w:sz w:val="20"/>
                <w:szCs w:val="20"/>
                <w:lang w:val="fr-CA" w:eastAsia="en-CA"/>
              </w:rPr>
              <w:t>Somme approuvée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F1BA025" w14:textId="72683201" w:rsidR="00825F3F" w:rsidRPr="00CF5797" w:rsidRDefault="00F10C2C" w:rsidP="004F62E7">
            <w:pPr>
              <w:jc w:val="center"/>
              <w:rPr>
                <w:b/>
                <w:color w:val="000000"/>
                <w:sz w:val="20"/>
                <w:szCs w:val="20"/>
                <w:lang w:val="fr-CA" w:eastAsia="en-CA"/>
              </w:rPr>
            </w:pPr>
            <w:r w:rsidRPr="00CF5797">
              <w:rPr>
                <w:b/>
                <w:color w:val="000000"/>
                <w:sz w:val="20"/>
                <w:szCs w:val="20"/>
                <w:lang w:val="fr-CA" w:eastAsia="en-CA"/>
              </w:rPr>
              <w:t>Somme décaissée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1DB68BB" w14:textId="7A719CAF" w:rsidR="00825F3F" w:rsidRPr="00CF5797" w:rsidRDefault="00F10C2C" w:rsidP="004F62E7">
            <w:pPr>
              <w:jc w:val="center"/>
              <w:rPr>
                <w:b/>
                <w:color w:val="000000"/>
                <w:sz w:val="20"/>
                <w:szCs w:val="20"/>
                <w:lang w:val="fr-CA" w:eastAsia="en-CA"/>
              </w:rPr>
            </w:pPr>
            <w:r w:rsidRPr="00CF5797">
              <w:rPr>
                <w:b/>
                <w:color w:val="000000"/>
                <w:sz w:val="20"/>
                <w:szCs w:val="20"/>
                <w:lang w:val="fr-CA" w:eastAsia="en-CA"/>
              </w:rPr>
              <w:t>Taux de décaissement (%)</w:t>
            </w:r>
          </w:p>
        </w:tc>
      </w:tr>
      <w:tr w:rsidR="00825F3F" w:rsidRPr="00CF5797" w14:paraId="77139180" w14:textId="77777777" w:rsidTr="004F62E7">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682C20F" w14:textId="54E13F96" w:rsidR="00825F3F" w:rsidRPr="00CF5797" w:rsidRDefault="00F10C2C" w:rsidP="004F62E7">
            <w:pPr>
              <w:jc w:val="left"/>
              <w:rPr>
                <w:color w:val="000000"/>
                <w:sz w:val="20"/>
                <w:szCs w:val="20"/>
                <w:lang w:val="fr-CA" w:eastAsia="en-CA"/>
              </w:rPr>
            </w:pPr>
            <w:r w:rsidRPr="00CF5797">
              <w:rPr>
                <w:color w:val="000000"/>
                <w:sz w:val="20"/>
                <w:szCs w:val="20"/>
                <w:lang w:val="fr-CA" w:eastAsia="en-CA"/>
              </w:rPr>
              <w:t>Première</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415BB8C1" w14:textId="0F36CD75" w:rsidR="00825F3F" w:rsidRPr="00CF5797" w:rsidRDefault="00825F3F" w:rsidP="004F62E7">
            <w:pPr>
              <w:jc w:val="right"/>
              <w:rPr>
                <w:color w:val="000000"/>
                <w:sz w:val="20"/>
                <w:szCs w:val="20"/>
                <w:lang w:val="fr-CA" w:eastAsia="en-CA"/>
              </w:rPr>
            </w:pPr>
            <w:r w:rsidRPr="00CF5797">
              <w:rPr>
                <w:color w:val="000000"/>
                <w:sz w:val="20"/>
                <w:szCs w:val="20"/>
                <w:lang w:val="fr-CA" w:eastAsia="en-CA"/>
              </w:rPr>
              <w:t>314</w:t>
            </w:r>
            <w:r w:rsidR="00F10C2C" w:rsidRPr="00CF5797">
              <w:rPr>
                <w:color w:val="000000"/>
                <w:sz w:val="20"/>
                <w:szCs w:val="20"/>
                <w:lang w:val="fr-CA" w:eastAsia="en-CA"/>
              </w:rPr>
              <w:t xml:space="preserve"> </w:t>
            </w:r>
            <w:r w:rsidRPr="00CF5797">
              <w:rPr>
                <w:color w:val="000000"/>
                <w:sz w:val="20"/>
                <w:szCs w:val="20"/>
                <w:lang w:val="fr-CA" w:eastAsia="en-CA"/>
              </w:rPr>
              <w:t>000</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76CB8EE4" w14:textId="4A55E99E" w:rsidR="00825F3F" w:rsidRPr="00CF5797" w:rsidRDefault="00825F3F" w:rsidP="004F62E7">
            <w:pPr>
              <w:jc w:val="right"/>
              <w:rPr>
                <w:color w:val="000000"/>
                <w:sz w:val="20"/>
                <w:szCs w:val="20"/>
                <w:lang w:val="fr-CA" w:eastAsia="en-CA"/>
              </w:rPr>
            </w:pPr>
            <w:r w:rsidRPr="00CF5797">
              <w:rPr>
                <w:color w:val="000000"/>
                <w:sz w:val="20"/>
                <w:szCs w:val="20"/>
                <w:lang w:val="fr-CA" w:eastAsia="en-CA"/>
              </w:rPr>
              <w:t>314</w:t>
            </w:r>
            <w:r w:rsidR="00F10C2C" w:rsidRPr="00CF5797">
              <w:rPr>
                <w:color w:val="000000"/>
                <w:sz w:val="20"/>
                <w:szCs w:val="20"/>
                <w:lang w:val="fr-CA" w:eastAsia="en-CA"/>
              </w:rPr>
              <w:t xml:space="preserve"> </w:t>
            </w:r>
            <w:r w:rsidRPr="00CF5797">
              <w:rPr>
                <w:color w:val="000000"/>
                <w:sz w:val="20"/>
                <w:szCs w:val="20"/>
                <w:lang w:val="fr-CA" w:eastAsia="en-CA"/>
              </w:rPr>
              <w:t>000</w:t>
            </w:r>
          </w:p>
        </w:tc>
        <w:tc>
          <w:tcPr>
            <w:tcW w:w="2340" w:type="dxa"/>
            <w:tcBorders>
              <w:top w:val="nil"/>
              <w:left w:val="nil"/>
              <w:bottom w:val="single" w:sz="4" w:space="0" w:color="auto"/>
              <w:right w:val="single" w:sz="4" w:space="0" w:color="auto"/>
            </w:tcBorders>
            <w:shd w:val="clear" w:color="auto" w:fill="auto"/>
            <w:noWrap/>
            <w:vAlign w:val="center"/>
            <w:hideMark/>
          </w:tcPr>
          <w:p w14:paraId="7A35A54E" w14:textId="77777777" w:rsidR="00825F3F" w:rsidRPr="00CF5797" w:rsidRDefault="00825F3F" w:rsidP="004F62E7">
            <w:pPr>
              <w:jc w:val="center"/>
              <w:rPr>
                <w:color w:val="000000"/>
                <w:sz w:val="20"/>
                <w:szCs w:val="20"/>
                <w:lang w:val="fr-CA" w:eastAsia="en-CA"/>
              </w:rPr>
            </w:pPr>
            <w:r w:rsidRPr="00CF5797">
              <w:rPr>
                <w:color w:val="000000"/>
                <w:sz w:val="20"/>
                <w:szCs w:val="20"/>
                <w:lang w:val="fr-CA" w:eastAsia="en-CA"/>
              </w:rPr>
              <w:t>100</w:t>
            </w:r>
          </w:p>
        </w:tc>
      </w:tr>
      <w:tr w:rsidR="00825F3F" w:rsidRPr="00CF5797" w14:paraId="5F67135B" w14:textId="77777777" w:rsidTr="004F62E7">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4C1D88E" w14:textId="2F580E33" w:rsidR="00825F3F" w:rsidRPr="00CF5797" w:rsidRDefault="00F10C2C" w:rsidP="004F62E7">
            <w:pPr>
              <w:jc w:val="left"/>
              <w:rPr>
                <w:color w:val="000000"/>
                <w:sz w:val="20"/>
                <w:szCs w:val="20"/>
                <w:lang w:val="fr-CA" w:eastAsia="en-CA"/>
              </w:rPr>
            </w:pPr>
            <w:r w:rsidRPr="00CF5797">
              <w:rPr>
                <w:color w:val="000000"/>
                <w:sz w:val="20"/>
                <w:szCs w:val="20"/>
                <w:lang w:val="fr-CA" w:eastAsia="en-CA"/>
              </w:rPr>
              <w:t>Deuxième</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5B9D9F91" w14:textId="0442B8D2" w:rsidR="00825F3F" w:rsidRPr="00CF5797" w:rsidRDefault="00825F3F" w:rsidP="004F62E7">
            <w:pPr>
              <w:jc w:val="right"/>
              <w:rPr>
                <w:color w:val="000000"/>
                <w:sz w:val="20"/>
                <w:szCs w:val="20"/>
                <w:lang w:val="fr-CA" w:eastAsia="en-CA"/>
              </w:rPr>
            </w:pPr>
            <w:r w:rsidRPr="00CF5797">
              <w:rPr>
                <w:color w:val="000000"/>
                <w:sz w:val="20"/>
                <w:szCs w:val="20"/>
                <w:lang w:val="fr-CA" w:eastAsia="en-CA"/>
              </w:rPr>
              <w:t>679</w:t>
            </w:r>
            <w:r w:rsidR="00F10C2C" w:rsidRPr="00CF5797">
              <w:rPr>
                <w:color w:val="000000"/>
                <w:sz w:val="20"/>
                <w:szCs w:val="20"/>
                <w:lang w:val="fr-CA" w:eastAsia="en-CA"/>
              </w:rPr>
              <w:t xml:space="preserve"> </w:t>
            </w:r>
            <w:r w:rsidRPr="00CF5797">
              <w:rPr>
                <w:color w:val="000000"/>
                <w:sz w:val="20"/>
                <w:szCs w:val="20"/>
                <w:lang w:val="fr-CA" w:eastAsia="en-CA"/>
              </w:rPr>
              <w:t>889</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48FF71AA" w14:textId="699BD5D7" w:rsidR="00825F3F" w:rsidRPr="00CF5797" w:rsidRDefault="00825F3F" w:rsidP="004F62E7">
            <w:pPr>
              <w:jc w:val="right"/>
              <w:rPr>
                <w:color w:val="000000"/>
                <w:sz w:val="20"/>
                <w:szCs w:val="20"/>
                <w:lang w:val="fr-CA" w:eastAsia="en-CA"/>
              </w:rPr>
            </w:pPr>
            <w:r w:rsidRPr="00CF5797">
              <w:rPr>
                <w:color w:val="000000"/>
                <w:sz w:val="20"/>
                <w:szCs w:val="20"/>
                <w:lang w:val="fr-CA" w:eastAsia="en-CA"/>
              </w:rPr>
              <w:t>324</w:t>
            </w:r>
            <w:r w:rsidR="00F10C2C" w:rsidRPr="00CF5797">
              <w:rPr>
                <w:color w:val="000000"/>
                <w:sz w:val="20"/>
                <w:szCs w:val="20"/>
                <w:lang w:val="fr-CA" w:eastAsia="en-CA"/>
              </w:rPr>
              <w:t xml:space="preserve"> </w:t>
            </w:r>
            <w:r w:rsidRPr="00CF5797">
              <w:rPr>
                <w:color w:val="000000"/>
                <w:sz w:val="20"/>
                <w:szCs w:val="20"/>
                <w:lang w:val="fr-CA" w:eastAsia="en-CA"/>
              </w:rPr>
              <w:t>862</w:t>
            </w:r>
          </w:p>
        </w:tc>
        <w:tc>
          <w:tcPr>
            <w:tcW w:w="2340" w:type="dxa"/>
            <w:tcBorders>
              <w:top w:val="nil"/>
              <w:left w:val="nil"/>
              <w:bottom w:val="single" w:sz="4" w:space="0" w:color="auto"/>
              <w:right w:val="single" w:sz="4" w:space="0" w:color="auto"/>
            </w:tcBorders>
            <w:shd w:val="clear" w:color="auto" w:fill="auto"/>
            <w:noWrap/>
            <w:vAlign w:val="center"/>
            <w:hideMark/>
          </w:tcPr>
          <w:p w14:paraId="0AB8677E" w14:textId="77777777" w:rsidR="00825F3F" w:rsidRPr="00CF5797" w:rsidRDefault="00825F3F" w:rsidP="004F62E7">
            <w:pPr>
              <w:jc w:val="center"/>
              <w:rPr>
                <w:color w:val="000000"/>
                <w:sz w:val="20"/>
                <w:szCs w:val="20"/>
                <w:lang w:val="fr-CA" w:eastAsia="en-CA"/>
              </w:rPr>
            </w:pPr>
            <w:r w:rsidRPr="00CF5797">
              <w:rPr>
                <w:color w:val="000000"/>
                <w:sz w:val="20"/>
                <w:szCs w:val="20"/>
                <w:lang w:val="fr-CA" w:eastAsia="en-CA"/>
              </w:rPr>
              <w:t>48</w:t>
            </w:r>
          </w:p>
        </w:tc>
      </w:tr>
      <w:tr w:rsidR="00825F3F" w:rsidRPr="00CF5797" w14:paraId="5D42D565" w14:textId="77777777" w:rsidTr="004F62E7">
        <w:tc>
          <w:tcPr>
            <w:tcW w:w="2340" w:type="dxa"/>
            <w:tcBorders>
              <w:top w:val="nil"/>
              <w:left w:val="single" w:sz="4" w:space="0" w:color="auto"/>
              <w:bottom w:val="single" w:sz="4" w:space="0" w:color="auto"/>
              <w:right w:val="single" w:sz="4" w:space="0" w:color="auto"/>
            </w:tcBorders>
            <w:shd w:val="clear" w:color="auto" w:fill="auto"/>
            <w:noWrap/>
            <w:vAlign w:val="bottom"/>
          </w:tcPr>
          <w:p w14:paraId="105E67F2" w14:textId="1D0F4055" w:rsidR="00825F3F" w:rsidRPr="00CF5797" w:rsidRDefault="00F10C2C" w:rsidP="004F62E7">
            <w:pPr>
              <w:jc w:val="left"/>
              <w:rPr>
                <w:color w:val="000000"/>
                <w:sz w:val="20"/>
                <w:szCs w:val="20"/>
                <w:lang w:val="fr-CA" w:eastAsia="en-CA"/>
              </w:rPr>
            </w:pPr>
            <w:r w:rsidRPr="00CF5797">
              <w:rPr>
                <w:color w:val="000000"/>
                <w:sz w:val="20"/>
                <w:szCs w:val="20"/>
                <w:lang w:val="fr-CA" w:eastAsia="en-CA"/>
              </w:rPr>
              <w:t>Troisième</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tcPr>
          <w:p w14:paraId="10C6793F" w14:textId="11159888" w:rsidR="00825F3F" w:rsidRPr="00CF5797" w:rsidRDefault="00825F3F" w:rsidP="004F62E7">
            <w:pPr>
              <w:jc w:val="right"/>
              <w:rPr>
                <w:color w:val="000000"/>
                <w:sz w:val="20"/>
                <w:szCs w:val="20"/>
                <w:lang w:val="fr-CA" w:eastAsia="en-CA"/>
              </w:rPr>
            </w:pPr>
            <w:r w:rsidRPr="00CF5797">
              <w:rPr>
                <w:color w:val="000000"/>
                <w:sz w:val="20"/>
                <w:szCs w:val="20"/>
                <w:lang w:val="fr-CA" w:eastAsia="en-CA"/>
              </w:rPr>
              <w:t>111</w:t>
            </w:r>
            <w:r w:rsidR="00F10C2C" w:rsidRPr="00CF5797">
              <w:rPr>
                <w:color w:val="000000"/>
                <w:sz w:val="20"/>
                <w:szCs w:val="20"/>
                <w:lang w:val="fr-CA" w:eastAsia="en-CA"/>
              </w:rPr>
              <w:t xml:space="preserve"> </w:t>
            </w:r>
            <w:r w:rsidRPr="00CF5797">
              <w:rPr>
                <w:color w:val="000000"/>
                <w:sz w:val="20"/>
                <w:szCs w:val="20"/>
                <w:lang w:val="fr-CA" w:eastAsia="en-CA"/>
              </w:rPr>
              <w:t>268</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tcPr>
          <w:p w14:paraId="2926208F" w14:textId="257C2790" w:rsidR="00825F3F" w:rsidRPr="00CF5797" w:rsidRDefault="00825F3F" w:rsidP="004F62E7">
            <w:pPr>
              <w:jc w:val="right"/>
              <w:rPr>
                <w:color w:val="000000"/>
                <w:sz w:val="20"/>
                <w:szCs w:val="20"/>
                <w:lang w:val="fr-CA" w:eastAsia="en-CA"/>
              </w:rPr>
            </w:pPr>
            <w:r w:rsidRPr="00CF5797">
              <w:rPr>
                <w:color w:val="000000"/>
                <w:sz w:val="20"/>
                <w:szCs w:val="20"/>
                <w:lang w:val="fr-CA" w:eastAsia="en-CA"/>
              </w:rPr>
              <w:t>14</w:t>
            </w:r>
            <w:r w:rsidR="00F10C2C" w:rsidRPr="00CF5797">
              <w:rPr>
                <w:color w:val="000000"/>
                <w:sz w:val="20"/>
                <w:szCs w:val="20"/>
                <w:lang w:val="fr-CA" w:eastAsia="en-CA"/>
              </w:rPr>
              <w:t xml:space="preserve"> </w:t>
            </w:r>
            <w:r w:rsidRPr="00CF5797">
              <w:rPr>
                <w:color w:val="000000"/>
                <w:sz w:val="20"/>
                <w:szCs w:val="20"/>
                <w:lang w:val="fr-CA" w:eastAsia="en-CA"/>
              </w:rPr>
              <w:t>337</w:t>
            </w:r>
          </w:p>
        </w:tc>
        <w:tc>
          <w:tcPr>
            <w:tcW w:w="2340" w:type="dxa"/>
            <w:tcBorders>
              <w:top w:val="nil"/>
              <w:left w:val="nil"/>
              <w:bottom w:val="single" w:sz="4" w:space="0" w:color="auto"/>
              <w:right w:val="single" w:sz="4" w:space="0" w:color="auto"/>
            </w:tcBorders>
            <w:shd w:val="clear" w:color="auto" w:fill="auto"/>
            <w:noWrap/>
            <w:vAlign w:val="center"/>
          </w:tcPr>
          <w:p w14:paraId="36BBCA0B" w14:textId="77777777" w:rsidR="00825F3F" w:rsidRPr="00CF5797" w:rsidRDefault="00825F3F" w:rsidP="004F62E7">
            <w:pPr>
              <w:jc w:val="center"/>
              <w:rPr>
                <w:color w:val="000000"/>
                <w:sz w:val="20"/>
                <w:szCs w:val="20"/>
                <w:lang w:val="fr-CA" w:eastAsia="en-CA"/>
              </w:rPr>
            </w:pPr>
            <w:r w:rsidRPr="00CF5797">
              <w:rPr>
                <w:color w:val="000000"/>
                <w:sz w:val="20"/>
                <w:szCs w:val="20"/>
                <w:lang w:val="fr-CA" w:eastAsia="en-CA"/>
              </w:rPr>
              <w:t>13</w:t>
            </w:r>
          </w:p>
        </w:tc>
      </w:tr>
      <w:tr w:rsidR="00825F3F" w:rsidRPr="00CF5797" w14:paraId="3544CDBB" w14:textId="77777777" w:rsidTr="004F62E7">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80175E1" w14:textId="77777777" w:rsidR="00825F3F" w:rsidRPr="00CF5797" w:rsidRDefault="00825F3F" w:rsidP="004F62E7">
            <w:pPr>
              <w:jc w:val="left"/>
              <w:rPr>
                <w:color w:val="000000"/>
                <w:sz w:val="20"/>
                <w:szCs w:val="20"/>
                <w:lang w:val="fr-CA" w:eastAsia="en-CA"/>
              </w:rPr>
            </w:pPr>
            <w:r w:rsidRPr="00CF5797">
              <w:rPr>
                <w:color w:val="000000"/>
                <w:sz w:val="20"/>
                <w:szCs w:val="20"/>
                <w:lang w:val="fr-CA" w:eastAsia="en-CA"/>
              </w:rPr>
              <w:t>Total</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1B14320D" w14:textId="38634809" w:rsidR="00825F3F" w:rsidRPr="00CF5797" w:rsidRDefault="00825F3F" w:rsidP="004F62E7">
            <w:pPr>
              <w:jc w:val="right"/>
              <w:rPr>
                <w:color w:val="000000"/>
                <w:sz w:val="20"/>
                <w:szCs w:val="20"/>
                <w:lang w:val="fr-CA" w:eastAsia="en-CA"/>
              </w:rPr>
            </w:pPr>
            <w:r w:rsidRPr="00CF5797">
              <w:rPr>
                <w:sz w:val="20"/>
                <w:szCs w:val="20"/>
                <w:lang w:val="fr-CA"/>
              </w:rPr>
              <w:t>1</w:t>
            </w:r>
            <w:r w:rsidR="00F10C2C" w:rsidRPr="00CF5797">
              <w:rPr>
                <w:sz w:val="20"/>
                <w:szCs w:val="20"/>
                <w:lang w:val="fr-CA"/>
              </w:rPr>
              <w:t xml:space="preserve"> </w:t>
            </w:r>
            <w:r w:rsidRPr="00CF5797">
              <w:rPr>
                <w:sz w:val="20"/>
                <w:szCs w:val="20"/>
                <w:lang w:val="fr-CA"/>
              </w:rPr>
              <w:t>105</w:t>
            </w:r>
            <w:r w:rsidR="00F10C2C" w:rsidRPr="00CF5797">
              <w:rPr>
                <w:sz w:val="20"/>
                <w:szCs w:val="20"/>
                <w:lang w:val="fr-CA"/>
              </w:rPr>
              <w:t xml:space="preserve"> </w:t>
            </w:r>
            <w:r w:rsidRPr="00CF5797">
              <w:rPr>
                <w:sz w:val="20"/>
                <w:szCs w:val="20"/>
                <w:lang w:val="fr-CA"/>
              </w:rPr>
              <w:t>157</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70D0D31E" w14:textId="54125C6A" w:rsidR="00825F3F" w:rsidRPr="00CF5797" w:rsidRDefault="00825F3F" w:rsidP="004F62E7">
            <w:pPr>
              <w:jc w:val="right"/>
              <w:rPr>
                <w:color w:val="000000"/>
                <w:sz w:val="20"/>
                <w:szCs w:val="20"/>
                <w:lang w:val="fr-CA" w:eastAsia="en-CA"/>
              </w:rPr>
            </w:pPr>
            <w:r w:rsidRPr="00CF5797">
              <w:rPr>
                <w:color w:val="000000"/>
                <w:sz w:val="20"/>
                <w:szCs w:val="20"/>
                <w:lang w:val="fr-CA" w:eastAsia="en-CA"/>
              </w:rPr>
              <w:t>653</w:t>
            </w:r>
            <w:r w:rsidR="00F10C2C" w:rsidRPr="00CF5797">
              <w:rPr>
                <w:color w:val="000000"/>
                <w:sz w:val="20"/>
                <w:szCs w:val="20"/>
                <w:lang w:val="fr-CA" w:eastAsia="en-CA"/>
              </w:rPr>
              <w:t xml:space="preserve"> </w:t>
            </w:r>
            <w:r w:rsidRPr="00CF5797">
              <w:rPr>
                <w:color w:val="000000"/>
                <w:sz w:val="20"/>
                <w:szCs w:val="20"/>
                <w:lang w:val="fr-CA" w:eastAsia="en-CA"/>
              </w:rPr>
              <w:t>199</w:t>
            </w:r>
          </w:p>
        </w:tc>
        <w:tc>
          <w:tcPr>
            <w:tcW w:w="2340" w:type="dxa"/>
            <w:tcBorders>
              <w:top w:val="nil"/>
              <w:left w:val="nil"/>
              <w:bottom w:val="single" w:sz="4" w:space="0" w:color="auto"/>
              <w:right w:val="single" w:sz="4" w:space="0" w:color="auto"/>
            </w:tcBorders>
            <w:shd w:val="clear" w:color="auto" w:fill="auto"/>
            <w:noWrap/>
            <w:vAlign w:val="center"/>
            <w:hideMark/>
          </w:tcPr>
          <w:p w14:paraId="16402129" w14:textId="77777777" w:rsidR="00825F3F" w:rsidRPr="00CF5797" w:rsidRDefault="00825F3F" w:rsidP="004F62E7">
            <w:pPr>
              <w:jc w:val="center"/>
              <w:rPr>
                <w:color w:val="000000"/>
                <w:sz w:val="20"/>
                <w:szCs w:val="20"/>
                <w:lang w:val="fr-CA" w:eastAsia="en-CA"/>
              </w:rPr>
            </w:pPr>
            <w:r w:rsidRPr="00CF5797">
              <w:rPr>
                <w:color w:val="000000"/>
                <w:sz w:val="20"/>
                <w:szCs w:val="20"/>
                <w:lang w:val="fr-CA" w:eastAsia="en-CA"/>
              </w:rPr>
              <w:t>59</w:t>
            </w:r>
          </w:p>
        </w:tc>
      </w:tr>
    </w:tbl>
    <w:p w14:paraId="2B953C60" w14:textId="77777777" w:rsidR="00825F3F" w:rsidRPr="00CF5797" w:rsidRDefault="00825F3F" w:rsidP="00825F3F">
      <w:pPr>
        <w:rPr>
          <w:lang w:val="fr-CA"/>
        </w:rPr>
      </w:pPr>
    </w:p>
    <w:p w14:paraId="281CA9C6" w14:textId="43DB1251" w:rsidR="00825F3F" w:rsidRPr="00CF5797" w:rsidRDefault="00F10C2C" w:rsidP="0037190F">
      <w:pPr>
        <w:keepNext/>
        <w:keepLines/>
        <w:spacing w:after="240"/>
        <w:rPr>
          <w:u w:val="single"/>
          <w:lang w:val="fr-CA"/>
        </w:rPr>
      </w:pPr>
      <w:r w:rsidRPr="00CF5797">
        <w:rPr>
          <w:u w:val="single"/>
          <w:lang w:val="fr-CA"/>
        </w:rPr>
        <w:t>Achèvement de la phase II</w:t>
      </w:r>
    </w:p>
    <w:p w14:paraId="6EA9EA9E" w14:textId="4161CBC9" w:rsidR="00825F3F" w:rsidRPr="00CF5797" w:rsidRDefault="00F10C2C" w:rsidP="00F10C2C">
      <w:pPr>
        <w:pStyle w:val="Heading1"/>
        <w:rPr>
          <w:lang w:val="fr-CA"/>
        </w:rPr>
      </w:pPr>
      <w:r w:rsidRPr="00CF5797">
        <w:rPr>
          <w:lang w:val="fr-CA"/>
        </w:rPr>
        <w:t xml:space="preserve">Le gouvernement de l’Uruguay, par l’intermédiaire du PNUD, a demandé la prorogation de la date d’achèvement </w:t>
      </w:r>
      <w:r w:rsidR="00573234" w:rsidRPr="00CF5797">
        <w:rPr>
          <w:lang w:val="fr-CA"/>
        </w:rPr>
        <w:t>de la phase II du PGEH à décembre 2022, à</w:t>
      </w:r>
      <w:r w:rsidRPr="00CF5797">
        <w:rPr>
          <w:lang w:val="fr-CA"/>
        </w:rPr>
        <w:t xml:space="preserve"> cause des retards causés par la création d’un nouveau ministère de l’Environnement, </w:t>
      </w:r>
      <w:r w:rsidR="00573234" w:rsidRPr="00CF5797">
        <w:rPr>
          <w:lang w:val="fr-CA"/>
        </w:rPr>
        <w:t>dont les tâches comprendront la surveillance du</w:t>
      </w:r>
      <w:r w:rsidRPr="00CF5797">
        <w:rPr>
          <w:lang w:val="fr-CA"/>
        </w:rPr>
        <w:t xml:space="preserve"> Bureau national de l’ozone</w:t>
      </w:r>
      <w:r w:rsidR="00573234" w:rsidRPr="00CF5797">
        <w:rPr>
          <w:lang w:val="fr-CA"/>
        </w:rPr>
        <w:t>,</w:t>
      </w:r>
      <w:r w:rsidRPr="00CF5797">
        <w:rPr>
          <w:lang w:val="fr-CA"/>
        </w:rPr>
        <w:t xml:space="preserve"> et</w:t>
      </w:r>
      <w:r w:rsidR="00556FD6" w:rsidRPr="00CF5797">
        <w:rPr>
          <w:lang w:val="fr-CA"/>
        </w:rPr>
        <w:t xml:space="preserve"> des mesures de santé publique imposées en réponse à la pandémie de la COVID-19. Le soutien technique des experts internationaux, rendu impossible à cause de la pandémie, est un élément clé du projet de reconversion</w:t>
      </w:r>
      <w:r w:rsidR="00825F3F" w:rsidRPr="00CF5797">
        <w:rPr>
          <w:lang w:val="fr-CA"/>
        </w:rPr>
        <w:t>.</w:t>
      </w:r>
    </w:p>
    <w:p w14:paraId="079A9980" w14:textId="64BB91AE" w:rsidR="00825F3F" w:rsidRPr="00CF5797" w:rsidRDefault="00556FD6" w:rsidP="00825F3F">
      <w:pPr>
        <w:numPr>
          <w:ilvl w:val="0"/>
          <w:numId w:val="1"/>
        </w:numPr>
        <w:tabs>
          <w:tab w:val="clear" w:pos="0"/>
          <w:tab w:val="num" w:pos="710"/>
        </w:tabs>
        <w:spacing w:after="240"/>
        <w:outlineLvl w:val="0"/>
        <w:rPr>
          <w:rFonts w:eastAsia="MS Mincho"/>
          <w:lang w:val="fr-CA"/>
        </w:rPr>
      </w:pPr>
      <w:r w:rsidRPr="00CF5797">
        <w:rPr>
          <w:rFonts w:eastAsia="MS Mincho"/>
          <w:lang w:val="fr-CA"/>
        </w:rPr>
        <w:t>Le</w:t>
      </w:r>
      <w:r w:rsidR="00E4460A" w:rsidRPr="00CF5797">
        <w:rPr>
          <w:rFonts w:eastAsia="MS Mincho"/>
          <w:lang w:val="fr-CA"/>
        </w:rPr>
        <w:t xml:space="preserve"> PNUD a fourni un plan de travai</w:t>
      </w:r>
      <w:r w:rsidRPr="00CF5797">
        <w:rPr>
          <w:rFonts w:eastAsia="MS Mincho"/>
          <w:lang w:val="fr-CA"/>
        </w:rPr>
        <w:t xml:space="preserve">l détaillé </w:t>
      </w:r>
      <w:r w:rsidR="00E4460A" w:rsidRPr="00CF5797">
        <w:rPr>
          <w:rFonts w:eastAsia="MS Mincho"/>
          <w:lang w:val="fr-CA"/>
        </w:rPr>
        <w:t>des</w:t>
      </w:r>
      <w:r w:rsidRPr="00CF5797">
        <w:rPr>
          <w:rFonts w:eastAsia="MS Mincho"/>
          <w:lang w:val="fr-CA"/>
        </w:rPr>
        <w:t xml:space="preserve"> activités restantes, en appui à la demande de prorogation de la période de mise en œuvre. Il comprend </w:t>
      </w:r>
      <w:r w:rsidR="00825F3F" w:rsidRPr="00CF5797">
        <w:rPr>
          <w:rFonts w:eastAsia="MS Mincho"/>
          <w:lang w:val="fr-CA"/>
        </w:rPr>
        <w:t xml:space="preserve">: </w:t>
      </w:r>
    </w:p>
    <w:p w14:paraId="50FF7EC4" w14:textId="7BC4817F" w:rsidR="00825F3F" w:rsidRPr="00CF5797" w:rsidRDefault="00556FD6" w:rsidP="00825F3F">
      <w:pPr>
        <w:pStyle w:val="Heading2"/>
        <w:rPr>
          <w:lang w:val="fr-CA"/>
        </w:rPr>
      </w:pPr>
      <w:r w:rsidRPr="00CF5797">
        <w:rPr>
          <w:lang w:val="fr-CA"/>
        </w:rPr>
        <w:t>Un atelier de formation pour 12 douaniers portant sur le contrôle du commerce illicite des SAO, afin de renforcer les capacités de la Direction nationale des douanes</w:t>
      </w:r>
      <w:r w:rsidR="0037190F">
        <w:rPr>
          <w:lang w:val="fr-CA"/>
        </w:rPr>
        <w:t xml:space="preserve"> </w:t>
      </w:r>
      <w:r w:rsidR="00825F3F" w:rsidRPr="00CF5797">
        <w:rPr>
          <w:lang w:val="fr-CA"/>
        </w:rPr>
        <w:t>;</w:t>
      </w:r>
    </w:p>
    <w:p w14:paraId="74AF190A" w14:textId="70A0C15B" w:rsidR="00825F3F" w:rsidRPr="00CF5797" w:rsidRDefault="00D94E8A" w:rsidP="00825F3F">
      <w:pPr>
        <w:pStyle w:val="Heading2"/>
        <w:rPr>
          <w:lang w:val="fr-CA"/>
        </w:rPr>
      </w:pPr>
      <w:r w:rsidRPr="00CF5797">
        <w:rPr>
          <w:lang w:val="fr-CA"/>
        </w:rPr>
        <w:t>Un atelier de formation en bonnes pratiques d’entretien pour 60 techniciens en réfrigération et climatisation, et l’offre d’outils pour réduire les pertes de frigorigènes</w:t>
      </w:r>
      <w:r w:rsidR="0037190F">
        <w:rPr>
          <w:lang w:val="fr-CA"/>
        </w:rPr>
        <w:t xml:space="preserve"> </w:t>
      </w:r>
      <w:r w:rsidRPr="00CF5797">
        <w:rPr>
          <w:lang w:val="fr-CA"/>
        </w:rPr>
        <w:t xml:space="preserve">; distribution </w:t>
      </w:r>
      <w:r w:rsidRPr="00CF5797">
        <w:rPr>
          <w:lang w:val="fr-CA"/>
        </w:rPr>
        <w:lastRenderedPageBreak/>
        <w:t>d’une fiche technique sur les bonnes pratiques d’entretien à toutes les parties prenantes</w:t>
      </w:r>
      <w:r w:rsidR="0037190F">
        <w:rPr>
          <w:lang w:val="fr-CA"/>
        </w:rPr>
        <w:t xml:space="preserve"> </w:t>
      </w:r>
      <w:r w:rsidRPr="00CF5797">
        <w:rPr>
          <w:lang w:val="fr-CA"/>
        </w:rPr>
        <w:t xml:space="preserve">; </w:t>
      </w:r>
      <w:r w:rsidR="00E4460A" w:rsidRPr="00CF5797">
        <w:rPr>
          <w:lang w:val="fr-CA"/>
        </w:rPr>
        <w:t xml:space="preserve">et </w:t>
      </w:r>
      <w:r w:rsidRPr="00CF5797">
        <w:rPr>
          <w:lang w:val="fr-CA"/>
        </w:rPr>
        <w:t>rencontres avec les équipes techniques des supermarch</w:t>
      </w:r>
      <w:r w:rsidR="00E4460A" w:rsidRPr="00CF5797">
        <w:rPr>
          <w:lang w:val="fr-CA"/>
        </w:rPr>
        <w:t>és et grands utilisateurs aux f</w:t>
      </w:r>
      <w:r w:rsidRPr="00CF5797">
        <w:rPr>
          <w:lang w:val="fr-CA"/>
        </w:rPr>
        <w:t>ins de formation en appui à la mise e</w:t>
      </w:r>
      <w:r w:rsidR="00E4460A" w:rsidRPr="00CF5797">
        <w:rPr>
          <w:lang w:val="fr-CA"/>
        </w:rPr>
        <w:t>n</w:t>
      </w:r>
      <w:r w:rsidRPr="00CF5797">
        <w:rPr>
          <w:lang w:val="fr-CA"/>
        </w:rPr>
        <w:t xml:space="preserve"> œuvre de bonnes pratiques d’entretien</w:t>
      </w:r>
      <w:r w:rsidR="0037190F">
        <w:rPr>
          <w:lang w:val="fr-CA"/>
        </w:rPr>
        <w:t xml:space="preserve"> </w:t>
      </w:r>
      <w:r w:rsidR="00825F3F" w:rsidRPr="00CF5797">
        <w:rPr>
          <w:lang w:val="fr-CA"/>
        </w:rPr>
        <w:t xml:space="preserve">; </w:t>
      </w:r>
    </w:p>
    <w:p w14:paraId="7C608DCA" w14:textId="10FFE95E" w:rsidR="00825F3F" w:rsidRPr="00CF5797" w:rsidRDefault="00D94E8A" w:rsidP="00825F3F">
      <w:pPr>
        <w:pStyle w:val="Heading2"/>
        <w:rPr>
          <w:lang w:val="fr-CA"/>
        </w:rPr>
      </w:pPr>
      <w:r w:rsidRPr="00CF5797">
        <w:rPr>
          <w:lang w:val="fr-CA"/>
        </w:rPr>
        <w:t>Un atelier spécialisé sur l’utilisation du CO</w:t>
      </w:r>
      <w:r w:rsidRPr="00CF5797">
        <w:rPr>
          <w:vertAlign w:val="subscript"/>
          <w:lang w:val="fr-CA"/>
        </w:rPr>
        <w:t>2</w:t>
      </w:r>
      <w:r w:rsidRPr="00CF5797">
        <w:rPr>
          <w:lang w:val="fr-CA"/>
        </w:rPr>
        <w:t xml:space="preserve"> et d’ammoniaque comme frigorigènes dans les appl</w:t>
      </w:r>
      <w:r w:rsidR="00567A8D" w:rsidRPr="00CF5797">
        <w:rPr>
          <w:lang w:val="fr-CA"/>
        </w:rPr>
        <w:t>ications industrielles et/ou co</w:t>
      </w:r>
      <w:r w:rsidRPr="00CF5797">
        <w:rPr>
          <w:lang w:val="fr-CA"/>
        </w:rPr>
        <w:t>mmerciales, et l’</w:t>
      </w:r>
      <w:r w:rsidR="00567A8D" w:rsidRPr="00CF5797">
        <w:rPr>
          <w:lang w:val="fr-CA"/>
        </w:rPr>
        <w:t>utilisatio</w:t>
      </w:r>
      <w:r w:rsidRPr="00CF5797">
        <w:rPr>
          <w:lang w:val="fr-CA"/>
        </w:rPr>
        <w:t>n du R-290 et du HFC-32 dans l’</w:t>
      </w:r>
      <w:r w:rsidR="00E4460A" w:rsidRPr="00CF5797">
        <w:rPr>
          <w:lang w:val="fr-CA"/>
        </w:rPr>
        <w:t>é</w:t>
      </w:r>
      <w:r w:rsidR="00567A8D" w:rsidRPr="00CF5797">
        <w:rPr>
          <w:lang w:val="fr-CA"/>
        </w:rPr>
        <w:t>quipement de climatisati</w:t>
      </w:r>
      <w:r w:rsidRPr="00CF5797">
        <w:rPr>
          <w:lang w:val="fr-CA"/>
        </w:rPr>
        <w:t xml:space="preserve">on résidentiel; </w:t>
      </w:r>
      <w:r w:rsidR="00567A8D" w:rsidRPr="00CF5797">
        <w:rPr>
          <w:lang w:val="fr-CA"/>
        </w:rPr>
        <w:t xml:space="preserve">deux visites sur le terrain afin de recenser des projets possibles pour l’utilisation de substances de remplacement à faible PRG et dans des ateliers d’entretien choisis afin de </w:t>
      </w:r>
      <w:r w:rsidR="00E4460A" w:rsidRPr="00CF5797">
        <w:rPr>
          <w:lang w:val="fr-CA"/>
        </w:rPr>
        <w:t>faire le suivi</w:t>
      </w:r>
      <w:r w:rsidR="00567A8D" w:rsidRPr="00CF5797">
        <w:rPr>
          <w:lang w:val="fr-CA"/>
        </w:rPr>
        <w:t xml:space="preserve"> et de promouvoir des substances de remplacement et les bonnes pratiques d’entretien chez les techniciens</w:t>
      </w:r>
      <w:r w:rsidR="0037190F">
        <w:rPr>
          <w:lang w:val="fr-CA"/>
        </w:rPr>
        <w:t xml:space="preserve"> </w:t>
      </w:r>
      <w:r w:rsidR="00825F3F" w:rsidRPr="00CF5797">
        <w:rPr>
          <w:lang w:val="fr-CA"/>
        </w:rPr>
        <w:t xml:space="preserve">; </w:t>
      </w:r>
    </w:p>
    <w:p w14:paraId="1F2C73A6" w14:textId="4B86403A" w:rsidR="00825F3F" w:rsidRPr="00CF5797" w:rsidRDefault="00567A8D" w:rsidP="00825F3F">
      <w:pPr>
        <w:pStyle w:val="Heading2"/>
        <w:keepNext/>
        <w:widowControl/>
        <w:rPr>
          <w:lang w:val="fr-CA"/>
        </w:rPr>
      </w:pPr>
      <w:r w:rsidRPr="00CF5797">
        <w:rPr>
          <w:lang w:val="fr-CA"/>
        </w:rPr>
        <w:t xml:space="preserve">Achat de climatiseurs à base de substances de remplacement à faible PRG afin d’effectuer une démonstration pilote </w:t>
      </w:r>
      <w:r w:rsidR="00E4460A" w:rsidRPr="00CF5797">
        <w:rPr>
          <w:lang w:val="fr-CA"/>
        </w:rPr>
        <w:t>de</w:t>
      </w:r>
      <w:r w:rsidRPr="00CF5797">
        <w:rPr>
          <w:lang w:val="fr-CA"/>
        </w:rPr>
        <w:t xml:space="preserve"> l’utilisation de formules à base de CO</w:t>
      </w:r>
      <w:r w:rsidRPr="00CF5797">
        <w:rPr>
          <w:vertAlign w:val="subscript"/>
          <w:lang w:val="fr-CA"/>
        </w:rPr>
        <w:t>2</w:t>
      </w:r>
      <w:r w:rsidRPr="00CF5797">
        <w:rPr>
          <w:lang w:val="fr-CA"/>
        </w:rPr>
        <w:t xml:space="preserve"> dans les chambres frigorifiques des supermarchés et dans l’industrie alimentaire</w:t>
      </w:r>
      <w:r w:rsidR="0037190F">
        <w:rPr>
          <w:lang w:val="fr-CA"/>
        </w:rPr>
        <w:t xml:space="preserve"> </w:t>
      </w:r>
      <w:r w:rsidRPr="00CF5797">
        <w:rPr>
          <w:lang w:val="fr-CA"/>
        </w:rPr>
        <w:t>; et mise au point des critères et des pr</w:t>
      </w:r>
      <w:r w:rsidR="00E4460A" w:rsidRPr="00CF5797">
        <w:rPr>
          <w:lang w:val="fr-CA"/>
        </w:rPr>
        <w:t>océdures d’achat</w:t>
      </w:r>
      <w:r w:rsidR="00AA3EE5" w:rsidRPr="00CF5797">
        <w:rPr>
          <w:lang w:val="fr-CA"/>
        </w:rPr>
        <w:t>s</w:t>
      </w:r>
      <w:r w:rsidR="00E4460A" w:rsidRPr="00CF5797">
        <w:rPr>
          <w:lang w:val="fr-CA"/>
        </w:rPr>
        <w:t xml:space="preserve"> </w:t>
      </w:r>
      <w:r w:rsidR="00AA3EE5" w:rsidRPr="00CF5797">
        <w:rPr>
          <w:lang w:val="fr-CA"/>
        </w:rPr>
        <w:t>gouvernementaux</w:t>
      </w:r>
      <w:r w:rsidR="00E4460A" w:rsidRPr="00CF5797">
        <w:rPr>
          <w:lang w:val="fr-CA"/>
        </w:rPr>
        <w:t xml:space="preserve"> durables </w:t>
      </w:r>
      <w:r w:rsidRPr="00CF5797">
        <w:rPr>
          <w:lang w:val="fr-CA"/>
        </w:rPr>
        <w:t>de technologies sans SAO, à faible PRG et à haute efficacité énergétique</w:t>
      </w:r>
      <w:r w:rsidR="0037190F">
        <w:rPr>
          <w:lang w:val="fr-CA"/>
        </w:rPr>
        <w:t xml:space="preserve"> </w:t>
      </w:r>
      <w:r w:rsidR="00825F3F" w:rsidRPr="00CF5797">
        <w:rPr>
          <w:lang w:val="fr-CA"/>
        </w:rPr>
        <w:t>;</w:t>
      </w:r>
    </w:p>
    <w:p w14:paraId="075D6520" w14:textId="5AA7798D" w:rsidR="00825F3F" w:rsidRPr="00CF5797" w:rsidRDefault="00567A8D" w:rsidP="00825F3F">
      <w:pPr>
        <w:pStyle w:val="Heading2"/>
        <w:rPr>
          <w:lang w:val="fr-CA"/>
        </w:rPr>
      </w:pPr>
      <w:r w:rsidRPr="00CF5797">
        <w:rPr>
          <w:lang w:val="fr-CA"/>
        </w:rPr>
        <w:t>Conception, impression et diffusion d’information pour promouvoir l’élimination des HCFC</w:t>
      </w:r>
      <w:r w:rsidR="0037190F">
        <w:rPr>
          <w:lang w:val="fr-CA"/>
        </w:rPr>
        <w:t xml:space="preserve"> </w:t>
      </w:r>
      <w:r w:rsidRPr="00CF5797">
        <w:rPr>
          <w:lang w:val="fr-CA"/>
        </w:rPr>
        <w:t>;</w:t>
      </w:r>
      <w:r w:rsidR="0037190F">
        <w:rPr>
          <w:lang w:val="fr-CA"/>
        </w:rPr>
        <w:t xml:space="preserve"> et</w:t>
      </w:r>
    </w:p>
    <w:p w14:paraId="24FD2A7C" w14:textId="399075B3" w:rsidR="00825F3F" w:rsidRPr="00CF5797" w:rsidRDefault="00567A8D" w:rsidP="00825F3F">
      <w:pPr>
        <w:pStyle w:val="Heading2"/>
        <w:rPr>
          <w:lang w:val="fr-CA"/>
        </w:rPr>
      </w:pPr>
      <w:r w:rsidRPr="00CF5797">
        <w:rPr>
          <w:lang w:val="fr-CA"/>
        </w:rPr>
        <w:t>Suite d</w:t>
      </w:r>
      <w:r w:rsidR="00AB20AB" w:rsidRPr="00CF5797">
        <w:rPr>
          <w:lang w:val="fr-CA"/>
        </w:rPr>
        <w:t xml:space="preserve">es activités de </w:t>
      </w:r>
      <w:r w:rsidRPr="00CF5797">
        <w:rPr>
          <w:lang w:val="fr-CA"/>
        </w:rPr>
        <w:t xml:space="preserve">mise en œuvre </w:t>
      </w:r>
      <w:r w:rsidR="00AB20AB" w:rsidRPr="00CF5797">
        <w:rPr>
          <w:lang w:val="fr-CA"/>
        </w:rPr>
        <w:t>et de suivi du Bureau national de l’ozone, dont une rencontre avec les parties prenantes et la préparation de rapports</w:t>
      </w:r>
      <w:r w:rsidR="00825F3F" w:rsidRPr="00CF5797">
        <w:rPr>
          <w:lang w:val="fr-CA"/>
        </w:rPr>
        <w:t>.</w:t>
      </w:r>
    </w:p>
    <w:p w14:paraId="3ED1C073" w14:textId="77777777" w:rsidR="00AA3EE5" w:rsidRPr="00CF5797" w:rsidRDefault="00AA3EE5" w:rsidP="00825F3F">
      <w:pPr>
        <w:rPr>
          <w:b/>
          <w:lang w:val="fr-CA"/>
        </w:rPr>
      </w:pPr>
    </w:p>
    <w:p w14:paraId="1F5390D2" w14:textId="5FBD5484" w:rsidR="00825F3F" w:rsidRPr="00CF5797" w:rsidRDefault="00AB20AB" w:rsidP="0037190F">
      <w:pPr>
        <w:keepNext/>
        <w:keepLines/>
        <w:spacing w:after="240"/>
        <w:rPr>
          <w:i/>
          <w:lang w:val="fr-CA"/>
        </w:rPr>
      </w:pPr>
      <w:r w:rsidRPr="00CF5797">
        <w:rPr>
          <w:b/>
          <w:lang w:val="fr-CA"/>
        </w:rPr>
        <w:t>Observations du Secrétariat</w:t>
      </w:r>
    </w:p>
    <w:p w14:paraId="42C5FCE7" w14:textId="7342C0E2" w:rsidR="00825F3F" w:rsidRPr="00CF5797" w:rsidRDefault="00AB20AB" w:rsidP="0037190F">
      <w:pPr>
        <w:pStyle w:val="Heading1"/>
        <w:rPr>
          <w:lang w:val="fr-CA"/>
        </w:rPr>
      </w:pPr>
      <w:r w:rsidRPr="00CF5797">
        <w:rPr>
          <w:lang w:val="fr-CA"/>
        </w:rPr>
        <w:t>Malgré les progrès accomplis, les contraintes imposées par la pandémie de la COVID-19 et la disponibilité limité</w:t>
      </w:r>
      <w:r w:rsidR="00AA3EE5" w:rsidRPr="00CF5797">
        <w:rPr>
          <w:lang w:val="fr-CA"/>
        </w:rPr>
        <w:t>e</w:t>
      </w:r>
      <w:r w:rsidR="00931F7B" w:rsidRPr="00CF5797">
        <w:rPr>
          <w:lang w:val="fr-CA"/>
        </w:rPr>
        <w:t xml:space="preserve"> de substances de remplacement à</w:t>
      </w:r>
      <w:r w:rsidR="00AA3EE5" w:rsidRPr="00CF5797">
        <w:rPr>
          <w:lang w:val="fr-CA"/>
        </w:rPr>
        <w:t xml:space="preserve"> faible PRG ont ralenti l’</w:t>
      </w:r>
      <w:r w:rsidRPr="00CF5797">
        <w:rPr>
          <w:lang w:val="fr-CA"/>
        </w:rPr>
        <w:t>achèvement de la reco</w:t>
      </w:r>
      <w:r w:rsidR="00931F7B" w:rsidRPr="00CF5797">
        <w:rPr>
          <w:lang w:val="fr-CA"/>
        </w:rPr>
        <w:t>n</w:t>
      </w:r>
      <w:r w:rsidRPr="00CF5797">
        <w:rPr>
          <w:lang w:val="fr-CA"/>
        </w:rPr>
        <w:t>version des PME</w:t>
      </w:r>
      <w:r w:rsidR="0037190F">
        <w:rPr>
          <w:lang w:val="fr-CA"/>
        </w:rPr>
        <w:t xml:space="preserve"> </w:t>
      </w:r>
      <w:r w:rsidRPr="00CF5797">
        <w:rPr>
          <w:lang w:val="fr-CA"/>
        </w:rPr>
        <w:t>;</w:t>
      </w:r>
      <w:r w:rsidR="00931F7B" w:rsidRPr="00CF5797">
        <w:rPr>
          <w:lang w:val="fr-CA"/>
        </w:rPr>
        <w:t xml:space="preserve"> le</w:t>
      </w:r>
      <w:r w:rsidRPr="00CF5797">
        <w:rPr>
          <w:lang w:val="fr-CA"/>
        </w:rPr>
        <w:t xml:space="preserve"> PNUD s’était engagé à terminer </w:t>
      </w:r>
      <w:r w:rsidR="00931F7B" w:rsidRPr="00CF5797">
        <w:rPr>
          <w:lang w:val="fr-CA"/>
        </w:rPr>
        <w:t>la reconversion avant juin 2021</w:t>
      </w:r>
      <w:r w:rsidR="000726F2" w:rsidRPr="00CF5797">
        <w:rPr>
          <w:lang w:val="fr-CA"/>
        </w:rPr>
        <w:t xml:space="preserve">, mais </w:t>
      </w:r>
      <w:r w:rsidR="00AA3EE5" w:rsidRPr="00CF5797">
        <w:rPr>
          <w:lang w:val="fr-CA"/>
        </w:rPr>
        <w:t xml:space="preserve">la prorogation de la phase II du PGEH </w:t>
      </w:r>
      <w:r w:rsidR="0081028C" w:rsidRPr="00CF5797">
        <w:rPr>
          <w:lang w:val="fr-CA"/>
        </w:rPr>
        <w:t xml:space="preserve">à décembre 2022 </w:t>
      </w:r>
      <w:r w:rsidR="00AA3EE5" w:rsidRPr="00CF5797">
        <w:rPr>
          <w:lang w:val="fr-CA"/>
        </w:rPr>
        <w:t>est néanmoins demandée à cause de ces contraintes</w:t>
      </w:r>
      <w:r w:rsidR="00931F7B" w:rsidRPr="00CF5797">
        <w:rPr>
          <w:lang w:val="fr-CA"/>
        </w:rPr>
        <w:t>. Le Secrétariat a également pris note que le PNUD et le gouvernement collaborent étroitement avec les importateurs et les distributeurs pour s’</w:t>
      </w:r>
      <w:r w:rsidR="000726F2" w:rsidRPr="00CF5797">
        <w:rPr>
          <w:lang w:val="fr-CA"/>
        </w:rPr>
        <w:t>assurer que les</w:t>
      </w:r>
      <w:r w:rsidR="00931F7B" w:rsidRPr="00CF5797">
        <w:rPr>
          <w:lang w:val="fr-CA"/>
        </w:rPr>
        <w:t xml:space="preserve"> formules à base de HFO </w:t>
      </w:r>
      <w:r w:rsidR="0081028C" w:rsidRPr="00CF5797">
        <w:rPr>
          <w:lang w:val="fr-CA"/>
        </w:rPr>
        <w:t>seront</w:t>
      </w:r>
      <w:r w:rsidR="00931F7B" w:rsidRPr="00CF5797">
        <w:rPr>
          <w:lang w:val="fr-CA"/>
        </w:rPr>
        <w:t xml:space="preserve"> </w:t>
      </w:r>
      <w:r w:rsidR="000726F2" w:rsidRPr="00CF5797">
        <w:rPr>
          <w:lang w:val="fr-CA"/>
        </w:rPr>
        <w:t>vendues sur le marché</w:t>
      </w:r>
      <w:r w:rsidR="00931F7B" w:rsidRPr="00CF5797">
        <w:rPr>
          <w:lang w:val="fr-CA"/>
        </w:rPr>
        <w:t xml:space="preserve"> pour les PME. Une </w:t>
      </w:r>
      <w:r w:rsidR="000726F2" w:rsidRPr="00CF5797">
        <w:rPr>
          <w:lang w:val="fr-CA"/>
        </w:rPr>
        <w:t>fois</w:t>
      </w:r>
      <w:r w:rsidR="0081028C" w:rsidRPr="00CF5797">
        <w:rPr>
          <w:lang w:val="fr-CA"/>
        </w:rPr>
        <w:t xml:space="preserve"> la disponibilité des HFO</w:t>
      </w:r>
      <w:r w:rsidR="00931F7B" w:rsidRPr="00CF5797">
        <w:rPr>
          <w:lang w:val="fr-CA"/>
        </w:rPr>
        <w:t xml:space="preserve"> sur les marché locaux assurée, </w:t>
      </w:r>
      <w:r w:rsidR="000726F2" w:rsidRPr="00CF5797">
        <w:rPr>
          <w:lang w:val="fr-CA"/>
        </w:rPr>
        <w:t xml:space="preserve">les PME recevront une </w:t>
      </w:r>
      <w:r w:rsidR="00931F7B" w:rsidRPr="00CF5797">
        <w:rPr>
          <w:lang w:val="fr-CA"/>
        </w:rPr>
        <w:t xml:space="preserve">assistance technique </w:t>
      </w:r>
      <w:r w:rsidR="000726F2" w:rsidRPr="00CF5797">
        <w:rPr>
          <w:lang w:val="fr-CA"/>
        </w:rPr>
        <w:t xml:space="preserve">pour introduire les formules à base de </w:t>
      </w:r>
      <w:r w:rsidR="0081028C" w:rsidRPr="00CF5797">
        <w:rPr>
          <w:lang w:val="fr-CA"/>
        </w:rPr>
        <w:t>HFO</w:t>
      </w:r>
      <w:r w:rsidR="000726F2" w:rsidRPr="00CF5797">
        <w:rPr>
          <w:lang w:val="fr-CA"/>
        </w:rPr>
        <w:t xml:space="preserve"> ou autres solutions de remplacement à faible PRG (telle</w:t>
      </w:r>
      <w:r w:rsidR="0081028C" w:rsidRPr="00CF5797">
        <w:rPr>
          <w:lang w:val="fr-CA"/>
        </w:rPr>
        <w:t>s que les formules à base d’eau). Malgré</w:t>
      </w:r>
      <w:r w:rsidR="000726F2" w:rsidRPr="00CF5797">
        <w:rPr>
          <w:lang w:val="fr-CA"/>
        </w:rPr>
        <w:t xml:space="preserve"> ces efforts, le Secrétariat considère qu’il est peu probable que ces activités soient menées à terme d’ici la fin de décembre 2021</w:t>
      </w:r>
      <w:r w:rsidR="0037190F">
        <w:rPr>
          <w:lang w:val="fr-CA"/>
        </w:rPr>
        <w:t xml:space="preserve"> </w:t>
      </w:r>
      <w:r w:rsidR="000726F2" w:rsidRPr="00CF5797">
        <w:rPr>
          <w:lang w:val="fr-CA"/>
        </w:rPr>
        <w:t>; la prorogation d’un an permettra au gouvernement et au PNUD d’achever les activités restantes de la phase II</w:t>
      </w:r>
      <w:r w:rsidR="00825F3F" w:rsidRPr="00CF5797">
        <w:rPr>
          <w:lang w:val="fr-CA"/>
        </w:rPr>
        <w:t>.</w:t>
      </w:r>
    </w:p>
    <w:p w14:paraId="4083F140" w14:textId="563B3041" w:rsidR="00825F3F" w:rsidRPr="00CF5797" w:rsidRDefault="000726F2" w:rsidP="00825F3F">
      <w:pPr>
        <w:pStyle w:val="Heading1"/>
        <w:keepLines/>
        <w:rPr>
          <w:lang w:val="fr-CA"/>
        </w:rPr>
      </w:pPr>
      <w:r w:rsidRPr="00CF5797">
        <w:rPr>
          <w:lang w:val="fr-CA"/>
        </w:rPr>
        <w:t>Le PNUD a précisé que l’importation de HCFC-141b pur est interdite depuis le 1</w:t>
      </w:r>
      <w:r w:rsidRPr="00CF5797">
        <w:rPr>
          <w:vertAlign w:val="superscript"/>
          <w:lang w:val="fr-CA"/>
        </w:rPr>
        <w:t>er</w:t>
      </w:r>
      <w:r w:rsidRPr="00CF5797">
        <w:rPr>
          <w:lang w:val="fr-CA"/>
        </w:rPr>
        <w:t xml:space="preserve"> janvier 2021, comme </w:t>
      </w:r>
      <w:proofErr w:type="gramStart"/>
      <w:r w:rsidRPr="00CF5797">
        <w:rPr>
          <w:lang w:val="fr-CA"/>
        </w:rPr>
        <w:t>prévu;</w:t>
      </w:r>
      <w:proofErr w:type="gramEnd"/>
      <w:r w:rsidRPr="00CF5797">
        <w:rPr>
          <w:lang w:val="fr-CA"/>
        </w:rPr>
        <w:t xml:space="preserve"> </w:t>
      </w:r>
      <w:r w:rsidR="0063688C" w:rsidRPr="00CF5797">
        <w:rPr>
          <w:lang w:val="fr-CA"/>
        </w:rPr>
        <w:t xml:space="preserve">toutefois, à cause des retards dans la reconversion des PME fabricant de la mousse, l’interdiction visant le HCFC-141b contenu dans des polyols </w:t>
      </w:r>
      <w:proofErr w:type="spellStart"/>
      <w:r w:rsidR="0063688C" w:rsidRPr="00CF5797">
        <w:rPr>
          <w:lang w:val="fr-CA"/>
        </w:rPr>
        <w:t>prémélangés</w:t>
      </w:r>
      <w:proofErr w:type="spellEnd"/>
      <w:r w:rsidR="0063688C" w:rsidRPr="00CF5797">
        <w:rPr>
          <w:lang w:val="fr-CA"/>
        </w:rPr>
        <w:t xml:space="preserve"> importés n’entrera en vigueur que le 1</w:t>
      </w:r>
      <w:r w:rsidR="0063688C" w:rsidRPr="00CF5797">
        <w:rPr>
          <w:vertAlign w:val="superscript"/>
          <w:lang w:val="fr-CA"/>
        </w:rPr>
        <w:t>er</w:t>
      </w:r>
      <w:r w:rsidR="0063688C" w:rsidRPr="00CF5797">
        <w:rPr>
          <w:lang w:val="fr-CA"/>
        </w:rPr>
        <w:t xml:space="preserve"> janvier 2023</w:t>
      </w:r>
      <w:r w:rsidR="00825F3F" w:rsidRPr="00CF5797">
        <w:rPr>
          <w:lang w:val="fr-CA"/>
        </w:rPr>
        <w:t xml:space="preserve">. </w:t>
      </w:r>
    </w:p>
    <w:p w14:paraId="20CAFB18" w14:textId="04AE32EB" w:rsidR="00825F3F" w:rsidRPr="00CF5797" w:rsidRDefault="0063688C" w:rsidP="00825F3F">
      <w:pPr>
        <w:pStyle w:val="Heading1"/>
        <w:keepNext/>
        <w:keepLines/>
        <w:numPr>
          <w:ilvl w:val="0"/>
          <w:numId w:val="0"/>
        </w:numPr>
        <w:jc w:val="left"/>
        <w:rPr>
          <w:b/>
          <w:lang w:val="fr-CA"/>
        </w:rPr>
      </w:pPr>
      <w:r w:rsidRPr="00CF5797">
        <w:rPr>
          <w:b/>
          <w:lang w:val="fr-CA"/>
        </w:rPr>
        <w:t>Recomma</w:t>
      </w:r>
      <w:r w:rsidR="00825F3F" w:rsidRPr="00CF5797">
        <w:rPr>
          <w:b/>
          <w:lang w:val="fr-CA"/>
        </w:rPr>
        <w:t>ndation</w:t>
      </w:r>
    </w:p>
    <w:p w14:paraId="260F8F34" w14:textId="2B0E765A" w:rsidR="00825F3F" w:rsidRPr="00CF5797" w:rsidRDefault="0063688C" w:rsidP="00825F3F">
      <w:pPr>
        <w:pStyle w:val="Heading1"/>
        <w:keepNext/>
        <w:keepLines/>
        <w:jc w:val="left"/>
        <w:rPr>
          <w:lang w:val="fr-CA"/>
        </w:rPr>
      </w:pPr>
      <w:r w:rsidRPr="00CF5797">
        <w:rPr>
          <w:lang w:val="fr-CA"/>
        </w:rPr>
        <w:t xml:space="preserve">Le Comité exécutif pourrait souhaiter </w:t>
      </w:r>
      <w:r w:rsidR="00825F3F" w:rsidRPr="00CF5797">
        <w:rPr>
          <w:lang w:val="fr-CA"/>
        </w:rPr>
        <w:t>:</w:t>
      </w:r>
    </w:p>
    <w:p w14:paraId="3DF57C4E" w14:textId="73F9C3D6" w:rsidR="00825F3F" w:rsidRPr="00CF5797" w:rsidRDefault="0063688C" w:rsidP="00825F3F">
      <w:pPr>
        <w:pStyle w:val="Heading2"/>
        <w:rPr>
          <w:lang w:val="fr-CA"/>
        </w:rPr>
      </w:pPr>
      <w:r w:rsidRPr="00CF5797">
        <w:rPr>
          <w:lang w:val="fr-CA"/>
        </w:rPr>
        <w:t>Prendre note du rapport périodique sur la mise en œuvre de la troisième (et dernière tranche) de la phase II du plan de gestion de l'élimination des HCFC (PGEH) pour l’Uruguay et du rapport sur la mise en œuvre du projet de reconversion du secteur des mousses</w:t>
      </w:r>
      <w:r w:rsidR="0037190F">
        <w:rPr>
          <w:lang w:val="fr-CA"/>
        </w:rPr>
        <w:t xml:space="preserve"> </w:t>
      </w:r>
      <w:r w:rsidR="00825F3F" w:rsidRPr="00CF5797">
        <w:rPr>
          <w:lang w:val="fr-CA"/>
        </w:rPr>
        <w:t>;</w:t>
      </w:r>
    </w:p>
    <w:p w14:paraId="0DAEA1F1" w14:textId="45C3A84D" w:rsidR="00825F3F" w:rsidRPr="00CF5797" w:rsidRDefault="0063688C" w:rsidP="008376CB">
      <w:pPr>
        <w:pStyle w:val="Heading2"/>
        <w:keepNext/>
        <w:keepLines/>
        <w:rPr>
          <w:lang w:val="fr-CA"/>
        </w:rPr>
      </w:pPr>
      <w:r w:rsidRPr="00CF5797">
        <w:rPr>
          <w:lang w:val="fr-CA"/>
        </w:rPr>
        <w:lastRenderedPageBreak/>
        <w:t xml:space="preserve">Approuver, à </w:t>
      </w:r>
      <w:r w:rsidR="00DE3914" w:rsidRPr="00CF5797">
        <w:rPr>
          <w:lang w:val="fr-CA"/>
        </w:rPr>
        <w:t>titre exceptionnel, la prorogati</w:t>
      </w:r>
      <w:r w:rsidRPr="00CF5797">
        <w:rPr>
          <w:lang w:val="fr-CA"/>
        </w:rPr>
        <w:t>on de la date d’achèvement de la phase II du PGEH pour l’Uruguay au 31 décembre 2022, compte te</w:t>
      </w:r>
      <w:r w:rsidR="00DE3914" w:rsidRPr="00CF5797">
        <w:rPr>
          <w:lang w:val="fr-CA"/>
        </w:rPr>
        <w:t>n</w:t>
      </w:r>
      <w:r w:rsidRPr="00CF5797">
        <w:rPr>
          <w:lang w:val="fr-CA"/>
        </w:rPr>
        <w:t xml:space="preserve">u des </w:t>
      </w:r>
      <w:r w:rsidR="00DE3914" w:rsidRPr="00CF5797">
        <w:rPr>
          <w:lang w:val="fr-CA"/>
        </w:rPr>
        <w:t>retards</w:t>
      </w:r>
      <w:r w:rsidRPr="00CF5797">
        <w:rPr>
          <w:lang w:val="fr-CA"/>
        </w:rPr>
        <w:t xml:space="preserve"> dans la mise en œuvre des activités d’élimination causés par la pandémie de la COVID-19</w:t>
      </w:r>
      <w:r w:rsidR="00DE3914" w:rsidRPr="00CF5797">
        <w:rPr>
          <w:lang w:val="fr-CA"/>
        </w:rPr>
        <w:t>, étant entendu qu’aucune autre prorogation de la mise en œuvre du projet sera demandée</w:t>
      </w:r>
      <w:r w:rsidR="0037190F">
        <w:rPr>
          <w:lang w:val="fr-CA"/>
        </w:rPr>
        <w:t xml:space="preserve"> </w:t>
      </w:r>
      <w:r w:rsidR="00825F3F" w:rsidRPr="00CF5797">
        <w:rPr>
          <w:lang w:val="fr-CA"/>
        </w:rPr>
        <w:t xml:space="preserve">; </w:t>
      </w:r>
    </w:p>
    <w:p w14:paraId="7F8759B6" w14:textId="64B3CDCC" w:rsidR="00825F3F" w:rsidRPr="00CF5797" w:rsidRDefault="00DE3914" w:rsidP="00825F3F">
      <w:pPr>
        <w:pStyle w:val="Heading2"/>
        <w:rPr>
          <w:lang w:val="fr-CA"/>
        </w:rPr>
      </w:pPr>
      <w:r w:rsidRPr="00CF5797">
        <w:rPr>
          <w:lang w:val="fr-CA"/>
        </w:rPr>
        <w:t xml:space="preserve">Prendre note que l’interdiction d’importer du HCFC-141b contenu dans </w:t>
      </w:r>
      <w:r w:rsidR="005E1695" w:rsidRPr="00CF5797">
        <w:rPr>
          <w:lang w:val="fr-CA"/>
        </w:rPr>
        <w:t xml:space="preserve">des polyols </w:t>
      </w:r>
      <w:proofErr w:type="spellStart"/>
      <w:r w:rsidR="005E1695" w:rsidRPr="00CF5797">
        <w:rPr>
          <w:lang w:val="fr-CA"/>
        </w:rPr>
        <w:t>prémélangés</w:t>
      </w:r>
      <w:proofErr w:type="spellEnd"/>
      <w:r w:rsidR="005E1695" w:rsidRPr="00CF5797">
        <w:rPr>
          <w:lang w:val="fr-CA"/>
        </w:rPr>
        <w:t xml:space="preserve"> importés</w:t>
      </w:r>
      <w:r w:rsidRPr="00CF5797">
        <w:rPr>
          <w:lang w:val="fr-CA"/>
        </w:rPr>
        <w:t xml:space="preserve"> entrera en vigueur le 1</w:t>
      </w:r>
      <w:r w:rsidRPr="00CF5797">
        <w:rPr>
          <w:vertAlign w:val="superscript"/>
          <w:lang w:val="fr-CA"/>
        </w:rPr>
        <w:t>er</w:t>
      </w:r>
      <w:r w:rsidRPr="00CF5797">
        <w:rPr>
          <w:lang w:val="fr-CA"/>
        </w:rPr>
        <w:t xml:space="preserve"> janvier 2023</w:t>
      </w:r>
      <w:r w:rsidR="0037190F">
        <w:rPr>
          <w:lang w:val="fr-CA"/>
        </w:rPr>
        <w:t xml:space="preserve"> </w:t>
      </w:r>
      <w:r w:rsidR="00825F3F" w:rsidRPr="00CF5797">
        <w:rPr>
          <w:lang w:val="fr-CA"/>
        </w:rPr>
        <w:t>;</w:t>
      </w:r>
    </w:p>
    <w:p w14:paraId="0689A00B" w14:textId="4B3417EF" w:rsidR="00825F3F" w:rsidRPr="00CF5797" w:rsidRDefault="00DE3914" w:rsidP="00825F3F">
      <w:pPr>
        <w:pStyle w:val="Heading2"/>
        <w:rPr>
          <w:lang w:val="fr-CA"/>
        </w:rPr>
      </w:pPr>
      <w:r w:rsidRPr="00CF5797">
        <w:rPr>
          <w:lang w:val="fr-CA"/>
        </w:rPr>
        <w:t>Demander au PNUD de continuer à faire rapport sur les progrès accomplis dans la mise en œuvre de la reconversion des entreprises de mousse</w:t>
      </w:r>
      <w:r w:rsidR="002E7EFF" w:rsidRPr="00CF5797">
        <w:rPr>
          <w:lang w:val="fr-CA"/>
        </w:rPr>
        <w:t xml:space="preserve"> et sur la disponibilité des HFO</w:t>
      </w:r>
      <w:r w:rsidRPr="00CF5797">
        <w:rPr>
          <w:lang w:val="fr-CA"/>
        </w:rPr>
        <w:t xml:space="preserve"> et des formules de mousse de polyuréthanne </w:t>
      </w:r>
      <w:r w:rsidR="004B52E1" w:rsidRPr="00CF5797">
        <w:rPr>
          <w:lang w:val="fr-CA"/>
        </w:rPr>
        <w:t>à base de HFO, et de leurs composants, à la 89</w:t>
      </w:r>
      <w:r w:rsidR="004B52E1" w:rsidRPr="00CF5797">
        <w:rPr>
          <w:vertAlign w:val="superscript"/>
          <w:lang w:val="fr-CA"/>
        </w:rPr>
        <w:t>e</w:t>
      </w:r>
      <w:r w:rsidR="002E7EFF" w:rsidRPr="00CF5797">
        <w:rPr>
          <w:lang w:val="fr-CA"/>
        </w:rPr>
        <w:t> </w:t>
      </w:r>
      <w:r w:rsidR="004B52E1" w:rsidRPr="00CF5797">
        <w:rPr>
          <w:lang w:val="fr-CA"/>
        </w:rPr>
        <w:t>réunion</w:t>
      </w:r>
      <w:r w:rsidR="0037190F">
        <w:rPr>
          <w:lang w:val="fr-CA"/>
        </w:rPr>
        <w:t xml:space="preserve"> </w:t>
      </w:r>
      <w:r w:rsidR="004B52E1" w:rsidRPr="00CF5797">
        <w:rPr>
          <w:lang w:val="fr-CA"/>
        </w:rPr>
        <w:t>;</w:t>
      </w:r>
      <w:r w:rsidR="0037190F">
        <w:rPr>
          <w:lang w:val="fr-CA"/>
        </w:rPr>
        <w:t xml:space="preserve"> et</w:t>
      </w:r>
    </w:p>
    <w:p w14:paraId="68CD8276" w14:textId="5E6C9711" w:rsidR="00825F3F" w:rsidRPr="00CF5797" w:rsidRDefault="004B52E1" w:rsidP="00825F3F">
      <w:pPr>
        <w:pStyle w:val="Heading2"/>
        <w:rPr>
          <w:lang w:val="fr-CA"/>
        </w:rPr>
      </w:pPr>
      <w:r w:rsidRPr="00CF5797">
        <w:rPr>
          <w:lang w:val="fr-CA"/>
        </w:rPr>
        <w:t>Demander au gouvernement de l’Uruguay et au PNUD de remettre un rapport périodique sur la mise en œuvre du programme de travail de la dernière tranche et le rapport d’achèvement de projet à la première réunion du Comité exécutif de 2023</w:t>
      </w:r>
      <w:r w:rsidR="00825F3F" w:rsidRPr="00CF5797">
        <w:rPr>
          <w:lang w:val="fr-CA"/>
        </w:rPr>
        <w:t>.</w:t>
      </w:r>
    </w:p>
    <w:p w14:paraId="2F12D91C" w14:textId="13561E19" w:rsidR="00825F3F" w:rsidRPr="00CF5797" w:rsidRDefault="00874A48" w:rsidP="00825F3F">
      <w:pPr>
        <w:keepNext/>
        <w:spacing w:after="240"/>
        <w:rPr>
          <w:b/>
          <w:lang w:val="fr-CA"/>
        </w:rPr>
      </w:pPr>
      <w:r w:rsidRPr="00CF5797">
        <w:rPr>
          <w:b/>
          <w:lang w:val="fr-CA"/>
        </w:rPr>
        <w:t>Changement d’agence d’exécution</w:t>
      </w:r>
    </w:p>
    <w:p w14:paraId="011FE4C3" w14:textId="6F866ED0" w:rsidR="00825F3F" w:rsidRPr="00CF5797" w:rsidRDefault="00874A48" w:rsidP="00825F3F">
      <w:pPr>
        <w:rPr>
          <w:u w:val="single"/>
          <w:lang w:val="fr-CA"/>
        </w:rPr>
      </w:pPr>
      <w:r w:rsidRPr="0037190F">
        <w:rPr>
          <w:u w:val="single"/>
          <w:lang w:val="fr-CA"/>
        </w:rPr>
        <w:t xml:space="preserve">Équateur </w:t>
      </w:r>
      <w:r w:rsidR="00825F3F" w:rsidRPr="0037190F">
        <w:rPr>
          <w:u w:val="single"/>
          <w:lang w:val="fr-CA"/>
        </w:rPr>
        <w:t xml:space="preserve">: </w:t>
      </w:r>
      <w:r w:rsidRPr="0037190F">
        <w:rPr>
          <w:u w:val="single"/>
          <w:lang w:val="fr-CA"/>
        </w:rPr>
        <w:t>Changement d’agence d’exécution pour le renforcement des institutions et le plan de gestion de l'élimination des HCFC (phases I et II</w:t>
      </w:r>
      <w:r w:rsidR="00825F3F" w:rsidRPr="0037190F">
        <w:rPr>
          <w:lang w:val="fr-CA"/>
        </w:rPr>
        <w:t>)</w:t>
      </w:r>
      <w:r w:rsidRPr="0037190F">
        <w:rPr>
          <w:lang w:val="fr-CA"/>
        </w:rPr>
        <w:t xml:space="preserve"> (ONUDI et PNUE)</w:t>
      </w:r>
    </w:p>
    <w:p w14:paraId="3F97BB4C" w14:textId="77777777" w:rsidR="00825F3F" w:rsidRPr="00CF5797" w:rsidRDefault="00825F3F" w:rsidP="00825F3F">
      <w:pPr>
        <w:rPr>
          <w:u w:val="single"/>
          <w:lang w:val="fr-CA"/>
        </w:rPr>
      </w:pPr>
    </w:p>
    <w:p w14:paraId="3AF91DC4" w14:textId="4D8B230A" w:rsidR="00825F3F" w:rsidRPr="00CF5797" w:rsidRDefault="00874A48" w:rsidP="00825F3F">
      <w:pPr>
        <w:rPr>
          <w:b/>
          <w:lang w:val="fr-CA"/>
        </w:rPr>
      </w:pPr>
      <w:r w:rsidRPr="00CF5797">
        <w:rPr>
          <w:b/>
          <w:lang w:val="fr-CA"/>
        </w:rPr>
        <w:t>Contexte</w:t>
      </w:r>
    </w:p>
    <w:p w14:paraId="01F7AE44" w14:textId="77777777" w:rsidR="00825F3F" w:rsidRPr="00CF5797" w:rsidRDefault="00825F3F" w:rsidP="00825F3F">
      <w:pPr>
        <w:rPr>
          <w:lang w:val="fr-CA"/>
        </w:rPr>
      </w:pPr>
    </w:p>
    <w:p w14:paraId="15E513D0" w14:textId="7EB3E146" w:rsidR="00825F3F" w:rsidRPr="00CF5797" w:rsidRDefault="006960E3" w:rsidP="00825F3F">
      <w:pPr>
        <w:pStyle w:val="Heading1"/>
        <w:rPr>
          <w:lang w:val="fr-CA"/>
        </w:rPr>
      </w:pPr>
      <w:r w:rsidRPr="00CF5797">
        <w:rPr>
          <w:lang w:val="fr-CA"/>
        </w:rPr>
        <w:t>Le Secrétariat a reçu une demande du gouvernement de l’Équateur en novembre 2020, après la finalisation des documents pour le processus d’</w:t>
      </w:r>
      <w:r w:rsidR="00812E23" w:rsidRPr="00CF5797">
        <w:rPr>
          <w:lang w:val="fr-CA"/>
        </w:rPr>
        <w:t>approbation intersessi</w:t>
      </w:r>
      <w:r w:rsidRPr="00CF5797">
        <w:rPr>
          <w:lang w:val="fr-CA"/>
        </w:rPr>
        <w:t>ons pour la 86</w:t>
      </w:r>
      <w:r w:rsidRPr="00CF5797">
        <w:rPr>
          <w:vertAlign w:val="superscript"/>
          <w:lang w:val="fr-CA"/>
        </w:rPr>
        <w:t>e</w:t>
      </w:r>
      <w:r w:rsidRPr="00CF5797">
        <w:rPr>
          <w:lang w:val="fr-CA"/>
        </w:rPr>
        <w:t xml:space="preserve"> réunion (PAI-86), qui souhaitait changer d’agence d’exécution, du PNUE à l’ONUDI, pour la phase VII de son projet de renforcement des institutions, la cinquième tranche de la phase I du PGEH et toutes les activités d’</w:t>
      </w:r>
      <w:r w:rsidR="00812E23" w:rsidRPr="00CF5797">
        <w:rPr>
          <w:lang w:val="fr-CA"/>
        </w:rPr>
        <w:t>élimination de la phase II du PGEH dont la mise en œuvre devait être confiée au PNUE, à l’origine</w:t>
      </w:r>
      <w:r w:rsidR="00825F3F" w:rsidRPr="00CF5797">
        <w:rPr>
          <w:lang w:val="fr-CA"/>
        </w:rPr>
        <w:t>.</w:t>
      </w:r>
    </w:p>
    <w:p w14:paraId="1035D362" w14:textId="2DDD8B3F" w:rsidR="00825F3F" w:rsidRPr="00CF5797" w:rsidRDefault="00812E23" w:rsidP="00825F3F">
      <w:pPr>
        <w:rPr>
          <w:b/>
          <w:lang w:val="fr-CA"/>
        </w:rPr>
      </w:pPr>
      <w:r w:rsidRPr="00CF5797">
        <w:rPr>
          <w:b/>
          <w:lang w:val="fr-CA"/>
        </w:rPr>
        <w:t>Observations du Secrétariat</w:t>
      </w:r>
    </w:p>
    <w:p w14:paraId="7BFAFF49" w14:textId="77777777" w:rsidR="00825F3F" w:rsidRPr="00CF5797" w:rsidRDefault="00825F3F" w:rsidP="00825F3F">
      <w:pPr>
        <w:rPr>
          <w:b/>
          <w:lang w:val="fr-CA"/>
        </w:rPr>
      </w:pPr>
    </w:p>
    <w:p w14:paraId="6720858F" w14:textId="64778293" w:rsidR="00825F3F" w:rsidRPr="00CF5797" w:rsidRDefault="00812E23" w:rsidP="00825F3F">
      <w:pPr>
        <w:pStyle w:val="Heading1"/>
        <w:widowControl w:val="0"/>
        <w:rPr>
          <w:lang w:val="fr-CA"/>
        </w:rPr>
      </w:pPr>
      <w:r w:rsidRPr="00CF5797">
        <w:rPr>
          <w:lang w:val="fr-CA"/>
        </w:rPr>
        <w:t xml:space="preserve">Étant donné que la demande avait été </w:t>
      </w:r>
      <w:r w:rsidR="00ED5B08" w:rsidRPr="00CF5797">
        <w:rPr>
          <w:lang w:val="fr-CA"/>
        </w:rPr>
        <w:t>reç</w:t>
      </w:r>
      <w:r w:rsidRPr="00CF5797">
        <w:rPr>
          <w:lang w:val="fr-CA"/>
        </w:rPr>
        <w:t>ue trop tard pour examen au titre du PAI-86 (c.-à-d., apr</w:t>
      </w:r>
      <w:r w:rsidR="00ED5B08" w:rsidRPr="00CF5797">
        <w:rPr>
          <w:lang w:val="fr-CA"/>
        </w:rPr>
        <w:t>ès la finalisati</w:t>
      </w:r>
      <w:r w:rsidRPr="00CF5797">
        <w:rPr>
          <w:lang w:val="fr-CA"/>
        </w:rPr>
        <w:t>on des documents pour la 86</w:t>
      </w:r>
      <w:r w:rsidRPr="00CF5797">
        <w:rPr>
          <w:vertAlign w:val="superscript"/>
          <w:lang w:val="fr-CA"/>
        </w:rPr>
        <w:t>e</w:t>
      </w:r>
      <w:r w:rsidRPr="00CF5797">
        <w:rPr>
          <w:lang w:val="fr-CA"/>
        </w:rPr>
        <w:t xml:space="preserve"> réunion et au cours du PAI-86), le Secrétariat </w:t>
      </w:r>
      <w:r w:rsidR="00222397">
        <w:rPr>
          <w:lang w:val="fr-CA"/>
        </w:rPr>
        <w:t>a informé le gouvernement de l’É</w:t>
      </w:r>
      <w:r w:rsidRPr="00CF5797">
        <w:rPr>
          <w:lang w:val="fr-CA"/>
        </w:rPr>
        <w:t>quateur que la question serait présentée à la 87</w:t>
      </w:r>
      <w:r w:rsidRPr="00CF5797">
        <w:rPr>
          <w:vertAlign w:val="superscript"/>
          <w:lang w:val="fr-CA"/>
        </w:rPr>
        <w:t>e</w:t>
      </w:r>
      <w:r w:rsidRPr="00CF5797">
        <w:rPr>
          <w:lang w:val="fr-CA"/>
        </w:rPr>
        <w:t xml:space="preserve"> réunion. </w:t>
      </w:r>
      <w:r w:rsidR="00ED5B08" w:rsidRPr="00CF5797">
        <w:rPr>
          <w:lang w:val="fr-CA"/>
        </w:rPr>
        <w:t>Ainsi, la demande du gouvernement de l’Équateur est présentée au Comité exécutif pour examen</w:t>
      </w:r>
      <w:r w:rsidR="00825F3F" w:rsidRPr="00CF5797">
        <w:rPr>
          <w:lang w:val="fr-CA"/>
        </w:rPr>
        <w:t>.</w:t>
      </w:r>
    </w:p>
    <w:p w14:paraId="65B0AA78" w14:textId="46146933" w:rsidR="00825F3F" w:rsidRPr="00CF5797" w:rsidRDefault="00ED5B08" w:rsidP="00825F3F">
      <w:pPr>
        <w:pStyle w:val="Heading1"/>
        <w:widowControl w:val="0"/>
        <w:rPr>
          <w:lang w:val="fr-CA"/>
        </w:rPr>
      </w:pPr>
      <w:r w:rsidRPr="00CF5797">
        <w:rPr>
          <w:lang w:val="fr-CA"/>
        </w:rPr>
        <w:t xml:space="preserve">Le Secrétariat a pris note que la demande de </w:t>
      </w:r>
      <w:r w:rsidR="00222397">
        <w:rPr>
          <w:lang w:val="fr-CA"/>
        </w:rPr>
        <w:t>changement</w:t>
      </w:r>
      <w:r w:rsidRPr="00CF5797">
        <w:rPr>
          <w:lang w:val="fr-CA"/>
        </w:rPr>
        <w:t xml:space="preserve"> d’agence d’exécution du PNUE à l’ONUDI pour le projet de renforcement des institutions et </w:t>
      </w:r>
      <w:r w:rsidR="00222397">
        <w:rPr>
          <w:lang w:val="fr-CA"/>
        </w:rPr>
        <w:t>de retrait du</w:t>
      </w:r>
      <w:r w:rsidRPr="00CF5797">
        <w:rPr>
          <w:lang w:val="fr-CA"/>
        </w:rPr>
        <w:t xml:space="preserve"> PNUE en qualité d’agence de coopération du PGEH</w:t>
      </w:r>
      <w:r w:rsidR="00222397">
        <w:rPr>
          <w:lang w:val="fr-CA"/>
        </w:rPr>
        <w:t xml:space="preserve"> (phases I et II)</w:t>
      </w:r>
      <w:r w:rsidRPr="00CF5797">
        <w:rPr>
          <w:lang w:val="fr-CA"/>
        </w:rPr>
        <w:t xml:space="preserve"> a été présentée apr</w:t>
      </w:r>
      <w:r w:rsidR="00F30C0C" w:rsidRPr="00CF5797">
        <w:rPr>
          <w:lang w:val="fr-CA"/>
        </w:rPr>
        <w:t>è</w:t>
      </w:r>
      <w:r w:rsidRPr="00CF5797">
        <w:rPr>
          <w:lang w:val="fr-CA"/>
        </w:rPr>
        <w:t xml:space="preserve">s avoir consulté </w:t>
      </w:r>
      <w:r w:rsidR="00222397">
        <w:rPr>
          <w:lang w:val="fr-CA"/>
        </w:rPr>
        <w:t xml:space="preserve">les </w:t>
      </w:r>
      <w:r w:rsidR="00F30C0C" w:rsidRPr="00CF5797">
        <w:rPr>
          <w:lang w:val="fr-CA"/>
        </w:rPr>
        <w:t>parties concernées</w:t>
      </w:r>
      <w:r w:rsidR="00222397">
        <w:rPr>
          <w:lang w:val="fr-CA"/>
        </w:rPr>
        <w:t xml:space="preserve"> </w:t>
      </w:r>
      <w:r w:rsidR="00222397" w:rsidRPr="00CF5797">
        <w:rPr>
          <w:lang w:val="fr-CA"/>
        </w:rPr>
        <w:t>et reçu</w:t>
      </w:r>
      <w:r w:rsidR="00222397">
        <w:rPr>
          <w:lang w:val="fr-CA"/>
        </w:rPr>
        <w:t xml:space="preserve"> leur </w:t>
      </w:r>
      <w:r w:rsidR="00222397" w:rsidRPr="00CF5797">
        <w:rPr>
          <w:lang w:val="fr-CA"/>
        </w:rPr>
        <w:t>assentiment</w:t>
      </w:r>
      <w:r w:rsidR="00F30C0C" w:rsidRPr="00CF5797">
        <w:rPr>
          <w:lang w:val="fr-CA"/>
        </w:rPr>
        <w:t xml:space="preserve">. Le PNUE a confirmé que les sommes approuvées pour les projets concernés n’avaient pas été décaissées. </w:t>
      </w:r>
      <w:r w:rsidRPr="00CF5797">
        <w:rPr>
          <w:lang w:val="fr-CA"/>
        </w:rPr>
        <w:t>Ces sommes seront restituées au Fonds multilatéral afin que leu</w:t>
      </w:r>
      <w:r w:rsidR="00F30C0C" w:rsidRPr="00CF5797">
        <w:rPr>
          <w:lang w:val="fr-CA"/>
        </w:rPr>
        <w:t>r</w:t>
      </w:r>
      <w:r w:rsidRPr="00CF5797">
        <w:rPr>
          <w:lang w:val="fr-CA"/>
        </w:rPr>
        <w:t xml:space="preserve"> transfert à l’ONUDI soit approuvé. De plus, les sommes approuvées en princip</w:t>
      </w:r>
      <w:r w:rsidR="00F30C0C" w:rsidRPr="00CF5797">
        <w:rPr>
          <w:lang w:val="fr-CA"/>
        </w:rPr>
        <w:t>e pour les futu</w:t>
      </w:r>
      <w:r w:rsidRPr="00CF5797">
        <w:rPr>
          <w:lang w:val="fr-CA"/>
        </w:rPr>
        <w:t>res tranches de la ph</w:t>
      </w:r>
      <w:r w:rsidR="00F30C0C" w:rsidRPr="00CF5797">
        <w:rPr>
          <w:lang w:val="fr-CA"/>
        </w:rPr>
        <w:t>a</w:t>
      </w:r>
      <w:r w:rsidR="00222397">
        <w:rPr>
          <w:lang w:val="fr-CA"/>
        </w:rPr>
        <w:t>se II</w:t>
      </w:r>
      <w:r w:rsidRPr="00CF5797">
        <w:rPr>
          <w:lang w:val="fr-CA"/>
        </w:rPr>
        <w:t xml:space="preserve"> du PGEH seront transférées du PNUE à l’</w:t>
      </w:r>
      <w:r w:rsidR="00720ABF" w:rsidRPr="00CF5797">
        <w:rPr>
          <w:lang w:val="fr-CA"/>
        </w:rPr>
        <w:t>ONUD</w:t>
      </w:r>
      <w:r w:rsidR="00F30C0C" w:rsidRPr="00CF5797">
        <w:rPr>
          <w:lang w:val="fr-CA"/>
        </w:rPr>
        <w:t xml:space="preserve">I au titre de l’Accord entre le gouvernement de l’Équateur et le Comité exécutif. Les sommes approuvées que le PNUE doit restituer et les sommes approuvées en principe à transférer </w:t>
      </w:r>
      <w:r w:rsidR="00720ABF" w:rsidRPr="00CF5797">
        <w:rPr>
          <w:lang w:val="fr-CA"/>
        </w:rPr>
        <w:t>à l</w:t>
      </w:r>
      <w:r w:rsidR="00F30C0C" w:rsidRPr="00CF5797">
        <w:rPr>
          <w:lang w:val="fr-CA"/>
        </w:rPr>
        <w:t>’ONUDI sont indiquées dans le tableau 14</w:t>
      </w:r>
      <w:r w:rsidR="00825F3F" w:rsidRPr="00CF5797">
        <w:rPr>
          <w:lang w:val="fr-CA"/>
        </w:rPr>
        <w:t>.</w:t>
      </w:r>
    </w:p>
    <w:p w14:paraId="4588B089" w14:textId="0793C70C" w:rsidR="00825F3F" w:rsidRPr="00CF5797" w:rsidRDefault="00825F3F" w:rsidP="008376CB">
      <w:pPr>
        <w:pStyle w:val="Heading1"/>
        <w:keepNext/>
        <w:keepLines/>
        <w:widowControl w:val="0"/>
        <w:numPr>
          <w:ilvl w:val="0"/>
          <w:numId w:val="0"/>
        </w:numPr>
        <w:spacing w:after="0"/>
        <w:rPr>
          <w:b/>
          <w:lang w:val="fr-CA"/>
        </w:rPr>
      </w:pPr>
      <w:r w:rsidRPr="00CF5797">
        <w:rPr>
          <w:b/>
          <w:lang w:val="fr-CA"/>
        </w:rPr>
        <w:lastRenderedPageBreak/>
        <w:t>Table</w:t>
      </w:r>
      <w:r w:rsidR="00635FED" w:rsidRPr="00CF5797">
        <w:rPr>
          <w:b/>
          <w:lang w:val="fr-CA"/>
        </w:rPr>
        <w:t>au</w:t>
      </w:r>
      <w:r w:rsidRPr="00CF5797">
        <w:rPr>
          <w:b/>
          <w:lang w:val="fr-CA"/>
        </w:rPr>
        <w:t xml:space="preserve"> 14. </w:t>
      </w:r>
      <w:r w:rsidR="00635FED" w:rsidRPr="00CF5797">
        <w:rPr>
          <w:b/>
          <w:lang w:val="fr-CA"/>
        </w:rPr>
        <w:t>Solde des fonds à restituer par le PNUD à la 87</w:t>
      </w:r>
      <w:r w:rsidR="00635FED" w:rsidRPr="00CF5797">
        <w:rPr>
          <w:b/>
          <w:vertAlign w:val="superscript"/>
          <w:lang w:val="fr-CA"/>
        </w:rPr>
        <w:t>e</w:t>
      </w:r>
      <w:r w:rsidR="00635FED" w:rsidRPr="00CF5797">
        <w:rPr>
          <w:b/>
          <w:lang w:val="fr-CA"/>
        </w:rPr>
        <w:t xml:space="preserve"> réunion, pour des projets en Équateur</w:t>
      </w:r>
    </w:p>
    <w:tbl>
      <w:tblPr>
        <w:tblStyle w:val="TableGrid"/>
        <w:tblW w:w="9625" w:type="dxa"/>
        <w:tblLayout w:type="fixed"/>
        <w:tblLook w:val="04A0" w:firstRow="1" w:lastRow="0" w:firstColumn="1" w:lastColumn="0" w:noHBand="0" w:noVBand="1"/>
      </w:tblPr>
      <w:tblGrid>
        <w:gridCol w:w="3505"/>
        <w:gridCol w:w="1170"/>
        <w:gridCol w:w="990"/>
        <w:gridCol w:w="900"/>
        <w:gridCol w:w="1170"/>
        <w:gridCol w:w="990"/>
        <w:gridCol w:w="900"/>
      </w:tblGrid>
      <w:tr w:rsidR="00825F3F" w:rsidRPr="0049199D" w14:paraId="139F6DEF" w14:textId="77777777" w:rsidTr="0035476B">
        <w:trPr>
          <w:trHeight w:val="116"/>
        </w:trPr>
        <w:tc>
          <w:tcPr>
            <w:tcW w:w="3505" w:type="dxa"/>
          </w:tcPr>
          <w:p w14:paraId="27E943AC" w14:textId="77777777" w:rsidR="00825F3F" w:rsidRPr="00CF5797" w:rsidRDefault="00825F3F" w:rsidP="008376CB">
            <w:pPr>
              <w:pStyle w:val="Heading1"/>
              <w:keepNext/>
              <w:keepLines/>
              <w:widowControl w:val="0"/>
              <w:numPr>
                <w:ilvl w:val="0"/>
                <w:numId w:val="0"/>
              </w:numPr>
              <w:spacing w:after="0"/>
              <w:outlineLvl w:val="0"/>
              <w:rPr>
                <w:b/>
                <w:sz w:val="20"/>
                <w:szCs w:val="20"/>
                <w:lang w:val="fr-CA"/>
              </w:rPr>
            </w:pPr>
          </w:p>
        </w:tc>
        <w:tc>
          <w:tcPr>
            <w:tcW w:w="3060" w:type="dxa"/>
            <w:gridSpan w:val="3"/>
          </w:tcPr>
          <w:p w14:paraId="3AD5F766" w14:textId="7DE9C89D" w:rsidR="00825F3F"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Sommes à restituer par le PNUE ($US)</w:t>
            </w:r>
          </w:p>
        </w:tc>
        <w:tc>
          <w:tcPr>
            <w:tcW w:w="3060" w:type="dxa"/>
            <w:gridSpan w:val="3"/>
          </w:tcPr>
          <w:p w14:paraId="3D80DCB2" w14:textId="35F70A70" w:rsidR="00825F3F"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Sommes à approuver pour l’ONUDI (US)</w:t>
            </w:r>
          </w:p>
        </w:tc>
      </w:tr>
      <w:tr w:rsidR="00635FED" w:rsidRPr="00CF5797" w14:paraId="74433E08" w14:textId="77777777" w:rsidTr="0035476B">
        <w:trPr>
          <w:trHeight w:val="116"/>
        </w:trPr>
        <w:tc>
          <w:tcPr>
            <w:tcW w:w="3505" w:type="dxa"/>
          </w:tcPr>
          <w:p w14:paraId="6649386C" w14:textId="61584ABE" w:rsidR="00635FED" w:rsidRPr="00CF5797" w:rsidRDefault="00635FED" w:rsidP="008376CB">
            <w:pPr>
              <w:pStyle w:val="Heading1"/>
              <w:keepNext/>
              <w:keepLines/>
              <w:widowControl w:val="0"/>
              <w:numPr>
                <w:ilvl w:val="0"/>
                <w:numId w:val="0"/>
              </w:numPr>
              <w:spacing w:after="0"/>
              <w:outlineLvl w:val="0"/>
              <w:rPr>
                <w:b/>
                <w:sz w:val="20"/>
                <w:szCs w:val="20"/>
                <w:lang w:val="fr-CA"/>
              </w:rPr>
            </w:pPr>
            <w:r w:rsidRPr="00CF5797">
              <w:rPr>
                <w:b/>
                <w:sz w:val="20"/>
                <w:szCs w:val="20"/>
                <w:lang w:val="fr-CA"/>
              </w:rPr>
              <w:t>Projet (code)</w:t>
            </w:r>
          </w:p>
        </w:tc>
        <w:tc>
          <w:tcPr>
            <w:tcW w:w="1170" w:type="dxa"/>
          </w:tcPr>
          <w:p w14:paraId="220675D5" w14:textId="79FF238F"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Approuvée</w:t>
            </w:r>
          </w:p>
        </w:tc>
        <w:tc>
          <w:tcPr>
            <w:tcW w:w="990" w:type="dxa"/>
          </w:tcPr>
          <w:p w14:paraId="6CE323C0" w14:textId="7C1BE77D"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 xml:space="preserve">Coûts d’appui à l’agence </w:t>
            </w:r>
          </w:p>
        </w:tc>
        <w:tc>
          <w:tcPr>
            <w:tcW w:w="900" w:type="dxa"/>
          </w:tcPr>
          <w:p w14:paraId="60DF5F81" w14:textId="77777777"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Total</w:t>
            </w:r>
          </w:p>
        </w:tc>
        <w:tc>
          <w:tcPr>
            <w:tcW w:w="1170" w:type="dxa"/>
          </w:tcPr>
          <w:p w14:paraId="745FC149" w14:textId="78509977"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Approuvée</w:t>
            </w:r>
          </w:p>
        </w:tc>
        <w:tc>
          <w:tcPr>
            <w:tcW w:w="990" w:type="dxa"/>
          </w:tcPr>
          <w:p w14:paraId="1886FD2A" w14:textId="29C9E373"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 xml:space="preserve">Coûts d’appui à l’agence </w:t>
            </w:r>
          </w:p>
        </w:tc>
        <w:tc>
          <w:tcPr>
            <w:tcW w:w="900" w:type="dxa"/>
          </w:tcPr>
          <w:p w14:paraId="0DAB009D" w14:textId="23928EDC" w:rsidR="00635FED" w:rsidRPr="00CF5797" w:rsidRDefault="00635FED" w:rsidP="008376CB">
            <w:pPr>
              <w:pStyle w:val="Heading1"/>
              <w:keepNext/>
              <w:keepLines/>
              <w:widowControl w:val="0"/>
              <w:numPr>
                <w:ilvl w:val="0"/>
                <w:numId w:val="0"/>
              </w:numPr>
              <w:spacing w:after="0"/>
              <w:jc w:val="center"/>
              <w:outlineLvl w:val="0"/>
              <w:rPr>
                <w:b/>
                <w:sz w:val="20"/>
                <w:szCs w:val="20"/>
                <w:lang w:val="fr-CA"/>
              </w:rPr>
            </w:pPr>
            <w:r w:rsidRPr="00CF5797">
              <w:rPr>
                <w:b/>
                <w:sz w:val="20"/>
                <w:szCs w:val="20"/>
                <w:lang w:val="fr-CA"/>
              </w:rPr>
              <w:t>Total</w:t>
            </w:r>
          </w:p>
        </w:tc>
      </w:tr>
      <w:tr w:rsidR="00825F3F" w:rsidRPr="00CF5797" w14:paraId="6E5F0976" w14:textId="77777777" w:rsidTr="0035476B">
        <w:tc>
          <w:tcPr>
            <w:tcW w:w="3505" w:type="dxa"/>
          </w:tcPr>
          <w:p w14:paraId="52AF9F2F" w14:textId="083C6A97" w:rsidR="00825F3F" w:rsidRPr="00CF5797" w:rsidRDefault="000934E6"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Renforcement des institutions, phase VII</w:t>
            </w:r>
            <w:r w:rsidR="00825F3F" w:rsidRPr="00CF5797">
              <w:rPr>
                <w:sz w:val="20"/>
                <w:szCs w:val="20"/>
                <w:lang w:val="fr-CA"/>
              </w:rPr>
              <w:t xml:space="preserve"> (ECU/SEV/83/INS/71)</w:t>
            </w:r>
          </w:p>
        </w:tc>
        <w:tc>
          <w:tcPr>
            <w:tcW w:w="1170" w:type="dxa"/>
          </w:tcPr>
          <w:p w14:paraId="367AA5AB" w14:textId="535A8BD3"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226</w:t>
            </w:r>
            <w:r w:rsidR="0035476B" w:rsidRPr="00CF5797">
              <w:rPr>
                <w:sz w:val="20"/>
                <w:szCs w:val="20"/>
                <w:lang w:val="fr-CA"/>
              </w:rPr>
              <w:t xml:space="preserve"> </w:t>
            </w:r>
            <w:r w:rsidRPr="00CF5797">
              <w:rPr>
                <w:sz w:val="20"/>
                <w:szCs w:val="20"/>
                <w:lang w:val="fr-CA"/>
              </w:rPr>
              <w:t>305</w:t>
            </w:r>
          </w:p>
        </w:tc>
        <w:tc>
          <w:tcPr>
            <w:tcW w:w="990" w:type="dxa"/>
          </w:tcPr>
          <w:p w14:paraId="1A325190" w14:textId="77777777"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0</w:t>
            </w:r>
          </w:p>
        </w:tc>
        <w:tc>
          <w:tcPr>
            <w:tcW w:w="900" w:type="dxa"/>
          </w:tcPr>
          <w:p w14:paraId="176FBCE2" w14:textId="14A504C0"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226</w:t>
            </w:r>
            <w:r w:rsidR="0035476B" w:rsidRPr="00CF5797">
              <w:rPr>
                <w:sz w:val="20"/>
                <w:szCs w:val="20"/>
                <w:lang w:val="fr-CA"/>
              </w:rPr>
              <w:t xml:space="preserve"> </w:t>
            </w:r>
            <w:r w:rsidRPr="00CF5797">
              <w:rPr>
                <w:sz w:val="20"/>
                <w:szCs w:val="20"/>
                <w:lang w:val="fr-CA"/>
              </w:rPr>
              <w:t>305</w:t>
            </w:r>
          </w:p>
        </w:tc>
        <w:tc>
          <w:tcPr>
            <w:tcW w:w="1170" w:type="dxa"/>
          </w:tcPr>
          <w:p w14:paraId="34ADED17" w14:textId="263C0045"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226</w:t>
            </w:r>
            <w:r w:rsidR="0035476B" w:rsidRPr="00CF5797">
              <w:rPr>
                <w:sz w:val="20"/>
                <w:szCs w:val="20"/>
                <w:lang w:val="fr-CA"/>
              </w:rPr>
              <w:t xml:space="preserve"> </w:t>
            </w:r>
            <w:r w:rsidRPr="00CF5797">
              <w:rPr>
                <w:sz w:val="20"/>
                <w:szCs w:val="20"/>
                <w:lang w:val="fr-CA"/>
              </w:rPr>
              <w:t>305</w:t>
            </w:r>
          </w:p>
        </w:tc>
        <w:tc>
          <w:tcPr>
            <w:tcW w:w="990" w:type="dxa"/>
          </w:tcPr>
          <w:p w14:paraId="0F6D4DAC" w14:textId="336536A3"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15</w:t>
            </w:r>
            <w:r w:rsidR="0035476B" w:rsidRPr="00CF5797">
              <w:rPr>
                <w:sz w:val="20"/>
                <w:szCs w:val="20"/>
                <w:lang w:val="fr-CA"/>
              </w:rPr>
              <w:t xml:space="preserve"> </w:t>
            </w:r>
            <w:r w:rsidRPr="00CF5797">
              <w:rPr>
                <w:sz w:val="20"/>
                <w:szCs w:val="20"/>
                <w:lang w:val="fr-CA"/>
              </w:rPr>
              <w:t>841</w:t>
            </w:r>
          </w:p>
        </w:tc>
        <w:tc>
          <w:tcPr>
            <w:tcW w:w="900" w:type="dxa"/>
          </w:tcPr>
          <w:p w14:paraId="6F496971" w14:textId="5C9605F9"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242</w:t>
            </w:r>
            <w:r w:rsidR="0035476B" w:rsidRPr="00CF5797">
              <w:rPr>
                <w:sz w:val="20"/>
                <w:szCs w:val="20"/>
                <w:lang w:val="fr-CA"/>
              </w:rPr>
              <w:t xml:space="preserve"> </w:t>
            </w:r>
            <w:r w:rsidRPr="00CF5797">
              <w:rPr>
                <w:sz w:val="20"/>
                <w:szCs w:val="20"/>
                <w:lang w:val="fr-CA"/>
              </w:rPr>
              <w:t>146</w:t>
            </w:r>
          </w:p>
        </w:tc>
      </w:tr>
      <w:tr w:rsidR="00825F3F" w:rsidRPr="00CF5797" w14:paraId="352CC891" w14:textId="77777777" w:rsidTr="0035476B">
        <w:tc>
          <w:tcPr>
            <w:tcW w:w="3505" w:type="dxa"/>
          </w:tcPr>
          <w:p w14:paraId="4EFAE5FB" w14:textId="5BC02AFF" w:rsidR="00825F3F" w:rsidRPr="00CF5797" w:rsidRDefault="000934E6"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Phase I du PGEH : cinquième tranche</w:t>
            </w:r>
          </w:p>
          <w:p w14:paraId="0A55C09A" w14:textId="77777777" w:rsidR="00825F3F" w:rsidRPr="00CF5797" w:rsidRDefault="00825F3F"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(ECU/PHA/85/TAS/73)</w:t>
            </w:r>
          </w:p>
        </w:tc>
        <w:tc>
          <w:tcPr>
            <w:tcW w:w="1170" w:type="dxa"/>
          </w:tcPr>
          <w:p w14:paraId="16CA956F" w14:textId="1FC2E4DB"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10</w:t>
            </w:r>
            <w:r w:rsidR="0035476B" w:rsidRPr="00CF5797">
              <w:rPr>
                <w:sz w:val="20"/>
                <w:szCs w:val="20"/>
                <w:lang w:val="fr-CA"/>
              </w:rPr>
              <w:t xml:space="preserve"> </w:t>
            </w:r>
            <w:r w:rsidRPr="00CF5797">
              <w:rPr>
                <w:sz w:val="20"/>
                <w:szCs w:val="20"/>
                <w:lang w:val="fr-CA"/>
              </w:rPr>
              <w:t>000</w:t>
            </w:r>
          </w:p>
        </w:tc>
        <w:tc>
          <w:tcPr>
            <w:tcW w:w="990" w:type="dxa"/>
          </w:tcPr>
          <w:p w14:paraId="74D393B8" w14:textId="2FC4BC5C"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w:t>
            </w:r>
            <w:r w:rsidR="0035476B" w:rsidRPr="00CF5797">
              <w:rPr>
                <w:sz w:val="20"/>
                <w:szCs w:val="20"/>
                <w:lang w:val="fr-CA"/>
              </w:rPr>
              <w:t xml:space="preserve"> </w:t>
            </w:r>
            <w:r w:rsidRPr="00CF5797">
              <w:rPr>
                <w:sz w:val="20"/>
                <w:szCs w:val="20"/>
                <w:lang w:val="fr-CA"/>
              </w:rPr>
              <w:t>300</w:t>
            </w:r>
          </w:p>
        </w:tc>
        <w:tc>
          <w:tcPr>
            <w:tcW w:w="900" w:type="dxa"/>
          </w:tcPr>
          <w:p w14:paraId="73D6F639" w14:textId="6CBDE90F"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11</w:t>
            </w:r>
            <w:r w:rsidR="0035476B" w:rsidRPr="00CF5797">
              <w:rPr>
                <w:sz w:val="20"/>
                <w:szCs w:val="20"/>
                <w:lang w:val="fr-CA"/>
              </w:rPr>
              <w:t xml:space="preserve"> </w:t>
            </w:r>
            <w:r w:rsidRPr="00CF5797">
              <w:rPr>
                <w:sz w:val="20"/>
                <w:szCs w:val="20"/>
                <w:lang w:val="fr-CA"/>
              </w:rPr>
              <w:t>300</w:t>
            </w:r>
          </w:p>
        </w:tc>
        <w:tc>
          <w:tcPr>
            <w:tcW w:w="1170" w:type="dxa"/>
          </w:tcPr>
          <w:p w14:paraId="18B0D6A1" w14:textId="206FA950"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10</w:t>
            </w:r>
            <w:r w:rsidR="0035476B" w:rsidRPr="00CF5797">
              <w:rPr>
                <w:sz w:val="20"/>
                <w:szCs w:val="20"/>
                <w:lang w:val="fr-CA"/>
              </w:rPr>
              <w:t xml:space="preserve"> </w:t>
            </w:r>
            <w:r w:rsidRPr="00CF5797">
              <w:rPr>
                <w:sz w:val="20"/>
                <w:szCs w:val="20"/>
                <w:lang w:val="fr-CA"/>
              </w:rPr>
              <w:t>000</w:t>
            </w:r>
          </w:p>
        </w:tc>
        <w:tc>
          <w:tcPr>
            <w:tcW w:w="990" w:type="dxa"/>
          </w:tcPr>
          <w:p w14:paraId="5326A3F2" w14:textId="77777777"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700</w:t>
            </w:r>
          </w:p>
        </w:tc>
        <w:tc>
          <w:tcPr>
            <w:tcW w:w="900" w:type="dxa"/>
          </w:tcPr>
          <w:p w14:paraId="0C6C635E" w14:textId="1F11199F"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10</w:t>
            </w:r>
            <w:r w:rsidR="0035476B" w:rsidRPr="00CF5797">
              <w:rPr>
                <w:sz w:val="20"/>
                <w:szCs w:val="20"/>
                <w:lang w:val="fr-CA"/>
              </w:rPr>
              <w:t xml:space="preserve"> </w:t>
            </w:r>
            <w:r w:rsidRPr="00CF5797">
              <w:rPr>
                <w:sz w:val="20"/>
                <w:szCs w:val="20"/>
                <w:lang w:val="fr-CA"/>
              </w:rPr>
              <w:t>700</w:t>
            </w:r>
          </w:p>
        </w:tc>
      </w:tr>
      <w:tr w:rsidR="00825F3F" w:rsidRPr="00CF5797" w14:paraId="75DAE4B6" w14:textId="77777777" w:rsidTr="0035476B">
        <w:tc>
          <w:tcPr>
            <w:tcW w:w="3505" w:type="dxa"/>
          </w:tcPr>
          <w:p w14:paraId="12173E17" w14:textId="7CEFCC17" w:rsidR="00825F3F" w:rsidRPr="00CF5797" w:rsidRDefault="000934E6"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Phase II du PGEH : première tranche</w:t>
            </w:r>
          </w:p>
          <w:p w14:paraId="20B5C2E9" w14:textId="77777777" w:rsidR="00825F3F" w:rsidRPr="00CF5797" w:rsidRDefault="00825F3F"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(ECU/TAS/86/TAS/74)</w:t>
            </w:r>
          </w:p>
        </w:tc>
        <w:tc>
          <w:tcPr>
            <w:tcW w:w="1170" w:type="dxa"/>
          </w:tcPr>
          <w:p w14:paraId="78033437" w14:textId="10D0449C"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24</w:t>
            </w:r>
            <w:r w:rsidR="0035476B" w:rsidRPr="00CF5797">
              <w:rPr>
                <w:sz w:val="20"/>
                <w:szCs w:val="20"/>
                <w:lang w:val="fr-CA"/>
              </w:rPr>
              <w:t xml:space="preserve"> </w:t>
            </w:r>
            <w:r w:rsidRPr="00CF5797">
              <w:rPr>
                <w:sz w:val="20"/>
                <w:szCs w:val="20"/>
                <w:lang w:val="fr-CA"/>
              </w:rPr>
              <w:t>000</w:t>
            </w:r>
          </w:p>
        </w:tc>
        <w:tc>
          <w:tcPr>
            <w:tcW w:w="990" w:type="dxa"/>
          </w:tcPr>
          <w:p w14:paraId="2DF71E70" w14:textId="0235BE9F"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3</w:t>
            </w:r>
            <w:r w:rsidR="0035476B" w:rsidRPr="00CF5797">
              <w:rPr>
                <w:sz w:val="20"/>
                <w:szCs w:val="20"/>
                <w:lang w:val="fr-CA"/>
              </w:rPr>
              <w:t xml:space="preserve"> </w:t>
            </w:r>
            <w:r w:rsidRPr="00CF5797">
              <w:rPr>
                <w:sz w:val="20"/>
                <w:szCs w:val="20"/>
                <w:lang w:val="fr-CA"/>
              </w:rPr>
              <w:t xml:space="preserve">120 </w:t>
            </w:r>
          </w:p>
        </w:tc>
        <w:tc>
          <w:tcPr>
            <w:tcW w:w="900" w:type="dxa"/>
          </w:tcPr>
          <w:p w14:paraId="7C577D49" w14:textId="0E367657"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27</w:t>
            </w:r>
            <w:r w:rsidR="0035476B" w:rsidRPr="00CF5797">
              <w:rPr>
                <w:sz w:val="20"/>
                <w:szCs w:val="20"/>
                <w:lang w:val="fr-CA"/>
              </w:rPr>
              <w:t xml:space="preserve"> </w:t>
            </w:r>
            <w:r w:rsidRPr="00CF5797">
              <w:rPr>
                <w:sz w:val="20"/>
                <w:szCs w:val="20"/>
                <w:lang w:val="fr-CA"/>
              </w:rPr>
              <w:t>120</w:t>
            </w:r>
          </w:p>
        </w:tc>
        <w:tc>
          <w:tcPr>
            <w:tcW w:w="1170" w:type="dxa"/>
          </w:tcPr>
          <w:p w14:paraId="436E481D" w14:textId="2C4CF254"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24</w:t>
            </w:r>
            <w:r w:rsidR="0035476B" w:rsidRPr="00CF5797">
              <w:rPr>
                <w:sz w:val="20"/>
                <w:szCs w:val="20"/>
                <w:lang w:val="fr-CA"/>
              </w:rPr>
              <w:t xml:space="preserve"> </w:t>
            </w:r>
            <w:r w:rsidRPr="00CF5797">
              <w:rPr>
                <w:sz w:val="20"/>
                <w:szCs w:val="20"/>
                <w:lang w:val="fr-CA"/>
              </w:rPr>
              <w:t>000</w:t>
            </w:r>
          </w:p>
        </w:tc>
        <w:tc>
          <w:tcPr>
            <w:tcW w:w="990" w:type="dxa"/>
          </w:tcPr>
          <w:p w14:paraId="78D15E44" w14:textId="5EEC8827"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1</w:t>
            </w:r>
            <w:r w:rsidR="0035476B" w:rsidRPr="00CF5797">
              <w:rPr>
                <w:sz w:val="20"/>
                <w:szCs w:val="20"/>
                <w:lang w:val="fr-CA"/>
              </w:rPr>
              <w:t xml:space="preserve"> </w:t>
            </w:r>
            <w:r w:rsidRPr="00CF5797">
              <w:rPr>
                <w:sz w:val="20"/>
                <w:szCs w:val="20"/>
                <w:lang w:val="fr-CA"/>
              </w:rPr>
              <w:t>680</w:t>
            </w:r>
          </w:p>
        </w:tc>
        <w:tc>
          <w:tcPr>
            <w:tcW w:w="900" w:type="dxa"/>
          </w:tcPr>
          <w:p w14:paraId="131A5FD3" w14:textId="585CA525"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25</w:t>
            </w:r>
            <w:r w:rsidR="0035476B" w:rsidRPr="00CF5797">
              <w:rPr>
                <w:sz w:val="20"/>
                <w:szCs w:val="20"/>
                <w:lang w:val="fr-CA"/>
              </w:rPr>
              <w:t xml:space="preserve"> </w:t>
            </w:r>
            <w:r w:rsidRPr="00CF5797">
              <w:rPr>
                <w:sz w:val="20"/>
                <w:szCs w:val="20"/>
                <w:lang w:val="fr-CA"/>
              </w:rPr>
              <w:t>680</w:t>
            </w:r>
          </w:p>
        </w:tc>
      </w:tr>
      <w:tr w:rsidR="00825F3F" w:rsidRPr="00CF5797" w14:paraId="7B2E9687" w14:textId="77777777" w:rsidTr="0035476B">
        <w:tc>
          <w:tcPr>
            <w:tcW w:w="3505" w:type="dxa"/>
          </w:tcPr>
          <w:p w14:paraId="698509C2" w14:textId="007FE7DB" w:rsidR="00825F3F" w:rsidRPr="00CF5797" w:rsidRDefault="000934E6" w:rsidP="008376CB">
            <w:pPr>
              <w:pStyle w:val="Heading1"/>
              <w:keepNext/>
              <w:keepLines/>
              <w:widowControl w:val="0"/>
              <w:numPr>
                <w:ilvl w:val="0"/>
                <w:numId w:val="0"/>
              </w:numPr>
              <w:spacing w:after="0"/>
              <w:outlineLvl w:val="0"/>
              <w:rPr>
                <w:sz w:val="20"/>
                <w:szCs w:val="20"/>
                <w:lang w:val="fr-CA"/>
              </w:rPr>
            </w:pPr>
            <w:r w:rsidRPr="00CF5797">
              <w:rPr>
                <w:sz w:val="20"/>
                <w:szCs w:val="20"/>
                <w:lang w:val="fr-CA"/>
              </w:rPr>
              <w:t>Sommes approuvées en principe pour les deuxième, troisième et quatrième tranches de la phase II du PGEH</w:t>
            </w:r>
          </w:p>
        </w:tc>
        <w:tc>
          <w:tcPr>
            <w:tcW w:w="1170" w:type="dxa"/>
          </w:tcPr>
          <w:p w14:paraId="2FD44A31" w14:textId="11048F48"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*71</w:t>
            </w:r>
            <w:r w:rsidR="0035476B" w:rsidRPr="00CF5797">
              <w:rPr>
                <w:sz w:val="20"/>
                <w:szCs w:val="20"/>
                <w:lang w:val="fr-CA"/>
              </w:rPr>
              <w:t xml:space="preserve"> </w:t>
            </w:r>
            <w:r w:rsidRPr="00CF5797">
              <w:rPr>
                <w:sz w:val="20"/>
                <w:szCs w:val="20"/>
                <w:lang w:val="fr-CA"/>
              </w:rPr>
              <w:t>000</w:t>
            </w:r>
          </w:p>
        </w:tc>
        <w:tc>
          <w:tcPr>
            <w:tcW w:w="990" w:type="dxa"/>
          </w:tcPr>
          <w:p w14:paraId="7E2F1728" w14:textId="5E1D1D96"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*9</w:t>
            </w:r>
            <w:r w:rsidR="0035476B" w:rsidRPr="00CF5797">
              <w:rPr>
                <w:sz w:val="20"/>
                <w:szCs w:val="20"/>
                <w:lang w:val="fr-CA"/>
              </w:rPr>
              <w:t xml:space="preserve"> </w:t>
            </w:r>
            <w:r w:rsidRPr="00CF5797">
              <w:rPr>
                <w:sz w:val="20"/>
                <w:szCs w:val="20"/>
                <w:lang w:val="fr-CA"/>
              </w:rPr>
              <w:t>230</w:t>
            </w:r>
          </w:p>
        </w:tc>
        <w:tc>
          <w:tcPr>
            <w:tcW w:w="900" w:type="dxa"/>
          </w:tcPr>
          <w:p w14:paraId="6F98662B" w14:textId="3D8EC1D3"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80</w:t>
            </w:r>
            <w:r w:rsidR="0035476B" w:rsidRPr="00CF5797">
              <w:rPr>
                <w:sz w:val="20"/>
                <w:szCs w:val="20"/>
                <w:lang w:val="fr-CA"/>
              </w:rPr>
              <w:t xml:space="preserve"> </w:t>
            </w:r>
            <w:r w:rsidRPr="00CF5797">
              <w:rPr>
                <w:sz w:val="20"/>
                <w:szCs w:val="20"/>
                <w:lang w:val="fr-CA"/>
              </w:rPr>
              <w:t>230</w:t>
            </w:r>
          </w:p>
        </w:tc>
        <w:tc>
          <w:tcPr>
            <w:tcW w:w="1170" w:type="dxa"/>
          </w:tcPr>
          <w:p w14:paraId="44947D93" w14:textId="4C539853"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71</w:t>
            </w:r>
            <w:r w:rsidR="0035476B" w:rsidRPr="00CF5797">
              <w:rPr>
                <w:sz w:val="20"/>
                <w:szCs w:val="20"/>
                <w:lang w:val="fr-CA"/>
              </w:rPr>
              <w:t xml:space="preserve"> </w:t>
            </w:r>
            <w:r w:rsidRPr="00CF5797">
              <w:rPr>
                <w:sz w:val="20"/>
                <w:szCs w:val="20"/>
                <w:lang w:val="fr-CA"/>
              </w:rPr>
              <w:t>000</w:t>
            </w:r>
          </w:p>
        </w:tc>
        <w:tc>
          <w:tcPr>
            <w:tcW w:w="990" w:type="dxa"/>
          </w:tcPr>
          <w:p w14:paraId="0FA25748" w14:textId="424930FA"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4</w:t>
            </w:r>
            <w:r w:rsidR="0035476B" w:rsidRPr="00CF5797">
              <w:rPr>
                <w:sz w:val="20"/>
                <w:szCs w:val="20"/>
                <w:lang w:val="fr-CA"/>
              </w:rPr>
              <w:t xml:space="preserve"> </w:t>
            </w:r>
            <w:r w:rsidRPr="00CF5797">
              <w:rPr>
                <w:sz w:val="20"/>
                <w:szCs w:val="20"/>
                <w:lang w:val="fr-CA"/>
              </w:rPr>
              <w:t>970</w:t>
            </w:r>
          </w:p>
        </w:tc>
        <w:tc>
          <w:tcPr>
            <w:tcW w:w="900" w:type="dxa"/>
          </w:tcPr>
          <w:p w14:paraId="61FB27B1" w14:textId="5A6D0B75" w:rsidR="00825F3F" w:rsidRPr="00CF5797" w:rsidRDefault="00825F3F" w:rsidP="008376CB">
            <w:pPr>
              <w:pStyle w:val="Heading1"/>
              <w:keepNext/>
              <w:keepLines/>
              <w:widowControl w:val="0"/>
              <w:numPr>
                <w:ilvl w:val="0"/>
                <w:numId w:val="0"/>
              </w:numPr>
              <w:spacing w:after="0"/>
              <w:jc w:val="right"/>
              <w:outlineLvl w:val="0"/>
              <w:rPr>
                <w:sz w:val="20"/>
                <w:szCs w:val="20"/>
                <w:lang w:val="fr-CA"/>
              </w:rPr>
            </w:pPr>
            <w:r w:rsidRPr="00CF5797">
              <w:rPr>
                <w:sz w:val="20"/>
                <w:szCs w:val="20"/>
                <w:lang w:val="fr-CA"/>
              </w:rPr>
              <w:t>75</w:t>
            </w:r>
            <w:r w:rsidR="0035476B" w:rsidRPr="00CF5797">
              <w:rPr>
                <w:sz w:val="20"/>
                <w:szCs w:val="20"/>
                <w:lang w:val="fr-CA"/>
              </w:rPr>
              <w:t xml:space="preserve"> </w:t>
            </w:r>
            <w:r w:rsidRPr="00CF5797">
              <w:rPr>
                <w:sz w:val="20"/>
                <w:szCs w:val="20"/>
                <w:lang w:val="fr-CA"/>
              </w:rPr>
              <w:t>970</w:t>
            </w:r>
          </w:p>
        </w:tc>
      </w:tr>
      <w:tr w:rsidR="00825F3F" w:rsidRPr="00CF5797" w14:paraId="57D8E7D8" w14:textId="77777777" w:rsidTr="0035476B">
        <w:tc>
          <w:tcPr>
            <w:tcW w:w="3505" w:type="dxa"/>
          </w:tcPr>
          <w:p w14:paraId="4551A218" w14:textId="77777777" w:rsidR="00825F3F" w:rsidRPr="00CF5797" w:rsidRDefault="00825F3F" w:rsidP="008376CB">
            <w:pPr>
              <w:pStyle w:val="Heading1"/>
              <w:keepNext/>
              <w:keepLines/>
              <w:widowControl w:val="0"/>
              <w:numPr>
                <w:ilvl w:val="0"/>
                <w:numId w:val="0"/>
              </w:numPr>
              <w:spacing w:after="0"/>
              <w:outlineLvl w:val="0"/>
              <w:rPr>
                <w:b/>
                <w:sz w:val="20"/>
                <w:szCs w:val="20"/>
                <w:lang w:val="fr-CA"/>
              </w:rPr>
            </w:pPr>
            <w:r w:rsidRPr="00CF5797">
              <w:rPr>
                <w:b/>
                <w:sz w:val="20"/>
                <w:szCs w:val="20"/>
                <w:lang w:val="fr-CA"/>
              </w:rPr>
              <w:t>Total</w:t>
            </w:r>
          </w:p>
        </w:tc>
        <w:tc>
          <w:tcPr>
            <w:tcW w:w="1170" w:type="dxa"/>
          </w:tcPr>
          <w:p w14:paraId="67C43FAB" w14:textId="318E0F0D"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331</w:t>
            </w:r>
            <w:r w:rsidR="0035476B" w:rsidRPr="00CF5797">
              <w:rPr>
                <w:b/>
                <w:sz w:val="20"/>
                <w:szCs w:val="20"/>
                <w:lang w:val="fr-CA"/>
              </w:rPr>
              <w:t xml:space="preserve"> </w:t>
            </w:r>
            <w:r w:rsidRPr="00CF5797">
              <w:rPr>
                <w:b/>
                <w:sz w:val="20"/>
                <w:szCs w:val="20"/>
                <w:lang w:val="fr-CA"/>
              </w:rPr>
              <w:t>305</w:t>
            </w:r>
          </w:p>
        </w:tc>
        <w:tc>
          <w:tcPr>
            <w:tcW w:w="990" w:type="dxa"/>
          </w:tcPr>
          <w:p w14:paraId="6ECB71DD" w14:textId="19482CF1"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13</w:t>
            </w:r>
            <w:r w:rsidR="0035476B" w:rsidRPr="00CF5797">
              <w:rPr>
                <w:b/>
                <w:sz w:val="20"/>
                <w:szCs w:val="20"/>
                <w:lang w:val="fr-CA"/>
              </w:rPr>
              <w:t xml:space="preserve"> </w:t>
            </w:r>
            <w:r w:rsidRPr="00CF5797">
              <w:rPr>
                <w:b/>
                <w:sz w:val="20"/>
                <w:szCs w:val="20"/>
                <w:lang w:val="fr-CA"/>
              </w:rPr>
              <w:t>650</w:t>
            </w:r>
          </w:p>
        </w:tc>
        <w:tc>
          <w:tcPr>
            <w:tcW w:w="900" w:type="dxa"/>
          </w:tcPr>
          <w:p w14:paraId="0DDC16F6" w14:textId="301BE10B"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344</w:t>
            </w:r>
            <w:r w:rsidR="0035476B" w:rsidRPr="00CF5797">
              <w:rPr>
                <w:b/>
                <w:sz w:val="20"/>
                <w:szCs w:val="20"/>
                <w:lang w:val="fr-CA"/>
              </w:rPr>
              <w:t xml:space="preserve"> </w:t>
            </w:r>
            <w:r w:rsidRPr="00CF5797">
              <w:rPr>
                <w:b/>
                <w:sz w:val="20"/>
                <w:szCs w:val="20"/>
                <w:lang w:val="fr-CA"/>
              </w:rPr>
              <w:t>955</w:t>
            </w:r>
          </w:p>
        </w:tc>
        <w:tc>
          <w:tcPr>
            <w:tcW w:w="1170" w:type="dxa"/>
          </w:tcPr>
          <w:p w14:paraId="4F698F97" w14:textId="512BF0D4"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331</w:t>
            </w:r>
            <w:r w:rsidR="0035476B" w:rsidRPr="00CF5797">
              <w:rPr>
                <w:b/>
                <w:sz w:val="20"/>
                <w:szCs w:val="20"/>
                <w:lang w:val="fr-CA"/>
              </w:rPr>
              <w:t xml:space="preserve"> </w:t>
            </w:r>
            <w:r w:rsidRPr="00CF5797">
              <w:rPr>
                <w:b/>
                <w:sz w:val="20"/>
                <w:szCs w:val="20"/>
                <w:lang w:val="fr-CA"/>
              </w:rPr>
              <w:t>305</w:t>
            </w:r>
          </w:p>
        </w:tc>
        <w:tc>
          <w:tcPr>
            <w:tcW w:w="990" w:type="dxa"/>
          </w:tcPr>
          <w:p w14:paraId="1FB684DA" w14:textId="557819E0"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23</w:t>
            </w:r>
            <w:r w:rsidR="0035476B" w:rsidRPr="00CF5797">
              <w:rPr>
                <w:b/>
                <w:sz w:val="20"/>
                <w:szCs w:val="20"/>
                <w:lang w:val="fr-CA"/>
              </w:rPr>
              <w:t xml:space="preserve"> </w:t>
            </w:r>
            <w:r w:rsidRPr="00CF5797">
              <w:rPr>
                <w:b/>
                <w:sz w:val="20"/>
                <w:szCs w:val="20"/>
                <w:lang w:val="fr-CA"/>
              </w:rPr>
              <w:t>191</w:t>
            </w:r>
          </w:p>
        </w:tc>
        <w:tc>
          <w:tcPr>
            <w:tcW w:w="900" w:type="dxa"/>
          </w:tcPr>
          <w:p w14:paraId="38134F60" w14:textId="4E99CCDD" w:rsidR="00825F3F" w:rsidRPr="00CF5797" w:rsidRDefault="00825F3F" w:rsidP="008376CB">
            <w:pPr>
              <w:pStyle w:val="Heading1"/>
              <w:keepNext/>
              <w:keepLines/>
              <w:widowControl w:val="0"/>
              <w:numPr>
                <w:ilvl w:val="0"/>
                <w:numId w:val="0"/>
              </w:numPr>
              <w:spacing w:after="0"/>
              <w:jc w:val="right"/>
              <w:outlineLvl w:val="0"/>
              <w:rPr>
                <w:b/>
                <w:sz w:val="20"/>
                <w:szCs w:val="20"/>
                <w:lang w:val="fr-CA"/>
              </w:rPr>
            </w:pPr>
            <w:r w:rsidRPr="00CF5797">
              <w:rPr>
                <w:b/>
                <w:sz w:val="20"/>
                <w:szCs w:val="20"/>
                <w:lang w:val="fr-CA"/>
              </w:rPr>
              <w:t>354</w:t>
            </w:r>
            <w:r w:rsidR="0035476B" w:rsidRPr="00CF5797">
              <w:rPr>
                <w:b/>
                <w:sz w:val="20"/>
                <w:szCs w:val="20"/>
                <w:lang w:val="fr-CA"/>
              </w:rPr>
              <w:t xml:space="preserve"> </w:t>
            </w:r>
            <w:r w:rsidRPr="00CF5797">
              <w:rPr>
                <w:b/>
                <w:sz w:val="20"/>
                <w:szCs w:val="20"/>
                <w:lang w:val="fr-CA"/>
              </w:rPr>
              <w:t>496</w:t>
            </w:r>
          </w:p>
        </w:tc>
      </w:tr>
    </w:tbl>
    <w:p w14:paraId="37433EBB" w14:textId="2B96729D" w:rsidR="00825F3F" w:rsidRPr="00CF5797" w:rsidRDefault="00825F3F" w:rsidP="008376CB">
      <w:pPr>
        <w:keepNext/>
        <w:keepLines/>
        <w:rPr>
          <w:sz w:val="20"/>
          <w:szCs w:val="20"/>
          <w:lang w:val="fr-CA"/>
        </w:rPr>
      </w:pPr>
      <w:r w:rsidRPr="00CF5797">
        <w:rPr>
          <w:sz w:val="20"/>
          <w:szCs w:val="20"/>
          <w:lang w:val="fr-CA"/>
        </w:rPr>
        <w:t>*</w:t>
      </w:r>
      <w:r w:rsidR="0035476B" w:rsidRPr="00CF5797">
        <w:rPr>
          <w:sz w:val="20"/>
          <w:szCs w:val="20"/>
          <w:lang w:val="fr-CA"/>
        </w:rPr>
        <w:t>Les sommes ne sont pas à restituer car elles n’ont été approuvées qu’en principe. Ces sommes seront plutôt transférées à l’ONUDI à l’Appendice 2-A de l’Accord entre le gouvernement de l’Équateur et le Comité exécutif, pour approbation future</w:t>
      </w:r>
      <w:r w:rsidRPr="00CF5797">
        <w:rPr>
          <w:sz w:val="20"/>
          <w:szCs w:val="20"/>
          <w:lang w:val="fr-CA"/>
        </w:rPr>
        <w:t>.</w:t>
      </w:r>
    </w:p>
    <w:p w14:paraId="29CA700A" w14:textId="77777777" w:rsidR="00825F3F" w:rsidRPr="00CF5797" w:rsidRDefault="00825F3F" w:rsidP="00825F3F">
      <w:pPr>
        <w:rPr>
          <w:lang w:val="fr-CA"/>
        </w:rPr>
      </w:pPr>
    </w:p>
    <w:p w14:paraId="5638FCE2" w14:textId="5754EA5F" w:rsidR="00825F3F" w:rsidRPr="00CF5797" w:rsidRDefault="0035476B" w:rsidP="00825F3F">
      <w:pPr>
        <w:pStyle w:val="Heading1"/>
        <w:widowControl w:val="0"/>
        <w:rPr>
          <w:lang w:val="fr-CA"/>
        </w:rPr>
      </w:pPr>
      <w:r w:rsidRPr="00CF5797">
        <w:rPr>
          <w:lang w:val="fr-CA"/>
        </w:rPr>
        <w:t xml:space="preserve">Le retrait du PNUE en qualité d’agence de coopération aux phases I et II du PGEH exige la mise à jour des Accords entre le gouvernement de l’Équateur et le Comité exécutif, </w:t>
      </w:r>
      <w:r w:rsidR="00873621" w:rsidRPr="00CF5797">
        <w:rPr>
          <w:lang w:val="fr-CA"/>
        </w:rPr>
        <w:t>joints respectivement aux annexes V et VI au présent document</w:t>
      </w:r>
      <w:r w:rsidR="00825F3F" w:rsidRPr="00CF5797">
        <w:rPr>
          <w:lang w:val="fr-CA"/>
        </w:rPr>
        <w:t xml:space="preserve">. </w:t>
      </w:r>
    </w:p>
    <w:p w14:paraId="634A4E5B" w14:textId="5593F8F9" w:rsidR="00825F3F" w:rsidRPr="00CF5797" w:rsidRDefault="00873621" w:rsidP="00825F3F">
      <w:pPr>
        <w:keepNext/>
        <w:rPr>
          <w:b/>
          <w:lang w:val="fr-CA"/>
        </w:rPr>
      </w:pPr>
      <w:r w:rsidRPr="00CF5797">
        <w:rPr>
          <w:b/>
          <w:lang w:val="fr-CA"/>
        </w:rPr>
        <w:t>Recomma</w:t>
      </w:r>
      <w:r w:rsidR="00825F3F" w:rsidRPr="00CF5797">
        <w:rPr>
          <w:b/>
          <w:lang w:val="fr-CA"/>
        </w:rPr>
        <w:t>ndation</w:t>
      </w:r>
    </w:p>
    <w:p w14:paraId="34ACD43F" w14:textId="77777777" w:rsidR="00825F3F" w:rsidRPr="00CF5797" w:rsidRDefault="00825F3F" w:rsidP="00825F3F">
      <w:pPr>
        <w:keepNext/>
        <w:rPr>
          <w:lang w:val="fr-CA"/>
        </w:rPr>
      </w:pPr>
    </w:p>
    <w:p w14:paraId="655750E6" w14:textId="24CA4DB5" w:rsidR="00825F3F" w:rsidRPr="00CF5797" w:rsidRDefault="00873621" w:rsidP="00825F3F">
      <w:pPr>
        <w:pStyle w:val="Heading1"/>
        <w:keepNext/>
        <w:rPr>
          <w:lang w:val="fr-CA"/>
        </w:rPr>
      </w:pPr>
      <w:r w:rsidRPr="00CF5797">
        <w:rPr>
          <w:lang w:val="fr-CA"/>
        </w:rPr>
        <w:t xml:space="preserve">Le Comité exécutif pourrait souhaiter </w:t>
      </w:r>
      <w:r w:rsidR="00825F3F" w:rsidRPr="00CF5797">
        <w:rPr>
          <w:lang w:val="fr-CA"/>
        </w:rPr>
        <w:t>:</w:t>
      </w:r>
    </w:p>
    <w:p w14:paraId="61C7637D" w14:textId="762EA4B4" w:rsidR="00825F3F" w:rsidRPr="00CF5797" w:rsidRDefault="00873621" w:rsidP="00825F3F">
      <w:pPr>
        <w:pStyle w:val="Heading2"/>
        <w:keepNext/>
        <w:widowControl/>
        <w:rPr>
          <w:lang w:val="fr-CA"/>
        </w:rPr>
      </w:pPr>
      <w:r w:rsidRPr="00CF5797">
        <w:rPr>
          <w:lang w:val="fr-CA"/>
        </w:rPr>
        <w:t xml:space="preserve">Prendre note </w:t>
      </w:r>
      <w:r w:rsidR="00825F3F" w:rsidRPr="00CF5797">
        <w:rPr>
          <w:lang w:val="fr-CA"/>
        </w:rPr>
        <w:t>:</w:t>
      </w:r>
    </w:p>
    <w:p w14:paraId="3940ADBE" w14:textId="19E58248" w:rsidR="00825F3F" w:rsidRPr="00CF5797" w:rsidRDefault="00873621" w:rsidP="00825F3F">
      <w:pPr>
        <w:pStyle w:val="Heading3"/>
        <w:rPr>
          <w:lang w:val="fr-CA"/>
        </w:rPr>
      </w:pPr>
      <w:r w:rsidRPr="00CF5797">
        <w:rPr>
          <w:lang w:val="fr-CA"/>
        </w:rPr>
        <w:t>De la demande du gouvernement de l’Équateur de transférer à l’ONUDI la phase VII du projet de renforcement des institutions et toutes les activités d’élimination prévues à la cinquième tranche de la phase I</w:t>
      </w:r>
      <w:r w:rsidR="003E0DA0">
        <w:rPr>
          <w:lang w:val="fr-CA"/>
        </w:rPr>
        <w:t>,</w:t>
      </w:r>
      <w:r w:rsidRPr="00CF5797">
        <w:rPr>
          <w:lang w:val="fr-CA"/>
        </w:rPr>
        <w:t xml:space="preserve"> et la phase II du plan de gestion de l'élimination des HCFC, mises en œuvre par le PNUE</w:t>
      </w:r>
      <w:r w:rsidR="0037190F">
        <w:rPr>
          <w:lang w:val="fr-CA"/>
        </w:rPr>
        <w:t xml:space="preserve"> </w:t>
      </w:r>
      <w:r w:rsidR="00825F3F" w:rsidRPr="00CF5797">
        <w:rPr>
          <w:lang w:val="fr-CA"/>
        </w:rPr>
        <w:t xml:space="preserve">; </w:t>
      </w:r>
    </w:p>
    <w:p w14:paraId="01562B1E" w14:textId="07826B1E" w:rsidR="00825F3F" w:rsidRPr="00CF5797" w:rsidRDefault="00873621" w:rsidP="00825F3F">
      <w:pPr>
        <w:pStyle w:val="Heading3"/>
        <w:rPr>
          <w:lang w:val="fr-CA"/>
        </w:rPr>
      </w:pPr>
      <w:r w:rsidRPr="00CF5797">
        <w:rPr>
          <w:lang w:val="fr-CA"/>
        </w:rPr>
        <w:t xml:space="preserve">Que le Secrétariat du Fonds a mis à jour l’Accord entre le gouvernement de l’Équateur et le Comité exécutif pour la phase I du PGEH, joint à l’annexe V aux présentes, plus particulièrement l’Appendice 2-A, </w:t>
      </w:r>
      <w:r w:rsidR="00A9672E" w:rsidRPr="00CF5797">
        <w:rPr>
          <w:lang w:val="fr-CA"/>
        </w:rPr>
        <w:t>afin d’y faire état du transfert du volet du PNUE à l’ONUDI pour la cinquième tranche, et le paragraphe 16, afin d’y indiquer que l’Accord actualisé remplace l’Accord conclu à la 81</w:t>
      </w:r>
      <w:r w:rsidR="00A9672E" w:rsidRPr="00CF5797">
        <w:rPr>
          <w:vertAlign w:val="superscript"/>
          <w:lang w:val="fr-CA"/>
        </w:rPr>
        <w:t>e</w:t>
      </w:r>
      <w:r w:rsidR="00A9672E" w:rsidRPr="00CF5797">
        <w:rPr>
          <w:lang w:val="fr-CA"/>
        </w:rPr>
        <w:t xml:space="preserve"> réunion</w:t>
      </w:r>
      <w:r w:rsidR="0037190F">
        <w:rPr>
          <w:lang w:val="fr-CA"/>
        </w:rPr>
        <w:t xml:space="preserve"> </w:t>
      </w:r>
      <w:r w:rsidR="00825F3F" w:rsidRPr="00CF5797">
        <w:rPr>
          <w:lang w:val="fr-CA"/>
        </w:rPr>
        <w:t>;</w:t>
      </w:r>
    </w:p>
    <w:p w14:paraId="61C0D040" w14:textId="55B3547A" w:rsidR="00825F3F" w:rsidRPr="00CF5797" w:rsidRDefault="00A9672E" w:rsidP="00825F3F">
      <w:pPr>
        <w:pStyle w:val="Heading3"/>
        <w:rPr>
          <w:lang w:val="fr-CA"/>
        </w:rPr>
      </w:pPr>
      <w:r w:rsidRPr="00CF5797">
        <w:rPr>
          <w:lang w:val="fr-CA"/>
        </w:rPr>
        <w:t>Que le Secrétariat du Fonds a mis à jour l’Accord entre le gouvernement de l’Équateur et le Comité exécutif pour la phase II du PGEH, joint à l’annexe VI aux présentes, notamment afin de retirer toute référence à l’agence de coopération et l’Appendice 6-B, réaffecter l’ensemble du financement du PNUE à l’ONUDI à l’Appendice 2-A, et ajouter le paragra</w:t>
      </w:r>
      <w:r w:rsidR="00C95BD5" w:rsidRPr="00CF5797">
        <w:rPr>
          <w:lang w:val="fr-CA"/>
        </w:rPr>
        <w:t>p</w:t>
      </w:r>
      <w:r w:rsidRPr="00CF5797">
        <w:rPr>
          <w:lang w:val="fr-CA"/>
        </w:rPr>
        <w:t>he 17 indiquant que le PNUE a cessé d’être l’agence de coopération à la 87</w:t>
      </w:r>
      <w:r w:rsidRPr="00CF5797">
        <w:rPr>
          <w:vertAlign w:val="superscript"/>
          <w:lang w:val="fr-CA"/>
        </w:rPr>
        <w:t>e</w:t>
      </w:r>
      <w:r w:rsidRPr="00CF5797">
        <w:rPr>
          <w:lang w:val="fr-CA"/>
        </w:rPr>
        <w:t xml:space="preserve"> réunion et qu</w:t>
      </w:r>
      <w:r w:rsidR="00C43F77">
        <w:rPr>
          <w:lang w:val="fr-CA"/>
        </w:rPr>
        <w:t>e</w:t>
      </w:r>
      <w:r w:rsidR="00476D0B">
        <w:rPr>
          <w:lang w:val="fr-CA"/>
        </w:rPr>
        <w:t xml:space="preserve"> </w:t>
      </w:r>
      <w:r w:rsidRPr="00CF5797">
        <w:rPr>
          <w:lang w:val="fr-CA"/>
        </w:rPr>
        <w:t>l’Accord actualisé remplace l’Accord conclu à la 86</w:t>
      </w:r>
      <w:r w:rsidRPr="00CF5797">
        <w:rPr>
          <w:vertAlign w:val="superscript"/>
          <w:lang w:val="fr-CA"/>
        </w:rPr>
        <w:t>e</w:t>
      </w:r>
      <w:r w:rsidRPr="00CF5797">
        <w:rPr>
          <w:lang w:val="fr-CA"/>
        </w:rPr>
        <w:t xml:space="preserve"> réunion</w:t>
      </w:r>
      <w:r w:rsidR="0037190F">
        <w:rPr>
          <w:lang w:val="fr-CA"/>
        </w:rPr>
        <w:t xml:space="preserve"> </w:t>
      </w:r>
      <w:r w:rsidR="00825F3F" w:rsidRPr="00CF5797">
        <w:rPr>
          <w:lang w:val="fr-CA"/>
        </w:rPr>
        <w:t>;</w:t>
      </w:r>
    </w:p>
    <w:p w14:paraId="3D02037D" w14:textId="5655F09B" w:rsidR="00825F3F" w:rsidRPr="00CF5797" w:rsidRDefault="00C95BD5" w:rsidP="00825F3F">
      <w:pPr>
        <w:pStyle w:val="Heading2"/>
        <w:rPr>
          <w:lang w:val="fr-CA"/>
        </w:rPr>
      </w:pPr>
      <w:r w:rsidRPr="00CF5797">
        <w:rPr>
          <w:lang w:val="fr-CA"/>
        </w:rPr>
        <w:t>En ce qui concerne la phase VII du projet de renforcement des institutions</w:t>
      </w:r>
      <w:r w:rsidR="00825F3F" w:rsidRPr="00CF5797">
        <w:rPr>
          <w:lang w:val="fr-CA"/>
        </w:rPr>
        <w:t xml:space="preserve"> (ECU/SEV/83/INS/71)</w:t>
      </w:r>
      <w:r w:rsidRPr="00CF5797">
        <w:rPr>
          <w:lang w:val="fr-CA"/>
        </w:rPr>
        <w:t xml:space="preserve"> </w:t>
      </w:r>
      <w:r w:rsidR="00825F3F" w:rsidRPr="00CF5797">
        <w:rPr>
          <w:lang w:val="fr-CA"/>
        </w:rPr>
        <w:t>:</w:t>
      </w:r>
    </w:p>
    <w:p w14:paraId="114CA85B" w14:textId="690B64E0" w:rsidR="00825F3F" w:rsidRPr="00CF5797" w:rsidRDefault="00C95BD5" w:rsidP="00825F3F">
      <w:pPr>
        <w:pStyle w:val="Heading3"/>
        <w:rPr>
          <w:lang w:val="fr-CA"/>
        </w:rPr>
      </w:pPr>
      <w:r w:rsidRPr="00CF5797">
        <w:rPr>
          <w:lang w:val="fr-CA"/>
        </w:rPr>
        <w:t xml:space="preserve">Demander au PNUE de </w:t>
      </w:r>
      <w:r w:rsidR="00476D0B">
        <w:rPr>
          <w:lang w:val="fr-CA"/>
        </w:rPr>
        <w:t>restituer au Fonds multilatéral</w:t>
      </w:r>
      <w:r w:rsidRPr="00CF5797">
        <w:rPr>
          <w:lang w:val="fr-CA"/>
        </w:rPr>
        <w:t xml:space="preserve"> la somme de 226 305 $US</w:t>
      </w:r>
      <w:r w:rsidR="00C43F77">
        <w:rPr>
          <w:lang w:val="fr-CA"/>
        </w:rPr>
        <w:t>,</w:t>
      </w:r>
      <w:r w:rsidRPr="00CF5797">
        <w:rPr>
          <w:lang w:val="fr-CA"/>
        </w:rPr>
        <w:t xml:space="preserve"> à la 87</w:t>
      </w:r>
      <w:r w:rsidRPr="00CF5797">
        <w:rPr>
          <w:vertAlign w:val="superscript"/>
          <w:lang w:val="fr-CA"/>
        </w:rPr>
        <w:t>e</w:t>
      </w:r>
      <w:r w:rsidRPr="00CF5797">
        <w:rPr>
          <w:lang w:val="fr-CA"/>
        </w:rPr>
        <w:t xml:space="preserve"> réunion</w:t>
      </w:r>
      <w:r w:rsidR="0037190F">
        <w:rPr>
          <w:lang w:val="fr-CA"/>
        </w:rPr>
        <w:t xml:space="preserve"> </w:t>
      </w:r>
      <w:r w:rsidR="00825F3F" w:rsidRPr="00CF5797">
        <w:rPr>
          <w:lang w:val="fr-CA"/>
        </w:rPr>
        <w:t>;</w:t>
      </w:r>
    </w:p>
    <w:p w14:paraId="44E36BA6" w14:textId="35F49951" w:rsidR="00825F3F" w:rsidRPr="00CF5797" w:rsidRDefault="002F3894" w:rsidP="00825F3F">
      <w:pPr>
        <w:pStyle w:val="Heading3"/>
        <w:rPr>
          <w:lang w:val="fr-CA"/>
        </w:rPr>
      </w:pPr>
      <w:r w:rsidRPr="00CF5797">
        <w:rPr>
          <w:lang w:val="fr-CA"/>
        </w:rPr>
        <w:lastRenderedPageBreak/>
        <w:t>A</w:t>
      </w:r>
      <w:r w:rsidR="00C95BD5" w:rsidRPr="00CF5797">
        <w:rPr>
          <w:lang w:val="fr-CA"/>
        </w:rPr>
        <w:t>pprouver le transfert à l’ONUDI de la somme de 226 305 $US plus les coûts d’appui à l’agence de 15 841 $US</w:t>
      </w:r>
      <w:r w:rsidR="0037190F">
        <w:rPr>
          <w:lang w:val="fr-CA"/>
        </w:rPr>
        <w:t xml:space="preserve"> </w:t>
      </w:r>
      <w:r w:rsidR="00825F3F" w:rsidRPr="00CF5797">
        <w:rPr>
          <w:lang w:val="fr-CA"/>
        </w:rPr>
        <w:t>;</w:t>
      </w:r>
    </w:p>
    <w:p w14:paraId="63A588CF" w14:textId="1B0EC5C2" w:rsidR="00825F3F" w:rsidRPr="00CF5797" w:rsidRDefault="00C95BD5" w:rsidP="00825F3F">
      <w:pPr>
        <w:pStyle w:val="Heading2"/>
        <w:rPr>
          <w:lang w:val="fr-CA"/>
        </w:rPr>
      </w:pPr>
      <w:r w:rsidRPr="00CF5797">
        <w:rPr>
          <w:lang w:val="fr-CA"/>
        </w:rPr>
        <w:t>En ce qui concerne la cinquième tranche de la phase I du PGEH</w:t>
      </w:r>
      <w:r w:rsidR="00825F3F" w:rsidRPr="00CF5797">
        <w:rPr>
          <w:lang w:val="fr-CA"/>
        </w:rPr>
        <w:t xml:space="preserve"> (ECU/SEV/85/TAS/73)</w:t>
      </w:r>
      <w:r w:rsidRPr="00CF5797">
        <w:rPr>
          <w:lang w:val="fr-CA"/>
        </w:rPr>
        <w:t xml:space="preserve"> </w:t>
      </w:r>
      <w:r w:rsidR="00825F3F" w:rsidRPr="00CF5797">
        <w:rPr>
          <w:lang w:val="fr-CA"/>
        </w:rPr>
        <w:t>:</w:t>
      </w:r>
    </w:p>
    <w:p w14:paraId="607E4E4E" w14:textId="1F4E5BF5" w:rsidR="00825F3F" w:rsidRPr="00CF5797" w:rsidRDefault="00C95BD5" w:rsidP="00825F3F">
      <w:pPr>
        <w:pStyle w:val="Heading3"/>
        <w:rPr>
          <w:lang w:val="fr-CA"/>
        </w:rPr>
      </w:pPr>
      <w:r w:rsidRPr="00CF5797">
        <w:rPr>
          <w:lang w:val="fr-CA"/>
        </w:rPr>
        <w:t>Demander au PNUE de restituer au Fonds multilatéral la somme de 10 000 $US plus les coûts d’ap</w:t>
      </w:r>
      <w:r w:rsidR="00C43F77">
        <w:rPr>
          <w:lang w:val="fr-CA"/>
        </w:rPr>
        <w:t xml:space="preserve">pui à l’agence de 1 300 $US, </w:t>
      </w:r>
      <w:r w:rsidRPr="00CF5797">
        <w:rPr>
          <w:lang w:val="fr-CA"/>
        </w:rPr>
        <w:t>à la 87</w:t>
      </w:r>
      <w:r w:rsidRPr="00CF5797">
        <w:rPr>
          <w:vertAlign w:val="superscript"/>
          <w:lang w:val="fr-CA"/>
        </w:rPr>
        <w:t>e</w:t>
      </w:r>
      <w:r w:rsidRPr="00CF5797">
        <w:rPr>
          <w:lang w:val="fr-CA"/>
        </w:rPr>
        <w:t xml:space="preserve"> réunion</w:t>
      </w:r>
      <w:r w:rsidR="0037190F">
        <w:rPr>
          <w:lang w:val="fr-CA"/>
        </w:rPr>
        <w:t xml:space="preserve"> </w:t>
      </w:r>
      <w:r w:rsidR="00825F3F" w:rsidRPr="00CF5797">
        <w:rPr>
          <w:lang w:val="fr-CA"/>
        </w:rPr>
        <w:t xml:space="preserve">; </w:t>
      </w:r>
    </w:p>
    <w:p w14:paraId="688EEFC2" w14:textId="034FA164" w:rsidR="00825F3F" w:rsidRPr="00CF5797" w:rsidRDefault="002F3894" w:rsidP="00825F3F">
      <w:pPr>
        <w:pStyle w:val="Heading3"/>
        <w:rPr>
          <w:lang w:val="fr-CA"/>
        </w:rPr>
      </w:pPr>
      <w:r w:rsidRPr="00CF5797">
        <w:rPr>
          <w:lang w:val="fr-CA"/>
        </w:rPr>
        <w:t>Approuver le transfert à l’ONUDI de la somme de 10 000 $US plus les coûts d’appui à l’agence de 700 $US</w:t>
      </w:r>
      <w:r w:rsidR="0037190F">
        <w:rPr>
          <w:lang w:val="fr-CA"/>
        </w:rPr>
        <w:t xml:space="preserve"> </w:t>
      </w:r>
      <w:r w:rsidR="00825F3F" w:rsidRPr="00CF5797">
        <w:rPr>
          <w:lang w:val="fr-CA"/>
        </w:rPr>
        <w:t>;</w:t>
      </w:r>
    </w:p>
    <w:p w14:paraId="4E90D51F" w14:textId="7006F1AF" w:rsidR="00825F3F" w:rsidRPr="00CF5797" w:rsidRDefault="002F3894" w:rsidP="00825F3F">
      <w:pPr>
        <w:pStyle w:val="Heading2"/>
        <w:rPr>
          <w:lang w:val="fr-CA"/>
        </w:rPr>
      </w:pPr>
      <w:r w:rsidRPr="00CF5797">
        <w:rPr>
          <w:lang w:val="fr-CA"/>
        </w:rPr>
        <w:t>En ce qui concerne la première tranche de la phase II du PGEH</w:t>
      </w:r>
      <w:r w:rsidR="00825F3F" w:rsidRPr="00CF5797">
        <w:rPr>
          <w:lang w:val="fr-CA"/>
        </w:rPr>
        <w:t xml:space="preserve"> (ECU/SEV/86/TAS/74)</w:t>
      </w:r>
      <w:r w:rsidRPr="00CF5797">
        <w:rPr>
          <w:lang w:val="fr-CA"/>
        </w:rPr>
        <w:t xml:space="preserve"> </w:t>
      </w:r>
      <w:r w:rsidR="00825F3F" w:rsidRPr="00CF5797">
        <w:rPr>
          <w:lang w:val="fr-CA"/>
        </w:rPr>
        <w:t>:</w:t>
      </w:r>
    </w:p>
    <w:p w14:paraId="254CD277" w14:textId="671823D5" w:rsidR="00825F3F" w:rsidRPr="00CF5797" w:rsidRDefault="002F3894" w:rsidP="00825F3F">
      <w:pPr>
        <w:pStyle w:val="Heading3"/>
        <w:rPr>
          <w:lang w:val="fr-CA"/>
        </w:rPr>
      </w:pPr>
      <w:r w:rsidRPr="00CF5797">
        <w:rPr>
          <w:lang w:val="fr-CA"/>
        </w:rPr>
        <w:t>Demander au PNUE de restituer au Fonds multilatéral la somme de 24 000 $US plus les coûts d’appui à l’agence de 3 120 $US, à la 87</w:t>
      </w:r>
      <w:r w:rsidRPr="00CF5797">
        <w:rPr>
          <w:vertAlign w:val="superscript"/>
          <w:lang w:val="fr-CA"/>
        </w:rPr>
        <w:t>e</w:t>
      </w:r>
      <w:r w:rsidRPr="00CF5797">
        <w:rPr>
          <w:lang w:val="fr-CA"/>
        </w:rPr>
        <w:t xml:space="preserve"> réunion</w:t>
      </w:r>
      <w:r w:rsidR="0037190F">
        <w:rPr>
          <w:lang w:val="fr-CA"/>
        </w:rPr>
        <w:t xml:space="preserve"> </w:t>
      </w:r>
      <w:r w:rsidR="00825F3F" w:rsidRPr="00CF5797">
        <w:rPr>
          <w:lang w:val="fr-CA"/>
        </w:rPr>
        <w:t xml:space="preserve">; </w:t>
      </w:r>
    </w:p>
    <w:p w14:paraId="0F32EEA8" w14:textId="22C2F40C" w:rsidR="00825F3F" w:rsidRPr="00CF5797" w:rsidRDefault="002F3894" w:rsidP="00825F3F">
      <w:pPr>
        <w:pStyle w:val="Heading3"/>
        <w:rPr>
          <w:lang w:val="fr-CA"/>
        </w:rPr>
      </w:pPr>
      <w:r w:rsidRPr="00CF5797">
        <w:rPr>
          <w:lang w:val="fr-CA"/>
        </w:rPr>
        <w:t>Approuver le transfert à l’ONUDI de la somme de 24 000 $US plus les coûts d’appui à l’agence de 1 680 $US</w:t>
      </w:r>
      <w:r w:rsidR="0037190F">
        <w:rPr>
          <w:lang w:val="fr-CA"/>
        </w:rPr>
        <w:t xml:space="preserve"> </w:t>
      </w:r>
      <w:r w:rsidRPr="00CF5797">
        <w:rPr>
          <w:lang w:val="fr-CA"/>
        </w:rPr>
        <w:t>;</w:t>
      </w:r>
      <w:r w:rsidR="0037190F">
        <w:rPr>
          <w:lang w:val="fr-CA"/>
        </w:rPr>
        <w:t xml:space="preserve"> et</w:t>
      </w:r>
    </w:p>
    <w:p w14:paraId="2FFA6B30" w14:textId="1E633F3E" w:rsidR="00825F3F" w:rsidRPr="00CF5797" w:rsidRDefault="002F3894" w:rsidP="00825F3F">
      <w:pPr>
        <w:pStyle w:val="Heading2"/>
        <w:rPr>
          <w:lang w:val="fr-CA"/>
        </w:rPr>
      </w:pPr>
      <w:r w:rsidRPr="00CF5797">
        <w:rPr>
          <w:lang w:val="fr-CA"/>
        </w:rPr>
        <w:t>Approuver également le transfert du PNUE à l’ONUDI de la somme de 17 000 $US plus les coûts d’appui à l’agence de 4 970 $US, approuvés en principe, associés aux deuxième, troisième et quatrième tranches de la phase II du PGEH</w:t>
      </w:r>
      <w:r w:rsidR="00825F3F" w:rsidRPr="00CF5797">
        <w:rPr>
          <w:lang w:val="fr-CA"/>
        </w:rPr>
        <w:t>.</w:t>
      </w:r>
    </w:p>
    <w:p w14:paraId="34EEE735" w14:textId="6E033798" w:rsidR="00825F3F" w:rsidRPr="00CF5797" w:rsidRDefault="00FF255E" w:rsidP="00825F3F">
      <w:pPr>
        <w:pStyle w:val="StyleHeader4Para4Left0Firstline0"/>
        <w:numPr>
          <w:ilvl w:val="0"/>
          <w:numId w:val="0"/>
        </w:numPr>
        <w:jc w:val="left"/>
        <w:rPr>
          <w:b/>
          <w:sz w:val="22"/>
          <w:lang w:val="fr-CA"/>
        </w:rPr>
      </w:pPr>
      <w:r w:rsidRPr="0037190F">
        <w:rPr>
          <w:b/>
          <w:sz w:val="22"/>
          <w:lang w:val="fr-CA"/>
        </w:rPr>
        <w:t>Rapport sur les activités relatives aux HFC pour lesquelles une prorogation de la date d’achèvement est demandée</w:t>
      </w:r>
    </w:p>
    <w:p w14:paraId="4C289CC4" w14:textId="6F1FA6D3" w:rsidR="00825F3F" w:rsidRPr="00CF5797" w:rsidRDefault="00FF255E" w:rsidP="00825F3F">
      <w:pPr>
        <w:pStyle w:val="Heading1"/>
        <w:rPr>
          <w:lang w:val="fr-CA"/>
        </w:rPr>
      </w:pPr>
      <w:r w:rsidRPr="00CF5797">
        <w:rPr>
          <w:lang w:val="fr-CA"/>
        </w:rPr>
        <w:t>Au cours de la période d’approbation intersessions créé</w:t>
      </w:r>
      <w:r w:rsidR="00476D0B">
        <w:rPr>
          <w:lang w:val="fr-CA"/>
        </w:rPr>
        <w:t>e</w:t>
      </w:r>
      <w:r w:rsidRPr="00CF5797">
        <w:rPr>
          <w:lang w:val="fr-CA"/>
        </w:rPr>
        <w:t xml:space="preserve"> pour la 86</w:t>
      </w:r>
      <w:r w:rsidRPr="00CF5797">
        <w:rPr>
          <w:vertAlign w:val="superscript"/>
          <w:lang w:val="fr-CA"/>
        </w:rPr>
        <w:t>e</w:t>
      </w:r>
      <w:r w:rsidRPr="00CF5797">
        <w:rPr>
          <w:lang w:val="fr-CA"/>
        </w:rPr>
        <w:t xml:space="preserve"> réunion, le Comité exécutif a décidé d’informer les agences bilatéral</w:t>
      </w:r>
      <w:r w:rsidR="00EB6F59" w:rsidRPr="00CF5797">
        <w:rPr>
          <w:lang w:val="fr-CA"/>
        </w:rPr>
        <w:t>e</w:t>
      </w:r>
      <w:r w:rsidRPr="00CF5797">
        <w:rPr>
          <w:lang w:val="fr-CA"/>
        </w:rPr>
        <w:t>s et d’</w:t>
      </w:r>
      <w:r w:rsidR="00EB6F59" w:rsidRPr="00CF5797">
        <w:rPr>
          <w:lang w:val="fr-CA"/>
        </w:rPr>
        <w:t>ex</w:t>
      </w:r>
      <w:r w:rsidRPr="00CF5797">
        <w:rPr>
          <w:lang w:val="fr-CA"/>
        </w:rPr>
        <w:t>écution de continuer à aider tous les pays visés à l'article 5 à mettre en œuvre les activités en cours en tenant compte d</w:t>
      </w:r>
      <w:r w:rsidR="002F2B61">
        <w:rPr>
          <w:lang w:val="fr-CA"/>
        </w:rPr>
        <w:t>es contraintes imposées par la p</w:t>
      </w:r>
      <w:r w:rsidRPr="00CF5797">
        <w:rPr>
          <w:lang w:val="fr-CA"/>
        </w:rPr>
        <w:t>andémie de la COVID-19, indépendamment de leurs dates d’ach</w:t>
      </w:r>
      <w:r w:rsidR="00EB6F59" w:rsidRPr="00CF5797">
        <w:rPr>
          <w:lang w:val="fr-CA"/>
        </w:rPr>
        <w:t>èvem</w:t>
      </w:r>
      <w:r w:rsidRPr="00CF5797">
        <w:rPr>
          <w:lang w:val="fr-CA"/>
        </w:rPr>
        <w:t>ent, et de faire rapport à la 87</w:t>
      </w:r>
      <w:r w:rsidRPr="00CF5797">
        <w:rPr>
          <w:vertAlign w:val="superscript"/>
          <w:lang w:val="fr-CA"/>
        </w:rPr>
        <w:t>e</w:t>
      </w:r>
      <w:r w:rsidR="002F2B61">
        <w:rPr>
          <w:lang w:val="fr-CA"/>
        </w:rPr>
        <w:t xml:space="preserve"> réunion sur l</w:t>
      </w:r>
      <w:r w:rsidRPr="00CF5797">
        <w:rPr>
          <w:lang w:val="fr-CA"/>
        </w:rPr>
        <w:t>es activités précises dont la date d’achèvement doit être prorogée (décision 86/50)</w:t>
      </w:r>
      <w:r w:rsidR="00825F3F" w:rsidRPr="00CF5797">
        <w:rPr>
          <w:lang w:val="fr-CA"/>
        </w:rPr>
        <w:t>.</w:t>
      </w:r>
    </w:p>
    <w:p w14:paraId="4D12F41A" w14:textId="7E4AB591" w:rsidR="00825F3F" w:rsidRPr="00CF5797" w:rsidRDefault="00EB6F59" w:rsidP="00825F3F">
      <w:pPr>
        <w:pStyle w:val="Heading1"/>
        <w:rPr>
          <w:lang w:val="fr-CA"/>
        </w:rPr>
      </w:pPr>
      <w:r w:rsidRPr="00CF5797">
        <w:rPr>
          <w:lang w:val="fr-CA"/>
        </w:rPr>
        <w:t xml:space="preserve">En réponse à la décision du Comité exécutif, le Secrétariat a demandé aux agences bilatérales et d’exécution de l’informer de l’état des activités en cours à délai critique </w:t>
      </w:r>
      <w:r w:rsidR="002F2B61" w:rsidRPr="00CF5797">
        <w:rPr>
          <w:lang w:val="fr-CA"/>
        </w:rPr>
        <w:t xml:space="preserve">relatives au HCFC </w:t>
      </w:r>
      <w:r w:rsidRPr="00CF5797">
        <w:rPr>
          <w:lang w:val="fr-CA"/>
        </w:rPr>
        <w:t xml:space="preserve">et </w:t>
      </w:r>
      <w:r w:rsidR="002F2B61">
        <w:rPr>
          <w:lang w:val="fr-CA"/>
        </w:rPr>
        <w:t>du</w:t>
      </w:r>
      <w:r w:rsidRPr="00CF5797">
        <w:rPr>
          <w:lang w:val="fr-CA"/>
        </w:rPr>
        <w:t xml:space="preserve"> nombre de ces activités pour lesquelles une prorogation de la date d’achèvement serait demandée</w:t>
      </w:r>
      <w:r w:rsidR="00825F3F" w:rsidRPr="00CF5797">
        <w:rPr>
          <w:lang w:val="fr-CA"/>
        </w:rPr>
        <w:t>.</w:t>
      </w:r>
      <w:r w:rsidRPr="00CF5797">
        <w:rPr>
          <w:lang w:val="fr-CA"/>
        </w:rPr>
        <w:t xml:space="preserve"> L’état de la mise en œuvre des activités relatives aux HFC est résumé dans le tableau 15</w:t>
      </w:r>
      <w:r w:rsidR="0037190F">
        <w:rPr>
          <w:lang w:val="fr-CA"/>
        </w:rPr>
        <w:t xml:space="preserve"> </w:t>
      </w:r>
      <w:r w:rsidRPr="00CF5797">
        <w:rPr>
          <w:lang w:val="fr-CA"/>
        </w:rPr>
        <w:t>; l’annexe VII aux présentes fournit les détails des projets pour lesquels une prorogation est demandée, avec la date d’achèvement révisée proposée et un court sommaire des activités qui n’ont pas encore été mises en œuvre.</w:t>
      </w:r>
      <w:r w:rsidR="002F2B61">
        <w:rPr>
          <w:lang w:val="fr-CA"/>
        </w:rPr>
        <w:t xml:space="preserve"> </w:t>
      </w:r>
    </w:p>
    <w:p w14:paraId="6B2B6EAC" w14:textId="76C388A8" w:rsidR="00825F3F" w:rsidRPr="00CF5797" w:rsidRDefault="00825F3F" w:rsidP="0037190F">
      <w:pPr>
        <w:keepNext/>
        <w:keepLines/>
        <w:rPr>
          <w:b/>
          <w:lang w:val="fr-CA"/>
        </w:rPr>
      </w:pPr>
      <w:r w:rsidRPr="00CF5797">
        <w:rPr>
          <w:b/>
          <w:lang w:val="fr-CA"/>
        </w:rPr>
        <w:t>Table</w:t>
      </w:r>
      <w:r w:rsidR="00E77443" w:rsidRPr="00CF5797">
        <w:rPr>
          <w:b/>
          <w:lang w:val="fr-CA"/>
        </w:rPr>
        <w:t>au</w:t>
      </w:r>
      <w:r w:rsidRPr="00CF5797">
        <w:rPr>
          <w:b/>
          <w:lang w:val="fr-CA"/>
        </w:rPr>
        <w:t xml:space="preserve"> 15. </w:t>
      </w:r>
      <w:r w:rsidR="00E77443" w:rsidRPr="00CF5797">
        <w:rPr>
          <w:b/>
          <w:lang w:val="fr-CA"/>
        </w:rPr>
        <w:t xml:space="preserve">État de la mise en œuvre </w:t>
      </w:r>
      <w:r w:rsidR="0037190F">
        <w:rPr>
          <w:b/>
          <w:lang w:val="fr-CA"/>
        </w:rPr>
        <w:t>des activités relatives aux HFC</w:t>
      </w:r>
    </w:p>
    <w:tbl>
      <w:tblPr>
        <w:tblStyle w:val="TableGrid"/>
        <w:tblW w:w="9351" w:type="dxa"/>
        <w:tblLook w:val="04A0" w:firstRow="1" w:lastRow="0" w:firstColumn="1" w:lastColumn="0" w:noHBand="0" w:noVBand="1"/>
      </w:tblPr>
      <w:tblGrid>
        <w:gridCol w:w="2547"/>
        <w:gridCol w:w="2268"/>
        <w:gridCol w:w="2268"/>
        <w:gridCol w:w="2268"/>
      </w:tblGrid>
      <w:tr w:rsidR="00825F3F" w:rsidRPr="0049199D" w14:paraId="67A81F88" w14:textId="77777777" w:rsidTr="004F62E7">
        <w:tc>
          <w:tcPr>
            <w:tcW w:w="2547" w:type="dxa"/>
            <w:vAlign w:val="center"/>
          </w:tcPr>
          <w:p w14:paraId="7C41A588" w14:textId="34848D11" w:rsidR="00825F3F" w:rsidRPr="00CF5797" w:rsidRDefault="00E77443" w:rsidP="0037190F">
            <w:pPr>
              <w:keepNext/>
              <w:keepLines/>
              <w:jc w:val="center"/>
              <w:rPr>
                <w:b/>
                <w:sz w:val="20"/>
                <w:szCs w:val="20"/>
                <w:lang w:val="fr-CA"/>
              </w:rPr>
            </w:pPr>
            <w:r w:rsidRPr="00CF5797">
              <w:rPr>
                <w:b/>
                <w:sz w:val="20"/>
                <w:szCs w:val="20"/>
                <w:lang w:val="fr-CA"/>
              </w:rPr>
              <w:t>Agence</w:t>
            </w:r>
          </w:p>
        </w:tc>
        <w:tc>
          <w:tcPr>
            <w:tcW w:w="2268" w:type="dxa"/>
            <w:vAlign w:val="center"/>
          </w:tcPr>
          <w:p w14:paraId="7D7845B8" w14:textId="780F5FB2" w:rsidR="00825F3F" w:rsidRPr="00CF5797" w:rsidRDefault="00E77443" w:rsidP="0037190F">
            <w:pPr>
              <w:keepNext/>
              <w:keepLines/>
              <w:jc w:val="center"/>
              <w:rPr>
                <w:b/>
                <w:sz w:val="20"/>
                <w:szCs w:val="20"/>
                <w:lang w:val="fr-CA"/>
              </w:rPr>
            </w:pPr>
            <w:r w:rsidRPr="00CF5797">
              <w:rPr>
                <w:b/>
                <w:sz w:val="20"/>
                <w:szCs w:val="20"/>
                <w:lang w:val="fr-CA"/>
              </w:rPr>
              <w:t>Nombre de projets approuvés</w:t>
            </w:r>
          </w:p>
        </w:tc>
        <w:tc>
          <w:tcPr>
            <w:tcW w:w="2268" w:type="dxa"/>
            <w:vAlign w:val="center"/>
          </w:tcPr>
          <w:p w14:paraId="0A1792AB" w14:textId="5DE122BA" w:rsidR="00825F3F" w:rsidRPr="00CF5797" w:rsidRDefault="00E77443" w:rsidP="0037190F">
            <w:pPr>
              <w:keepNext/>
              <w:keepLines/>
              <w:jc w:val="center"/>
              <w:rPr>
                <w:b/>
                <w:sz w:val="20"/>
                <w:szCs w:val="20"/>
                <w:lang w:val="fr-CA"/>
              </w:rPr>
            </w:pPr>
            <w:r w:rsidRPr="00CF5797">
              <w:rPr>
                <w:b/>
                <w:sz w:val="20"/>
                <w:szCs w:val="20"/>
                <w:lang w:val="fr-CA"/>
              </w:rPr>
              <w:t>Nombre de projets achevés</w:t>
            </w:r>
          </w:p>
        </w:tc>
        <w:tc>
          <w:tcPr>
            <w:tcW w:w="2268" w:type="dxa"/>
            <w:tcBorders>
              <w:bottom w:val="single" w:sz="4" w:space="0" w:color="auto"/>
            </w:tcBorders>
            <w:vAlign w:val="center"/>
          </w:tcPr>
          <w:p w14:paraId="4562501C" w14:textId="6E82C2E4" w:rsidR="00825F3F" w:rsidRPr="00CF5797" w:rsidRDefault="00E77443" w:rsidP="0037190F">
            <w:pPr>
              <w:keepNext/>
              <w:keepLines/>
              <w:jc w:val="center"/>
              <w:rPr>
                <w:b/>
                <w:sz w:val="20"/>
                <w:szCs w:val="20"/>
                <w:lang w:val="fr-CA"/>
              </w:rPr>
            </w:pPr>
            <w:r w:rsidRPr="00CF5797">
              <w:rPr>
                <w:b/>
                <w:sz w:val="20"/>
                <w:szCs w:val="20"/>
                <w:lang w:val="fr-CA"/>
              </w:rPr>
              <w:t>Nombre de projets p</w:t>
            </w:r>
            <w:r w:rsidR="002F2B61">
              <w:rPr>
                <w:b/>
                <w:sz w:val="20"/>
                <w:szCs w:val="20"/>
                <w:lang w:val="fr-CA"/>
              </w:rPr>
              <w:t>o</w:t>
            </w:r>
            <w:r w:rsidRPr="00CF5797">
              <w:rPr>
                <w:b/>
                <w:sz w:val="20"/>
                <w:szCs w:val="20"/>
                <w:lang w:val="fr-CA"/>
              </w:rPr>
              <w:t>ur lesquels une prorogation est demandée</w:t>
            </w:r>
          </w:p>
        </w:tc>
      </w:tr>
      <w:tr w:rsidR="00825F3F" w:rsidRPr="00CF5797" w14:paraId="60606062"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37CE8AAF" w14:textId="77777777" w:rsidR="00825F3F" w:rsidRPr="00CF5797" w:rsidRDefault="00825F3F" w:rsidP="0037190F">
            <w:pPr>
              <w:keepNext/>
              <w:keepLines/>
              <w:rPr>
                <w:color w:val="000000"/>
                <w:sz w:val="20"/>
                <w:szCs w:val="20"/>
                <w:lang w:val="fr-CA"/>
              </w:rPr>
            </w:pPr>
            <w:r w:rsidRPr="00CF5797">
              <w:rPr>
                <w:color w:val="000000"/>
                <w:sz w:val="20"/>
                <w:szCs w:val="20"/>
                <w:lang w:val="fr-CA"/>
              </w:rPr>
              <w:t>Canada</w:t>
            </w:r>
          </w:p>
        </w:tc>
        <w:tc>
          <w:tcPr>
            <w:tcW w:w="2268" w:type="dxa"/>
            <w:tcBorders>
              <w:top w:val="nil"/>
              <w:left w:val="single" w:sz="4" w:space="0" w:color="auto"/>
              <w:bottom w:val="single" w:sz="4" w:space="0" w:color="auto"/>
              <w:right w:val="single" w:sz="4" w:space="0" w:color="auto"/>
            </w:tcBorders>
            <w:shd w:val="clear" w:color="auto" w:fill="auto"/>
          </w:tcPr>
          <w:p w14:paraId="09AB3318"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7</w:t>
            </w:r>
          </w:p>
        </w:tc>
        <w:tc>
          <w:tcPr>
            <w:tcW w:w="2268" w:type="dxa"/>
            <w:tcBorders>
              <w:top w:val="nil"/>
              <w:left w:val="single" w:sz="4" w:space="0" w:color="auto"/>
              <w:bottom w:val="single" w:sz="4" w:space="0" w:color="auto"/>
              <w:right w:val="single" w:sz="4" w:space="0" w:color="auto"/>
            </w:tcBorders>
            <w:shd w:val="clear" w:color="auto" w:fill="auto"/>
          </w:tcPr>
          <w:p w14:paraId="07D3D931"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3</w:t>
            </w:r>
          </w:p>
        </w:tc>
        <w:tc>
          <w:tcPr>
            <w:tcW w:w="2268" w:type="dxa"/>
            <w:tcBorders>
              <w:top w:val="single" w:sz="4" w:space="0" w:color="auto"/>
              <w:left w:val="nil"/>
              <w:bottom w:val="single" w:sz="4" w:space="0" w:color="auto"/>
              <w:right w:val="single" w:sz="4" w:space="0" w:color="auto"/>
            </w:tcBorders>
            <w:shd w:val="clear" w:color="auto" w:fill="auto"/>
          </w:tcPr>
          <w:p w14:paraId="653FEC7D"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4</w:t>
            </w:r>
          </w:p>
        </w:tc>
      </w:tr>
      <w:tr w:rsidR="00825F3F" w:rsidRPr="00CF5797" w14:paraId="5AAC421E"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6C5E7BCC" w14:textId="77777777" w:rsidR="00825F3F" w:rsidRPr="00CF5797" w:rsidRDefault="00825F3F" w:rsidP="0037190F">
            <w:pPr>
              <w:keepNext/>
              <w:keepLines/>
              <w:rPr>
                <w:color w:val="000000"/>
                <w:sz w:val="20"/>
                <w:szCs w:val="20"/>
                <w:lang w:val="fr-CA"/>
              </w:rPr>
            </w:pPr>
            <w:r w:rsidRPr="00CF5797">
              <w:rPr>
                <w:color w:val="000000"/>
                <w:sz w:val="20"/>
                <w:szCs w:val="20"/>
                <w:lang w:val="fr-CA"/>
              </w:rPr>
              <w:t>France</w:t>
            </w:r>
          </w:p>
        </w:tc>
        <w:tc>
          <w:tcPr>
            <w:tcW w:w="2268" w:type="dxa"/>
            <w:tcBorders>
              <w:top w:val="nil"/>
              <w:left w:val="single" w:sz="4" w:space="0" w:color="auto"/>
              <w:bottom w:val="single" w:sz="4" w:space="0" w:color="auto"/>
              <w:right w:val="single" w:sz="4" w:space="0" w:color="auto"/>
            </w:tcBorders>
            <w:shd w:val="clear" w:color="auto" w:fill="auto"/>
          </w:tcPr>
          <w:p w14:paraId="7FC02609"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1</w:t>
            </w:r>
          </w:p>
        </w:tc>
        <w:tc>
          <w:tcPr>
            <w:tcW w:w="2268" w:type="dxa"/>
            <w:tcBorders>
              <w:top w:val="nil"/>
              <w:left w:val="single" w:sz="4" w:space="0" w:color="auto"/>
              <w:bottom w:val="single" w:sz="4" w:space="0" w:color="auto"/>
              <w:right w:val="single" w:sz="4" w:space="0" w:color="auto"/>
            </w:tcBorders>
            <w:shd w:val="clear" w:color="auto" w:fill="auto"/>
          </w:tcPr>
          <w:p w14:paraId="09801AE3"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0</w:t>
            </w:r>
          </w:p>
        </w:tc>
        <w:tc>
          <w:tcPr>
            <w:tcW w:w="2268" w:type="dxa"/>
            <w:tcBorders>
              <w:top w:val="single" w:sz="4" w:space="0" w:color="auto"/>
              <w:left w:val="nil"/>
              <w:bottom w:val="single" w:sz="4" w:space="0" w:color="auto"/>
              <w:right w:val="single" w:sz="4" w:space="0" w:color="auto"/>
            </w:tcBorders>
            <w:shd w:val="clear" w:color="auto" w:fill="auto"/>
          </w:tcPr>
          <w:p w14:paraId="1294346F"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1</w:t>
            </w:r>
          </w:p>
        </w:tc>
      </w:tr>
      <w:tr w:rsidR="00825F3F" w:rsidRPr="00CF5797" w14:paraId="03ED0669"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1D7150CB" w14:textId="2311998A" w:rsidR="00825F3F" w:rsidRPr="00CF5797" w:rsidRDefault="00E77443" w:rsidP="0037190F">
            <w:pPr>
              <w:keepNext/>
              <w:keepLines/>
              <w:rPr>
                <w:color w:val="000000"/>
                <w:sz w:val="20"/>
                <w:szCs w:val="20"/>
                <w:lang w:val="fr-CA"/>
              </w:rPr>
            </w:pPr>
            <w:r w:rsidRPr="00CF5797">
              <w:rPr>
                <w:color w:val="000000"/>
                <w:sz w:val="20"/>
                <w:szCs w:val="20"/>
                <w:lang w:val="fr-CA"/>
              </w:rPr>
              <w:t>Allemagne</w:t>
            </w:r>
          </w:p>
        </w:tc>
        <w:tc>
          <w:tcPr>
            <w:tcW w:w="2268" w:type="dxa"/>
            <w:tcBorders>
              <w:top w:val="nil"/>
              <w:left w:val="single" w:sz="4" w:space="0" w:color="auto"/>
              <w:bottom w:val="single" w:sz="4" w:space="0" w:color="auto"/>
              <w:right w:val="single" w:sz="4" w:space="0" w:color="auto"/>
            </w:tcBorders>
            <w:shd w:val="clear" w:color="auto" w:fill="auto"/>
          </w:tcPr>
          <w:p w14:paraId="1F3531B2"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3</w:t>
            </w:r>
          </w:p>
        </w:tc>
        <w:tc>
          <w:tcPr>
            <w:tcW w:w="2268" w:type="dxa"/>
            <w:tcBorders>
              <w:top w:val="nil"/>
              <w:left w:val="single" w:sz="4" w:space="0" w:color="auto"/>
              <w:bottom w:val="single" w:sz="4" w:space="0" w:color="auto"/>
              <w:right w:val="single" w:sz="4" w:space="0" w:color="auto"/>
            </w:tcBorders>
            <w:shd w:val="clear" w:color="auto" w:fill="auto"/>
          </w:tcPr>
          <w:p w14:paraId="56C04B1C"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0</w:t>
            </w:r>
          </w:p>
        </w:tc>
        <w:tc>
          <w:tcPr>
            <w:tcW w:w="2268" w:type="dxa"/>
            <w:tcBorders>
              <w:top w:val="single" w:sz="4" w:space="0" w:color="auto"/>
              <w:left w:val="nil"/>
              <w:bottom w:val="single" w:sz="4" w:space="0" w:color="auto"/>
              <w:right w:val="single" w:sz="4" w:space="0" w:color="auto"/>
            </w:tcBorders>
            <w:shd w:val="clear" w:color="auto" w:fill="auto"/>
          </w:tcPr>
          <w:p w14:paraId="2A0E5C05"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3</w:t>
            </w:r>
          </w:p>
        </w:tc>
      </w:tr>
      <w:tr w:rsidR="00825F3F" w:rsidRPr="00CF5797" w14:paraId="64202E99"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371B8E69" w14:textId="3B097F0B" w:rsidR="00825F3F" w:rsidRPr="00CF5797" w:rsidRDefault="00E77443" w:rsidP="0037190F">
            <w:pPr>
              <w:keepNext/>
              <w:keepLines/>
              <w:rPr>
                <w:color w:val="000000"/>
                <w:sz w:val="20"/>
                <w:szCs w:val="20"/>
                <w:lang w:val="fr-CA"/>
              </w:rPr>
            </w:pPr>
            <w:r w:rsidRPr="00CF5797">
              <w:rPr>
                <w:color w:val="000000"/>
                <w:sz w:val="20"/>
                <w:szCs w:val="20"/>
                <w:lang w:val="fr-CA"/>
              </w:rPr>
              <w:t>Italie</w:t>
            </w:r>
          </w:p>
        </w:tc>
        <w:tc>
          <w:tcPr>
            <w:tcW w:w="2268" w:type="dxa"/>
            <w:tcBorders>
              <w:top w:val="nil"/>
              <w:left w:val="single" w:sz="4" w:space="0" w:color="auto"/>
              <w:bottom w:val="single" w:sz="4" w:space="0" w:color="auto"/>
              <w:right w:val="single" w:sz="4" w:space="0" w:color="auto"/>
            </w:tcBorders>
            <w:shd w:val="clear" w:color="auto" w:fill="auto"/>
          </w:tcPr>
          <w:p w14:paraId="373328B0"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4</w:t>
            </w:r>
          </w:p>
        </w:tc>
        <w:tc>
          <w:tcPr>
            <w:tcW w:w="2268" w:type="dxa"/>
            <w:tcBorders>
              <w:top w:val="nil"/>
              <w:left w:val="single" w:sz="4" w:space="0" w:color="auto"/>
              <w:bottom w:val="single" w:sz="4" w:space="0" w:color="auto"/>
              <w:right w:val="single" w:sz="4" w:space="0" w:color="auto"/>
            </w:tcBorders>
            <w:shd w:val="clear" w:color="auto" w:fill="auto"/>
          </w:tcPr>
          <w:p w14:paraId="40ACB9E9"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3</w:t>
            </w:r>
          </w:p>
        </w:tc>
        <w:tc>
          <w:tcPr>
            <w:tcW w:w="2268" w:type="dxa"/>
            <w:tcBorders>
              <w:top w:val="single" w:sz="4" w:space="0" w:color="auto"/>
              <w:left w:val="nil"/>
              <w:bottom w:val="single" w:sz="4" w:space="0" w:color="auto"/>
              <w:right w:val="single" w:sz="4" w:space="0" w:color="auto"/>
            </w:tcBorders>
            <w:shd w:val="clear" w:color="auto" w:fill="auto"/>
          </w:tcPr>
          <w:p w14:paraId="3D64EE8B"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1</w:t>
            </w:r>
          </w:p>
        </w:tc>
      </w:tr>
      <w:tr w:rsidR="00825F3F" w:rsidRPr="00CF5797" w14:paraId="70FD6EAC"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41A89732" w14:textId="0ECF9A6E" w:rsidR="00825F3F" w:rsidRPr="00CF5797" w:rsidRDefault="00E77443" w:rsidP="0037190F">
            <w:pPr>
              <w:keepNext/>
              <w:keepLines/>
              <w:rPr>
                <w:color w:val="000000"/>
                <w:sz w:val="20"/>
                <w:szCs w:val="20"/>
                <w:lang w:val="fr-CA"/>
              </w:rPr>
            </w:pPr>
            <w:r w:rsidRPr="00CF5797">
              <w:rPr>
                <w:color w:val="000000"/>
                <w:sz w:val="20"/>
                <w:szCs w:val="20"/>
                <w:lang w:val="fr-CA"/>
              </w:rPr>
              <w:t>PNUD</w:t>
            </w:r>
          </w:p>
        </w:tc>
        <w:tc>
          <w:tcPr>
            <w:tcW w:w="2268" w:type="dxa"/>
            <w:tcBorders>
              <w:top w:val="nil"/>
              <w:left w:val="single" w:sz="4" w:space="0" w:color="auto"/>
              <w:bottom w:val="single" w:sz="4" w:space="0" w:color="auto"/>
              <w:right w:val="single" w:sz="4" w:space="0" w:color="auto"/>
            </w:tcBorders>
            <w:shd w:val="clear" w:color="auto" w:fill="auto"/>
          </w:tcPr>
          <w:p w14:paraId="7BBD3D6A"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24</w:t>
            </w:r>
          </w:p>
        </w:tc>
        <w:tc>
          <w:tcPr>
            <w:tcW w:w="2268" w:type="dxa"/>
            <w:tcBorders>
              <w:top w:val="nil"/>
              <w:left w:val="single" w:sz="4" w:space="0" w:color="auto"/>
              <w:bottom w:val="single" w:sz="4" w:space="0" w:color="auto"/>
              <w:right w:val="single" w:sz="4" w:space="0" w:color="auto"/>
            </w:tcBorders>
            <w:shd w:val="clear" w:color="auto" w:fill="auto"/>
          </w:tcPr>
          <w:p w14:paraId="25EA0D10"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11</w:t>
            </w:r>
          </w:p>
        </w:tc>
        <w:tc>
          <w:tcPr>
            <w:tcW w:w="2268" w:type="dxa"/>
            <w:tcBorders>
              <w:top w:val="single" w:sz="4" w:space="0" w:color="auto"/>
              <w:left w:val="nil"/>
              <w:bottom w:val="single" w:sz="4" w:space="0" w:color="auto"/>
              <w:right w:val="single" w:sz="4" w:space="0" w:color="auto"/>
            </w:tcBorders>
            <w:shd w:val="clear" w:color="auto" w:fill="auto"/>
          </w:tcPr>
          <w:p w14:paraId="1F03D48A"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13</w:t>
            </w:r>
          </w:p>
        </w:tc>
      </w:tr>
      <w:tr w:rsidR="00825F3F" w:rsidRPr="00CF5797" w14:paraId="763B864E" w14:textId="77777777" w:rsidTr="004F62E7">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458BB3B2" w14:textId="49A3346E" w:rsidR="00825F3F" w:rsidRPr="00CF5797" w:rsidRDefault="00E77443" w:rsidP="0037190F">
            <w:pPr>
              <w:keepNext/>
              <w:keepLines/>
              <w:jc w:val="left"/>
              <w:rPr>
                <w:color w:val="000000"/>
                <w:sz w:val="20"/>
                <w:szCs w:val="20"/>
                <w:lang w:val="fr-CA"/>
              </w:rPr>
            </w:pPr>
            <w:r w:rsidRPr="00CF5797">
              <w:rPr>
                <w:color w:val="000000"/>
                <w:sz w:val="20"/>
                <w:szCs w:val="20"/>
                <w:lang w:val="fr-CA"/>
              </w:rPr>
              <w:t>PNUE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798D35"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2AE00E"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22</w:t>
            </w:r>
          </w:p>
        </w:tc>
        <w:tc>
          <w:tcPr>
            <w:tcW w:w="2268" w:type="dxa"/>
            <w:tcBorders>
              <w:top w:val="single" w:sz="4" w:space="0" w:color="auto"/>
              <w:left w:val="nil"/>
              <w:bottom w:val="single" w:sz="4" w:space="0" w:color="auto"/>
              <w:right w:val="single" w:sz="4" w:space="0" w:color="auto"/>
            </w:tcBorders>
            <w:shd w:val="clear" w:color="auto" w:fill="auto"/>
          </w:tcPr>
          <w:p w14:paraId="04E23C9A"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70</w:t>
            </w:r>
          </w:p>
        </w:tc>
      </w:tr>
      <w:tr w:rsidR="00825F3F" w:rsidRPr="00CF5797" w14:paraId="37935391"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649C5E89" w14:textId="60622BD7" w:rsidR="00825F3F" w:rsidRPr="00CF5797" w:rsidRDefault="00E77443" w:rsidP="0037190F">
            <w:pPr>
              <w:keepNext/>
              <w:keepLines/>
              <w:rPr>
                <w:color w:val="000000"/>
                <w:sz w:val="20"/>
                <w:szCs w:val="20"/>
                <w:lang w:val="fr-CA"/>
              </w:rPr>
            </w:pPr>
            <w:r w:rsidRPr="00CF5797">
              <w:rPr>
                <w:color w:val="000000"/>
                <w:sz w:val="20"/>
                <w:szCs w:val="20"/>
                <w:lang w:val="fr-CA"/>
              </w:rPr>
              <w:t>ONUDI</w:t>
            </w:r>
          </w:p>
        </w:tc>
        <w:tc>
          <w:tcPr>
            <w:tcW w:w="2268" w:type="dxa"/>
            <w:tcBorders>
              <w:top w:val="nil"/>
              <w:left w:val="single" w:sz="4" w:space="0" w:color="auto"/>
              <w:bottom w:val="single" w:sz="4" w:space="0" w:color="auto"/>
              <w:right w:val="single" w:sz="4" w:space="0" w:color="auto"/>
            </w:tcBorders>
            <w:shd w:val="clear" w:color="auto" w:fill="auto"/>
          </w:tcPr>
          <w:p w14:paraId="5DE3A5E1"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35</w:t>
            </w:r>
          </w:p>
        </w:tc>
        <w:tc>
          <w:tcPr>
            <w:tcW w:w="2268" w:type="dxa"/>
            <w:tcBorders>
              <w:top w:val="nil"/>
              <w:left w:val="single" w:sz="4" w:space="0" w:color="auto"/>
              <w:bottom w:val="single" w:sz="4" w:space="0" w:color="auto"/>
              <w:right w:val="single" w:sz="4" w:space="0" w:color="auto"/>
            </w:tcBorders>
            <w:shd w:val="clear" w:color="auto" w:fill="auto"/>
          </w:tcPr>
          <w:p w14:paraId="015F891A"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18</w:t>
            </w:r>
          </w:p>
        </w:tc>
        <w:tc>
          <w:tcPr>
            <w:tcW w:w="2268" w:type="dxa"/>
            <w:tcBorders>
              <w:top w:val="single" w:sz="4" w:space="0" w:color="auto"/>
              <w:left w:val="nil"/>
              <w:bottom w:val="single" w:sz="4" w:space="0" w:color="auto"/>
              <w:right w:val="single" w:sz="4" w:space="0" w:color="auto"/>
            </w:tcBorders>
            <w:shd w:val="clear" w:color="auto" w:fill="auto"/>
          </w:tcPr>
          <w:p w14:paraId="491B4E30"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17</w:t>
            </w:r>
          </w:p>
        </w:tc>
      </w:tr>
      <w:tr w:rsidR="00825F3F" w:rsidRPr="00CF5797" w14:paraId="668BCB0D" w14:textId="77777777" w:rsidTr="004F62E7">
        <w:tc>
          <w:tcPr>
            <w:tcW w:w="2547" w:type="dxa"/>
            <w:tcBorders>
              <w:top w:val="nil"/>
              <w:left w:val="single" w:sz="4" w:space="0" w:color="auto"/>
              <w:bottom w:val="single" w:sz="4" w:space="0" w:color="auto"/>
              <w:right w:val="single" w:sz="4" w:space="0" w:color="auto"/>
            </w:tcBorders>
            <w:shd w:val="clear" w:color="auto" w:fill="auto"/>
            <w:vAlign w:val="bottom"/>
          </w:tcPr>
          <w:p w14:paraId="29F9B599" w14:textId="049655BC" w:rsidR="00825F3F" w:rsidRPr="00CF5797" w:rsidRDefault="00E77443" w:rsidP="0037190F">
            <w:pPr>
              <w:keepNext/>
              <w:keepLines/>
              <w:rPr>
                <w:color w:val="000000"/>
                <w:sz w:val="20"/>
                <w:szCs w:val="20"/>
                <w:lang w:val="fr-CA"/>
              </w:rPr>
            </w:pPr>
            <w:r w:rsidRPr="00CF5797">
              <w:rPr>
                <w:color w:val="000000"/>
                <w:sz w:val="20"/>
                <w:szCs w:val="20"/>
                <w:lang w:val="fr-CA"/>
              </w:rPr>
              <w:t>Banque mondiale</w:t>
            </w:r>
          </w:p>
        </w:tc>
        <w:tc>
          <w:tcPr>
            <w:tcW w:w="2268" w:type="dxa"/>
            <w:tcBorders>
              <w:top w:val="nil"/>
              <w:left w:val="single" w:sz="4" w:space="0" w:color="auto"/>
              <w:bottom w:val="single" w:sz="4" w:space="0" w:color="auto"/>
              <w:right w:val="single" w:sz="4" w:space="0" w:color="auto"/>
            </w:tcBorders>
            <w:shd w:val="clear" w:color="auto" w:fill="auto"/>
          </w:tcPr>
          <w:p w14:paraId="6BB872D7" w14:textId="77777777" w:rsidR="00825F3F" w:rsidRPr="00CF5797" w:rsidRDefault="00825F3F" w:rsidP="0037190F">
            <w:pPr>
              <w:keepNext/>
              <w:keepLines/>
              <w:tabs>
                <w:tab w:val="left" w:pos="1213"/>
              </w:tabs>
              <w:ind w:right="845"/>
              <w:jc w:val="right"/>
              <w:rPr>
                <w:color w:val="000000"/>
                <w:sz w:val="20"/>
                <w:szCs w:val="20"/>
                <w:lang w:val="fr-CA"/>
              </w:rPr>
            </w:pPr>
            <w:r w:rsidRPr="00CF5797">
              <w:rPr>
                <w:sz w:val="20"/>
                <w:szCs w:val="20"/>
                <w:lang w:val="fr-CA"/>
              </w:rPr>
              <w:t>4</w:t>
            </w:r>
          </w:p>
        </w:tc>
        <w:tc>
          <w:tcPr>
            <w:tcW w:w="2268" w:type="dxa"/>
            <w:tcBorders>
              <w:top w:val="nil"/>
              <w:left w:val="single" w:sz="4" w:space="0" w:color="auto"/>
              <w:bottom w:val="single" w:sz="4" w:space="0" w:color="auto"/>
              <w:right w:val="single" w:sz="4" w:space="0" w:color="auto"/>
            </w:tcBorders>
            <w:shd w:val="clear" w:color="auto" w:fill="auto"/>
          </w:tcPr>
          <w:p w14:paraId="1E1A8E28" w14:textId="77777777" w:rsidR="00825F3F" w:rsidRPr="00CF5797" w:rsidRDefault="00825F3F" w:rsidP="0037190F">
            <w:pPr>
              <w:keepNext/>
              <w:keepLines/>
              <w:ind w:right="947"/>
              <w:jc w:val="right"/>
              <w:rPr>
                <w:color w:val="000000"/>
                <w:sz w:val="20"/>
                <w:szCs w:val="20"/>
                <w:lang w:val="fr-CA"/>
              </w:rPr>
            </w:pPr>
            <w:r w:rsidRPr="00CF5797">
              <w:rPr>
                <w:sz w:val="20"/>
                <w:szCs w:val="20"/>
                <w:lang w:val="fr-CA"/>
              </w:rPr>
              <w:t>3</w:t>
            </w:r>
          </w:p>
        </w:tc>
        <w:tc>
          <w:tcPr>
            <w:tcW w:w="2268" w:type="dxa"/>
            <w:tcBorders>
              <w:top w:val="single" w:sz="4" w:space="0" w:color="auto"/>
              <w:left w:val="nil"/>
              <w:bottom w:val="single" w:sz="4" w:space="0" w:color="auto"/>
              <w:right w:val="single" w:sz="4" w:space="0" w:color="auto"/>
            </w:tcBorders>
            <w:shd w:val="clear" w:color="auto" w:fill="auto"/>
          </w:tcPr>
          <w:p w14:paraId="7BCC454E" w14:textId="77777777" w:rsidR="00825F3F" w:rsidRPr="00CF5797" w:rsidRDefault="00825F3F" w:rsidP="0037190F">
            <w:pPr>
              <w:keepNext/>
              <w:keepLines/>
              <w:ind w:right="879"/>
              <w:jc w:val="right"/>
              <w:rPr>
                <w:color w:val="000000"/>
                <w:sz w:val="20"/>
                <w:szCs w:val="20"/>
                <w:lang w:val="fr-CA"/>
              </w:rPr>
            </w:pPr>
            <w:r w:rsidRPr="00CF5797">
              <w:rPr>
                <w:sz w:val="20"/>
                <w:szCs w:val="20"/>
                <w:lang w:val="fr-CA"/>
              </w:rPr>
              <w:t>1</w:t>
            </w:r>
          </w:p>
        </w:tc>
      </w:tr>
      <w:tr w:rsidR="00825F3F" w:rsidRPr="00CF5797" w14:paraId="7CA8599E" w14:textId="77777777" w:rsidTr="004F62E7">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1BF9AC88" w14:textId="77777777" w:rsidR="00825F3F" w:rsidRPr="00CF5797" w:rsidRDefault="00825F3F" w:rsidP="0037190F">
            <w:pPr>
              <w:keepNext/>
              <w:keepLines/>
              <w:rPr>
                <w:b/>
                <w:color w:val="000000"/>
                <w:sz w:val="20"/>
                <w:szCs w:val="20"/>
                <w:lang w:val="fr-CA"/>
              </w:rPr>
            </w:pPr>
            <w:r w:rsidRPr="00CF5797">
              <w:rPr>
                <w:b/>
                <w:color w:val="000000"/>
                <w:sz w:val="20"/>
                <w:szCs w:val="20"/>
                <w:lang w:val="fr-CA"/>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5CAC14" w14:textId="77777777" w:rsidR="00825F3F" w:rsidRPr="00CF5797" w:rsidRDefault="00825F3F" w:rsidP="0037190F">
            <w:pPr>
              <w:keepNext/>
              <w:keepLines/>
              <w:tabs>
                <w:tab w:val="left" w:pos="1213"/>
              </w:tabs>
              <w:ind w:right="845"/>
              <w:jc w:val="right"/>
              <w:rPr>
                <w:b/>
                <w:color w:val="000000"/>
                <w:sz w:val="20"/>
                <w:szCs w:val="20"/>
                <w:lang w:val="fr-CA"/>
              </w:rPr>
            </w:pPr>
            <w:r w:rsidRPr="00CF5797">
              <w:rPr>
                <w:b/>
                <w:sz w:val="20"/>
                <w:szCs w:val="20"/>
                <w:lang w:val="fr-CA"/>
              </w:rPr>
              <w:t>170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4270D5" w14:textId="77777777" w:rsidR="00825F3F" w:rsidRPr="00CF5797" w:rsidRDefault="00825F3F" w:rsidP="0037190F">
            <w:pPr>
              <w:keepNext/>
              <w:keepLines/>
              <w:ind w:right="947"/>
              <w:jc w:val="right"/>
              <w:rPr>
                <w:b/>
                <w:color w:val="000000"/>
                <w:sz w:val="20"/>
                <w:szCs w:val="20"/>
                <w:lang w:val="fr-CA"/>
              </w:rPr>
            </w:pPr>
            <w:r w:rsidRPr="00CF5797">
              <w:rPr>
                <w:b/>
                <w:sz w:val="20"/>
                <w:szCs w:val="20"/>
                <w:lang w:val="fr-CA"/>
              </w:rPr>
              <w:t>60</w:t>
            </w:r>
          </w:p>
        </w:tc>
        <w:tc>
          <w:tcPr>
            <w:tcW w:w="2268" w:type="dxa"/>
            <w:tcBorders>
              <w:top w:val="single" w:sz="4" w:space="0" w:color="auto"/>
              <w:left w:val="nil"/>
              <w:bottom w:val="single" w:sz="4" w:space="0" w:color="auto"/>
              <w:right w:val="single" w:sz="4" w:space="0" w:color="auto"/>
            </w:tcBorders>
            <w:shd w:val="clear" w:color="auto" w:fill="auto"/>
          </w:tcPr>
          <w:p w14:paraId="49EF4EA1" w14:textId="77777777" w:rsidR="00825F3F" w:rsidRPr="00CF5797" w:rsidRDefault="00825F3F" w:rsidP="0037190F">
            <w:pPr>
              <w:keepNext/>
              <w:keepLines/>
              <w:ind w:right="879"/>
              <w:jc w:val="right"/>
              <w:rPr>
                <w:b/>
                <w:color w:val="000000"/>
                <w:sz w:val="20"/>
                <w:szCs w:val="20"/>
                <w:lang w:val="fr-CA"/>
              </w:rPr>
            </w:pPr>
            <w:r w:rsidRPr="00CF5797">
              <w:rPr>
                <w:b/>
                <w:sz w:val="20"/>
                <w:szCs w:val="20"/>
                <w:lang w:val="fr-CA"/>
              </w:rPr>
              <w:t>110</w:t>
            </w:r>
          </w:p>
        </w:tc>
      </w:tr>
    </w:tbl>
    <w:p w14:paraId="6182FF27" w14:textId="64CBD45A" w:rsidR="00825F3F" w:rsidRPr="00CF5797" w:rsidRDefault="00825F3F" w:rsidP="00825F3F">
      <w:pPr>
        <w:rPr>
          <w:strike/>
          <w:sz w:val="18"/>
          <w:szCs w:val="18"/>
          <w:lang w:val="fr-CA"/>
        </w:rPr>
      </w:pPr>
      <w:r w:rsidRPr="00CF5797">
        <w:rPr>
          <w:sz w:val="18"/>
          <w:szCs w:val="18"/>
          <w:lang w:val="fr-CA"/>
        </w:rPr>
        <w:t>*</w:t>
      </w:r>
      <w:r w:rsidR="00E77443" w:rsidRPr="00CF5797">
        <w:rPr>
          <w:sz w:val="18"/>
          <w:szCs w:val="18"/>
          <w:lang w:val="fr-CA"/>
        </w:rPr>
        <w:t xml:space="preserve">Comprend 18 projets </w:t>
      </w:r>
      <w:r w:rsidR="002F2B61">
        <w:rPr>
          <w:sz w:val="18"/>
          <w:szCs w:val="18"/>
          <w:lang w:val="fr-CA"/>
        </w:rPr>
        <w:t>dont l’achèvement est prévu</w:t>
      </w:r>
      <w:r w:rsidR="00E77443" w:rsidRPr="00CF5797">
        <w:rPr>
          <w:sz w:val="18"/>
          <w:szCs w:val="18"/>
          <w:lang w:val="fr-CA"/>
        </w:rPr>
        <w:t xml:space="preserve"> en juin 2021</w:t>
      </w:r>
      <w:r w:rsidR="0037190F">
        <w:rPr>
          <w:sz w:val="18"/>
          <w:szCs w:val="18"/>
          <w:lang w:val="fr-CA"/>
        </w:rPr>
        <w:t xml:space="preserve"> </w:t>
      </w:r>
      <w:r w:rsidR="00E77443" w:rsidRPr="00CF5797">
        <w:rPr>
          <w:sz w:val="18"/>
          <w:szCs w:val="18"/>
          <w:lang w:val="fr-CA"/>
        </w:rPr>
        <w:t>; ces projets n’exigent pas une approbation spécifique de la prorogation par le Comité exécutif, conformément à la décision 86/50</w:t>
      </w:r>
      <w:r w:rsidRPr="00CF5797">
        <w:rPr>
          <w:sz w:val="18"/>
          <w:szCs w:val="18"/>
          <w:lang w:val="fr-CA"/>
        </w:rPr>
        <w:t xml:space="preserve">. </w:t>
      </w:r>
    </w:p>
    <w:p w14:paraId="798365A3" w14:textId="77777777" w:rsidR="00825F3F" w:rsidRPr="00CF5797" w:rsidRDefault="00825F3F" w:rsidP="00825F3F">
      <w:pPr>
        <w:rPr>
          <w:lang w:val="fr-CA"/>
        </w:rPr>
      </w:pPr>
    </w:p>
    <w:p w14:paraId="40DF22B0" w14:textId="633B12AC" w:rsidR="00825F3F" w:rsidRPr="00CF5797" w:rsidRDefault="00E77443" w:rsidP="00825F3F">
      <w:pPr>
        <w:pStyle w:val="Heading1"/>
        <w:rPr>
          <w:lang w:val="fr-CA"/>
        </w:rPr>
      </w:pPr>
      <w:r w:rsidRPr="00CF5797">
        <w:rPr>
          <w:lang w:val="fr-CA"/>
        </w:rPr>
        <w:t xml:space="preserve">Les agences ont indiqué que de façon générale, la mise en œuvre des projets d’investissement et des activités de facilitation </w:t>
      </w:r>
      <w:r w:rsidR="00BC564F" w:rsidRPr="00CF5797">
        <w:rPr>
          <w:lang w:val="fr-CA"/>
        </w:rPr>
        <w:t>avait été affectée par la pandémie de la COVID-19</w:t>
      </w:r>
      <w:r w:rsidR="0037190F">
        <w:rPr>
          <w:lang w:val="fr-CA"/>
        </w:rPr>
        <w:t xml:space="preserve"> </w:t>
      </w:r>
      <w:r w:rsidR="00BC564F" w:rsidRPr="00CF5797">
        <w:rPr>
          <w:lang w:val="fr-CA"/>
        </w:rPr>
        <w:t>; les agences, en consultation avec les Bureaux nationaux de l’ozone, ont tenté d’achever les activités, dans la mesure du possible, au moy</w:t>
      </w:r>
      <w:r w:rsidR="002F2B61">
        <w:rPr>
          <w:lang w:val="fr-CA"/>
        </w:rPr>
        <w:t>en de rencontres virtuelles et d’</w:t>
      </w:r>
      <w:r w:rsidR="00BC564F" w:rsidRPr="00CF5797">
        <w:rPr>
          <w:lang w:val="fr-CA"/>
        </w:rPr>
        <w:t>activités</w:t>
      </w:r>
      <w:r w:rsidR="002F2B61">
        <w:rPr>
          <w:lang w:val="fr-CA"/>
        </w:rPr>
        <w:t xml:space="preserve"> hors ligne (</w:t>
      </w:r>
      <w:r w:rsidR="00BC564F" w:rsidRPr="00CF5797">
        <w:rPr>
          <w:lang w:val="fr-CA"/>
        </w:rPr>
        <w:t xml:space="preserve">p. ex., préparation des rapports, analyse des données par rapport aux données de terrain obtenues en ligne). </w:t>
      </w:r>
      <w:r w:rsidR="006E303E">
        <w:rPr>
          <w:lang w:val="fr-CA"/>
        </w:rPr>
        <w:t>Cependant</w:t>
      </w:r>
      <w:r w:rsidR="00BC564F" w:rsidRPr="00CF5797">
        <w:rPr>
          <w:lang w:val="fr-CA"/>
        </w:rPr>
        <w:t xml:space="preserve">, un délai supplémentaire est nécessaire pour mener à terme </w:t>
      </w:r>
      <w:r w:rsidR="006E303E">
        <w:rPr>
          <w:lang w:val="fr-CA"/>
        </w:rPr>
        <w:t>plusieurs activités (p. ex</w:t>
      </w:r>
      <w:r w:rsidR="00BC564F" w:rsidRPr="00CF5797">
        <w:rPr>
          <w:lang w:val="fr-CA"/>
        </w:rPr>
        <w:t>., finalisation des stratégies, des politiques et des documents juridiques portant sur l’Amendement de Kigali, soutien à la ratification de l’Amendement de Kigali, mise en œuvre de programmes de formation, mise en œuvre d’ateliers de sensibilisation et de rayonnement, installation d’équipement et vérification dans le cadre des projets d’investissement)</w:t>
      </w:r>
      <w:r w:rsidR="00825F3F" w:rsidRPr="00CF5797">
        <w:rPr>
          <w:lang w:val="fr-CA"/>
        </w:rPr>
        <w:t xml:space="preserve">.  </w:t>
      </w:r>
    </w:p>
    <w:p w14:paraId="4B42992C" w14:textId="3C313E29" w:rsidR="00825F3F" w:rsidRPr="00CF5797" w:rsidRDefault="007257C2" w:rsidP="007257C2">
      <w:pPr>
        <w:pStyle w:val="Heading1"/>
        <w:rPr>
          <w:lang w:val="fr-CA"/>
        </w:rPr>
      </w:pPr>
      <w:r w:rsidRPr="00CF5797">
        <w:rPr>
          <w:lang w:val="fr-CA"/>
        </w:rPr>
        <w:t xml:space="preserve">Les demandes de prorogation des activités de facilitation </w:t>
      </w:r>
      <w:r w:rsidR="006E303E">
        <w:rPr>
          <w:lang w:val="fr-CA"/>
        </w:rPr>
        <w:t>de</w:t>
      </w:r>
      <w:r w:rsidRPr="00CF5797">
        <w:rPr>
          <w:lang w:val="fr-CA"/>
        </w:rPr>
        <w:t xml:space="preserve"> la réduction progressive des HFC pour l’Algérie (ONUDI), le Belize (PNUD), le Burundi (PNUE), la Guinée (PNUE), Haïti (PNUD) et la République de Moldavie (PNUD) sont abordées séparément aux paragraphes 220 à 222 du présent document, conformément à la décision </w:t>
      </w:r>
      <w:r w:rsidR="00825F3F" w:rsidRPr="00CF5797">
        <w:rPr>
          <w:lang w:val="fr-CA"/>
        </w:rPr>
        <w:t>81/32</w:t>
      </w:r>
      <w:r w:rsidRPr="00CF5797">
        <w:rPr>
          <w:lang w:val="fr-CA"/>
        </w:rPr>
        <w:t xml:space="preserve"> </w:t>
      </w:r>
      <w:r w:rsidR="00825F3F" w:rsidRPr="00CF5797">
        <w:rPr>
          <w:lang w:val="fr-CA"/>
        </w:rPr>
        <w:t>a).</w:t>
      </w:r>
      <w:r w:rsidR="00825F3F" w:rsidRPr="00CF5797">
        <w:rPr>
          <w:rStyle w:val="FootnoteReference"/>
          <w:lang w:val="fr-CA"/>
        </w:rPr>
        <w:footnoteReference w:id="49"/>
      </w:r>
      <w:r w:rsidR="00825F3F" w:rsidRPr="00CF5797">
        <w:rPr>
          <w:lang w:val="fr-CA"/>
        </w:rPr>
        <w:t xml:space="preserve"> </w:t>
      </w:r>
    </w:p>
    <w:p w14:paraId="54FB01A7" w14:textId="2FF7EF88" w:rsidR="00825F3F" w:rsidRPr="00CF5797" w:rsidRDefault="00BB379C" w:rsidP="00825F3F">
      <w:pPr>
        <w:pStyle w:val="Heading1"/>
        <w:keepNext/>
        <w:numPr>
          <w:ilvl w:val="0"/>
          <w:numId w:val="0"/>
        </w:numPr>
        <w:rPr>
          <w:b/>
          <w:lang w:val="fr-CA"/>
        </w:rPr>
      </w:pPr>
      <w:r w:rsidRPr="00CF5797">
        <w:rPr>
          <w:b/>
          <w:lang w:val="fr-CA"/>
        </w:rPr>
        <w:t>Observations du Secrétariat</w:t>
      </w:r>
    </w:p>
    <w:p w14:paraId="3C7B4740" w14:textId="566A913F" w:rsidR="00825F3F" w:rsidRPr="00CF5797" w:rsidRDefault="00BB379C" w:rsidP="00825F3F">
      <w:pPr>
        <w:pStyle w:val="Heading1"/>
        <w:keepNext/>
        <w:rPr>
          <w:lang w:val="fr-CA"/>
        </w:rPr>
      </w:pPr>
      <w:r w:rsidRPr="00CF5797">
        <w:rPr>
          <w:lang w:val="fr-CA"/>
        </w:rPr>
        <w:t>Le Secrétariat a pris note que des progrès avaient été accomplis dans la plupart des activités relatives aux HFC à une étape avancée de leur mise en œuvre, malgré les</w:t>
      </w:r>
      <w:r w:rsidR="00EC3969" w:rsidRPr="00CF5797">
        <w:rPr>
          <w:lang w:val="fr-CA"/>
        </w:rPr>
        <w:t xml:space="preserve"> contraintes im</w:t>
      </w:r>
      <w:r w:rsidRPr="00CF5797">
        <w:rPr>
          <w:lang w:val="fr-CA"/>
        </w:rPr>
        <w:t xml:space="preserve">posées par la pandémie de la COVID-19. </w:t>
      </w:r>
      <w:r w:rsidR="00EC3969" w:rsidRPr="00CF5797">
        <w:rPr>
          <w:lang w:val="fr-CA"/>
        </w:rPr>
        <w:t>Ayant pris connaissance de l’information fournie par les agences bilatérales et d’exécution et après avoir obtenu les précisions nécessaires, le Secrétariat est d’avis que le temps supplémentaire demandé permettra aux pays d’achever les activités restantes dans un délai raisonnable, comme résumé à l’annexe VII au présent document</w:t>
      </w:r>
      <w:r w:rsidR="00825F3F" w:rsidRPr="00CF5797">
        <w:rPr>
          <w:lang w:val="fr-CA"/>
        </w:rPr>
        <w:t xml:space="preserve">. </w:t>
      </w:r>
    </w:p>
    <w:p w14:paraId="60692516" w14:textId="7B407AD6" w:rsidR="00825F3F" w:rsidRPr="00CF5797" w:rsidRDefault="00EC3969" w:rsidP="00825F3F">
      <w:pPr>
        <w:pStyle w:val="Heading1"/>
        <w:numPr>
          <w:ilvl w:val="0"/>
          <w:numId w:val="0"/>
        </w:numPr>
        <w:rPr>
          <w:b/>
          <w:lang w:val="fr-CA"/>
        </w:rPr>
      </w:pPr>
      <w:r w:rsidRPr="00CF5797">
        <w:rPr>
          <w:b/>
          <w:lang w:val="fr-CA"/>
        </w:rPr>
        <w:t>Recomma</w:t>
      </w:r>
      <w:r w:rsidR="00825F3F" w:rsidRPr="00CF5797">
        <w:rPr>
          <w:b/>
          <w:lang w:val="fr-CA"/>
        </w:rPr>
        <w:t>ndation</w:t>
      </w:r>
    </w:p>
    <w:p w14:paraId="3CC097BB" w14:textId="26650439" w:rsidR="00825F3F" w:rsidRPr="00CF5797" w:rsidRDefault="00EC3969" w:rsidP="00825F3F">
      <w:pPr>
        <w:pStyle w:val="Heading1"/>
        <w:rPr>
          <w:lang w:val="fr-CA"/>
        </w:rPr>
      </w:pPr>
      <w:r w:rsidRPr="00CF5797">
        <w:rPr>
          <w:lang w:val="fr-CA"/>
        </w:rPr>
        <w:t xml:space="preserve">Le Comité exécutif pourrait souhaiter </w:t>
      </w:r>
      <w:r w:rsidR="00825F3F" w:rsidRPr="00CF5797">
        <w:rPr>
          <w:lang w:val="fr-CA"/>
        </w:rPr>
        <w:t>:</w:t>
      </w:r>
    </w:p>
    <w:p w14:paraId="4389B980" w14:textId="638D8172" w:rsidR="00825F3F" w:rsidRPr="00CF5797" w:rsidRDefault="00EC3969" w:rsidP="00825F3F">
      <w:pPr>
        <w:pStyle w:val="Heading2"/>
        <w:rPr>
          <w:lang w:val="fr-CA"/>
        </w:rPr>
      </w:pPr>
      <w:r w:rsidRPr="00CF5797">
        <w:rPr>
          <w:lang w:val="fr-CA"/>
        </w:rPr>
        <w:t xml:space="preserve">Prendre note </w:t>
      </w:r>
      <w:r w:rsidR="00825F3F" w:rsidRPr="00CF5797">
        <w:rPr>
          <w:lang w:val="fr-CA"/>
        </w:rPr>
        <w:t>:</w:t>
      </w:r>
    </w:p>
    <w:p w14:paraId="159E31CE" w14:textId="15232DD9" w:rsidR="00825F3F" w:rsidRPr="00CF5797" w:rsidRDefault="00EC3969" w:rsidP="00825F3F">
      <w:pPr>
        <w:pStyle w:val="Heading3"/>
        <w:rPr>
          <w:lang w:val="fr-CA"/>
        </w:rPr>
      </w:pPr>
      <w:r w:rsidRPr="00CF5797">
        <w:rPr>
          <w:lang w:val="fr-CA"/>
        </w:rPr>
        <w:t>Du rapport sur les activités relatives aux HFC dont la date d’achèvement doit être prorogée, remis par le gouvernement du Canada, de la France, de l’Allemagne et de l’Italie</w:t>
      </w:r>
      <w:r w:rsidR="00334AE6">
        <w:rPr>
          <w:lang w:val="fr-CA"/>
        </w:rPr>
        <w:t>, et le PNUD</w:t>
      </w:r>
      <w:r w:rsidRPr="00CF5797">
        <w:rPr>
          <w:lang w:val="fr-CA"/>
        </w:rPr>
        <w:t>, le PNUE, l’ONUDI et la Banque mondiale, présenté aux paragraphes 214 à 219 et à l’annexe VII au document</w:t>
      </w:r>
      <w:r w:rsidR="00825F3F" w:rsidRPr="00CF5797">
        <w:rPr>
          <w:lang w:val="fr-CA"/>
        </w:rPr>
        <w:t xml:space="preserve"> UNEP/OzL.Pro/ExCom/87/9</w:t>
      </w:r>
      <w:r w:rsidR="0037190F">
        <w:rPr>
          <w:lang w:val="fr-CA"/>
        </w:rPr>
        <w:t xml:space="preserve"> </w:t>
      </w:r>
      <w:r w:rsidR="00825F3F" w:rsidRPr="00CF5797">
        <w:rPr>
          <w:lang w:val="fr-CA"/>
        </w:rPr>
        <w:t>;</w:t>
      </w:r>
    </w:p>
    <w:p w14:paraId="70E95831" w14:textId="61F484B4" w:rsidR="00825F3F" w:rsidRPr="00CF5797" w:rsidRDefault="007C3E81" w:rsidP="00825F3F">
      <w:pPr>
        <w:pStyle w:val="Heading3"/>
        <w:rPr>
          <w:lang w:val="fr-CA"/>
        </w:rPr>
      </w:pPr>
      <w:r w:rsidRPr="00CF5797">
        <w:rPr>
          <w:lang w:val="fr-CA"/>
        </w:rPr>
        <w:t>Avec satisfaction de l’achèvement de 60 proje</w:t>
      </w:r>
      <w:r w:rsidR="00CE2545" w:rsidRPr="00CF5797">
        <w:rPr>
          <w:lang w:val="fr-CA"/>
        </w:rPr>
        <w:t>ts et activités relatifs aux HFC</w:t>
      </w:r>
      <w:r w:rsidR="00334AE6">
        <w:rPr>
          <w:lang w:val="fr-CA"/>
        </w:rPr>
        <w:t xml:space="preserve">, compte tenu </w:t>
      </w:r>
      <w:r w:rsidRPr="00CF5797">
        <w:rPr>
          <w:lang w:val="fr-CA"/>
        </w:rPr>
        <w:t xml:space="preserve">des contraintes imposées par la pandémie de la COVID-19 </w:t>
      </w:r>
      <w:r w:rsidR="00334AE6">
        <w:rPr>
          <w:lang w:val="fr-CA"/>
        </w:rPr>
        <w:t>à</w:t>
      </w:r>
      <w:r w:rsidRPr="00CF5797">
        <w:rPr>
          <w:lang w:val="fr-CA"/>
        </w:rPr>
        <w:t xml:space="preserve"> la mise en œuvre des projets</w:t>
      </w:r>
      <w:r w:rsidR="0037190F">
        <w:rPr>
          <w:lang w:val="fr-CA"/>
        </w:rPr>
        <w:t xml:space="preserve"> </w:t>
      </w:r>
      <w:r w:rsidRPr="00CF5797">
        <w:rPr>
          <w:lang w:val="fr-CA"/>
        </w:rPr>
        <w:t>;</w:t>
      </w:r>
      <w:r w:rsidR="0037190F">
        <w:rPr>
          <w:lang w:val="fr-CA"/>
        </w:rPr>
        <w:t xml:space="preserve"> et</w:t>
      </w:r>
    </w:p>
    <w:p w14:paraId="42E93E05" w14:textId="3DBA34EB" w:rsidR="00825F3F" w:rsidRPr="00CF5797" w:rsidRDefault="00CE2545" w:rsidP="00825F3F">
      <w:pPr>
        <w:pStyle w:val="Heading2"/>
        <w:rPr>
          <w:lang w:val="fr-CA"/>
        </w:rPr>
      </w:pPr>
      <w:r w:rsidRPr="00CF5797">
        <w:rPr>
          <w:lang w:val="fr-CA"/>
        </w:rPr>
        <w:t>Approuver la prorogation des activités relatives aux HFC figurant à l’annexe VII aux présentes, à la date indiquée dans la dernière colonne de l’annexe, à titre exceptionnel, à cause des contraintes imposées par la pandémie de la COVID-19</w:t>
      </w:r>
      <w:r w:rsidR="0037190F">
        <w:rPr>
          <w:lang w:val="fr-CA"/>
        </w:rPr>
        <w:t xml:space="preserve"> </w:t>
      </w:r>
      <w:r w:rsidRPr="00CF5797">
        <w:rPr>
          <w:lang w:val="fr-CA"/>
        </w:rPr>
        <w:t>; et encourager les agences bilatérales et d’exécution à continuer à aider les pays visés à l'article 5 à achever ces activités dans les meilleurs délais.</w:t>
      </w:r>
    </w:p>
    <w:p w14:paraId="08FD2727" w14:textId="2BEA5F2F" w:rsidR="00825F3F" w:rsidRPr="00CF5797" w:rsidRDefault="00CE2545" w:rsidP="00825F3F">
      <w:pPr>
        <w:keepNext/>
        <w:spacing w:after="160"/>
        <w:rPr>
          <w:b/>
          <w:lang w:val="fr-CA"/>
        </w:rPr>
      </w:pPr>
      <w:r w:rsidRPr="00CF5797">
        <w:rPr>
          <w:b/>
          <w:lang w:val="fr-CA"/>
        </w:rPr>
        <w:lastRenderedPageBreak/>
        <w:t>Demandes de prorogation des activités de facilitation, conformément à la décision 81/</w:t>
      </w:r>
      <w:r w:rsidR="00825F3F" w:rsidRPr="00CF5797">
        <w:rPr>
          <w:b/>
          <w:lang w:val="fr-CA"/>
        </w:rPr>
        <w:t>32</w:t>
      </w:r>
      <w:r w:rsidRPr="00CF5797">
        <w:rPr>
          <w:b/>
          <w:lang w:val="fr-CA"/>
        </w:rPr>
        <w:t xml:space="preserve"> </w:t>
      </w:r>
      <w:r w:rsidR="00825F3F" w:rsidRPr="00CF5797">
        <w:rPr>
          <w:b/>
          <w:lang w:val="fr-CA"/>
        </w:rPr>
        <w:t>a)</w:t>
      </w:r>
    </w:p>
    <w:p w14:paraId="72D3B4C5" w14:textId="2E4FDAFE" w:rsidR="00825F3F" w:rsidRPr="00CF5797" w:rsidRDefault="00CE2545" w:rsidP="00CE2545">
      <w:pPr>
        <w:keepNext/>
        <w:numPr>
          <w:ilvl w:val="0"/>
          <w:numId w:val="1"/>
        </w:numPr>
        <w:tabs>
          <w:tab w:val="num" w:pos="710"/>
        </w:tabs>
        <w:spacing w:after="160"/>
        <w:outlineLvl w:val="0"/>
        <w:rPr>
          <w:lang w:val="fr-CA"/>
        </w:rPr>
      </w:pPr>
      <w:r w:rsidRPr="00CF5797">
        <w:rPr>
          <w:lang w:val="fr-CA"/>
        </w:rPr>
        <w:t>Les agences d’exécution principales ont présenté des demandes officielles de prorogation des activit</w:t>
      </w:r>
      <w:r w:rsidR="003D078E" w:rsidRPr="00CF5797">
        <w:rPr>
          <w:lang w:val="fr-CA"/>
        </w:rPr>
        <w:t>és de facilitation de la réducti</w:t>
      </w:r>
      <w:r w:rsidRPr="00CF5797">
        <w:rPr>
          <w:lang w:val="fr-CA"/>
        </w:rPr>
        <w:t xml:space="preserve">on progressive des HFC au nom des </w:t>
      </w:r>
      <w:r w:rsidR="003D078E" w:rsidRPr="00CF5797">
        <w:rPr>
          <w:lang w:val="fr-CA"/>
        </w:rPr>
        <w:t>gou</w:t>
      </w:r>
      <w:r w:rsidRPr="00CF5797">
        <w:rPr>
          <w:lang w:val="fr-CA"/>
        </w:rPr>
        <w:t>vernements de six pays visés à l'article 5, conformément à la décision</w:t>
      </w:r>
      <w:r w:rsidR="00825F3F" w:rsidRPr="00CF5797">
        <w:rPr>
          <w:lang w:val="fr-CA"/>
        </w:rPr>
        <w:t> 81/32</w:t>
      </w:r>
      <w:r w:rsidRPr="00CF5797">
        <w:rPr>
          <w:lang w:val="fr-CA"/>
        </w:rPr>
        <w:t xml:space="preserve"> </w:t>
      </w:r>
      <w:r w:rsidR="00825F3F" w:rsidRPr="00CF5797">
        <w:rPr>
          <w:lang w:val="fr-CA"/>
        </w:rPr>
        <w:t>a),</w:t>
      </w:r>
      <w:r w:rsidR="00825F3F" w:rsidRPr="00CF5797">
        <w:rPr>
          <w:vertAlign w:val="superscript"/>
          <w:lang w:val="fr-CA"/>
        </w:rPr>
        <w:footnoteReference w:id="50"/>
      </w:r>
      <w:r w:rsidR="00825F3F" w:rsidRPr="00CF5797">
        <w:rPr>
          <w:lang w:val="fr-CA"/>
        </w:rPr>
        <w:t xml:space="preserve"> </w:t>
      </w:r>
      <w:r w:rsidRPr="00CF5797">
        <w:rPr>
          <w:lang w:val="fr-CA"/>
        </w:rPr>
        <w:t xml:space="preserve">comme indiqué dans le tableau 16. </w:t>
      </w:r>
      <w:r w:rsidR="00825F3F" w:rsidRPr="00CF5797">
        <w:rPr>
          <w:lang w:val="fr-CA"/>
        </w:rPr>
        <w:t xml:space="preserve"> </w:t>
      </w:r>
    </w:p>
    <w:p w14:paraId="3ECACCD9" w14:textId="0A720E2A" w:rsidR="00825F3F" w:rsidRPr="00CF5797" w:rsidRDefault="00825F3F" w:rsidP="00825F3F">
      <w:pPr>
        <w:outlineLvl w:val="0"/>
        <w:rPr>
          <w:b/>
          <w:lang w:val="fr-CA"/>
        </w:rPr>
      </w:pPr>
      <w:r w:rsidRPr="00CF5797">
        <w:rPr>
          <w:b/>
          <w:lang w:val="fr-CA"/>
        </w:rPr>
        <w:t>Table</w:t>
      </w:r>
      <w:r w:rsidR="003D078E" w:rsidRPr="00CF5797">
        <w:rPr>
          <w:b/>
          <w:lang w:val="fr-CA"/>
        </w:rPr>
        <w:t>au</w:t>
      </w:r>
      <w:r w:rsidRPr="00CF5797">
        <w:rPr>
          <w:b/>
          <w:lang w:val="fr-CA"/>
        </w:rPr>
        <w:t xml:space="preserve"> 16. </w:t>
      </w:r>
      <w:r w:rsidR="003D078E" w:rsidRPr="00CF5797">
        <w:rPr>
          <w:b/>
          <w:lang w:val="fr-CA"/>
        </w:rPr>
        <w:t>Demandes de prorogation des activités de facilitation de la réduction progressive des HFC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56"/>
        <w:gridCol w:w="2098"/>
        <w:gridCol w:w="2098"/>
        <w:gridCol w:w="2098"/>
      </w:tblGrid>
      <w:tr w:rsidR="00825F3F" w:rsidRPr="00CF5797" w14:paraId="483BE1D0" w14:textId="77777777" w:rsidTr="004F62E7">
        <w:trPr>
          <w:tblHeader/>
        </w:trPr>
        <w:tc>
          <w:tcPr>
            <w:tcW w:w="1634" w:type="pct"/>
            <w:shd w:val="clear" w:color="auto" w:fill="auto"/>
            <w:tcMar>
              <w:top w:w="0" w:type="dxa"/>
              <w:left w:w="108" w:type="dxa"/>
              <w:bottom w:w="0" w:type="dxa"/>
              <w:right w:w="108" w:type="dxa"/>
            </w:tcMar>
          </w:tcPr>
          <w:p w14:paraId="05216E3D" w14:textId="4AF01E2B" w:rsidR="00825F3F" w:rsidRPr="00CF5797" w:rsidRDefault="003D078E" w:rsidP="004F62E7">
            <w:pPr>
              <w:jc w:val="left"/>
              <w:rPr>
                <w:b/>
                <w:bCs/>
                <w:sz w:val="20"/>
                <w:szCs w:val="20"/>
                <w:lang w:val="fr-CA" w:eastAsia="zh-CN"/>
              </w:rPr>
            </w:pPr>
            <w:r w:rsidRPr="00CF5797">
              <w:rPr>
                <w:b/>
                <w:bCs/>
                <w:sz w:val="20"/>
                <w:szCs w:val="20"/>
                <w:lang w:val="fr-CA" w:eastAsia="zh-CN"/>
              </w:rPr>
              <w:t>Pays</w:t>
            </w:r>
          </w:p>
        </w:tc>
        <w:tc>
          <w:tcPr>
            <w:tcW w:w="1122" w:type="pct"/>
            <w:shd w:val="clear" w:color="auto" w:fill="auto"/>
            <w:tcMar>
              <w:top w:w="0" w:type="dxa"/>
              <w:left w:w="108" w:type="dxa"/>
              <w:bottom w:w="0" w:type="dxa"/>
              <w:right w:w="108" w:type="dxa"/>
            </w:tcMar>
          </w:tcPr>
          <w:p w14:paraId="6E8EBF9F" w14:textId="02899FFF" w:rsidR="00825F3F" w:rsidRPr="00CF5797" w:rsidRDefault="003D078E" w:rsidP="004F62E7">
            <w:pPr>
              <w:jc w:val="center"/>
              <w:rPr>
                <w:b/>
                <w:bCs/>
                <w:sz w:val="20"/>
                <w:szCs w:val="20"/>
                <w:lang w:val="fr-CA"/>
              </w:rPr>
            </w:pPr>
            <w:r w:rsidRPr="00CF5797">
              <w:rPr>
                <w:b/>
                <w:bCs/>
                <w:sz w:val="20"/>
                <w:szCs w:val="20"/>
                <w:lang w:val="fr-CA"/>
              </w:rPr>
              <w:t>Agence principale</w:t>
            </w:r>
          </w:p>
        </w:tc>
        <w:tc>
          <w:tcPr>
            <w:tcW w:w="1122" w:type="pct"/>
            <w:shd w:val="clear" w:color="auto" w:fill="auto"/>
            <w:tcMar>
              <w:top w:w="0" w:type="dxa"/>
              <w:left w:w="108" w:type="dxa"/>
              <w:bottom w:w="0" w:type="dxa"/>
              <w:right w:w="108" w:type="dxa"/>
            </w:tcMar>
          </w:tcPr>
          <w:p w14:paraId="755A3011" w14:textId="451AF89D" w:rsidR="00825F3F" w:rsidRPr="00CF5797" w:rsidRDefault="003D078E" w:rsidP="004F62E7">
            <w:pPr>
              <w:jc w:val="center"/>
              <w:rPr>
                <w:b/>
                <w:bCs/>
                <w:sz w:val="20"/>
                <w:szCs w:val="20"/>
                <w:lang w:val="fr-CA"/>
              </w:rPr>
            </w:pPr>
            <w:r w:rsidRPr="00CF5797">
              <w:rPr>
                <w:b/>
                <w:bCs/>
                <w:sz w:val="20"/>
                <w:szCs w:val="20"/>
                <w:lang w:val="fr-CA"/>
              </w:rPr>
              <w:t>Date d’achèvement</w:t>
            </w:r>
          </w:p>
        </w:tc>
        <w:tc>
          <w:tcPr>
            <w:tcW w:w="1122" w:type="pct"/>
          </w:tcPr>
          <w:p w14:paraId="1FF2FF61" w14:textId="6BBC5CEA" w:rsidR="00825F3F" w:rsidRPr="00CF5797" w:rsidRDefault="003D078E" w:rsidP="004F62E7">
            <w:pPr>
              <w:jc w:val="center"/>
              <w:rPr>
                <w:b/>
                <w:bCs/>
                <w:sz w:val="20"/>
                <w:szCs w:val="20"/>
                <w:lang w:val="fr-CA"/>
              </w:rPr>
            </w:pPr>
            <w:r w:rsidRPr="00CF5797">
              <w:rPr>
                <w:b/>
                <w:bCs/>
                <w:sz w:val="20"/>
                <w:szCs w:val="20"/>
                <w:lang w:val="fr-CA"/>
              </w:rPr>
              <w:t>Date prorogée</w:t>
            </w:r>
          </w:p>
        </w:tc>
      </w:tr>
      <w:tr w:rsidR="00825F3F" w:rsidRPr="00CF5797" w14:paraId="25A5C6CE" w14:textId="77777777" w:rsidTr="004F62E7">
        <w:tc>
          <w:tcPr>
            <w:tcW w:w="1634" w:type="pct"/>
            <w:shd w:val="clear" w:color="auto" w:fill="auto"/>
            <w:tcMar>
              <w:top w:w="0" w:type="dxa"/>
              <w:left w:w="108" w:type="dxa"/>
              <w:bottom w:w="0" w:type="dxa"/>
              <w:right w:w="108" w:type="dxa"/>
            </w:tcMar>
          </w:tcPr>
          <w:p w14:paraId="3C52BD88" w14:textId="216CEDF4" w:rsidR="00825F3F" w:rsidRPr="00CF5797" w:rsidRDefault="003D078E" w:rsidP="004F62E7">
            <w:pPr>
              <w:rPr>
                <w:sz w:val="20"/>
                <w:szCs w:val="20"/>
                <w:lang w:val="fr-CA"/>
              </w:rPr>
            </w:pPr>
            <w:r w:rsidRPr="00CF5797">
              <w:rPr>
                <w:sz w:val="20"/>
                <w:szCs w:val="20"/>
                <w:lang w:val="fr-CA"/>
              </w:rPr>
              <w:t>Algérie</w:t>
            </w:r>
          </w:p>
        </w:tc>
        <w:tc>
          <w:tcPr>
            <w:tcW w:w="1122" w:type="pct"/>
            <w:shd w:val="clear" w:color="auto" w:fill="auto"/>
            <w:tcMar>
              <w:top w:w="0" w:type="dxa"/>
              <w:left w:w="720" w:type="dxa"/>
              <w:bottom w:w="0" w:type="dxa"/>
              <w:right w:w="115" w:type="dxa"/>
            </w:tcMar>
            <w:vAlign w:val="center"/>
          </w:tcPr>
          <w:p w14:paraId="4D3DE37F" w14:textId="15D52579" w:rsidR="00825F3F" w:rsidRPr="00CF5797" w:rsidRDefault="003D078E" w:rsidP="004F62E7">
            <w:pPr>
              <w:jc w:val="left"/>
              <w:rPr>
                <w:sz w:val="20"/>
                <w:szCs w:val="20"/>
                <w:lang w:val="fr-CA"/>
              </w:rPr>
            </w:pPr>
            <w:r w:rsidRPr="00CF5797">
              <w:rPr>
                <w:sz w:val="20"/>
                <w:szCs w:val="20"/>
                <w:lang w:val="fr-CA"/>
              </w:rPr>
              <w:t>ONUDI</w:t>
            </w:r>
          </w:p>
        </w:tc>
        <w:tc>
          <w:tcPr>
            <w:tcW w:w="1122" w:type="pct"/>
            <w:shd w:val="clear" w:color="auto" w:fill="auto"/>
            <w:tcMar>
              <w:top w:w="0" w:type="dxa"/>
              <w:left w:w="108" w:type="dxa"/>
              <w:bottom w:w="0" w:type="dxa"/>
              <w:right w:w="108" w:type="dxa"/>
            </w:tcMar>
            <w:vAlign w:val="center"/>
          </w:tcPr>
          <w:p w14:paraId="5A4D57DA" w14:textId="7455F389" w:rsidR="00825F3F" w:rsidRPr="00CF5797" w:rsidRDefault="003D078E" w:rsidP="003D078E">
            <w:pPr>
              <w:jc w:val="left"/>
              <w:rPr>
                <w:sz w:val="20"/>
                <w:szCs w:val="20"/>
                <w:lang w:val="fr-CA" w:eastAsia="zh-CN"/>
              </w:rPr>
            </w:pPr>
            <w:r w:rsidRPr="00CF5797">
              <w:rPr>
                <w:sz w:val="20"/>
                <w:szCs w:val="20"/>
                <w:lang w:val="fr-CA" w:eastAsia="zh-CN"/>
              </w:rPr>
              <w:t>30 juin 2021</w:t>
            </w:r>
          </w:p>
        </w:tc>
        <w:tc>
          <w:tcPr>
            <w:tcW w:w="1122" w:type="pct"/>
            <w:vAlign w:val="center"/>
          </w:tcPr>
          <w:p w14:paraId="6430226E" w14:textId="4BD6F1DD" w:rsidR="00825F3F" w:rsidRPr="00CF5797" w:rsidRDefault="003D078E" w:rsidP="004F62E7">
            <w:pPr>
              <w:jc w:val="left"/>
              <w:rPr>
                <w:sz w:val="20"/>
                <w:szCs w:val="20"/>
                <w:lang w:val="fr-CA" w:eastAsia="zh-CN"/>
              </w:rPr>
            </w:pPr>
            <w:r w:rsidRPr="00CF5797">
              <w:rPr>
                <w:sz w:val="20"/>
                <w:szCs w:val="20"/>
                <w:lang w:val="fr-CA" w:eastAsia="zh-CN"/>
              </w:rPr>
              <w:t>30 juin 2022</w:t>
            </w:r>
          </w:p>
        </w:tc>
      </w:tr>
      <w:tr w:rsidR="00825F3F" w:rsidRPr="00CF5797" w14:paraId="41D27E38" w14:textId="77777777" w:rsidTr="004F62E7">
        <w:tc>
          <w:tcPr>
            <w:tcW w:w="1634" w:type="pct"/>
            <w:shd w:val="clear" w:color="auto" w:fill="auto"/>
            <w:tcMar>
              <w:top w:w="0" w:type="dxa"/>
              <w:left w:w="108" w:type="dxa"/>
              <w:bottom w:w="0" w:type="dxa"/>
              <w:right w:w="108" w:type="dxa"/>
            </w:tcMar>
          </w:tcPr>
          <w:p w14:paraId="63C89571" w14:textId="77777777" w:rsidR="00825F3F" w:rsidRPr="00CF5797" w:rsidRDefault="00825F3F" w:rsidP="004F62E7">
            <w:pPr>
              <w:rPr>
                <w:sz w:val="20"/>
                <w:szCs w:val="20"/>
                <w:lang w:val="fr-CA" w:eastAsia="zh-CN"/>
              </w:rPr>
            </w:pPr>
            <w:r w:rsidRPr="00CF5797">
              <w:rPr>
                <w:sz w:val="20"/>
                <w:szCs w:val="20"/>
                <w:lang w:val="fr-CA"/>
              </w:rPr>
              <w:t>Belize*</w:t>
            </w:r>
          </w:p>
        </w:tc>
        <w:tc>
          <w:tcPr>
            <w:tcW w:w="1122" w:type="pct"/>
            <w:shd w:val="clear" w:color="auto" w:fill="auto"/>
            <w:tcMar>
              <w:top w:w="0" w:type="dxa"/>
              <w:left w:w="720" w:type="dxa"/>
              <w:bottom w:w="0" w:type="dxa"/>
              <w:right w:w="115" w:type="dxa"/>
            </w:tcMar>
            <w:vAlign w:val="center"/>
          </w:tcPr>
          <w:p w14:paraId="2119EA44" w14:textId="071C1718" w:rsidR="00825F3F" w:rsidRPr="00CF5797" w:rsidRDefault="003D078E" w:rsidP="004F62E7">
            <w:pPr>
              <w:jc w:val="left"/>
              <w:rPr>
                <w:sz w:val="20"/>
                <w:szCs w:val="20"/>
                <w:lang w:val="fr-CA" w:eastAsia="zh-CN"/>
              </w:rPr>
            </w:pPr>
            <w:r w:rsidRPr="00CF5797">
              <w:rPr>
                <w:sz w:val="20"/>
                <w:szCs w:val="20"/>
                <w:lang w:val="fr-CA"/>
              </w:rPr>
              <w:t>PNUD</w:t>
            </w:r>
          </w:p>
        </w:tc>
        <w:tc>
          <w:tcPr>
            <w:tcW w:w="1122" w:type="pct"/>
            <w:shd w:val="clear" w:color="auto" w:fill="auto"/>
            <w:tcMar>
              <w:top w:w="0" w:type="dxa"/>
              <w:left w:w="108" w:type="dxa"/>
              <w:bottom w:w="0" w:type="dxa"/>
              <w:right w:w="108" w:type="dxa"/>
            </w:tcMar>
            <w:vAlign w:val="center"/>
          </w:tcPr>
          <w:p w14:paraId="7A3D00DA" w14:textId="62205C8D" w:rsidR="00825F3F" w:rsidRPr="00CF5797" w:rsidRDefault="003D078E" w:rsidP="004F62E7">
            <w:pPr>
              <w:jc w:val="left"/>
              <w:rPr>
                <w:sz w:val="20"/>
                <w:szCs w:val="20"/>
                <w:lang w:val="fr-CA" w:eastAsia="zh-CN"/>
              </w:rPr>
            </w:pPr>
            <w:r w:rsidRPr="00CF5797">
              <w:rPr>
                <w:sz w:val="20"/>
                <w:szCs w:val="20"/>
                <w:lang w:val="fr-CA" w:eastAsia="zh-CN"/>
              </w:rPr>
              <w:t>31 décembre 2021</w:t>
            </w:r>
          </w:p>
        </w:tc>
        <w:tc>
          <w:tcPr>
            <w:tcW w:w="1122" w:type="pct"/>
            <w:vAlign w:val="center"/>
          </w:tcPr>
          <w:p w14:paraId="11569659" w14:textId="29A01083" w:rsidR="00825F3F" w:rsidRPr="00CF5797" w:rsidRDefault="003D078E" w:rsidP="004F62E7">
            <w:pPr>
              <w:jc w:val="left"/>
              <w:rPr>
                <w:sz w:val="20"/>
                <w:szCs w:val="20"/>
                <w:lang w:val="fr-CA" w:eastAsia="zh-CN"/>
              </w:rPr>
            </w:pPr>
            <w:r w:rsidRPr="00CF5797">
              <w:rPr>
                <w:sz w:val="20"/>
                <w:szCs w:val="20"/>
                <w:lang w:val="fr-CA" w:eastAsia="zh-CN"/>
              </w:rPr>
              <w:t>30 juin 2022</w:t>
            </w:r>
          </w:p>
        </w:tc>
      </w:tr>
      <w:tr w:rsidR="00825F3F" w:rsidRPr="00CF5797" w14:paraId="13903F9F" w14:textId="77777777" w:rsidTr="004F62E7">
        <w:tc>
          <w:tcPr>
            <w:tcW w:w="1634" w:type="pct"/>
            <w:shd w:val="clear" w:color="auto" w:fill="auto"/>
            <w:tcMar>
              <w:top w:w="0" w:type="dxa"/>
              <w:left w:w="108" w:type="dxa"/>
              <w:bottom w:w="0" w:type="dxa"/>
              <w:right w:w="108" w:type="dxa"/>
            </w:tcMar>
          </w:tcPr>
          <w:p w14:paraId="4340F26D" w14:textId="77777777" w:rsidR="00825F3F" w:rsidRPr="00CF5797" w:rsidRDefault="00825F3F" w:rsidP="004F62E7">
            <w:pPr>
              <w:rPr>
                <w:sz w:val="20"/>
                <w:szCs w:val="20"/>
                <w:lang w:val="fr-CA" w:eastAsia="zh-CN"/>
              </w:rPr>
            </w:pPr>
            <w:r w:rsidRPr="00CF5797">
              <w:rPr>
                <w:sz w:val="20"/>
                <w:szCs w:val="20"/>
                <w:lang w:val="fr-CA"/>
              </w:rPr>
              <w:t>Burundi</w:t>
            </w:r>
          </w:p>
        </w:tc>
        <w:tc>
          <w:tcPr>
            <w:tcW w:w="1122" w:type="pct"/>
            <w:shd w:val="clear" w:color="auto" w:fill="auto"/>
            <w:tcMar>
              <w:top w:w="0" w:type="dxa"/>
              <w:left w:w="720" w:type="dxa"/>
              <w:bottom w:w="0" w:type="dxa"/>
              <w:right w:w="115" w:type="dxa"/>
            </w:tcMar>
            <w:vAlign w:val="center"/>
          </w:tcPr>
          <w:p w14:paraId="2DA10F66" w14:textId="659E6F92" w:rsidR="00825F3F" w:rsidRPr="00CF5797" w:rsidRDefault="003D078E" w:rsidP="004F62E7">
            <w:pPr>
              <w:jc w:val="left"/>
              <w:rPr>
                <w:sz w:val="20"/>
                <w:szCs w:val="20"/>
                <w:lang w:val="fr-CA"/>
              </w:rPr>
            </w:pPr>
            <w:r w:rsidRPr="00CF5797">
              <w:rPr>
                <w:sz w:val="20"/>
                <w:szCs w:val="20"/>
                <w:lang w:val="fr-CA"/>
              </w:rPr>
              <w:t>PNUE</w:t>
            </w:r>
          </w:p>
        </w:tc>
        <w:tc>
          <w:tcPr>
            <w:tcW w:w="1122" w:type="pct"/>
            <w:shd w:val="clear" w:color="auto" w:fill="auto"/>
            <w:tcMar>
              <w:top w:w="0" w:type="dxa"/>
              <w:left w:w="108" w:type="dxa"/>
              <w:bottom w:w="0" w:type="dxa"/>
              <w:right w:w="108" w:type="dxa"/>
            </w:tcMar>
            <w:vAlign w:val="center"/>
          </w:tcPr>
          <w:p w14:paraId="16D880B1" w14:textId="447E82A8" w:rsidR="00825F3F" w:rsidRPr="00CF5797" w:rsidRDefault="003D078E" w:rsidP="004F62E7">
            <w:pPr>
              <w:jc w:val="left"/>
              <w:rPr>
                <w:sz w:val="20"/>
                <w:szCs w:val="20"/>
                <w:lang w:val="fr-CA"/>
              </w:rPr>
            </w:pPr>
            <w:r w:rsidRPr="00CF5797">
              <w:rPr>
                <w:sz w:val="20"/>
                <w:szCs w:val="20"/>
                <w:lang w:val="fr-CA"/>
              </w:rPr>
              <w:t>31 décembre 2021</w:t>
            </w:r>
          </w:p>
        </w:tc>
        <w:tc>
          <w:tcPr>
            <w:tcW w:w="1122" w:type="pct"/>
            <w:vAlign w:val="center"/>
          </w:tcPr>
          <w:p w14:paraId="0ACDC877" w14:textId="2CC46976" w:rsidR="00825F3F" w:rsidRPr="00CF5797" w:rsidRDefault="003D078E" w:rsidP="004F62E7">
            <w:pPr>
              <w:jc w:val="left"/>
              <w:rPr>
                <w:sz w:val="20"/>
                <w:szCs w:val="20"/>
                <w:lang w:val="fr-CA" w:eastAsia="zh-CN"/>
              </w:rPr>
            </w:pPr>
            <w:r w:rsidRPr="00CF5797">
              <w:rPr>
                <w:sz w:val="20"/>
                <w:szCs w:val="20"/>
                <w:lang w:val="fr-CA" w:eastAsia="zh-CN"/>
              </w:rPr>
              <w:t>30 juin 2022</w:t>
            </w:r>
          </w:p>
        </w:tc>
      </w:tr>
      <w:tr w:rsidR="00825F3F" w:rsidRPr="00CF5797" w14:paraId="3521FAF4" w14:textId="77777777" w:rsidTr="004F62E7">
        <w:tc>
          <w:tcPr>
            <w:tcW w:w="1634" w:type="pct"/>
            <w:shd w:val="clear" w:color="auto" w:fill="auto"/>
            <w:tcMar>
              <w:top w:w="0" w:type="dxa"/>
              <w:left w:w="108" w:type="dxa"/>
              <w:bottom w:w="0" w:type="dxa"/>
              <w:right w:w="108" w:type="dxa"/>
            </w:tcMar>
          </w:tcPr>
          <w:p w14:paraId="1FE567B1" w14:textId="14CFB070" w:rsidR="00825F3F" w:rsidRPr="00CF5797" w:rsidRDefault="003D078E" w:rsidP="004F62E7">
            <w:pPr>
              <w:rPr>
                <w:sz w:val="20"/>
                <w:szCs w:val="20"/>
                <w:lang w:val="fr-CA" w:eastAsia="zh-CN"/>
              </w:rPr>
            </w:pPr>
            <w:r w:rsidRPr="00CF5797">
              <w:rPr>
                <w:sz w:val="20"/>
                <w:szCs w:val="20"/>
                <w:lang w:val="fr-CA" w:eastAsia="zh-CN"/>
              </w:rPr>
              <w:t>Guinée</w:t>
            </w:r>
          </w:p>
        </w:tc>
        <w:tc>
          <w:tcPr>
            <w:tcW w:w="1122" w:type="pct"/>
            <w:shd w:val="clear" w:color="auto" w:fill="auto"/>
            <w:tcMar>
              <w:top w:w="0" w:type="dxa"/>
              <w:left w:w="720" w:type="dxa"/>
              <w:bottom w:w="0" w:type="dxa"/>
              <w:right w:w="115" w:type="dxa"/>
            </w:tcMar>
            <w:vAlign w:val="center"/>
          </w:tcPr>
          <w:p w14:paraId="3EC7BC3B" w14:textId="59F46002" w:rsidR="00825F3F" w:rsidRPr="00CF5797" w:rsidRDefault="003D078E" w:rsidP="004F62E7">
            <w:pPr>
              <w:jc w:val="left"/>
              <w:rPr>
                <w:sz w:val="20"/>
                <w:szCs w:val="20"/>
                <w:lang w:val="fr-CA"/>
              </w:rPr>
            </w:pPr>
            <w:r w:rsidRPr="00CF5797">
              <w:rPr>
                <w:sz w:val="20"/>
                <w:szCs w:val="20"/>
                <w:lang w:val="fr-CA"/>
              </w:rPr>
              <w:t>PNUE</w:t>
            </w:r>
          </w:p>
        </w:tc>
        <w:tc>
          <w:tcPr>
            <w:tcW w:w="1122" w:type="pct"/>
            <w:shd w:val="clear" w:color="auto" w:fill="auto"/>
            <w:tcMar>
              <w:top w:w="0" w:type="dxa"/>
              <w:left w:w="108" w:type="dxa"/>
              <w:bottom w:w="0" w:type="dxa"/>
              <w:right w:w="108" w:type="dxa"/>
            </w:tcMar>
            <w:vAlign w:val="center"/>
          </w:tcPr>
          <w:p w14:paraId="0F8CEF7D" w14:textId="51867857" w:rsidR="00825F3F" w:rsidRPr="00CF5797" w:rsidRDefault="003D078E" w:rsidP="004F62E7">
            <w:pPr>
              <w:jc w:val="left"/>
              <w:rPr>
                <w:sz w:val="20"/>
                <w:szCs w:val="20"/>
                <w:lang w:val="fr-CA"/>
              </w:rPr>
            </w:pPr>
            <w:r w:rsidRPr="00CF5797">
              <w:rPr>
                <w:sz w:val="20"/>
                <w:szCs w:val="20"/>
                <w:lang w:val="fr-CA"/>
              </w:rPr>
              <w:t>31 décembre 2021</w:t>
            </w:r>
          </w:p>
        </w:tc>
        <w:tc>
          <w:tcPr>
            <w:tcW w:w="1122" w:type="pct"/>
            <w:vAlign w:val="center"/>
          </w:tcPr>
          <w:p w14:paraId="2CCC4FE6" w14:textId="79EB8763" w:rsidR="00825F3F" w:rsidRPr="00CF5797" w:rsidRDefault="003D078E" w:rsidP="004F62E7">
            <w:pPr>
              <w:jc w:val="left"/>
              <w:rPr>
                <w:sz w:val="20"/>
                <w:szCs w:val="20"/>
                <w:lang w:val="fr-CA" w:eastAsia="zh-CN"/>
              </w:rPr>
            </w:pPr>
            <w:r w:rsidRPr="00CF5797">
              <w:rPr>
                <w:sz w:val="20"/>
                <w:szCs w:val="20"/>
                <w:lang w:val="fr-CA" w:eastAsia="zh-CN"/>
              </w:rPr>
              <w:t>31 décembre 2022</w:t>
            </w:r>
          </w:p>
        </w:tc>
      </w:tr>
      <w:tr w:rsidR="00825F3F" w:rsidRPr="00CF5797" w14:paraId="76ABAE2F" w14:textId="77777777" w:rsidTr="004F62E7">
        <w:tc>
          <w:tcPr>
            <w:tcW w:w="1634" w:type="pct"/>
            <w:shd w:val="clear" w:color="auto" w:fill="auto"/>
            <w:tcMar>
              <w:top w:w="0" w:type="dxa"/>
              <w:left w:w="108" w:type="dxa"/>
              <w:bottom w:w="0" w:type="dxa"/>
              <w:right w:w="108" w:type="dxa"/>
            </w:tcMar>
          </w:tcPr>
          <w:p w14:paraId="73A538A8" w14:textId="2030DE12" w:rsidR="00825F3F" w:rsidRPr="00CF5797" w:rsidRDefault="003D078E" w:rsidP="004F62E7">
            <w:pPr>
              <w:rPr>
                <w:sz w:val="20"/>
                <w:szCs w:val="20"/>
                <w:lang w:val="fr-CA" w:eastAsia="zh-CN"/>
              </w:rPr>
            </w:pPr>
            <w:r w:rsidRPr="00CF5797">
              <w:rPr>
                <w:sz w:val="20"/>
                <w:szCs w:val="20"/>
                <w:lang w:val="fr-CA" w:eastAsia="zh-CN"/>
              </w:rPr>
              <w:t>Haïti</w:t>
            </w:r>
          </w:p>
        </w:tc>
        <w:tc>
          <w:tcPr>
            <w:tcW w:w="1122" w:type="pct"/>
            <w:shd w:val="clear" w:color="auto" w:fill="auto"/>
            <w:tcMar>
              <w:top w:w="0" w:type="dxa"/>
              <w:left w:w="720" w:type="dxa"/>
              <w:bottom w:w="0" w:type="dxa"/>
              <w:right w:w="115" w:type="dxa"/>
            </w:tcMar>
            <w:vAlign w:val="center"/>
          </w:tcPr>
          <w:p w14:paraId="247B72F4" w14:textId="2AEECF58" w:rsidR="00825F3F" w:rsidRPr="00CF5797" w:rsidRDefault="003D078E" w:rsidP="004F62E7">
            <w:pPr>
              <w:jc w:val="left"/>
              <w:rPr>
                <w:sz w:val="20"/>
                <w:szCs w:val="20"/>
                <w:lang w:val="fr-CA"/>
              </w:rPr>
            </w:pPr>
            <w:r w:rsidRPr="00CF5797">
              <w:rPr>
                <w:sz w:val="20"/>
                <w:szCs w:val="20"/>
                <w:lang w:val="fr-CA"/>
              </w:rPr>
              <w:t>PNUD</w:t>
            </w:r>
          </w:p>
        </w:tc>
        <w:tc>
          <w:tcPr>
            <w:tcW w:w="1122" w:type="pct"/>
            <w:shd w:val="clear" w:color="auto" w:fill="auto"/>
            <w:tcMar>
              <w:top w:w="0" w:type="dxa"/>
              <w:left w:w="108" w:type="dxa"/>
              <w:bottom w:w="0" w:type="dxa"/>
              <w:right w:w="108" w:type="dxa"/>
            </w:tcMar>
            <w:vAlign w:val="center"/>
          </w:tcPr>
          <w:p w14:paraId="2EF5C01A" w14:textId="77FF3DE7" w:rsidR="00825F3F" w:rsidRPr="00CF5797" w:rsidRDefault="003D078E" w:rsidP="004F62E7">
            <w:pPr>
              <w:jc w:val="left"/>
              <w:rPr>
                <w:sz w:val="20"/>
                <w:szCs w:val="20"/>
                <w:lang w:val="fr-CA"/>
              </w:rPr>
            </w:pPr>
            <w:r w:rsidRPr="00CF5797">
              <w:rPr>
                <w:sz w:val="20"/>
                <w:szCs w:val="20"/>
                <w:lang w:val="fr-CA" w:eastAsia="zh-CN"/>
              </w:rPr>
              <w:t>30 juin 2021</w:t>
            </w:r>
          </w:p>
        </w:tc>
        <w:tc>
          <w:tcPr>
            <w:tcW w:w="1122" w:type="pct"/>
            <w:vAlign w:val="center"/>
          </w:tcPr>
          <w:p w14:paraId="24D76789" w14:textId="10DE7F9B" w:rsidR="00825F3F" w:rsidRPr="00CF5797" w:rsidRDefault="003D078E" w:rsidP="004F62E7">
            <w:pPr>
              <w:jc w:val="left"/>
              <w:rPr>
                <w:sz w:val="20"/>
                <w:szCs w:val="20"/>
                <w:lang w:val="fr-CA" w:eastAsia="zh-CN"/>
              </w:rPr>
            </w:pPr>
            <w:r w:rsidRPr="00CF5797">
              <w:rPr>
                <w:sz w:val="20"/>
                <w:szCs w:val="20"/>
                <w:lang w:val="fr-CA" w:eastAsia="zh-CN"/>
              </w:rPr>
              <w:t>30 juin 2022</w:t>
            </w:r>
          </w:p>
        </w:tc>
      </w:tr>
      <w:tr w:rsidR="00825F3F" w:rsidRPr="00CF5797" w14:paraId="4084D569" w14:textId="77777777" w:rsidTr="004F62E7">
        <w:tc>
          <w:tcPr>
            <w:tcW w:w="1634" w:type="pct"/>
            <w:shd w:val="clear" w:color="auto" w:fill="auto"/>
            <w:tcMar>
              <w:top w:w="0" w:type="dxa"/>
              <w:left w:w="108" w:type="dxa"/>
              <w:bottom w:w="0" w:type="dxa"/>
              <w:right w:w="108" w:type="dxa"/>
            </w:tcMar>
          </w:tcPr>
          <w:p w14:paraId="334642DA" w14:textId="34549D53" w:rsidR="00825F3F" w:rsidRPr="00CF5797" w:rsidRDefault="003D078E" w:rsidP="004F62E7">
            <w:pPr>
              <w:rPr>
                <w:sz w:val="20"/>
                <w:szCs w:val="20"/>
                <w:lang w:val="fr-CA" w:eastAsia="zh-CN"/>
              </w:rPr>
            </w:pPr>
            <w:r w:rsidRPr="00CF5797">
              <w:rPr>
                <w:sz w:val="20"/>
                <w:szCs w:val="20"/>
                <w:lang w:val="fr-CA" w:eastAsia="zh-CN"/>
              </w:rPr>
              <w:t>République de Moldavie</w:t>
            </w:r>
          </w:p>
        </w:tc>
        <w:tc>
          <w:tcPr>
            <w:tcW w:w="1122" w:type="pct"/>
            <w:shd w:val="clear" w:color="auto" w:fill="auto"/>
            <w:tcMar>
              <w:top w:w="0" w:type="dxa"/>
              <w:left w:w="720" w:type="dxa"/>
              <w:bottom w:w="0" w:type="dxa"/>
              <w:right w:w="115" w:type="dxa"/>
            </w:tcMar>
            <w:vAlign w:val="center"/>
          </w:tcPr>
          <w:p w14:paraId="297F6FC0" w14:textId="72E3035E" w:rsidR="00825F3F" w:rsidRPr="00CF5797" w:rsidRDefault="003D078E" w:rsidP="004F62E7">
            <w:pPr>
              <w:jc w:val="left"/>
              <w:rPr>
                <w:sz w:val="20"/>
                <w:szCs w:val="20"/>
                <w:lang w:val="fr-CA"/>
              </w:rPr>
            </w:pPr>
            <w:r w:rsidRPr="00CF5797">
              <w:rPr>
                <w:sz w:val="20"/>
                <w:szCs w:val="20"/>
                <w:lang w:val="fr-CA"/>
              </w:rPr>
              <w:t>PNUD</w:t>
            </w:r>
          </w:p>
        </w:tc>
        <w:tc>
          <w:tcPr>
            <w:tcW w:w="1122" w:type="pct"/>
            <w:shd w:val="clear" w:color="auto" w:fill="auto"/>
            <w:tcMar>
              <w:top w:w="0" w:type="dxa"/>
              <w:left w:w="108" w:type="dxa"/>
              <w:bottom w:w="0" w:type="dxa"/>
              <w:right w:w="108" w:type="dxa"/>
            </w:tcMar>
            <w:vAlign w:val="center"/>
          </w:tcPr>
          <w:p w14:paraId="18EEE854" w14:textId="5C2B98BD" w:rsidR="00825F3F" w:rsidRPr="00CF5797" w:rsidRDefault="003D078E" w:rsidP="004F62E7">
            <w:pPr>
              <w:jc w:val="left"/>
              <w:rPr>
                <w:sz w:val="20"/>
                <w:szCs w:val="20"/>
                <w:lang w:val="fr-CA"/>
              </w:rPr>
            </w:pPr>
            <w:r w:rsidRPr="00CF5797">
              <w:rPr>
                <w:sz w:val="20"/>
                <w:szCs w:val="20"/>
                <w:lang w:val="fr-CA"/>
              </w:rPr>
              <w:t>31 décembre 2021</w:t>
            </w:r>
          </w:p>
        </w:tc>
        <w:tc>
          <w:tcPr>
            <w:tcW w:w="1122" w:type="pct"/>
            <w:vAlign w:val="center"/>
          </w:tcPr>
          <w:p w14:paraId="20538E3F" w14:textId="59FBB73D" w:rsidR="00825F3F" w:rsidRPr="00CF5797" w:rsidRDefault="003D078E" w:rsidP="004F62E7">
            <w:pPr>
              <w:jc w:val="left"/>
              <w:rPr>
                <w:sz w:val="20"/>
                <w:szCs w:val="20"/>
                <w:lang w:val="fr-CA" w:eastAsia="zh-CN"/>
              </w:rPr>
            </w:pPr>
            <w:r w:rsidRPr="00CF5797">
              <w:rPr>
                <w:sz w:val="20"/>
                <w:szCs w:val="20"/>
                <w:lang w:val="fr-CA" w:eastAsia="zh-CN"/>
              </w:rPr>
              <w:t>30 juin 2022</w:t>
            </w:r>
          </w:p>
        </w:tc>
      </w:tr>
    </w:tbl>
    <w:p w14:paraId="42FC04C5" w14:textId="199E9DD6" w:rsidR="00825F3F" w:rsidRPr="00CF5797" w:rsidRDefault="00825F3F" w:rsidP="00825F3F">
      <w:pPr>
        <w:jc w:val="left"/>
        <w:rPr>
          <w:sz w:val="20"/>
          <w:szCs w:val="20"/>
          <w:lang w:val="fr-CA"/>
        </w:rPr>
      </w:pPr>
      <w:r w:rsidRPr="00CF5797">
        <w:rPr>
          <w:sz w:val="20"/>
          <w:szCs w:val="20"/>
          <w:lang w:val="fr-CA"/>
        </w:rPr>
        <w:t>*</w:t>
      </w:r>
      <w:r w:rsidR="007C3C11" w:rsidRPr="00CF5797">
        <w:rPr>
          <w:sz w:val="20"/>
          <w:szCs w:val="20"/>
          <w:lang w:val="fr-CA"/>
        </w:rPr>
        <w:t>Gouvernement du Canada en qualité d’agence d’exécution de coopération</w:t>
      </w:r>
    </w:p>
    <w:p w14:paraId="594FDB6C" w14:textId="77777777" w:rsidR="00825F3F" w:rsidRPr="00CF5797" w:rsidRDefault="00825F3F" w:rsidP="00825F3F">
      <w:pPr>
        <w:rPr>
          <w:b/>
          <w:lang w:val="fr-CA"/>
        </w:rPr>
      </w:pPr>
    </w:p>
    <w:p w14:paraId="67A1A09D" w14:textId="02FFF91C" w:rsidR="00825F3F" w:rsidRPr="00CF5797" w:rsidRDefault="007C3C11" w:rsidP="00825F3F">
      <w:pPr>
        <w:spacing w:after="240"/>
        <w:rPr>
          <w:b/>
          <w:lang w:val="fr-CA"/>
        </w:rPr>
      </w:pPr>
      <w:r w:rsidRPr="00CF5797">
        <w:rPr>
          <w:b/>
          <w:lang w:val="fr-CA"/>
        </w:rPr>
        <w:t>Observations du Secrétariat</w:t>
      </w:r>
    </w:p>
    <w:p w14:paraId="3E9B93D5" w14:textId="2ECA63CF" w:rsidR="00825F3F" w:rsidRPr="00CF5797" w:rsidRDefault="007C3C11" w:rsidP="00825F3F">
      <w:pPr>
        <w:pStyle w:val="Heading1"/>
        <w:rPr>
          <w:lang w:val="fr-CA"/>
        </w:rPr>
      </w:pPr>
      <w:r w:rsidRPr="00CF5797">
        <w:rPr>
          <w:lang w:val="fr-CA"/>
        </w:rPr>
        <w:t>Plusieurs raisons justifient les demandes de prorogation : un délai supplémentaire est nécessaire pour commencer la mise en œuvre</w:t>
      </w:r>
      <w:r w:rsidR="0037190F">
        <w:rPr>
          <w:lang w:val="fr-CA"/>
        </w:rPr>
        <w:t xml:space="preserve"> </w:t>
      </w:r>
      <w:r w:rsidRPr="00CF5797">
        <w:rPr>
          <w:lang w:val="fr-CA"/>
        </w:rPr>
        <w:t>; la coordination entre les Bureaux nationaux de l’ozone, les parties prenantes et les agences d’exécution, et la nécessité d’</w:t>
      </w:r>
      <w:r w:rsidR="00FC2D61" w:rsidRPr="00CF5797">
        <w:rPr>
          <w:lang w:val="fr-CA"/>
        </w:rPr>
        <w:t>achev</w:t>
      </w:r>
      <w:r w:rsidRPr="00CF5797">
        <w:rPr>
          <w:lang w:val="fr-CA"/>
        </w:rPr>
        <w:t xml:space="preserve">er </w:t>
      </w:r>
      <w:r w:rsidR="00334AE6">
        <w:rPr>
          <w:lang w:val="fr-CA"/>
        </w:rPr>
        <w:t>toutes les activités prévues. Le</w:t>
      </w:r>
      <w:r w:rsidRPr="00CF5797">
        <w:rPr>
          <w:lang w:val="fr-CA"/>
        </w:rPr>
        <w:t xml:space="preserve"> Secrétariat a pris note que les </w:t>
      </w:r>
      <w:r w:rsidR="00334AE6">
        <w:rPr>
          <w:lang w:val="fr-CA"/>
        </w:rPr>
        <w:t>problèmes</w:t>
      </w:r>
      <w:r w:rsidRPr="00CF5797">
        <w:rPr>
          <w:lang w:val="fr-CA"/>
        </w:rPr>
        <w:t xml:space="preserve"> ayant retardé le début de la mise en œuvre</w:t>
      </w:r>
      <w:r w:rsidR="00C27240">
        <w:rPr>
          <w:lang w:val="fr-CA"/>
        </w:rPr>
        <w:t xml:space="preserve"> avaient été réglé</w:t>
      </w:r>
      <w:r w:rsidRPr="00CF5797">
        <w:rPr>
          <w:lang w:val="fr-CA"/>
        </w:rPr>
        <w:t xml:space="preserve">s et que la mise en œuvre </w:t>
      </w:r>
      <w:r w:rsidR="00C27240">
        <w:rPr>
          <w:lang w:val="fr-CA"/>
        </w:rPr>
        <w:t>allait</w:t>
      </w:r>
      <w:r w:rsidRPr="00CF5797">
        <w:rPr>
          <w:lang w:val="fr-CA"/>
        </w:rPr>
        <w:t xml:space="preserve"> bon train. </w:t>
      </w:r>
      <w:r w:rsidR="00FC2D61" w:rsidRPr="00CF5797">
        <w:rPr>
          <w:lang w:val="fr-CA"/>
        </w:rPr>
        <w:t>Les gouvernements des pays visés reconnaissent que leurs activités de facilitation devront être achevées à la date prorogée, au plus tard, et que les sol</w:t>
      </w:r>
      <w:r w:rsidR="00E04B07">
        <w:rPr>
          <w:lang w:val="fr-CA"/>
        </w:rPr>
        <w:t>d</w:t>
      </w:r>
      <w:r w:rsidR="00FC2D61" w:rsidRPr="00CF5797">
        <w:rPr>
          <w:lang w:val="fr-CA"/>
        </w:rPr>
        <w:t>es dev</w:t>
      </w:r>
      <w:r w:rsidR="00E04B07">
        <w:rPr>
          <w:lang w:val="fr-CA"/>
        </w:rPr>
        <w:t>ront être restitués dans les 12 </w:t>
      </w:r>
      <w:r w:rsidR="00FC2D61" w:rsidRPr="00CF5797">
        <w:rPr>
          <w:lang w:val="fr-CA"/>
        </w:rPr>
        <w:t>mois suivant l’achèvement, conformément à la décision 79/46</w:t>
      </w:r>
      <w:r w:rsidR="00825F3F" w:rsidRPr="00CF5797">
        <w:rPr>
          <w:lang w:val="fr-CA"/>
        </w:rPr>
        <w:t>.</w:t>
      </w:r>
    </w:p>
    <w:p w14:paraId="71832253" w14:textId="51637EE9" w:rsidR="00825F3F" w:rsidRPr="00CF5797" w:rsidRDefault="00FC2D61" w:rsidP="00825F3F">
      <w:pPr>
        <w:keepNext/>
        <w:keepLines/>
        <w:spacing w:after="240"/>
        <w:outlineLvl w:val="0"/>
        <w:rPr>
          <w:b/>
          <w:lang w:val="fr-CA"/>
        </w:rPr>
      </w:pPr>
      <w:r w:rsidRPr="00CF5797">
        <w:rPr>
          <w:b/>
          <w:lang w:val="fr-CA"/>
        </w:rPr>
        <w:t>Recomma</w:t>
      </w:r>
      <w:r w:rsidR="00825F3F" w:rsidRPr="00CF5797">
        <w:rPr>
          <w:b/>
          <w:lang w:val="fr-CA"/>
        </w:rPr>
        <w:t>ndation</w:t>
      </w:r>
    </w:p>
    <w:p w14:paraId="4EC8C316" w14:textId="0A601D95" w:rsidR="00825F3F" w:rsidRPr="00CF5797" w:rsidRDefault="00FC2D61" w:rsidP="00825F3F">
      <w:pPr>
        <w:numPr>
          <w:ilvl w:val="0"/>
          <w:numId w:val="1"/>
        </w:numPr>
        <w:tabs>
          <w:tab w:val="num" w:pos="710"/>
        </w:tabs>
        <w:spacing w:after="240"/>
        <w:outlineLvl w:val="0"/>
        <w:rPr>
          <w:lang w:val="fr-CA"/>
        </w:rPr>
      </w:pPr>
      <w:r w:rsidRPr="00CF5797">
        <w:rPr>
          <w:lang w:val="fr-CA"/>
        </w:rPr>
        <w:t xml:space="preserve">Le Comité exécutif pourrait souhaiter </w:t>
      </w:r>
      <w:r w:rsidR="00825F3F" w:rsidRPr="00CF5797">
        <w:rPr>
          <w:lang w:val="fr-CA"/>
        </w:rPr>
        <w:t>:</w:t>
      </w:r>
    </w:p>
    <w:p w14:paraId="06F1036E" w14:textId="277A65C5" w:rsidR="00825F3F" w:rsidRPr="00CF5797" w:rsidRDefault="00FC2D61" w:rsidP="00825F3F">
      <w:pPr>
        <w:widowControl w:val="0"/>
        <w:numPr>
          <w:ilvl w:val="1"/>
          <w:numId w:val="1"/>
        </w:numPr>
        <w:spacing w:after="240"/>
        <w:outlineLvl w:val="1"/>
        <w:rPr>
          <w:lang w:val="fr-CA"/>
        </w:rPr>
      </w:pPr>
      <w:r w:rsidRPr="00CF5797">
        <w:rPr>
          <w:lang w:val="fr-CA"/>
        </w:rPr>
        <w:t>Prendre note des demandes de prorogation des activités de facilitation de la réduction progressive des HFC proposées par les agences d’exécution concernées pour les six pays visés à l'article 5</w:t>
      </w:r>
      <w:r w:rsidR="00E04B07">
        <w:rPr>
          <w:lang w:val="fr-CA"/>
        </w:rPr>
        <w:t xml:space="preserve"> indiqué</w:t>
      </w:r>
      <w:r w:rsidRPr="00CF5797">
        <w:rPr>
          <w:lang w:val="fr-CA"/>
        </w:rPr>
        <w:t>s dans le tableau 16 du document</w:t>
      </w:r>
      <w:r w:rsidR="00825F3F" w:rsidRPr="00CF5797">
        <w:rPr>
          <w:lang w:val="fr-CA"/>
        </w:rPr>
        <w:t> UNEP/OzL.Pro/ExCom/87/9</w:t>
      </w:r>
      <w:r w:rsidR="0037190F">
        <w:rPr>
          <w:lang w:val="fr-CA"/>
        </w:rPr>
        <w:t xml:space="preserve"> </w:t>
      </w:r>
      <w:r w:rsidR="00825F3F" w:rsidRPr="00CF5797">
        <w:rPr>
          <w:lang w:val="fr-CA"/>
        </w:rPr>
        <w:t xml:space="preserve">; </w:t>
      </w:r>
      <w:r w:rsidR="0037190F">
        <w:rPr>
          <w:lang w:val="fr-CA"/>
        </w:rPr>
        <w:t>et</w:t>
      </w:r>
    </w:p>
    <w:p w14:paraId="671D3DAB" w14:textId="75D997F6" w:rsidR="00825F3F" w:rsidRPr="00CF5797" w:rsidRDefault="00FC2D61" w:rsidP="00825F3F">
      <w:pPr>
        <w:keepNext/>
        <w:numPr>
          <w:ilvl w:val="1"/>
          <w:numId w:val="1"/>
        </w:numPr>
        <w:spacing w:after="240"/>
        <w:outlineLvl w:val="1"/>
        <w:rPr>
          <w:lang w:val="fr-CA"/>
        </w:rPr>
      </w:pPr>
      <w:r w:rsidRPr="00CF5797">
        <w:rPr>
          <w:lang w:val="fr-CA"/>
        </w:rPr>
        <w:t xml:space="preserve">Proroger la date d’achèvement des activités de facilitation de la </w:t>
      </w:r>
      <w:r w:rsidR="002066C6" w:rsidRPr="00CF5797">
        <w:rPr>
          <w:lang w:val="fr-CA"/>
        </w:rPr>
        <w:t>ré</w:t>
      </w:r>
      <w:r w:rsidRPr="00CF5797">
        <w:rPr>
          <w:lang w:val="fr-CA"/>
        </w:rPr>
        <w:t>duction progressive des HFC au 30 juin 2022 pour l’</w:t>
      </w:r>
      <w:r w:rsidR="002066C6" w:rsidRPr="00CF5797">
        <w:rPr>
          <w:lang w:val="fr-CA"/>
        </w:rPr>
        <w:t>Algérie, le Belize, le Buru</w:t>
      </w:r>
      <w:r w:rsidRPr="00CF5797">
        <w:rPr>
          <w:lang w:val="fr-CA"/>
        </w:rPr>
        <w:t>ndi, Haïti et la République de Moldavie, et au 31 décembre 2022 pour la Guinée, étant ente</w:t>
      </w:r>
      <w:r w:rsidR="002066C6" w:rsidRPr="00CF5797">
        <w:rPr>
          <w:lang w:val="fr-CA"/>
        </w:rPr>
        <w:t>n</w:t>
      </w:r>
      <w:r w:rsidRPr="00CF5797">
        <w:rPr>
          <w:lang w:val="fr-CA"/>
        </w:rPr>
        <w:t>du qu’aucune aut</w:t>
      </w:r>
      <w:r w:rsidR="002066C6" w:rsidRPr="00CF5797">
        <w:rPr>
          <w:lang w:val="fr-CA"/>
        </w:rPr>
        <w:t>r</w:t>
      </w:r>
      <w:r w:rsidRPr="00CF5797">
        <w:rPr>
          <w:lang w:val="fr-CA"/>
        </w:rPr>
        <w:t>e prorogation ne sera demandée et que les agences d’exécution concernées remettr</w:t>
      </w:r>
      <w:r w:rsidR="002066C6" w:rsidRPr="00CF5797">
        <w:rPr>
          <w:lang w:val="fr-CA"/>
        </w:rPr>
        <w:t xml:space="preserve">ont un rapport </w:t>
      </w:r>
      <w:r w:rsidRPr="00CF5797">
        <w:rPr>
          <w:lang w:val="fr-CA"/>
        </w:rPr>
        <w:t>final</w:t>
      </w:r>
      <w:r w:rsidR="002066C6" w:rsidRPr="00CF5797">
        <w:rPr>
          <w:lang w:val="fr-CA"/>
        </w:rPr>
        <w:t xml:space="preserve"> sur les activités de facilitati</w:t>
      </w:r>
      <w:r w:rsidRPr="00CF5797">
        <w:rPr>
          <w:lang w:val="fr-CA"/>
        </w:rPr>
        <w:t xml:space="preserve">on dans les six mois suivant la date d’achèvement des projets, conformément à la décision </w:t>
      </w:r>
      <w:r w:rsidR="00825F3F" w:rsidRPr="00CF5797">
        <w:rPr>
          <w:lang w:val="fr-CA"/>
        </w:rPr>
        <w:t>81/32</w:t>
      </w:r>
      <w:r w:rsidRPr="00CF5797">
        <w:rPr>
          <w:lang w:val="fr-CA"/>
        </w:rPr>
        <w:t xml:space="preserve"> </w:t>
      </w:r>
      <w:r w:rsidR="00825F3F" w:rsidRPr="00CF5797">
        <w:rPr>
          <w:lang w:val="fr-CA"/>
        </w:rPr>
        <w:t>b).</w:t>
      </w:r>
    </w:p>
    <w:p w14:paraId="0B3296D1" w14:textId="77777777" w:rsidR="008376CB" w:rsidRDefault="008376CB">
      <w:pPr>
        <w:jc w:val="left"/>
        <w:rPr>
          <w:b/>
          <w:lang w:val="fr-CA"/>
        </w:rPr>
      </w:pPr>
      <w:r>
        <w:rPr>
          <w:b/>
          <w:lang w:val="fr-CA"/>
        </w:rPr>
        <w:br w:type="page"/>
      </w:r>
    </w:p>
    <w:p w14:paraId="67D3B77D" w14:textId="5323459E" w:rsidR="00825F3F" w:rsidRPr="00CF5797" w:rsidRDefault="002066C6" w:rsidP="00825F3F">
      <w:pPr>
        <w:pStyle w:val="Heading1"/>
        <w:keepNext/>
        <w:numPr>
          <w:ilvl w:val="0"/>
          <w:numId w:val="0"/>
        </w:numPr>
        <w:ind w:left="1440" w:hanging="1440"/>
        <w:rPr>
          <w:b/>
          <w:lang w:val="fr-CA"/>
        </w:rPr>
      </w:pPr>
      <w:r w:rsidRPr="0037190F">
        <w:rPr>
          <w:b/>
          <w:lang w:val="fr-CA"/>
        </w:rPr>
        <w:lastRenderedPageBreak/>
        <w:t>PARTIE</w:t>
      </w:r>
      <w:r w:rsidR="00825F3F" w:rsidRPr="0037190F">
        <w:rPr>
          <w:b/>
          <w:lang w:val="fr-CA"/>
        </w:rPr>
        <w:t xml:space="preserve"> III</w:t>
      </w:r>
      <w:r w:rsidRPr="0037190F">
        <w:rPr>
          <w:b/>
          <w:lang w:val="fr-CA"/>
        </w:rPr>
        <w:t xml:space="preserve"> </w:t>
      </w:r>
      <w:r w:rsidR="00825F3F" w:rsidRPr="0037190F">
        <w:rPr>
          <w:b/>
          <w:lang w:val="fr-CA"/>
        </w:rPr>
        <w:t>:</w:t>
      </w:r>
      <w:r w:rsidR="00825F3F" w:rsidRPr="0037190F">
        <w:rPr>
          <w:b/>
          <w:lang w:val="fr-CA"/>
        </w:rPr>
        <w:tab/>
      </w:r>
      <w:r w:rsidRPr="0037190F">
        <w:rPr>
          <w:b/>
          <w:lang w:val="fr-CA"/>
        </w:rPr>
        <w:t>RAPPORTS SUR LES PROJETS COMPORTANT DES EXIGENCES PARTICULIÈRES DE REMISE DE RAPPORTS</w:t>
      </w:r>
      <w:r w:rsidR="00C27240" w:rsidRPr="0037190F">
        <w:rPr>
          <w:b/>
          <w:lang w:val="fr-CA"/>
        </w:rPr>
        <w:t>,</w:t>
      </w:r>
      <w:r w:rsidRPr="0037190F">
        <w:rPr>
          <w:b/>
          <w:lang w:val="fr-CA"/>
        </w:rPr>
        <w:t xml:space="preserve"> POUR EXAMEN INDIVIDUEL</w:t>
      </w:r>
    </w:p>
    <w:p w14:paraId="4033259B" w14:textId="006ED6B2" w:rsidR="00825F3F" w:rsidRPr="00CF5797" w:rsidRDefault="002066C6" w:rsidP="00825F3F">
      <w:pPr>
        <w:spacing w:after="240"/>
        <w:ind w:left="1440" w:hanging="1440"/>
        <w:rPr>
          <w:lang w:val="fr-CA"/>
        </w:rPr>
      </w:pPr>
      <w:r w:rsidRPr="00CF5797">
        <w:rPr>
          <w:b/>
          <w:u w:val="single"/>
          <w:lang w:val="fr-CA"/>
        </w:rPr>
        <w:t>Rapports relatifs aux PGEH</w:t>
      </w:r>
    </w:p>
    <w:p w14:paraId="05367411" w14:textId="19B0B447" w:rsidR="00825F3F" w:rsidRPr="00CF5797" w:rsidRDefault="002066C6" w:rsidP="00825F3F">
      <w:pPr>
        <w:keepNext/>
        <w:keepLines/>
        <w:spacing w:after="240"/>
        <w:rPr>
          <w:lang w:val="fr-CA"/>
        </w:rPr>
      </w:pPr>
      <w:r w:rsidRPr="00CF5797">
        <w:rPr>
          <w:u w:val="single"/>
          <w:lang w:val="fr-CA"/>
        </w:rPr>
        <w:t xml:space="preserve">République </w:t>
      </w:r>
      <w:r w:rsidR="00E15889" w:rsidRPr="00CF5797">
        <w:rPr>
          <w:u w:val="single"/>
          <w:lang w:val="fr-CA"/>
        </w:rPr>
        <w:t xml:space="preserve">populaire démocratique de Corée : </w:t>
      </w:r>
      <w:r w:rsidRPr="00CF5797">
        <w:rPr>
          <w:u w:val="single"/>
          <w:lang w:val="fr-CA"/>
        </w:rPr>
        <w:t>Plan de gestion de l'élimination des HCFC (phase I : rapport périodique sur les activités de mise en œuvre)</w:t>
      </w:r>
      <w:r w:rsidRPr="00CF5797">
        <w:rPr>
          <w:lang w:val="fr-CA"/>
        </w:rPr>
        <w:t xml:space="preserve"> (ONUDI)</w:t>
      </w:r>
    </w:p>
    <w:p w14:paraId="150F71F7" w14:textId="27B0F9D6" w:rsidR="00825F3F" w:rsidRPr="00CF5797" w:rsidRDefault="002066C6" w:rsidP="00825F3F">
      <w:pPr>
        <w:keepNext/>
        <w:keepLines/>
        <w:spacing w:after="240"/>
        <w:rPr>
          <w:b/>
          <w:lang w:val="fr-CA"/>
        </w:rPr>
      </w:pPr>
      <w:r w:rsidRPr="00CF5797">
        <w:rPr>
          <w:b/>
          <w:lang w:val="fr-CA"/>
        </w:rPr>
        <w:t>Contexte</w:t>
      </w:r>
    </w:p>
    <w:p w14:paraId="0C93D6A4" w14:textId="5DA06944" w:rsidR="00825F3F" w:rsidRPr="00CF5797" w:rsidRDefault="002066C6" w:rsidP="00825F3F">
      <w:pPr>
        <w:numPr>
          <w:ilvl w:val="0"/>
          <w:numId w:val="1"/>
        </w:numPr>
        <w:spacing w:after="240"/>
        <w:outlineLvl w:val="0"/>
        <w:rPr>
          <w:lang w:val="fr-CA"/>
        </w:rPr>
      </w:pPr>
      <w:r w:rsidRPr="00CF5797">
        <w:rPr>
          <w:lang w:val="fr-CA"/>
        </w:rPr>
        <w:t>Le Comité exécutif, à sa 73</w:t>
      </w:r>
      <w:r w:rsidRPr="00CF5797">
        <w:rPr>
          <w:vertAlign w:val="superscript"/>
          <w:lang w:val="fr-CA"/>
        </w:rPr>
        <w:t>e</w:t>
      </w:r>
      <w:r w:rsidRPr="00CF5797">
        <w:rPr>
          <w:lang w:val="fr-CA"/>
        </w:rPr>
        <w:t xml:space="preserve"> r</w:t>
      </w:r>
      <w:r w:rsidR="00E15889" w:rsidRPr="00CF5797">
        <w:rPr>
          <w:lang w:val="fr-CA"/>
        </w:rPr>
        <w:t>é</w:t>
      </w:r>
      <w:r w:rsidRPr="00CF5797">
        <w:rPr>
          <w:lang w:val="fr-CA"/>
        </w:rPr>
        <w:t>union, a approuvé, en principe</w:t>
      </w:r>
      <w:r w:rsidR="00E15889" w:rsidRPr="00CF5797">
        <w:rPr>
          <w:lang w:val="fr-CA"/>
        </w:rPr>
        <w:t xml:space="preserve">, la phase I du PGEH pour la République populaire démocratique de Corée, pour laquelle l’ONUDI agirait en qualité d’agence d’exécution principale et le PNUE d’agence d’exécution de coopération, afin de réduire la consommation de HCFC à un niveau </w:t>
      </w:r>
      <w:r w:rsidR="00E04B07">
        <w:rPr>
          <w:lang w:val="fr-CA"/>
        </w:rPr>
        <w:t>soutenu</w:t>
      </w:r>
      <w:r w:rsidR="00E15889" w:rsidRPr="00CF5797">
        <w:rPr>
          <w:lang w:val="fr-CA"/>
        </w:rPr>
        <w:t xml:space="preserve"> de 66,30 tonnes PAO</w:t>
      </w:r>
      <w:r w:rsidR="00E04B07">
        <w:rPr>
          <w:lang w:val="fr-CA"/>
        </w:rPr>
        <w:t>,</w:t>
      </w:r>
      <w:r w:rsidR="00E15889" w:rsidRPr="00CF5797">
        <w:rPr>
          <w:lang w:val="fr-CA"/>
        </w:rPr>
        <w:t xml:space="preserve"> avant le 1</w:t>
      </w:r>
      <w:r w:rsidR="00E15889" w:rsidRPr="00CF5797">
        <w:rPr>
          <w:vertAlign w:val="superscript"/>
          <w:lang w:val="fr-CA"/>
        </w:rPr>
        <w:t>er</w:t>
      </w:r>
      <w:r w:rsidR="00E15889" w:rsidRPr="00CF5797">
        <w:rPr>
          <w:lang w:val="fr-CA"/>
        </w:rPr>
        <w:t xml:space="preserve"> janvier 2018 (c.-à-d., 15 pour cent de moins que la valeur de référence pour les HCFC aux fins de conformité de 78,00 tonnes PAO). L’approbation a été donnée sur confirmation par les agences d’exécution que la phase I du PGEH pourrait être mise en œuvre dans le respect des résolutions du Conseil de sécurité des Nations Unies</w:t>
      </w:r>
      <w:r w:rsidR="00825F3F" w:rsidRPr="00CF5797">
        <w:rPr>
          <w:vertAlign w:val="superscript"/>
          <w:lang w:val="fr-CA"/>
        </w:rPr>
        <w:footnoteReference w:id="51"/>
      </w:r>
      <w:r w:rsidR="00825F3F" w:rsidRPr="00CF5797">
        <w:rPr>
          <w:lang w:val="fr-CA"/>
        </w:rPr>
        <w:t xml:space="preserve"> </w:t>
      </w:r>
      <w:r w:rsidR="00E15889" w:rsidRPr="00CF5797">
        <w:rPr>
          <w:lang w:val="fr-CA"/>
        </w:rPr>
        <w:t>concernant le République populaire démocratique de Corée</w:t>
      </w:r>
      <w:r w:rsidR="00825F3F" w:rsidRPr="00CF5797">
        <w:rPr>
          <w:lang w:val="fr-CA"/>
        </w:rPr>
        <w:t xml:space="preserve">. </w:t>
      </w:r>
    </w:p>
    <w:p w14:paraId="1E9E171D" w14:textId="33A988EC" w:rsidR="00825F3F" w:rsidRPr="00CF5797" w:rsidRDefault="00CF5583" w:rsidP="00825F3F">
      <w:pPr>
        <w:numPr>
          <w:ilvl w:val="0"/>
          <w:numId w:val="1"/>
        </w:numPr>
        <w:spacing w:after="240"/>
        <w:outlineLvl w:val="0"/>
        <w:rPr>
          <w:lang w:val="fr-CA"/>
        </w:rPr>
      </w:pPr>
      <w:r w:rsidRPr="00CF5797">
        <w:rPr>
          <w:lang w:val="fr-CA"/>
        </w:rPr>
        <w:t>Le Comité exécutif a approuvé trois des quatre tranches de financement depuis l’approbation de la phase I, pour la somme de 808 550 $US (95,3 pour cent de la somme totale de 848 550 $US approuvée en principe) et le transfert à l’ONUDI de toutes les activités d’élimination dont le PNUE assurerait la mise en œuvre. La dernière tranche de la phase I du PGEH, représentant la somme de 40 000 $US, devait être présentée à la 81</w:t>
      </w:r>
      <w:r w:rsidRPr="00CF5797">
        <w:rPr>
          <w:vertAlign w:val="superscript"/>
          <w:lang w:val="fr-CA"/>
        </w:rPr>
        <w:t>e</w:t>
      </w:r>
      <w:r w:rsidRPr="00CF5797">
        <w:rPr>
          <w:lang w:val="fr-CA"/>
        </w:rPr>
        <w:t xml:space="preserve"> réunion, conformément à l’Accord entre le gouvernement et le Comité exécutif. L’ONUDI était toujours incapable de présenter la demande de financement de la tranche en date de la </w:t>
      </w:r>
      <w:r w:rsidRPr="005A4D05">
        <w:rPr>
          <w:lang w:val="fr-CA"/>
        </w:rPr>
        <w:t>84</w:t>
      </w:r>
      <w:r w:rsidR="005A4D05" w:rsidRPr="005A4D05">
        <w:rPr>
          <w:vertAlign w:val="superscript"/>
          <w:lang w:val="fr-CA"/>
        </w:rPr>
        <w:t>e</w:t>
      </w:r>
      <w:r w:rsidR="005A4D05">
        <w:rPr>
          <w:lang w:val="fr-CA"/>
        </w:rPr>
        <w:t> </w:t>
      </w:r>
      <w:r w:rsidRPr="005A4D05">
        <w:rPr>
          <w:lang w:val="fr-CA"/>
        </w:rPr>
        <w:t>réunion</w:t>
      </w:r>
      <w:r w:rsidRPr="00CF5797">
        <w:rPr>
          <w:lang w:val="fr-CA"/>
        </w:rPr>
        <w:t>, à cause des résolutions du Conseil de sécurité des Nations Un</w:t>
      </w:r>
      <w:r w:rsidR="000B1DFB" w:rsidRPr="00CF5797">
        <w:rPr>
          <w:lang w:val="fr-CA"/>
        </w:rPr>
        <w:t>ies</w:t>
      </w:r>
      <w:r w:rsidR="00825F3F" w:rsidRPr="00CF5797">
        <w:rPr>
          <w:lang w:val="fr-CA"/>
        </w:rPr>
        <w:t xml:space="preserve">. </w:t>
      </w:r>
    </w:p>
    <w:p w14:paraId="31E97C97" w14:textId="5D7286FA" w:rsidR="00825F3F" w:rsidRPr="00CF5797" w:rsidRDefault="000B1DFB" w:rsidP="00825F3F">
      <w:pPr>
        <w:keepNext/>
        <w:keepLines/>
        <w:spacing w:after="240"/>
        <w:rPr>
          <w:b/>
          <w:lang w:val="fr-CA"/>
        </w:rPr>
      </w:pPr>
      <w:r w:rsidRPr="00CF5797">
        <w:rPr>
          <w:b/>
          <w:lang w:val="fr-CA"/>
        </w:rPr>
        <w:t>Rapport périodique remis à la 85</w:t>
      </w:r>
      <w:r w:rsidRPr="00CF5797">
        <w:rPr>
          <w:b/>
          <w:vertAlign w:val="superscript"/>
          <w:lang w:val="fr-CA"/>
        </w:rPr>
        <w:t>e</w:t>
      </w:r>
      <w:r w:rsidRPr="00CF5797">
        <w:rPr>
          <w:b/>
          <w:lang w:val="fr-CA"/>
        </w:rPr>
        <w:t xml:space="preserve"> réunion</w:t>
      </w:r>
    </w:p>
    <w:p w14:paraId="655D8A84" w14:textId="2277EB25" w:rsidR="00825F3F" w:rsidRPr="00CF5797" w:rsidRDefault="00472918" w:rsidP="00825F3F">
      <w:pPr>
        <w:numPr>
          <w:ilvl w:val="0"/>
          <w:numId w:val="1"/>
        </w:numPr>
        <w:spacing w:after="240"/>
        <w:outlineLvl w:val="0"/>
        <w:rPr>
          <w:lang w:val="fr-CA"/>
        </w:rPr>
      </w:pPr>
      <w:r w:rsidRPr="00CF5797">
        <w:rPr>
          <w:lang w:val="fr-CA"/>
        </w:rPr>
        <w:t>L’ONUDI a remis à la 85</w:t>
      </w:r>
      <w:r w:rsidRPr="00CF5797">
        <w:rPr>
          <w:vertAlign w:val="superscript"/>
          <w:lang w:val="fr-CA"/>
        </w:rPr>
        <w:t>e</w:t>
      </w:r>
      <w:r w:rsidRPr="00CF5797">
        <w:rPr>
          <w:lang w:val="fr-CA"/>
        </w:rPr>
        <w:t xml:space="preserve"> réunion, un rapport périodique sur la mise en œuvre de la phase I du PGEH, </w:t>
      </w:r>
      <w:r w:rsidR="005A4D05">
        <w:rPr>
          <w:lang w:val="fr-CA"/>
        </w:rPr>
        <w:t>comprenant</w:t>
      </w:r>
      <w:r w:rsidRPr="00CF5797">
        <w:rPr>
          <w:lang w:val="fr-CA"/>
        </w:rPr>
        <w:t xml:space="preserve"> la liste des activités mises en œuvre à ce jour, le </w:t>
      </w:r>
      <w:r w:rsidR="00614C94" w:rsidRPr="00CF5797">
        <w:rPr>
          <w:lang w:val="fr-CA"/>
        </w:rPr>
        <w:t>niveau</w:t>
      </w:r>
      <w:r w:rsidRPr="00CF5797">
        <w:rPr>
          <w:lang w:val="fr-CA"/>
        </w:rPr>
        <w:t xml:space="preserve"> de décaissement atteint, les défis</w:t>
      </w:r>
      <w:r w:rsidR="00614C94" w:rsidRPr="00CF5797">
        <w:rPr>
          <w:lang w:val="fr-CA"/>
        </w:rPr>
        <w:t xml:space="preserve"> surmontés pour assurer la mise en œuvre ininterrompue des activités en conformité aux résolutions du Conseil de sécurité des Nations Unies et une demande pour l’orientation du Comité exécutif</w:t>
      </w:r>
      <w:r w:rsidR="00825F3F" w:rsidRPr="00CF5797">
        <w:rPr>
          <w:lang w:val="fr-CA"/>
        </w:rPr>
        <w:t xml:space="preserve">. </w:t>
      </w:r>
    </w:p>
    <w:p w14:paraId="5097C5BD" w14:textId="6D84B717" w:rsidR="00825F3F" w:rsidRPr="00CF5797" w:rsidRDefault="00614C94" w:rsidP="00825F3F">
      <w:pPr>
        <w:numPr>
          <w:ilvl w:val="0"/>
          <w:numId w:val="1"/>
        </w:numPr>
        <w:spacing w:after="240"/>
        <w:outlineLvl w:val="0"/>
        <w:rPr>
          <w:lang w:val="fr-CA"/>
        </w:rPr>
      </w:pPr>
      <w:r w:rsidRPr="00CF5797">
        <w:rPr>
          <w:lang w:val="fr-CA"/>
        </w:rPr>
        <w:t xml:space="preserve">Le rapport révèle que malgré les difficultés associées à la résolution du Conseil de sécurité </w:t>
      </w:r>
      <w:r w:rsidR="005A4D05">
        <w:rPr>
          <w:lang w:val="fr-CA"/>
        </w:rPr>
        <w:t>d</w:t>
      </w:r>
      <w:r w:rsidRPr="00CF5797">
        <w:rPr>
          <w:lang w:val="fr-CA"/>
        </w:rPr>
        <w:t xml:space="preserve">es Nations Unies, les activités principales suivantes se sont déroulées pendant les première et deuxième tranches </w:t>
      </w:r>
      <w:r w:rsidR="00825F3F" w:rsidRPr="00CF5797">
        <w:rPr>
          <w:lang w:val="fr-CA"/>
        </w:rPr>
        <w:t>:</w:t>
      </w:r>
    </w:p>
    <w:p w14:paraId="6989D10E" w14:textId="414B3748" w:rsidR="00825F3F" w:rsidRPr="00CF5797" w:rsidRDefault="00614C94" w:rsidP="00825F3F">
      <w:pPr>
        <w:widowControl w:val="0"/>
        <w:numPr>
          <w:ilvl w:val="1"/>
          <w:numId w:val="1"/>
        </w:numPr>
        <w:spacing w:after="240"/>
        <w:outlineLvl w:val="1"/>
        <w:rPr>
          <w:lang w:val="fr-CA"/>
        </w:rPr>
      </w:pPr>
      <w:r w:rsidRPr="00CF5797">
        <w:rPr>
          <w:lang w:val="fr-CA"/>
        </w:rPr>
        <w:t>Achat de trois identifiants de frigorigènes pour le bureau des douanes du pays</w:t>
      </w:r>
      <w:r w:rsidR="0037190F">
        <w:rPr>
          <w:lang w:val="fr-CA"/>
        </w:rPr>
        <w:t xml:space="preserve"> </w:t>
      </w:r>
      <w:r w:rsidR="00825F3F" w:rsidRPr="00CF5797">
        <w:rPr>
          <w:lang w:val="fr-CA"/>
        </w:rPr>
        <w:t>;</w:t>
      </w:r>
    </w:p>
    <w:p w14:paraId="6725E76A" w14:textId="3E29587D" w:rsidR="00825F3F" w:rsidRPr="00CF5797" w:rsidRDefault="00614C94" w:rsidP="00825F3F">
      <w:pPr>
        <w:widowControl w:val="0"/>
        <w:numPr>
          <w:ilvl w:val="1"/>
          <w:numId w:val="1"/>
        </w:numPr>
        <w:spacing w:after="240"/>
        <w:outlineLvl w:val="1"/>
        <w:rPr>
          <w:rFonts w:eastAsiaTheme="minorEastAsia"/>
          <w:lang w:val="fr-CA" w:eastAsia="en-GB"/>
        </w:rPr>
      </w:pPr>
      <w:r w:rsidRPr="00CF5797">
        <w:rPr>
          <w:lang w:val="fr-CA"/>
        </w:rPr>
        <w:t xml:space="preserve">Achat d’une machine de </w:t>
      </w:r>
      <w:r w:rsidR="00882BFC" w:rsidRPr="00CF5797">
        <w:rPr>
          <w:lang w:val="fr-CA"/>
        </w:rPr>
        <w:t>gonflage</w:t>
      </w:r>
      <w:r w:rsidRPr="00CF5797">
        <w:rPr>
          <w:lang w:val="fr-CA"/>
        </w:rPr>
        <w:t xml:space="preserve"> de la mousse pour l’usine de matériaux de construction </w:t>
      </w:r>
      <w:proofErr w:type="spellStart"/>
      <w:r w:rsidRPr="00CF5797">
        <w:rPr>
          <w:lang w:val="fr-CA"/>
        </w:rPr>
        <w:t>Puhung</w:t>
      </w:r>
      <w:proofErr w:type="spellEnd"/>
      <w:r w:rsidR="00882BFC" w:rsidRPr="00CF5797">
        <w:rPr>
          <w:lang w:val="fr-CA"/>
        </w:rPr>
        <w:t xml:space="preserve"> avec l’autorisation du Conseil de sécurité des Nations Unies en 2015, et préparation d’un contrat pour l’expédition d’équipement accessoire pour permettre l’installation et la mise en service de l’équipement de gonflage de la mousse</w:t>
      </w:r>
      <w:r w:rsidR="0037190F">
        <w:rPr>
          <w:lang w:val="fr-CA"/>
        </w:rPr>
        <w:t xml:space="preserve"> </w:t>
      </w:r>
      <w:r w:rsidR="00825F3F" w:rsidRPr="00CF5797">
        <w:rPr>
          <w:lang w:val="fr-CA"/>
        </w:rPr>
        <w:t>;</w:t>
      </w:r>
    </w:p>
    <w:p w14:paraId="342BCBD7" w14:textId="23249530" w:rsidR="00825F3F" w:rsidRPr="00CF5797" w:rsidRDefault="00324D2C" w:rsidP="00324D2C">
      <w:pPr>
        <w:keepNext/>
        <w:numPr>
          <w:ilvl w:val="1"/>
          <w:numId w:val="1"/>
        </w:numPr>
        <w:spacing w:after="240"/>
        <w:outlineLvl w:val="1"/>
        <w:rPr>
          <w:rFonts w:eastAsiaTheme="minorEastAsia"/>
          <w:lang w:val="fr-CA" w:eastAsia="en-GB"/>
        </w:rPr>
      </w:pPr>
      <w:r w:rsidRPr="00CF5797">
        <w:rPr>
          <w:lang w:val="fr-CA"/>
        </w:rPr>
        <w:t>Achat d’équipement de mousse de polyuréthanne</w:t>
      </w:r>
      <w:r w:rsidRPr="00CF5797">
        <w:rPr>
          <w:rFonts w:eastAsiaTheme="minorEastAsia"/>
          <w:lang w:val="fr-CA" w:eastAsia="en-GB"/>
        </w:rPr>
        <w:t xml:space="preserve">, avec l’autorisation du Comité du Conseil de sécurité des Nations Unies, conformément aux procédures établies par la résolution 2270 (2016) du Conseil de sécurité des Nations Unies; </w:t>
      </w:r>
      <w:r w:rsidR="00077778">
        <w:rPr>
          <w:rFonts w:eastAsiaTheme="minorEastAsia"/>
          <w:lang w:val="fr-CA" w:eastAsia="en-GB"/>
        </w:rPr>
        <w:t xml:space="preserve">le </w:t>
      </w:r>
      <w:r w:rsidRPr="00CF5797">
        <w:rPr>
          <w:rFonts w:eastAsiaTheme="minorEastAsia"/>
          <w:lang w:val="fr-CA" w:eastAsia="en-GB"/>
        </w:rPr>
        <w:t>contrat d’achat a été émis aux fournisseurs, l’équipement a été expédié en passant par la Chine</w:t>
      </w:r>
      <w:r w:rsidR="00077778">
        <w:rPr>
          <w:rFonts w:eastAsiaTheme="minorEastAsia"/>
          <w:lang w:val="fr-CA" w:eastAsia="en-GB"/>
        </w:rPr>
        <w:t>,</w:t>
      </w:r>
      <w:r w:rsidRPr="00CF5797">
        <w:rPr>
          <w:rFonts w:eastAsiaTheme="minorEastAsia"/>
          <w:lang w:val="fr-CA" w:eastAsia="en-GB"/>
        </w:rPr>
        <w:t xml:space="preserve"> car il ne pouvait pas être </w:t>
      </w:r>
      <w:r w:rsidRPr="00CF5797">
        <w:rPr>
          <w:rFonts w:eastAsiaTheme="minorEastAsia"/>
          <w:lang w:val="fr-CA" w:eastAsia="en-GB"/>
        </w:rPr>
        <w:lastRenderedPageBreak/>
        <w:t>expédié directement en République populaire démocratique de Corée, mais a été refusé par les autorités douanières de la Chine et retourné au fournisseur</w:t>
      </w:r>
      <w:r w:rsidR="0037190F">
        <w:rPr>
          <w:rFonts w:eastAsiaTheme="minorEastAsia"/>
          <w:lang w:val="fr-CA" w:eastAsia="en-GB"/>
        </w:rPr>
        <w:t xml:space="preserve"> </w:t>
      </w:r>
      <w:r w:rsidR="00825F3F" w:rsidRPr="00CF5797">
        <w:rPr>
          <w:lang w:val="fr-CA"/>
        </w:rPr>
        <w:t xml:space="preserve">; </w:t>
      </w:r>
    </w:p>
    <w:p w14:paraId="0F37B407" w14:textId="6A69A9E0" w:rsidR="00825F3F" w:rsidRPr="00CF5797" w:rsidRDefault="00324D2C" w:rsidP="00825F3F">
      <w:pPr>
        <w:widowControl w:val="0"/>
        <w:numPr>
          <w:ilvl w:val="1"/>
          <w:numId w:val="1"/>
        </w:numPr>
        <w:spacing w:after="240"/>
        <w:outlineLvl w:val="1"/>
        <w:rPr>
          <w:rFonts w:eastAsiaTheme="minorEastAsia"/>
          <w:lang w:val="fr-CA" w:eastAsia="en-GB"/>
        </w:rPr>
      </w:pPr>
      <w:r w:rsidRPr="00CF5797">
        <w:rPr>
          <w:rFonts w:eastAsiaTheme="minorEastAsia"/>
          <w:lang w:val="fr-CA" w:eastAsia="en-GB"/>
        </w:rPr>
        <w:t xml:space="preserve">Achat d’équipement de formation pour les techniciens d’entretien de l’équipement de réfrigération et de climatisation, avec l’autorisation du </w:t>
      </w:r>
      <w:r w:rsidR="006C3714">
        <w:rPr>
          <w:rFonts w:eastAsiaTheme="minorEastAsia"/>
          <w:lang w:val="fr-CA" w:eastAsia="en-GB"/>
        </w:rPr>
        <w:t>C</w:t>
      </w:r>
      <w:r w:rsidR="00077778">
        <w:rPr>
          <w:rFonts w:eastAsiaTheme="minorEastAsia"/>
          <w:lang w:val="fr-CA" w:eastAsia="en-GB"/>
        </w:rPr>
        <w:t xml:space="preserve">omité du </w:t>
      </w:r>
      <w:r w:rsidRPr="00CF5797">
        <w:rPr>
          <w:rFonts w:eastAsiaTheme="minorEastAsia"/>
          <w:lang w:val="fr-CA" w:eastAsia="en-GB"/>
        </w:rPr>
        <w:t>C</w:t>
      </w:r>
      <w:r w:rsidR="00077778">
        <w:rPr>
          <w:rFonts w:eastAsiaTheme="minorEastAsia"/>
          <w:lang w:val="fr-CA" w:eastAsia="en-GB"/>
        </w:rPr>
        <w:t>onseil de sécurité des Nations U</w:t>
      </w:r>
      <w:r w:rsidRPr="00CF5797">
        <w:rPr>
          <w:rFonts w:eastAsiaTheme="minorEastAsia"/>
          <w:lang w:val="fr-CA" w:eastAsia="en-GB"/>
        </w:rPr>
        <w:t>nies, expédié et distribué aux techniciens en réfrigération et climatisation en juin 2016</w:t>
      </w:r>
      <w:r w:rsidR="0037190F">
        <w:rPr>
          <w:rFonts w:eastAsiaTheme="minorEastAsia"/>
          <w:lang w:val="fr-CA" w:eastAsia="en-GB"/>
        </w:rPr>
        <w:t xml:space="preserve"> </w:t>
      </w:r>
      <w:r w:rsidR="00825F3F" w:rsidRPr="00CF5797">
        <w:rPr>
          <w:rFonts w:eastAsiaTheme="minorEastAsia"/>
          <w:lang w:val="fr-CA" w:eastAsia="en-GB"/>
        </w:rPr>
        <w:t xml:space="preserve">; </w:t>
      </w:r>
    </w:p>
    <w:p w14:paraId="67021781" w14:textId="7E655F51" w:rsidR="00825F3F" w:rsidRPr="00CF5797" w:rsidRDefault="00324D2C" w:rsidP="00825F3F">
      <w:pPr>
        <w:widowControl w:val="0"/>
        <w:numPr>
          <w:ilvl w:val="1"/>
          <w:numId w:val="1"/>
        </w:numPr>
        <w:spacing w:after="240"/>
        <w:outlineLvl w:val="1"/>
        <w:rPr>
          <w:rFonts w:eastAsiaTheme="minorEastAsia"/>
          <w:lang w:val="fr-CA" w:eastAsia="en-GB"/>
        </w:rPr>
      </w:pPr>
      <w:r w:rsidRPr="00CF5797">
        <w:rPr>
          <w:lang w:val="fr-CA" w:eastAsia="en-GB"/>
        </w:rPr>
        <w:t>Organisation</w:t>
      </w:r>
      <w:r w:rsidRPr="00CF5797">
        <w:rPr>
          <w:rFonts w:eastAsiaTheme="minorEastAsia"/>
          <w:lang w:val="fr-CA" w:eastAsia="en-GB"/>
        </w:rPr>
        <w:t xml:space="preserve"> d’</w:t>
      </w:r>
      <w:r w:rsidR="00077778">
        <w:rPr>
          <w:rFonts w:eastAsiaTheme="minorEastAsia"/>
          <w:lang w:val="fr-CA" w:eastAsia="en-GB"/>
        </w:rPr>
        <w:t xml:space="preserve">un </w:t>
      </w:r>
      <w:r w:rsidRPr="00CF5797">
        <w:rPr>
          <w:rFonts w:eastAsiaTheme="minorEastAsia"/>
          <w:lang w:val="fr-CA" w:eastAsia="en-GB"/>
        </w:rPr>
        <w:t>atelier de formation des formateurs pour 35 techniciens en réfrigération et climatisation présenté en août et septembre 2016</w:t>
      </w:r>
      <w:r w:rsidR="0037190F">
        <w:rPr>
          <w:rFonts w:eastAsiaTheme="minorEastAsia"/>
          <w:lang w:val="fr-CA" w:eastAsia="en-GB"/>
        </w:rPr>
        <w:t xml:space="preserve"> </w:t>
      </w:r>
      <w:r w:rsidR="00825F3F" w:rsidRPr="00CF5797">
        <w:rPr>
          <w:rFonts w:eastAsiaTheme="minorEastAsia"/>
          <w:lang w:val="fr-CA" w:eastAsia="en-GB"/>
        </w:rPr>
        <w:t>;</w:t>
      </w:r>
    </w:p>
    <w:p w14:paraId="564C9B16" w14:textId="071FF23D" w:rsidR="00825F3F" w:rsidRPr="00CF5797" w:rsidRDefault="00AC3D0D" w:rsidP="00825F3F">
      <w:pPr>
        <w:keepNext/>
        <w:keepLines/>
        <w:numPr>
          <w:ilvl w:val="1"/>
          <w:numId w:val="1"/>
        </w:numPr>
        <w:spacing w:after="240"/>
        <w:outlineLvl w:val="1"/>
        <w:rPr>
          <w:rFonts w:eastAsiaTheme="minorEastAsia"/>
          <w:lang w:val="fr-CA" w:eastAsia="en-GB"/>
        </w:rPr>
      </w:pPr>
      <w:r w:rsidRPr="00CF5797">
        <w:rPr>
          <w:lang w:val="fr-CA"/>
        </w:rPr>
        <w:t>Présentation</w:t>
      </w:r>
      <w:r w:rsidR="00324D2C" w:rsidRPr="00CF5797">
        <w:rPr>
          <w:lang w:val="fr-CA"/>
        </w:rPr>
        <w:t xml:space="preserve"> </w:t>
      </w:r>
      <w:r w:rsidRPr="00CF5797">
        <w:rPr>
          <w:lang w:val="fr-CA"/>
        </w:rPr>
        <w:t xml:space="preserve">en Inde </w:t>
      </w:r>
      <w:r w:rsidR="00324D2C" w:rsidRPr="00CF5797">
        <w:rPr>
          <w:lang w:val="fr-CA"/>
        </w:rPr>
        <w:t>d’une séance de formation supplémentaire pour cinq formateurs en bonnes pratiques d’entretien de l’équipement de réfrigération et climatisation</w:t>
      </w:r>
      <w:r w:rsidRPr="00CF5797">
        <w:rPr>
          <w:lang w:val="fr-CA"/>
        </w:rPr>
        <w:t>, en décembre 2016</w:t>
      </w:r>
      <w:r w:rsidR="0037190F">
        <w:rPr>
          <w:lang w:val="fr-CA"/>
        </w:rPr>
        <w:t xml:space="preserve"> </w:t>
      </w:r>
      <w:r w:rsidRPr="00CF5797">
        <w:rPr>
          <w:lang w:val="fr-CA"/>
        </w:rPr>
        <w:t>;</w:t>
      </w:r>
      <w:r w:rsidR="00324D2C" w:rsidRPr="00CF5797">
        <w:rPr>
          <w:lang w:val="fr-CA"/>
        </w:rPr>
        <w:t xml:space="preserve"> </w:t>
      </w:r>
      <w:r w:rsidR="0037190F">
        <w:rPr>
          <w:lang w:val="fr-CA"/>
        </w:rPr>
        <w:t>et</w:t>
      </w:r>
    </w:p>
    <w:p w14:paraId="53E6720F" w14:textId="20B3C0B4" w:rsidR="00825F3F" w:rsidRPr="00CF5797" w:rsidRDefault="00AC3D0D" w:rsidP="00825F3F">
      <w:pPr>
        <w:widowControl w:val="0"/>
        <w:numPr>
          <w:ilvl w:val="1"/>
          <w:numId w:val="1"/>
        </w:numPr>
        <w:spacing w:after="240"/>
        <w:outlineLvl w:val="1"/>
        <w:rPr>
          <w:rFonts w:eastAsiaTheme="minorEastAsia"/>
          <w:lang w:val="fr-CA" w:eastAsia="en-GB"/>
        </w:rPr>
      </w:pPr>
      <w:r w:rsidRPr="00CF5797">
        <w:rPr>
          <w:lang w:val="fr-CA"/>
        </w:rPr>
        <w:t>Présentation du premier atelier de formation des formateurs pour 40 douaniers en mai 2017</w:t>
      </w:r>
      <w:r w:rsidR="00825F3F" w:rsidRPr="00CF5797">
        <w:rPr>
          <w:lang w:val="fr-CA"/>
        </w:rPr>
        <w:t>.</w:t>
      </w:r>
    </w:p>
    <w:p w14:paraId="4AB285D6" w14:textId="10FF3D5F" w:rsidR="00825F3F" w:rsidRPr="00CF5797" w:rsidRDefault="00AC3D0D" w:rsidP="00825F3F">
      <w:pPr>
        <w:spacing w:after="240"/>
        <w:rPr>
          <w:i/>
          <w:lang w:val="fr-CA"/>
        </w:rPr>
      </w:pPr>
      <w:r w:rsidRPr="00CF5797">
        <w:rPr>
          <w:i/>
          <w:lang w:val="fr-CA"/>
        </w:rPr>
        <w:t>Niveau de décaissement</w:t>
      </w:r>
    </w:p>
    <w:p w14:paraId="3DC53B28" w14:textId="0758AD63" w:rsidR="00825F3F" w:rsidRPr="00CF5797" w:rsidRDefault="00AC3D0D" w:rsidP="00825F3F">
      <w:pPr>
        <w:numPr>
          <w:ilvl w:val="0"/>
          <w:numId w:val="1"/>
        </w:numPr>
        <w:spacing w:after="240"/>
        <w:outlineLvl w:val="0"/>
        <w:rPr>
          <w:color w:val="000000" w:themeColor="text1"/>
          <w:lang w:val="fr-CA"/>
        </w:rPr>
      </w:pPr>
      <w:r w:rsidRPr="00CF5797">
        <w:rPr>
          <w:lang w:val="fr-CA"/>
        </w:rPr>
        <w:t>Une part de 303 313 $US (36 pour cent) de la somme totale approuvée de 808 550 $US avait été décaissée au 30 mars 2020, comme indiqué dans le tableau 17</w:t>
      </w:r>
      <w:r w:rsidR="00825F3F" w:rsidRPr="00CF5797">
        <w:rPr>
          <w:color w:val="000000" w:themeColor="text1"/>
          <w:lang w:val="fr-CA"/>
        </w:rPr>
        <w:t>.</w:t>
      </w:r>
    </w:p>
    <w:p w14:paraId="527B5442" w14:textId="45F2E2A6" w:rsidR="00825F3F" w:rsidRPr="00CF5797" w:rsidRDefault="00825F3F" w:rsidP="00825F3F">
      <w:pPr>
        <w:rPr>
          <w:b/>
          <w:color w:val="000000" w:themeColor="text1"/>
          <w:sz w:val="21"/>
          <w:szCs w:val="21"/>
          <w:lang w:val="fr-CA"/>
        </w:rPr>
      </w:pPr>
      <w:r w:rsidRPr="00CF5797">
        <w:rPr>
          <w:b/>
          <w:color w:val="000000" w:themeColor="text1"/>
          <w:sz w:val="21"/>
          <w:szCs w:val="21"/>
          <w:lang w:val="fr-CA"/>
        </w:rPr>
        <w:t>Table</w:t>
      </w:r>
      <w:r w:rsidR="00AC3D0D" w:rsidRPr="00CF5797">
        <w:rPr>
          <w:b/>
          <w:color w:val="000000" w:themeColor="text1"/>
          <w:sz w:val="21"/>
          <w:szCs w:val="21"/>
          <w:lang w:val="fr-CA"/>
        </w:rPr>
        <w:t>au</w:t>
      </w:r>
      <w:r w:rsidRPr="00CF5797">
        <w:rPr>
          <w:b/>
          <w:color w:val="000000" w:themeColor="text1"/>
          <w:sz w:val="21"/>
          <w:szCs w:val="21"/>
          <w:lang w:val="fr-CA"/>
        </w:rPr>
        <w:t xml:space="preserve"> 17. </w:t>
      </w:r>
      <w:r w:rsidR="00AC3D0D" w:rsidRPr="00CF5797">
        <w:rPr>
          <w:b/>
          <w:color w:val="000000" w:themeColor="text1"/>
          <w:sz w:val="21"/>
          <w:szCs w:val="21"/>
          <w:lang w:val="fr-CA"/>
        </w:rPr>
        <w:t>Rapport financier de la phase I du PGEH pour la République populaire démocratique de Corée ($US)</w:t>
      </w:r>
      <w:r w:rsidRPr="00CF5797">
        <w:rPr>
          <w:b/>
          <w:color w:val="000000" w:themeColor="text1"/>
          <w:sz w:val="21"/>
          <w:szCs w:val="21"/>
          <w:lang w:val="fr-CA"/>
        </w:rPr>
        <w:t xml:space="preserve"> </w:t>
      </w:r>
    </w:p>
    <w:tbl>
      <w:tblPr>
        <w:tblW w:w="5000" w:type="pct"/>
        <w:tblLook w:val="04A0" w:firstRow="1" w:lastRow="0" w:firstColumn="1" w:lastColumn="0" w:noHBand="0" w:noVBand="1"/>
      </w:tblPr>
      <w:tblGrid>
        <w:gridCol w:w="2294"/>
        <w:gridCol w:w="2295"/>
        <w:gridCol w:w="2295"/>
        <w:gridCol w:w="2466"/>
      </w:tblGrid>
      <w:tr w:rsidR="00825F3F" w:rsidRPr="00CF5797" w14:paraId="082DBFDE" w14:textId="77777777" w:rsidTr="004F62E7">
        <w:trPr>
          <w:trHeight w:val="314"/>
          <w:tblHeader/>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42F0" w14:textId="77777777" w:rsidR="00825F3F" w:rsidRPr="00CF5797" w:rsidRDefault="00825F3F" w:rsidP="004F62E7">
            <w:pPr>
              <w:jc w:val="center"/>
              <w:rPr>
                <w:b/>
                <w:bCs/>
                <w:color w:val="000000"/>
                <w:sz w:val="20"/>
                <w:szCs w:val="20"/>
                <w:lang w:val="fr-CA" w:eastAsia="en-CA"/>
              </w:rPr>
            </w:pPr>
            <w:r w:rsidRPr="00CF5797">
              <w:rPr>
                <w:b/>
                <w:bCs/>
                <w:color w:val="000000"/>
                <w:sz w:val="20"/>
                <w:szCs w:val="20"/>
                <w:lang w:val="fr-CA" w:eastAsia="en-CA"/>
              </w:rPr>
              <w:t>Tranche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E80DEA8" w14:textId="7D984EE2" w:rsidR="00825F3F" w:rsidRPr="00CF5797" w:rsidRDefault="00AC3D0D" w:rsidP="004F62E7">
            <w:pPr>
              <w:jc w:val="center"/>
              <w:rPr>
                <w:b/>
                <w:bCs/>
                <w:color w:val="000000"/>
                <w:sz w:val="20"/>
                <w:szCs w:val="20"/>
                <w:lang w:val="fr-CA" w:eastAsia="en-CA"/>
              </w:rPr>
            </w:pPr>
            <w:r w:rsidRPr="00CF5797">
              <w:rPr>
                <w:b/>
                <w:bCs/>
                <w:color w:val="000000"/>
                <w:sz w:val="20"/>
                <w:szCs w:val="20"/>
                <w:lang w:val="fr-CA" w:eastAsia="en-CA"/>
              </w:rPr>
              <w:t>Somme approuvée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40EABB55" w14:textId="41882501" w:rsidR="00825F3F" w:rsidRPr="00CF5797" w:rsidRDefault="00AC3D0D" w:rsidP="004F62E7">
            <w:pPr>
              <w:jc w:val="center"/>
              <w:rPr>
                <w:b/>
                <w:bCs/>
                <w:color w:val="000000"/>
                <w:sz w:val="20"/>
                <w:szCs w:val="20"/>
                <w:lang w:val="fr-CA" w:eastAsia="en-CA"/>
              </w:rPr>
            </w:pPr>
            <w:r w:rsidRPr="00CF5797">
              <w:rPr>
                <w:b/>
                <w:bCs/>
                <w:color w:val="000000"/>
                <w:sz w:val="20"/>
                <w:szCs w:val="20"/>
                <w:lang w:val="fr-CA" w:eastAsia="en-CA"/>
              </w:rPr>
              <w:t>Somme décaissée</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8217FBA" w14:textId="121A321D" w:rsidR="00825F3F" w:rsidRPr="00CF5797" w:rsidRDefault="00AC3D0D" w:rsidP="004F62E7">
            <w:pPr>
              <w:jc w:val="center"/>
              <w:rPr>
                <w:b/>
                <w:bCs/>
                <w:color w:val="000000"/>
                <w:sz w:val="20"/>
                <w:szCs w:val="20"/>
                <w:lang w:val="fr-CA" w:eastAsia="en-CA"/>
              </w:rPr>
            </w:pPr>
            <w:r w:rsidRPr="00CF5797">
              <w:rPr>
                <w:b/>
                <w:bCs/>
                <w:color w:val="000000"/>
                <w:sz w:val="20"/>
                <w:szCs w:val="20"/>
                <w:lang w:val="fr-CA" w:eastAsia="en-CA"/>
              </w:rPr>
              <w:t>Taux de décaissement (%)</w:t>
            </w:r>
          </w:p>
        </w:tc>
      </w:tr>
      <w:tr w:rsidR="00825F3F" w:rsidRPr="00CF5797" w14:paraId="55DD6ABB" w14:textId="77777777" w:rsidTr="004F62E7">
        <w:trPr>
          <w:trHeight w:val="89"/>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5E264B17" w14:textId="03902D05" w:rsidR="00825F3F" w:rsidRPr="00CF5797" w:rsidRDefault="00AC3D0D" w:rsidP="004F62E7">
            <w:pPr>
              <w:jc w:val="left"/>
              <w:rPr>
                <w:color w:val="000000"/>
                <w:sz w:val="20"/>
                <w:szCs w:val="20"/>
                <w:lang w:val="fr-CA" w:eastAsia="en-CA"/>
              </w:rPr>
            </w:pPr>
            <w:r w:rsidRPr="00CF5797">
              <w:rPr>
                <w:color w:val="000000"/>
                <w:sz w:val="20"/>
                <w:szCs w:val="20"/>
                <w:lang w:val="fr-CA" w:eastAsia="en-CA"/>
              </w:rPr>
              <w:t>Première</w:t>
            </w:r>
            <w:r w:rsidR="00825F3F" w:rsidRPr="00CF5797">
              <w:rPr>
                <w:color w:val="000000"/>
                <w:sz w:val="20"/>
                <w:szCs w:val="20"/>
                <w:lang w:val="fr-CA"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E1B87F8" w14:textId="1D3AF1B1" w:rsidR="00825F3F" w:rsidRPr="00CF5797" w:rsidRDefault="00825F3F" w:rsidP="004F62E7">
            <w:pPr>
              <w:jc w:val="right"/>
              <w:rPr>
                <w:color w:val="000000"/>
                <w:sz w:val="20"/>
                <w:szCs w:val="20"/>
                <w:lang w:val="fr-CA" w:eastAsia="en-CA"/>
              </w:rPr>
            </w:pPr>
            <w:r w:rsidRPr="00CF5797">
              <w:rPr>
                <w:color w:val="000000"/>
                <w:sz w:val="20"/>
                <w:szCs w:val="20"/>
                <w:lang w:val="fr-CA" w:eastAsia="en-CA"/>
              </w:rPr>
              <w:t>134</w:t>
            </w:r>
            <w:r w:rsidR="00AC3D0D" w:rsidRPr="00CF5797">
              <w:rPr>
                <w:color w:val="000000"/>
                <w:sz w:val="20"/>
                <w:szCs w:val="20"/>
                <w:lang w:val="fr-CA" w:eastAsia="en-CA"/>
              </w:rPr>
              <w:t xml:space="preserve"> </w:t>
            </w:r>
            <w:r w:rsidRPr="00CF5797">
              <w:rPr>
                <w:color w:val="000000"/>
                <w:sz w:val="20"/>
                <w:szCs w:val="20"/>
                <w:lang w:val="fr-CA" w:eastAsia="en-CA"/>
              </w:rPr>
              <w:t>003</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13C3467" w14:textId="1502A4B4" w:rsidR="00825F3F" w:rsidRPr="00CF5797" w:rsidRDefault="00825F3F" w:rsidP="004F62E7">
            <w:pPr>
              <w:jc w:val="right"/>
              <w:rPr>
                <w:color w:val="000000"/>
                <w:sz w:val="20"/>
                <w:szCs w:val="20"/>
                <w:lang w:val="fr-CA" w:eastAsia="en-CA"/>
              </w:rPr>
            </w:pPr>
            <w:r w:rsidRPr="00CF5797">
              <w:rPr>
                <w:color w:val="000000"/>
                <w:sz w:val="20"/>
                <w:szCs w:val="20"/>
                <w:lang w:val="fr-CA" w:eastAsia="en-CA"/>
              </w:rPr>
              <w:t>87</w:t>
            </w:r>
            <w:r w:rsidR="00AC3D0D" w:rsidRPr="00CF5797">
              <w:rPr>
                <w:color w:val="000000"/>
                <w:sz w:val="20"/>
                <w:szCs w:val="20"/>
                <w:lang w:val="fr-CA" w:eastAsia="en-CA"/>
              </w:rPr>
              <w:t xml:space="preserve"> </w:t>
            </w:r>
            <w:r w:rsidRPr="00CF5797">
              <w:rPr>
                <w:color w:val="000000"/>
                <w:sz w:val="20"/>
                <w:szCs w:val="20"/>
                <w:lang w:val="fr-CA" w:eastAsia="en-CA"/>
              </w:rPr>
              <w:t>386</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7DB2F7E8" w14:textId="33E8CC70" w:rsidR="00825F3F" w:rsidRPr="00CF5797" w:rsidRDefault="00825F3F" w:rsidP="004F62E7">
            <w:pPr>
              <w:jc w:val="right"/>
              <w:rPr>
                <w:color w:val="000000"/>
                <w:sz w:val="20"/>
                <w:szCs w:val="20"/>
                <w:lang w:val="fr-CA" w:eastAsia="en-CA"/>
              </w:rPr>
            </w:pPr>
            <w:r w:rsidRPr="00CF5797">
              <w:rPr>
                <w:color w:val="000000"/>
                <w:sz w:val="20"/>
                <w:szCs w:val="20"/>
                <w:lang w:val="fr-CA" w:eastAsia="en-CA"/>
              </w:rPr>
              <w:t>65</w:t>
            </w:r>
            <w:r w:rsidR="00AC3D0D" w:rsidRPr="00CF5797">
              <w:rPr>
                <w:color w:val="000000"/>
                <w:sz w:val="20"/>
                <w:szCs w:val="20"/>
                <w:lang w:val="fr-CA" w:eastAsia="en-CA"/>
              </w:rPr>
              <w:t>,</w:t>
            </w:r>
            <w:r w:rsidRPr="00CF5797">
              <w:rPr>
                <w:color w:val="000000"/>
                <w:sz w:val="20"/>
                <w:szCs w:val="20"/>
                <w:lang w:val="fr-CA" w:eastAsia="en-CA"/>
              </w:rPr>
              <w:t>2</w:t>
            </w:r>
          </w:p>
        </w:tc>
      </w:tr>
      <w:tr w:rsidR="00825F3F" w:rsidRPr="00CF5797" w14:paraId="4D6D4002" w14:textId="77777777" w:rsidTr="004F62E7">
        <w:trPr>
          <w:trHeight w:val="10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A545915" w14:textId="1BA25C59" w:rsidR="00825F3F" w:rsidRPr="00CF5797" w:rsidRDefault="00AC3D0D" w:rsidP="004F62E7">
            <w:pPr>
              <w:jc w:val="left"/>
              <w:rPr>
                <w:color w:val="000000"/>
                <w:sz w:val="20"/>
                <w:szCs w:val="20"/>
                <w:lang w:val="fr-CA" w:eastAsia="en-CA"/>
              </w:rPr>
            </w:pPr>
            <w:r w:rsidRPr="00CF5797">
              <w:rPr>
                <w:color w:val="000000"/>
                <w:sz w:val="20"/>
                <w:szCs w:val="20"/>
                <w:lang w:val="fr-CA" w:eastAsia="en-CA"/>
              </w:rPr>
              <w:t>Deuxième</w:t>
            </w:r>
            <w:r w:rsidR="00825F3F" w:rsidRPr="00CF5797">
              <w:rPr>
                <w:color w:val="000000"/>
                <w:sz w:val="20"/>
                <w:szCs w:val="20"/>
                <w:lang w:val="fr-CA"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00EA499C" w14:textId="2C853C75" w:rsidR="00825F3F" w:rsidRPr="00CF5797" w:rsidRDefault="00825F3F" w:rsidP="004F62E7">
            <w:pPr>
              <w:jc w:val="right"/>
              <w:rPr>
                <w:color w:val="000000"/>
                <w:sz w:val="20"/>
                <w:szCs w:val="20"/>
                <w:lang w:val="fr-CA" w:eastAsia="en-CA"/>
              </w:rPr>
            </w:pPr>
            <w:r w:rsidRPr="00CF5797">
              <w:rPr>
                <w:color w:val="000000"/>
                <w:sz w:val="20"/>
                <w:szCs w:val="20"/>
                <w:lang w:val="fr-CA" w:eastAsia="en-CA"/>
              </w:rPr>
              <w:t>506</w:t>
            </w:r>
            <w:r w:rsidR="00AC3D0D" w:rsidRPr="00CF5797">
              <w:rPr>
                <w:color w:val="000000"/>
                <w:sz w:val="20"/>
                <w:szCs w:val="20"/>
                <w:lang w:val="fr-CA" w:eastAsia="en-CA"/>
              </w:rPr>
              <w:t xml:space="preserve"> </w:t>
            </w:r>
            <w:r w:rsidRPr="00CF5797">
              <w:rPr>
                <w:color w:val="000000"/>
                <w:sz w:val="20"/>
                <w:szCs w:val="20"/>
                <w:lang w:val="fr-CA" w:eastAsia="en-CA"/>
              </w:rPr>
              <w:t>680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37168405" w14:textId="0ABD987E" w:rsidR="00825F3F" w:rsidRPr="00CF5797" w:rsidRDefault="00825F3F" w:rsidP="004F62E7">
            <w:pPr>
              <w:jc w:val="right"/>
              <w:rPr>
                <w:color w:val="000000"/>
                <w:sz w:val="20"/>
                <w:szCs w:val="20"/>
                <w:lang w:val="fr-CA" w:eastAsia="en-CA"/>
              </w:rPr>
            </w:pPr>
            <w:r w:rsidRPr="00CF5797">
              <w:rPr>
                <w:color w:val="000000"/>
                <w:sz w:val="20"/>
                <w:szCs w:val="20"/>
                <w:lang w:val="fr-CA" w:eastAsia="en-CA"/>
              </w:rPr>
              <w:t>211</w:t>
            </w:r>
            <w:r w:rsidR="00AC3D0D" w:rsidRPr="00CF5797">
              <w:rPr>
                <w:color w:val="000000"/>
                <w:sz w:val="20"/>
                <w:szCs w:val="20"/>
                <w:lang w:val="fr-CA" w:eastAsia="en-CA"/>
              </w:rPr>
              <w:t xml:space="preserve"> </w:t>
            </w:r>
            <w:r w:rsidRPr="00CF5797">
              <w:rPr>
                <w:color w:val="000000"/>
                <w:sz w:val="20"/>
                <w:szCs w:val="20"/>
                <w:lang w:val="fr-CA" w:eastAsia="en-CA"/>
              </w:rPr>
              <w:t>110</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75D37CF2" w14:textId="2B64201C" w:rsidR="00825F3F" w:rsidRPr="00CF5797" w:rsidRDefault="00825F3F" w:rsidP="004F62E7">
            <w:pPr>
              <w:jc w:val="right"/>
              <w:rPr>
                <w:color w:val="000000"/>
                <w:sz w:val="20"/>
                <w:szCs w:val="20"/>
                <w:lang w:val="fr-CA" w:eastAsia="en-CA"/>
              </w:rPr>
            </w:pPr>
            <w:r w:rsidRPr="00CF5797">
              <w:rPr>
                <w:color w:val="000000"/>
                <w:sz w:val="20"/>
                <w:szCs w:val="20"/>
                <w:lang w:val="fr-CA" w:eastAsia="en-CA"/>
              </w:rPr>
              <w:t>41</w:t>
            </w:r>
            <w:r w:rsidR="00AC3D0D" w:rsidRPr="00CF5797">
              <w:rPr>
                <w:color w:val="000000"/>
                <w:sz w:val="20"/>
                <w:szCs w:val="20"/>
                <w:lang w:val="fr-CA" w:eastAsia="en-CA"/>
              </w:rPr>
              <w:t>,</w:t>
            </w:r>
            <w:r w:rsidRPr="00CF5797">
              <w:rPr>
                <w:color w:val="000000"/>
                <w:sz w:val="20"/>
                <w:szCs w:val="20"/>
                <w:lang w:val="fr-CA" w:eastAsia="en-CA"/>
              </w:rPr>
              <w:t>7</w:t>
            </w:r>
          </w:p>
        </w:tc>
      </w:tr>
      <w:tr w:rsidR="00825F3F" w:rsidRPr="00CF5797" w14:paraId="7373CBD2" w14:textId="77777777" w:rsidTr="004F62E7">
        <w:trPr>
          <w:trHeight w:val="47"/>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733D5C5F" w14:textId="2DD7748E" w:rsidR="00825F3F" w:rsidRPr="00CF5797" w:rsidRDefault="00AC3D0D" w:rsidP="004F62E7">
            <w:pPr>
              <w:jc w:val="left"/>
              <w:rPr>
                <w:color w:val="000000"/>
                <w:sz w:val="20"/>
                <w:szCs w:val="20"/>
                <w:lang w:val="fr-CA" w:eastAsia="en-CA"/>
              </w:rPr>
            </w:pPr>
            <w:r w:rsidRPr="00CF5797">
              <w:rPr>
                <w:color w:val="000000"/>
                <w:sz w:val="20"/>
                <w:szCs w:val="20"/>
                <w:lang w:val="fr-CA" w:eastAsia="en-CA"/>
              </w:rPr>
              <w:t>Troisième</w:t>
            </w:r>
            <w:r w:rsidR="00825F3F" w:rsidRPr="00CF5797">
              <w:rPr>
                <w:color w:val="000000"/>
                <w:sz w:val="20"/>
                <w:szCs w:val="20"/>
                <w:lang w:val="fr-CA" w:eastAsia="en-CA"/>
              </w:rPr>
              <w:t xml:space="preserve"> </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140DABF0" w14:textId="77544FD0" w:rsidR="00825F3F" w:rsidRPr="00CF5797" w:rsidRDefault="00825F3F" w:rsidP="004F62E7">
            <w:pPr>
              <w:jc w:val="right"/>
              <w:rPr>
                <w:color w:val="000000"/>
                <w:sz w:val="20"/>
                <w:szCs w:val="20"/>
                <w:lang w:val="fr-CA" w:eastAsia="en-CA"/>
              </w:rPr>
            </w:pPr>
            <w:r w:rsidRPr="00CF5797">
              <w:rPr>
                <w:color w:val="000000"/>
                <w:sz w:val="20"/>
                <w:szCs w:val="20"/>
                <w:lang w:val="fr-CA" w:eastAsia="en-CA"/>
              </w:rPr>
              <w:t>167</w:t>
            </w:r>
            <w:r w:rsidR="00AC3D0D" w:rsidRPr="00CF5797">
              <w:rPr>
                <w:color w:val="000000"/>
                <w:sz w:val="20"/>
                <w:szCs w:val="20"/>
                <w:lang w:val="fr-CA" w:eastAsia="en-CA"/>
              </w:rPr>
              <w:t xml:space="preserve"> </w:t>
            </w:r>
            <w:r w:rsidRPr="00CF5797">
              <w:rPr>
                <w:color w:val="000000"/>
                <w:sz w:val="20"/>
                <w:szCs w:val="20"/>
                <w:lang w:val="fr-CA" w:eastAsia="en-CA"/>
              </w:rPr>
              <w:t>867</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6B89E0BD" w14:textId="68D21A4F" w:rsidR="00825F3F" w:rsidRPr="00CF5797" w:rsidRDefault="00825F3F" w:rsidP="004F62E7">
            <w:pPr>
              <w:jc w:val="right"/>
              <w:rPr>
                <w:color w:val="000000"/>
                <w:sz w:val="20"/>
                <w:szCs w:val="20"/>
                <w:lang w:val="fr-CA" w:eastAsia="en-CA"/>
              </w:rPr>
            </w:pPr>
            <w:r w:rsidRPr="00CF5797">
              <w:rPr>
                <w:color w:val="000000"/>
                <w:sz w:val="20"/>
                <w:szCs w:val="20"/>
                <w:lang w:val="fr-CA" w:eastAsia="en-CA"/>
              </w:rPr>
              <w:t>1</w:t>
            </w:r>
            <w:r w:rsidR="00AC3D0D" w:rsidRPr="00CF5797">
              <w:rPr>
                <w:color w:val="000000"/>
                <w:sz w:val="20"/>
                <w:szCs w:val="20"/>
                <w:lang w:val="fr-CA" w:eastAsia="en-CA"/>
              </w:rPr>
              <w:t xml:space="preserve"> </w:t>
            </w:r>
            <w:r w:rsidRPr="00CF5797">
              <w:rPr>
                <w:color w:val="000000"/>
                <w:sz w:val="20"/>
                <w:szCs w:val="20"/>
                <w:lang w:val="fr-CA" w:eastAsia="en-CA"/>
              </w:rPr>
              <w:t>817</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237FA899" w14:textId="53807511" w:rsidR="00825F3F" w:rsidRPr="00CF5797" w:rsidRDefault="00825F3F" w:rsidP="004F62E7">
            <w:pPr>
              <w:jc w:val="right"/>
              <w:rPr>
                <w:color w:val="000000"/>
                <w:sz w:val="20"/>
                <w:szCs w:val="20"/>
                <w:lang w:val="fr-CA" w:eastAsia="en-CA"/>
              </w:rPr>
            </w:pPr>
            <w:r w:rsidRPr="00CF5797">
              <w:rPr>
                <w:color w:val="000000"/>
                <w:sz w:val="20"/>
                <w:szCs w:val="20"/>
                <w:lang w:val="fr-CA" w:eastAsia="en-CA"/>
              </w:rPr>
              <w:t>1</w:t>
            </w:r>
            <w:r w:rsidR="00AC3D0D" w:rsidRPr="00CF5797">
              <w:rPr>
                <w:color w:val="000000"/>
                <w:sz w:val="20"/>
                <w:szCs w:val="20"/>
                <w:lang w:val="fr-CA" w:eastAsia="en-CA"/>
              </w:rPr>
              <w:t>,</w:t>
            </w:r>
            <w:r w:rsidRPr="00CF5797">
              <w:rPr>
                <w:color w:val="000000"/>
                <w:sz w:val="20"/>
                <w:szCs w:val="20"/>
                <w:lang w:val="fr-CA" w:eastAsia="en-CA"/>
              </w:rPr>
              <w:t>1</w:t>
            </w:r>
          </w:p>
        </w:tc>
      </w:tr>
      <w:tr w:rsidR="00825F3F" w:rsidRPr="00CF5797" w14:paraId="26BA60F6" w14:textId="77777777" w:rsidTr="004F62E7">
        <w:trPr>
          <w:trHeight w:val="62"/>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3C5F3A1D" w14:textId="77777777" w:rsidR="00825F3F" w:rsidRPr="00CF5797" w:rsidRDefault="00825F3F" w:rsidP="004F62E7">
            <w:pPr>
              <w:jc w:val="left"/>
              <w:rPr>
                <w:b/>
                <w:color w:val="000000"/>
                <w:sz w:val="20"/>
                <w:szCs w:val="20"/>
                <w:lang w:val="fr-CA" w:eastAsia="en-CA"/>
              </w:rPr>
            </w:pPr>
            <w:r w:rsidRPr="00CF5797">
              <w:rPr>
                <w:b/>
                <w:color w:val="000000"/>
                <w:sz w:val="20"/>
                <w:szCs w:val="20"/>
                <w:lang w:val="fr-CA" w:eastAsia="en-CA"/>
              </w:rPr>
              <w:t>Total</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2C454A12" w14:textId="72EDD9EA" w:rsidR="00825F3F" w:rsidRPr="00CF5797" w:rsidRDefault="00825F3F" w:rsidP="004F62E7">
            <w:pPr>
              <w:jc w:val="right"/>
              <w:rPr>
                <w:b/>
                <w:color w:val="000000"/>
                <w:sz w:val="20"/>
                <w:szCs w:val="20"/>
                <w:lang w:val="fr-CA" w:eastAsia="en-CA"/>
              </w:rPr>
            </w:pPr>
            <w:r w:rsidRPr="00CF5797">
              <w:rPr>
                <w:b/>
                <w:color w:val="000000"/>
                <w:sz w:val="20"/>
                <w:szCs w:val="20"/>
                <w:lang w:val="fr-CA" w:eastAsia="en-CA"/>
              </w:rPr>
              <w:t>808</w:t>
            </w:r>
            <w:r w:rsidR="00AC3D0D" w:rsidRPr="00CF5797">
              <w:rPr>
                <w:b/>
                <w:color w:val="000000"/>
                <w:sz w:val="20"/>
                <w:szCs w:val="20"/>
                <w:lang w:val="fr-CA" w:eastAsia="en-CA"/>
              </w:rPr>
              <w:t xml:space="preserve"> </w:t>
            </w:r>
            <w:r w:rsidRPr="00CF5797">
              <w:rPr>
                <w:b/>
                <w:color w:val="000000"/>
                <w:sz w:val="20"/>
                <w:szCs w:val="20"/>
                <w:lang w:val="fr-CA" w:eastAsia="en-CA"/>
              </w:rPr>
              <w:t>550</w:t>
            </w:r>
          </w:p>
        </w:tc>
        <w:tc>
          <w:tcPr>
            <w:tcW w:w="1250" w:type="pct"/>
            <w:tcBorders>
              <w:top w:val="nil"/>
              <w:left w:val="nil"/>
              <w:bottom w:val="single" w:sz="4" w:space="0" w:color="auto"/>
              <w:right w:val="single" w:sz="4" w:space="0" w:color="auto"/>
            </w:tcBorders>
            <w:shd w:val="clear" w:color="auto" w:fill="auto"/>
            <w:noWrap/>
            <w:tcMar>
              <w:left w:w="115" w:type="dxa"/>
              <w:right w:w="576" w:type="dxa"/>
            </w:tcMar>
            <w:vAlign w:val="bottom"/>
            <w:hideMark/>
          </w:tcPr>
          <w:p w14:paraId="79375EB7" w14:textId="5A927C89" w:rsidR="00825F3F" w:rsidRPr="00CF5797" w:rsidRDefault="00825F3F" w:rsidP="004F62E7">
            <w:pPr>
              <w:jc w:val="right"/>
              <w:rPr>
                <w:b/>
                <w:color w:val="000000"/>
                <w:sz w:val="20"/>
                <w:szCs w:val="20"/>
                <w:lang w:val="fr-CA" w:eastAsia="en-CA"/>
              </w:rPr>
            </w:pPr>
            <w:r w:rsidRPr="00CF5797">
              <w:rPr>
                <w:b/>
                <w:color w:val="000000"/>
                <w:sz w:val="20"/>
                <w:szCs w:val="20"/>
                <w:lang w:val="fr-CA" w:eastAsia="en-CA"/>
              </w:rPr>
              <w:t>300</w:t>
            </w:r>
            <w:r w:rsidR="00AC3D0D" w:rsidRPr="00CF5797">
              <w:rPr>
                <w:b/>
                <w:color w:val="000000"/>
                <w:sz w:val="20"/>
                <w:szCs w:val="20"/>
                <w:lang w:val="fr-CA" w:eastAsia="en-CA"/>
              </w:rPr>
              <w:t xml:space="preserve"> </w:t>
            </w:r>
            <w:r w:rsidRPr="00CF5797">
              <w:rPr>
                <w:b/>
                <w:color w:val="000000"/>
                <w:sz w:val="20"/>
                <w:szCs w:val="20"/>
                <w:lang w:val="fr-CA" w:eastAsia="en-CA"/>
              </w:rPr>
              <w:t>313</w:t>
            </w:r>
          </w:p>
        </w:tc>
        <w:tc>
          <w:tcPr>
            <w:tcW w:w="1250" w:type="pct"/>
            <w:tcBorders>
              <w:top w:val="nil"/>
              <w:left w:val="nil"/>
              <w:bottom w:val="single" w:sz="4" w:space="0" w:color="auto"/>
              <w:right w:val="single" w:sz="4" w:space="0" w:color="auto"/>
            </w:tcBorders>
            <w:shd w:val="clear" w:color="auto" w:fill="auto"/>
            <w:noWrap/>
            <w:tcMar>
              <w:left w:w="0" w:type="dxa"/>
              <w:right w:w="864" w:type="dxa"/>
            </w:tcMar>
            <w:vAlign w:val="center"/>
            <w:hideMark/>
          </w:tcPr>
          <w:p w14:paraId="5C398BF0" w14:textId="692EBFD2" w:rsidR="00825F3F" w:rsidRPr="00CF5797" w:rsidRDefault="00825F3F" w:rsidP="004F62E7">
            <w:pPr>
              <w:jc w:val="right"/>
              <w:rPr>
                <w:b/>
                <w:color w:val="000000"/>
                <w:sz w:val="20"/>
                <w:szCs w:val="20"/>
                <w:lang w:val="fr-CA" w:eastAsia="en-CA"/>
              </w:rPr>
            </w:pPr>
            <w:r w:rsidRPr="00CF5797">
              <w:rPr>
                <w:b/>
                <w:color w:val="000000"/>
                <w:sz w:val="20"/>
                <w:szCs w:val="20"/>
                <w:lang w:val="fr-CA" w:eastAsia="en-CA"/>
              </w:rPr>
              <w:t>36</w:t>
            </w:r>
            <w:r w:rsidR="00AC3D0D" w:rsidRPr="00CF5797">
              <w:rPr>
                <w:b/>
                <w:color w:val="000000"/>
                <w:sz w:val="20"/>
                <w:szCs w:val="20"/>
                <w:lang w:val="fr-CA" w:eastAsia="en-CA"/>
              </w:rPr>
              <w:t>,</w:t>
            </w:r>
            <w:r w:rsidRPr="00CF5797">
              <w:rPr>
                <w:b/>
                <w:color w:val="000000"/>
                <w:sz w:val="20"/>
                <w:szCs w:val="20"/>
                <w:lang w:val="fr-CA" w:eastAsia="en-CA"/>
              </w:rPr>
              <w:t>0</w:t>
            </w:r>
          </w:p>
        </w:tc>
      </w:tr>
    </w:tbl>
    <w:p w14:paraId="643D57B5" w14:textId="42A35301" w:rsidR="00077778" w:rsidRDefault="00077778" w:rsidP="00825F3F">
      <w:pPr>
        <w:spacing w:after="240"/>
        <w:outlineLvl w:val="0"/>
        <w:rPr>
          <w:i/>
          <w:lang w:val="fr-CA"/>
        </w:rPr>
      </w:pPr>
    </w:p>
    <w:p w14:paraId="7D9508A8" w14:textId="65D03740" w:rsidR="00825F3F" w:rsidRPr="00CF5797" w:rsidRDefault="00AC3D0D" w:rsidP="00825F3F">
      <w:pPr>
        <w:spacing w:after="240"/>
        <w:outlineLvl w:val="0"/>
        <w:rPr>
          <w:i/>
          <w:lang w:val="fr-CA"/>
        </w:rPr>
      </w:pPr>
      <w:r w:rsidRPr="00CF5797">
        <w:rPr>
          <w:i/>
          <w:lang w:val="fr-CA"/>
        </w:rPr>
        <w:t>Mise à jour sur la mise en œuvre de la phase I du PGEH</w:t>
      </w:r>
    </w:p>
    <w:p w14:paraId="597A1190" w14:textId="13D6EED2" w:rsidR="00825F3F" w:rsidRPr="00CF5797" w:rsidRDefault="00AC3D0D" w:rsidP="00825F3F">
      <w:pPr>
        <w:numPr>
          <w:ilvl w:val="0"/>
          <w:numId w:val="1"/>
        </w:numPr>
        <w:tabs>
          <w:tab w:val="clear" w:pos="0"/>
          <w:tab w:val="num" w:pos="710"/>
        </w:tabs>
        <w:spacing w:after="240"/>
        <w:outlineLvl w:val="0"/>
        <w:rPr>
          <w:lang w:val="fr-CA"/>
        </w:rPr>
      </w:pPr>
      <w:r w:rsidRPr="00CF5797">
        <w:rPr>
          <w:lang w:val="fr-CA"/>
        </w:rPr>
        <w:t xml:space="preserve">Les activités suivantes n’ont pas encore été mises en œuvre </w:t>
      </w:r>
      <w:r w:rsidR="00825F3F" w:rsidRPr="00CF5797">
        <w:rPr>
          <w:lang w:val="fr-CA"/>
        </w:rPr>
        <w:t>:</w:t>
      </w:r>
    </w:p>
    <w:p w14:paraId="3B0096F5" w14:textId="7071C8E5" w:rsidR="00825F3F" w:rsidRPr="00CF5797" w:rsidRDefault="008D3D7C" w:rsidP="00825F3F">
      <w:pPr>
        <w:widowControl w:val="0"/>
        <w:numPr>
          <w:ilvl w:val="1"/>
          <w:numId w:val="1"/>
        </w:numPr>
        <w:spacing w:after="240"/>
        <w:outlineLvl w:val="1"/>
        <w:rPr>
          <w:rFonts w:eastAsiaTheme="minorEastAsia"/>
          <w:lang w:val="fr-CA" w:eastAsia="en-GB"/>
        </w:rPr>
      </w:pPr>
      <w:r w:rsidRPr="00CF5797">
        <w:rPr>
          <w:lang w:val="fr-CA"/>
        </w:rPr>
        <w:t>Suivi des ateliers de formation des techniciens d’entretien de l’équipement de réfrigération et climatisation, et des douaniers</w:t>
      </w:r>
      <w:r w:rsidR="0037190F">
        <w:rPr>
          <w:lang w:val="fr-CA"/>
        </w:rPr>
        <w:t xml:space="preserve"> </w:t>
      </w:r>
      <w:r w:rsidR="00825F3F" w:rsidRPr="00CF5797">
        <w:rPr>
          <w:lang w:val="fr-CA"/>
        </w:rPr>
        <w:t xml:space="preserve">; </w:t>
      </w:r>
    </w:p>
    <w:p w14:paraId="20AC0016" w14:textId="57EC727D" w:rsidR="00825F3F" w:rsidRPr="00CF5797" w:rsidRDefault="008D3D7C" w:rsidP="00825F3F">
      <w:pPr>
        <w:keepNext/>
        <w:numPr>
          <w:ilvl w:val="1"/>
          <w:numId w:val="1"/>
        </w:numPr>
        <w:spacing w:after="240"/>
        <w:outlineLvl w:val="1"/>
        <w:rPr>
          <w:lang w:val="fr-CA"/>
        </w:rPr>
      </w:pPr>
      <w:r w:rsidRPr="00CF5797">
        <w:rPr>
          <w:lang w:val="fr-CA"/>
        </w:rPr>
        <w:t>Cartographie des centres de régénération et de récupération existants et achat d’équipement supplémentaire</w:t>
      </w:r>
      <w:r w:rsidR="0037190F">
        <w:rPr>
          <w:lang w:val="fr-CA"/>
        </w:rPr>
        <w:t xml:space="preserve"> </w:t>
      </w:r>
      <w:r w:rsidRPr="00CF5797">
        <w:rPr>
          <w:lang w:val="fr-CA"/>
        </w:rPr>
        <w:t>;</w:t>
      </w:r>
      <w:r w:rsidR="0037190F">
        <w:rPr>
          <w:lang w:val="fr-CA"/>
        </w:rPr>
        <w:t xml:space="preserve"> et</w:t>
      </w:r>
    </w:p>
    <w:p w14:paraId="018BFF9F" w14:textId="69FFC836" w:rsidR="00825F3F" w:rsidRPr="00CF5797" w:rsidRDefault="008D3D7C" w:rsidP="00825F3F">
      <w:pPr>
        <w:keepNext/>
        <w:numPr>
          <w:ilvl w:val="1"/>
          <w:numId w:val="1"/>
        </w:numPr>
        <w:spacing w:after="240"/>
        <w:outlineLvl w:val="1"/>
        <w:rPr>
          <w:lang w:val="fr-CA"/>
        </w:rPr>
      </w:pPr>
      <w:r w:rsidRPr="00CF5797">
        <w:rPr>
          <w:lang w:val="fr-CA"/>
        </w:rPr>
        <w:t xml:space="preserve">Mise sur pied d’un bureau de gestion de projet lorsque le mode de transfert </w:t>
      </w:r>
      <w:r w:rsidR="00F54E8A">
        <w:rPr>
          <w:lang w:val="fr-CA"/>
        </w:rPr>
        <w:t>sera</w:t>
      </w:r>
      <w:r w:rsidRPr="00CF5797">
        <w:rPr>
          <w:lang w:val="fr-CA"/>
        </w:rPr>
        <w:t xml:space="preserve"> </w:t>
      </w:r>
      <w:r w:rsidR="00077778">
        <w:rPr>
          <w:lang w:val="fr-CA"/>
        </w:rPr>
        <w:t>approuvé</w:t>
      </w:r>
      <w:r w:rsidRPr="00CF5797">
        <w:rPr>
          <w:lang w:val="fr-CA"/>
        </w:rPr>
        <w:t xml:space="preserve"> et fonctionnel</w:t>
      </w:r>
      <w:r w:rsidR="00825F3F" w:rsidRPr="00CF5797">
        <w:rPr>
          <w:lang w:val="fr-CA"/>
        </w:rPr>
        <w:t xml:space="preserve">. </w:t>
      </w:r>
    </w:p>
    <w:p w14:paraId="72DA3001" w14:textId="03E8C8C6" w:rsidR="00825F3F" w:rsidRPr="00CF5797" w:rsidRDefault="008D3D7C" w:rsidP="00825F3F">
      <w:pPr>
        <w:numPr>
          <w:ilvl w:val="0"/>
          <w:numId w:val="1"/>
        </w:numPr>
        <w:spacing w:after="240"/>
        <w:outlineLvl w:val="0"/>
        <w:rPr>
          <w:lang w:val="fr-CA"/>
        </w:rPr>
      </w:pPr>
      <w:r w:rsidRPr="00CF5797">
        <w:rPr>
          <w:rFonts w:eastAsiaTheme="minorEastAsia"/>
          <w:lang w:val="fr-CA" w:eastAsia="en-GB"/>
        </w:rPr>
        <w:t xml:space="preserve">L’équipement de mousse de polyuréthanne retourné au fournisseur par les autorités douanières de la Chine ne pouvait pas être importé de </w:t>
      </w:r>
      <w:r w:rsidRPr="00CF5797">
        <w:rPr>
          <w:lang w:val="fr-CA" w:eastAsia="en-GB"/>
        </w:rPr>
        <w:t>nouveau</w:t>
      </w:r>
      <w:r w:rsidRPr="00CF5797">
        <w:rPr>
          <w:rFonts w:eastAsiaTheme="minorEastAsia"/>
          <w:lang w:val="fr-CA" w:eastAsia="en-GB"/>
        </w:rPr>
        <w:t xml:space="preserve"> car la résolution supplémentaire 2397 émise en 2017 interdit spécifiquement </w:t>
      </w:r>
      <w:r w:rsidR="00E2796A" w:rsidRPr="00CF5797">
        <w:rPr>
          <w:rFonts w:eastAsiaTheme="minorEastAsia"/>
          <w:lang w:val="fr-CA" w:eastAsia="en-GB"/>
        </w:rPr>
        <w:t>« toute machinerie industrielle (codes SH 84 et 85)</w:t>
      </w:r>
      <w:r w:rsidR="00F54E8A">
        <w:rPr>
          <w:rFonts w:eastAsiaTheme="minorEastAsia"/>
          <w:lang w:val="fr-CA" w:eastAsia="en-GB"/>
        </w:rPr>
        <w:t>,</w:t>
      </w:r>
      <w:r w:rsidR="00E2796A" w:rsidRPr="00CF5797">
        <w:rPr>
          <w:rFonts w:eastAsiaTheme="minorEastAsia"/>
          <w:lang w:val="fr-CA" w:eastAsia="en-GB"/>
        </w:rPr>
        <w:t xml:space="preserve"> </w:t>
      </w:r>
      <w:r w:rsidR="00F54E8A">
        <w:rPr>
          <w:rFonts w:eastAsiaTheme="minorEastAsia"/>
          <w:lang w:val="fr-CA" w:eastAsia="en-GB"/>
        </w:rPr>
        <w:t xml:space="preserve">tout </w:t>
      </w:r>
      <w:r w:rsidR="00E2796A" w:rsidRPr="00CF5797">
        <w:rPr>
          <w:rFonts w:eastAsiaTheme="minorEastAsia"/>
          <w:lang w:val="fr-CA" w:eastAsia="en-GB"/>
        </w:rPr>
        <w:t>véhicule de transport (codes SH 86 à 89)</w:t>
      </w:r>
      <w:r w:rsidR="00F54E8A">
        <w:rPr>
          <w:rFonts w:eastAsiaTheme="minorEastAsia"/>
          <w:lang w:val="fr-CA" w:eastAsia="en-GB"/>
        </w:rPr>
        <w:t>, ainsi que</w:t>
      </w:r>
      <w:r w:rsidR="00E2796A" w:rsidRPr="00CF5797">
        <w:rPr>
          <w:rFonts w:eastAsiaTheme="minorEastAsia"/>
          <w:lang w:val="fr-CA" w:eastAsia="en-GB"/>
        </w:rPr>
        <w:t xml:space="preserve"> le fer, l’acier et autres métaux (codes SH 72 à 83. » Après l’émission de cette résolution, l’ONUDI a été </w:t>
      </w:r>
      <w:r w:rsidR="00CB4EB6">
        <w:rPr>
          <w:rFonts w:eastAsiaTheme="minorEastAsia"/>
          <w:lang w:val="fr-CA" w:eastAsia="en-GB"/>
        </w:rPr>
        <w:t>invitée à présenter</w:t>
      </w:r>
      <w:r w:rsidR="00E2796A" w:rsidRPr="00CF5797">
        <w:rPr>
          <w:rFonts w:eastAsiaTheme="minorEastAsia"/>
          <w:lang w:val="fr-CA" w:eastAsia="en-GB"/>
        </w:rPr>
        <w:t xml:space="preserve"> une nouvelle demande de dérogation </w:t>
      </w:r>
      <w:r w:rsidR="00F54E8A">
        <w:rPr>
          <w:rFonts w:eastAsiaTheme="minorEastAsia"/>
          <w:lang w:val="fr-CA" w:eastAsia="en-GB"/>
        </w:rPr>
        <w:t>comprenant une</w:t>
      </w:r>
      <w:r w:rsidR="00E2796A" w:rsidRPr="00CF5797">
        <w:rPr>
          <w:rFonts w:eastAsiaTheme="minorEastAsia"/>
          <w:lang w:val="fr-CA" w:eastAsia="en-GB"/>
        </w:rPr>
        <w:t xml:space="preserve"> liste actualisé</w:t>
      </w:r>
      <w:r w:rsidR="00CB4EB6">
        <w:rPr>
          <w:rFonts w:eastAsiaTheme="minorEastAsia"/>
          <w:lang w:val="fr-CA" w:eastAsia="en-GB"/>
        </w:rPr>
        <w:t>e</w:t>
      </w:r>
      <w:r w:rsidR="00E2796A" w:rsidRPr="00CF5797">
        <w:rPr>
          <w:rFonts w:eastAsiaTheme="minorEastAsia"/>
          <w:lang w:val="fr-CA" w:eastAsia="en-GB"/>
        </w:rPr>
        <w:t xml:space="preserve"> de l’équipement à importer au pays au Conseil de sécurité des Nations Unies. L’ONUDI a présenté sa demande officielle de dé</w:t>
      </w:r>
      <w:r w:rsidR="00CB4EB6">
        <w:rPr>
          <w:rFonts w:eastAsiaTheme="minorEastAsia"/>
          <w:lang w:val="fr-CA" w:eastAsia="en-GB"/>
        </w:rPr>
        <w:t>rogation le 8 mai 2019, que le C</w:t>
      </w:r>
      <w:r w:rsidR="00E2796A" w:rsidRPr="00CF5797">
        <w:rPr>
          <w:rFonts w:eastAsiaTheme="minorEastAsia"/>
          <w:lang w:val="fr-CA" w:eastAsia="en-GB"/>
        </w:rPr>
        <w:t>omité du Conseil de sécurité des Nations Unies a refusée le 18 juin 2019. Compte tenu de ce qui précède, l’ONUDI n’a pas été en mesure de livrer l’équipement</w:t>
      </w:r>
      <w:r w:rsidR="00825F3F" w:rsidRPr="00CF5797">
        <w:rPr>
          <w:lang w:val="fr-CA"/>
        </w:rPr>
        <w:t xml:space="preserve">. </w:t>
      </w:r>
    </w:p>
    <w:p w14:paraId="37708DE0" w14:textId="41D266B7" w:rsidR="00825F3F" w:rsidRPr="00CF5797" w:rsidRDefault="004A6B5E" w:rsidP="00825F3F">
      <w:pPr>
        <w:numPr>
          <w:ilvl w:val="0"/>
          <w:numId w:val="1"/>
        </w:numPr>
        <w:spacing w:after="240"/>
        <w:outlineLvl w:val="0"/>
        <w:rPr>
          <w:lang w:val="fr-CA"/>
        </w:rPr>
      </w:pPr>
      <w:r w:rsidRPr="00CF5797">
        <w:rPr>
          <w:lang w:val="fr-CA"/>
        </w:rPr>
        <w:lastRenderedPageBreak/>
        <w:t xml:space="preserve">L’incapacité </w:t>
      </w:r>
      <w:r w:rsidR="00F54E8A">
        <w:rPr>
          <w:lang w:val="fr-CA"/>
        </w:rPr>
        <w:t>de transférer des fonds au pays</w:t>
      </w:r>
      <w:r w:rsidRPr="00CF5797">
        <w:rPr>
          <w:lang w:val="fr-CA"/>
        </w:rPr>
        <w:t xml:space="preserve">, exacerbée par l’application de sanctions plus sévères </w:t>
      </w:r>
      <w:r w:rsidR="00CB4EB6">
        <w:rPr>
          <w:lang w:val="fr-CA"/>
        </w:rPr>
        <w:t>dans la foulée de</w:t>
      </w:r>
      <w:r w:rsidRPr="00CF5797">
        <w:rPr>
          <w:lang w:val="fr-CA"/>
        </w:rPr>
        <w:t xml:space="preserve"> la résolution 2397 (2017)</w:t>
      </w:r>
      <w:r w:rsidR="00F54E8A">
        <w:rPr>
          <w:lang w:val="fr-CA"/>
        </w:rPr>
        <w:t xml:space="preserve">, </w:t>
      </w:r>
      <w:r w:rsidR="00F54E8A" w:rsidRPr="00CF5797">
        <w:rPr>
          <w:lang w:val="fr-CA"/>
        </w:rPr>
        <w:t>a aussi eu des incidences sur les activités ne portant pas sur des investissements</w:t>
      </w:r>
      <w:r w:rsidR="00825F3F" w:rsidRPr="00CF5797">
        <w:rPr>
          <w:lang w:val="fr-CA"/>
        </w:rPr>
        <w:t xml:space="preserve">. </w:t>
      </w:r>
    </w:p>
    <w:p w14:paraId="73FFA4F6" w14:textId="29CF5530" w:rsidR="00825F3F" w:rsidRPr="00CF5797" w:rsidRDefault="004A6B5E" w:rsidP="00825F3F">
      <w:pPr>
        <w:numPr>
          <w:ilvl w:val="0"/>
          <w:numId w:val="1"/>
        </w:numPr>
        <w:spacing w:after="240"/>
        <w:outlineLvl w:val="0"/>
        <w:rPr>
          <w:rFonts w:eastAsiaTheme="minorEastAsia"/>
          <w:lang w:val="fr-CA" w:eastAsia="en-GB"/>
        </w:rPr>
      </w:pPr>
      <w:r w:rsidRPr="00CF5797">
        <w:rPr>
          <w:rFonts w:eastAsiaTheme="minorEastAsia"/>
          <w:lang w:val="fr-CA" w:eastAsia="en-GB"/>
        </w:rPr>
        <w:t>Compte tenu de ce qui précède, l’ONUDI a indiqué dans son rapport qu’elle n’est pas en mesure de poursuivre la mise en œuvre du PGEH pour la République populaire démocratique de Corée et demande l’orientation du Comité exécutif</w:t>
      </w:r>
      <w:r w:rsidR="00825F3F" w:rsidRPr="00CF5797">
        <w:rPr>
          <w:rFonts w:eastAsiaTheme="minorEastAsia"/>
          <w:lang w:val="fr-CA" w:eastAsia="en-GB"/>
        </w:rPr>
        <w:t>.</w:t>
      </w:r>
    </w:p>
    <w:p w14:paraId="3168625C" w14:textId="630B861A" w:rsidR="00825F3F" w:rsidRPr="00CF5797" w:rsidRDefault="004A6B5E" w:rsidP="00825F3F">
      <w:pPr>
        <w:keepNext/>
        <w:keepLines/>
        <w:spacing w:after="240"/>
        <w:outlineLvl w:val="0"/>
        <w:rPr>
          <w:rFonts w:eastAsiaTheme="minorEastAsia"/>
          <w:b/>
          <w:lang w:val="fr-CA"/>
        </w:rPr>
      </w:pPr>
      <w:r w:rsidRPr="00CF5797">
        <w:rPr>
          <w:rFonts w:eastAsiaTheme="minorEastAsia"/>
          <w:b/>
          <w:lang w:val="fr-CA"/>
        </w:rPr>
        <w:t>Observations du Secrétariat</w:t>
      </w:r>
    </w:p>
    <w:p w14:paraId="0C9239F8" w14:textId="2DB3698F" w:rsidR="00825F3F" w:rsidRPr="00CF5797" w:rsidRDefault="007459B1" w:rsidP="00825F3F">
      <w:pPr>
        <w:pStyle w:val="Heading1"/>
        <w:rPr>
          <w:rFonts w:eastAsiaTheme="minorEastAsia"/>
          <w:lang w:val="fr-CA" w:eastAsia="en-GB"/>
        </w:rPr>
      </w:pPr>
      <w:r w:rsidRPr="00CF5797">
        <w:rPr>
          <w:rFonts w:eastAsiaTheme="minorEastAsia"/>
          <w:lang w:val="fr-CA" w:eastAsia="en-GB"/>
        </w:rPr>
        <w:t xml:space="preserve">L’examen du </w:t>
      </w:r>
      <w:r w:rsidRPr="00CF5797">
        <w:rPr>
          <w:lang w:val="fr-CA" w:eastAsia="en-GB"/>
        </w:rPr>
        <w:t>rapport</w:t>
      </w:r>
      <w:r w:rsidRPr="00CF5797">
        <w:rPr>
          <w:rFonts w:eastAsiaTheme="minorEastAsia"/>
          <w:lang w:val="fr-CA" w:eastAsia="en-GB"/>
        </w:rPr>
        <w:t xml:space="preserve"> présenté par l’ONUDI à la 85</w:t>
      </w:r>
      <w:r w:rsidRPr="00CF5797">
        <w:rPr>
          <w:rFonts w:eastAsiaTheme="minorEastAsia"/>
          <w:vertAlign w:val="superscript"/>
          <w:lang w:val="fr-CA" w:eastAsia="en-GB"/>
        </w:rPr>
        <w:t>e</w:t>
      </w:r>
      <w:r w:rsidRPr="00CF5797">
        <w:rPr>
          <w:rFonts w:eastAsiaTheme="minorEastAsia"/>
          <w:lang w:val="fr-CA" w:eastAsia="en-GB"/>
        </w:rPr>
        <w:t xml:space="preserve"> réunion et ensuite à la 86</w:t>
      </w:r>
      <w:r w:rsidRPr="00CF5797">
        <w:rPr>
          <w:rFonts w:eastAsiaTheme="minorEastAsia"/>
          <w:vertAlign w:val="superscript"/>
          <w:lang w:val="fr-CA" w:eastAsia="en-GB"/>
        </w:rPr>
        <w:t>e</w:t>
      </w:r>
      <w:r w:rsidRPr="00CF5797">
        <w:rPr>
          <w:rFonts w:eastAsiaTheme="minorEastAsia"/>
          <w:lang w:val="fr-CA" w:eastAsia="en-GB"/>
        </w:rPr>
        <w:t xml:space="preserve"> réunion a été reporté conformément à la procédure du Comité exécutif pour la tenue des 85</w:t>
      </w:r>
      <w:r w:rsidRPr="00CF5797">
        <w:rPr>
          <w:rFonts w:eastAsiaTheme="minorEastAsia"/>
          <w:vertAlign w:val="superscript"/>
          <w:lang w:val="fr-CA" w:eastAsia="en-GB"/>
        </w:rPr>
        <w:t>e</w:t>
      </w:r>
      <w:r w:rsidRPr="00CF5797">
        <w:rPr>
          <w:rFonts w:eastAsiaTheme="minorEastAsia"/>
          <w:lang w:val="fr-CA" w:eastAsia="en-GB"/>
        </w:rPr>
        <w:t xml:space="preserve"> et 86</w:t>
      </w:r>
      <w:r w:rsidRPr="00CF5797">
        <w:rPr>
          <w:rFonts w:eastAsiaTheme="minorEastAsia"/>
          <w:vertAlign w:val="superscript"/>
          <w:lang w:val="fr-CA" w:eastAsia="en-GB"/>
        </w:rPr>
        <w:t>e</w:t>
      </w:r>
      <w:r w:rsidRPr="00CF5797">
        <w:rPr>
          <w:rFonts w:eastAsiaTheme="minorEastAsia"/>
          <w:lang w:val="fr-CA" w:eastAsia="en-GB"/>
        </w:rPr>
        <w:t xml:space="preserve"> réunions en temps de pandémie de la COVID-19. </w:t>
      </w:r>
      <w:r w:rsidR="003F32FE">
        <w:rPr>
          <w:rFonts w:eastAsiaTheme="minorEastAsia"/>
          <w:lang w:val="fr-CA" w:eastAsia="en-GB"/>
        </w:rPr>
        <w:t>L</w:t>
      </w:r>
      <w:r w:rsidRPr="00CF5797">
        <w:rPr>
          <w:rFonts w:eastAsiaTheme="minorEastAsia"/>
          <w:lang w:val="fr-CA" w:eastAsia="en-GB"/>
        </w:rPr>
        <w:t xml:space="preserve">e rapport a été présenté de </w:t>
      </w:r>
      <w:r w:rsidRPr="00CF5797">
        <w:rPr>
          <w:lang w:val="fr-CA" w:eastAsia="en-GB"/>
        </w:rPr>
        <w:t>nouveau</w:t>
      </w:r>
      <w:r w:rsidRPr="00CF5797">
        <w:rPr>
          <w:rFonts w:eastAsiaTheme="minorEastAsia"/>
          <w:lang w:val="fr-CA" w:eastAsia="en-GB"/>
        </w:rPr>
        <w:t xml:space="preserve"> à la 87</w:t>
      </w:r>
      <w:r w:rsidRPr="00CF5797">
        <w:rPr>
          <w:rFonts w:eastAsiaTheme="minorEastAsia"/>
          <w:vertAlign w:val="superscript"/>
          <w:lang w:val="fr-CA" w:eastAsia="en-GB"/>
        </w:rPr>
        <w:t>e</w:t>
      </w:r>
      <w:r w:rsidRPr="00CF5797">
        <w:rPr>
          <w:rFonts w:eastAsiaTheme="minorEastAsia"/>
          <w:lang w:val="fr-CA" w:eastAsia="en-GB"/>
        </w:rPr>
        <w:t xml:space="preserve"> réunion</w:t>
      </w:r>
      <w:r w:rsidR="00825F3F" w:rsidRPr="00CF5797">
        <w:rPr>
          <w:rFonts w:eastAsiaTheme="minorEastAsia"/>
          <w:lang w:val="fr-CA" w:eastAsia="en-GB"/>
        </w:rPr>
        <w:t xml:space="preserve">. </w:t>
      </w:r>
    </w:p>
    <w:p w14:paraId="60C68AB3" w14:textId="53F6DE34" w:rsidR="00825F3F" w:rsidRPr="00CF5797" w:rsidRDefault="007459B1" w:rsidP="00825F3F">
      <w:pPr>
        <w:pStyle w:val="Heading1"/>
        <w:rPr>
          <w:rFonts w:eastAsiaTheme="minorEastAsia"/>
          <w:lang w:val="fr-CA" w:eastAsia="en-GB"/>
        </w:rPr>
      </w:pPr>
      <w:r w:rsidRPr="00CF5797">
        <w:rPr>
          <w:rFonts w:eastAsiaTheme="minorEastAsia"/>
          <w:lang w:val="fr-CA" w:eastAsia="en-GB"/>
        </w:rPr>
        <w:t>Depuis la soumission du rapport à la 86</w:t>
      </w:r>
      <w:r w:rsidRPr="00CF5797">
        <w:rPr>
          <w:rFonts w:eastAsiaTheme="minorEastAsia"/>
          <w:vertAlign w:val="superscript"/>
          <w:lang w:val="fr-CA" w:eastAsia="en-GB"/>
        </w:rPr>
        <w:t>e</w:t>
      </w:r>
      <w:r w:rsidRPr="00CF5797">
        <w:rPr>
          <w:rFonts w:eastAsiaTheme="minorEastAsia"/>
          <w:lang w:val="fr-CA" w:eastAsia="en-GB"/>
        </w:rPr>
        <w:t xml:space="preserve"> r</w:t>
      </w:r>
      <w:r w:rsidR="00F200B2" w:rsidRPr="00CF5797">
        <w:rPr>
          <w:rFonts w:eastAsiaTheme="minorEastAsia"/>
          <w:lang w:val="fr-CA" w:eastAsia="en-GB"/>
        </w:rPr>
        <w:t>é</w:t>
      </w:r>
      <w:r w:rsidRPr="00CF5797">
        <w:rPr>
          <w:rFonts w:eastAsiaTheme="minorEastAsia"/>
          <w:lang w:val="fr-CA" w:eastAsia="en-GB"/>
        </w:rPr>
        <w:t xml:space="preserve">union, les Parties ont pris note, à leur trente-deuxième </w:t>
      </w:r>
      <w:r w:rsidR="00F200B2" w:rsidRPr="00CF5797">
        <w:rPr>
          <w:rFonts w:eastAsiaTheme="minorEastAsia"/>
          <w:lang w:val="fr-CA" w:eastAsia="en-GB"/>
        </w:rPr>
        <w:t>ré</w:t>
      </w:r>
      <w:r w:rsidRPr="00CF5797">
        <w:rPr>
          <w:rFonts w:eastAsiaTheme="minorEastAsia"/>
          <w:lang w:val="fr-CA" w:eastAsia="en-GB"/>
        </w:rPr>
        <w:t>union</w:t>
      </w:r>
      <w:r w:rsidR="00825F3F" w:rsidRPr="00CF5797">
        <w:rPr>
          <w:rFonts w:eastAsiaTheme="minorEastAsia"/>
          <w:lang w:val="fr-CA" w:eastAsia="en-GB"/>
        </w:rPr>
        <w:t>,</w:t>
      </w:r>
      <w:r w:rsidR="00825F3F" w:rsidRPr="00CF5797">
        <w:rPr>
          <w:rStyle w:val="FootnoteReference"/>
          <w:rFonts w:eastAsiaTheme="minorEastAsia"/>
          <w:lang w:val="fr-CA" w:eastAsia="en-GB"/>
        </w:rPr>
        <w:footnoteReference w:id="52"/>
      </w:r>
      <w:r w:rsidR="00825F3F" w:rsidRPr="00CF5797">
        <w:rPr>
          <w:rFonts w:eastAsiaTheme="minorEastAsia"/>
          <w:lang w:val="fr-CA" w:eastAsia="en-GB"/>
        </w:rPr>
        <w:t xml:space="preserve"> </w:t>
      </w:r>
      <w:r w:rsidRPr="00CF5797">
        <w:rPr>
          <w:rFonts w:eastAsiaTheme="minorEastAsia"/>
          <w:lang w:val="fr-CA" w:eastAsia="en-GB"/>
        </w:rPr>
        <w:t xml:space="preserve">que </w:t>
      </w:r>
      <w:r w:rsidR="003F32FE">
        <w:rPr>
          <w:rFonts w:eastAsiaTheme="minorEastAsia"/>
          <w:lang w:val="fr-CA" w:eastAsia="en-GB"/>
        </w:rPr>
        <w:t>la République populaire démocratique de Corée étai</w:t>
      </w:r>
      <w:r w:rsidR="00F200B2" w:rsidRPr="00CF5797">
        <w:rPr>
          <w:rFonts w:eastAsiaTheme="minorEastAsia"/>
          <w:lang w:val="fr-CA" w:eastAsia="en-GB"/>
        </w:rPr>
        <w:t>t en situation de non-conformité aux mesures de réglementation de la consommation et de la production des HCFC au titre du</w:t>
      </w:r>
      <w:r w:rsidR="003F32FE">
        <w:rPr>
          <w:rFonts w:eastAsiaTheme="minorEastAsia"/>
          <w:lang w:val="fr-CA" w:eastAsia="en-GB"/>
        </w:rPr>
        <w:t xml:space="preserve"> Protocole de Montré</w:t>
      </w:r>
      <w:r w:rsidR="00F200B2" w:rsidRPr="00CF5797">
        <w:rPr>
          <w:rFonts w:eastAsiaTheme="minorEastAsia"/>
          <w:lang w:val="fr-CA" w:eastAsia="en-GB"/>
        </w:rPr>
        <w:t>al, car sa consommation annuelle de 72,27 tonnes PAO</w:t>
      </w:r>
      <w:r w:rsidR="00CB4EB6">
        <w:rPr>
          <w:rFonts w:eastAsiaTheme="minorEastAsia"/>
          <w:lang w:val="fr-CA" w:eastAsia="en-GB"/>
        </w:rPr>
        <w:t xml:space="preserve"> de HCFC dépassait</w:t>
      </w:r>
      <w:r w:rsidR="00F200B2" w:rsidRPr="00CF5797">
        <w:rPr>
          <w:rFonts w:eastAsiaTheme="minorEastAsia"/>
          <w:lang w:val="fr-CA" w:eastAsia="en-GB"/>
        </w:rPr>
        <w:t xml:space="preserve"> la consommation maximum permise de 70,2 tonnes PAO pour l’année en question, et que sa producti</w:t>
      </w:r>
      <w:r w:rsidR="003F32FE">
        <w:rPr>
          <w:rFonts w:eastAsiaTheme="minorEastAsia"/>
          <w:lang w:val="fr-CA" w:eastAsia="en-GB"/>
        </w:rPr>
        <w:t>on annuelle de 26,95 </w:t>
      </w:r>
      <w:r w:rsidR="00F200B2" w:rsidRPr="00CF5797">
        <w:rPr>
          <w:rFonts w:eastAsiaTheme="minorEastAsia"/>
          <w:lang w:val="fr-CA" w:eastAsia="en-GB"/>
        </w:rPr>
        <w:t>tonnes PAO de HCFC dépass</w:t>
      </w:r>
      <w:r w:rsidR="00CB4EB6">
        <w:rPr>
          <w:rFonts w:eastAsiaTheme="minorEastAsia"/>
          <w:lang w:val="fr-CA" w:eastAsia="en-GB"/>
        </w:rPr>
        <w:t xml:space="preserve">ait </w:t>
      </w:r>
      <w:r w:rsidR="00F200B2" w:rsidRPr="00CF5797">
        <w:rPr>
          <w:rFonts w:eastAsiaTheme="minorEastAsia"/>
          <w:lang w:val="fr-CA" w:eastAsia="en-GB"/>
        </w:rPr>
        <w:t>la production maximum permise pour le pays de 24,8 tonnes PAO. De plus, les</w:t>
      </w:r>
      <w:r w:rsidR="00112406" w:rsidRPr="00CF5797">
        <w:rPr>
          <w:rFonts w:eastAsiaTheme="minorEastAsia"/>
          <w:lang w:val="fr-CA" w:eastAsia="en-GB"/>
        </w:rPr>
        <w:t xml:space="preserve"> Parties ont pris note avec satisfaction que le pays av</w:t>
      </w:r>
      <w:r w:rsidR="008E1C3E" w:rsidRPr="00CF5797">
        <w:rPr>
          <w:rFonts w:eastAsiaTheme="minorEastAsia"/>
          <w:lang w:val="fr-CA" w:eastAsia="en-GB"/>
        </w:rPr>
        <w:t>a</w:t>
      </w:r>
      <w:r w:rsidR="00112406" w:rsidRPr="00CF5797">
        <w:rPr>
          <w:rFonts w:eastAsiaTheme="minorEastAsia"/>
          <w:lang w:val="fr-CA" w:eastAsia="en-GB"/>
        </w:rPr>
        <w:t>it fourni u</w:t>
      </w:r>
      <w:r w:rsidR="008E1C3E" w:rsidRPr="00CF5797">
        <w:rPr>
          <w:rFonts w:eastAsiaTheme="minorEastAsia"/>
          <w:lang w:val="fr-CA" w:eastAsia="en-GB"/>
        </w:rPr>
        <w:t>ne explication de sa non-confor</w:t>
      </w:r>
      <w:r w:rsidR="00112406" w:rsidRPr="00CF5797">
        <w:rPr>
          <w:rFonts w:eastAsiaTheme="minorEastAsia"/>
          <w:lang w:val="fr-CA" w:eastAsia="en-GB"/>
        </w:rPr>
        <w:t>mité et un plan d’action pour assurer son retour à la conformité aux mesures de réglementation de la consommation et de la production de HCFC du Protocole en 2023; les Parties ont aussi pris note qu’en vertu du plan d’</w:t>
      </w:r>
      <w:r w:rsidR="008E1C3E" w:rsidRPr="00CF5797">
        <w:rPr>
          <w:rFonts w:eastAsiaTheme="minorEastAsia"/>
          <w:lang w:val="fr-CA" w:eastAsia="en-GB"/>
        </w:rPr>
        <w:t>acti</w:t>
      </w:r>
      <w:r w:rsidR="00112406" w:rsidRPr="00CF5797">
        <w:rPr>
          <w:rFonts w:eastAsiaTheme="minorEastAsia"/>
          <w:lang w:val="fr-CA" w:eastAsia="en-GB"/>
        </w:rPr>
        <w:t>on, sous réserve du fonctio</w:t>
      </w:r>
      <w:r w:rsidR="008E1C3E" w:rsidRPr="00CF5797">
        <w:rPr>
          <w:rFonts w:eastAsiaTheme="minorEastAsia"/>
          <w:lang w:val="fr-CA" w:eastAsia="en-GB"/>
        </w:rPr>
        <w:t>nnement du m</w:t>
      </w:r>
      <w:r w:rsidR="00112406" w:rsidRPr="00CF5797">
        <w:rPr>
          <w:rFonts w:eastAsiaTheme="minorEastAsia"/>
          <w:lang w:val="fr-CA" w:eastAsia="en-GB"/>
        </w:rPr>
        <w:t xml:space="preserve">écanisme de financement du Protocole, la République populaire démocratique de Corée s’est spécifiquement engagée </w:t>
      </w:r>
      <w:r w:rsidR="008E1C3E" w:rsidRPr="00CF5797">
        <w:rPr>
          <w:rFonts w:eastAsiaTheme="minorEastAsia"/>
          <w:lang w:val="fr-CA" w:eastAsia="en-GB"/>
        </w:rPr>
        <w:t>à respe</w:t>
      </w:r>
      <w:r w:rsidR="00112406" w:rsidRPr="00CF5797">
        <w:rPr>
          <w:rFonts w:eastAsiaTheme="minorEastAsia"/>
          <w:lang w:val="fr-CA" w:eastAsia="en-GB"/>
        </w:rPr>
        <w:t>cter des résolutions précises concernant la consommation et la prod</w:t>
      </w:r>
      <w:r w:rsidR="008E1C3E" w:rsidRPr="00CF5797">
        <w:rPr>
          <w:rFonts w:eastAsiaTheme="minorEastAsia"/>
          <w:lang w:val="fr-CA" w:eastAsia="en-GB"/>
        </w:rPr>
        <w:t>ucti</w:t>
      </w:r>
      <w:r w:rsidR="00112406" w:rsidRPr="00CF5797">
        <w:rPr>
          <w:rFonts w:eastAsiaTheme="minorEastAsia"/>
          <w:lang w:val="fr-CA" w:eastAsia="en-GB"/>
        </w:rPr>
        <w:t xml:space="preserve">on de HCFC; </w:t>
      </w:r>
      <w:r w:rsidR="007F4F88" w:rsidRPr="00CF5797">
        <w:rPr>
          <w:rFonts w:eastAsiaTheme="minorEastAsia"/>
          <w:lang w:val="fr-CA" w:eastAsia="en-GB"/>
        </w:rPr>
        <w:t>ont exhorté le pays de collaborer avec les agences d’</w:t>
      </w:r>
      <w:r w:rsidR="008E1C3E" w:rsidRPr="00CF5797">
        <w:rPr>
          <w:rFonts w:eastAsiaTheme="minorEastAsia"/>
          <w:lang w:val="fr-CA" w:eastAsia="en-GB"/>
        </w:rPr>
        <w:t>exécution concerné</w:t>
      </w:r>
      <w:r w:rsidR="007F4F88" w:rsidRPr="00CF5797">
        <w:rPr>
          <w:rFonts w:eastAsiaTheme="minorEastAsia"/>
          <w:lang w:val="fr-CA" w:eastAsia="en-GB"/>
        </w:rPr>
        <w:t xml:space="preserve">es pour examiner des </w:t>
      </w:r>
      <w:r w:rsidR="008E1C3E" w:rsidRPr="00CF5797">
        <w:rPr>
          <w:rFonts w:eastAsiaTheme="minorEastAsia"/>
          <w:lang w:val="fr-CA" w:eastAsia="en-GB"/>
        </w:rPr>
        <w:t>solutions</w:t>
      </w:r>
      <w:r w:rsidR="007F4F88" w:rsidRPr="00CF5797">
        <w:rPr>
          <w:rFonts w:eastAsiaTheme="minorEastAsia"/>
          <w:lang w:val="fr-CA" w:eastAsia="en-GB"/>
        </w:rPr>
        <w:t xml:space="preserve"> pour la mise en œuvre de son plan d’action pour éliminer la co</w:t>
      </w:r>
      <w:r w:rsidR="008E1C3E" w:rsidRPr="00CF5797">
        <w:rPr>
          <w:rFonts w:eastAsiaTheme="minorEastAsia"/>
          <w:lang w:val="fr-CA" w:eastAsia="en-GB"/>
        </w:rPr>
        <w:t>nsommation et la producti</w:t>
      </w:r>
      <w:r w:rsidR="007F4F88" w:rsidRPr="00CF5797">
        <w:rPr>
          <w:rFonts w:eastAsiaTheme="minorEastAsia"/>
          <w:lang w:val="fr-CA" w:eastAsia="en-GB"/>
        </w:rPr>
        <w:t>on de HCFC sous réserve de l’</w:t>
      </w:r>
      <w:r w:rsidR="008E1C3E" w:rsidRPr="00CF5797">
        <w:rPr>
          <w:rFonts w:eastAsiaTheme="minorEastAsia"/>
          <w:lang w:val="fr-CA" w:eastAsia="en-GB"/>
        </w:rPr>
        <w:t>applicati</w:t>
      </w:r>
      <w:r w:rsidR="007F4F88" w:rsidRPr="00CF5797">
        <w:rPr>
          <w:rFonts w:eastAsiaTheme="minorEastAsia"/>
          <w:lang w:val="fr-CA" w:eastAsia="en-GB"/>
        </w:rPr>
        <w:t>on des résolutions pertinentes du C</w:t>
      </w:r>
      <w:r w:rsidR="003F32FE">
        <w:rPr>
          <w:rFonts w:eastAsiaTheme="minorEastAsia"/>
          <w:lang w:val="fr-CA" w:eastAsia="en-GB"/>
        </w:rPr>
        <w:t>onseil de sécurité des Nations U</w:t>
      </w:r>
      <w:r w:rsidR="007F4F88" w:rsidRPr="00CF5797">
        <w:rPr>
          <w:rFonts w:eastAsiaTheme="minorEastAsia"/>
          <w:lang w:val="fr-CA" w:eastAsia="en-GB"/>
        </w:rPr>
        <w:t>nies; et ont invité le p</w:t>
      </w:r>
      <w:r w:rsidR="008E1C3E" w:rsidRPr="00CF5797">
        <w:rPr>
          <w:rFonts w:eastAsiaTheme="minorEastAsia"/>
          <w:lang w:val="fr-CA" w:eastAsia="en-GB"/>
        </w:rPr>
        <w:t>a</w:t>
      </w:r>
      <w:r w:rsidR="007F4F88" w:rsidRPr="00CF5797">
        <w:rPr>
          <w:rFonts w:eastAsiaTheme="minorEastAsia"/>
          <w:lang w:val="fr-CA" w:eastAsia="en-GB"/>
        </w:rPr>
        <w:t>ys à adopter des politiques supplémentaires pour faciliter l’élimination des HCFC, qui peuvent inclure, sans s’y limi</w:t>
      </w:r>
      <w:r w:rsidR="008E1C3E" w:rsidRPr="00CF5797">
        <w:rPr>
          <w:rFonts w:eastAsiaTheme="minorEastAsia"/>
          <w:lang w:val="fr-CA" w:eastAsia="en-GB"/>
        </w:rPr>
        <w:t>t</w:t>
      </w:r>
      <w:r w:rsidR="007F4F88" w:rsidRPr="00CF5797">
        <w:rPr>
          <w:rFonts w:eastAsiaTheme="minorEastAsia"/>
          <w:lang w:val="fr-CA" w:eastAsia="en-GB"/>
        </w:rPr>
        <w:t>er, des interdictions d’importer</w:t>
      </w:r>
      <w:r w:rsidR="008E1C3E" w:rsidRPr="00CF5797">
        <w:rPr>
          <w:rFonts w:eastAsiaTheme="minorEastAsia"/>
          <w:lang w:val="fr-CA" w:eastAsia="en-GB"/>
        </w:rPr>
        <w:t xml:space="preserve">, </w:t>
      </w:r>
      <w:r w:rsidR="003F32FE">
        <w:rPr>
          <w:rFonts w:eastAsiaTheme="minorEastAsia"/>
          <w:lang w:val="fr-CA" w:eastAsia="en-GB"/>
        </w:rPr>
        <w:t>de</w:t>
      </w:r>
      <w:r w:rsidR="008E1C3E" w:rsidRPr="00CF5797">
        <w:rPr>
          <w:rFonts w:eastAsiaTheme="minorEastAsia"/>
          <w:lang w:val="fr-CA" w:eastAsia="en-GB"/>
        </w:rPr>
        <w:t xml:space="preserve"> produire ou d</w:t>
      </w:r>
      <w:r w:rsidR="00E266CB">
        <w:rPr>
          <w:rFonts w:eastAsiaTheme="minorEastAsia"/>
          <w:lang w:val="fr-CA" w:eastAsia="en-GB"/>
        </w:rPr>
        <w:t>’exploiter de</w:t>
      </w:r>
      <w:r w:rsidR="008E1C3E" w:rsidRPr="00CF5797">
        <w:rPr>
          <w:rFonts w:eastAsiaTheme="minorEastAsia"/>
          <w:lang w:val="fr-CA" w:eastAsia="en-GB"/>
        </w:rPr>
        <w:t xml:space="preserve"> nouvelles installations, et la certification des techniciens et des entreprises de réfrigération. </w:t>
      </w:r>
      <w:r w:rsidR="00825F3F" w:rsidRPr="00CF5797">
        <w:rPr>
          <w:rFonts w:eastAsiaTheme="minorEastAsia"/>
          <w:lang w:val="fr-CA" w:eastAsia="en-GB"/>
        </w:rPr>
        <w:t>(</w:t>
      </w:r>
      <w:proofErr w:type="gramStart"/>
      <w:r w:rsidR="00825F3F" w:rsidRPr="00CF5797">
        <w:rPr>
          <w:rFonts w:eastAsiaTheme="minorEastAsia"/>
          <w:lang w:val="fr-CA" w:eastAsia="en-GB"/>
        </w:rPr>
        <w:t>d</w:t>
      </w:r>
      <w:r w:rsidR="008E1C3E" w:rsidRPr="00CF5797">
        <w:rPr>
          <w:rFonts w:eastAsiaTheme="minorEastAsia"/>
          <w:lang w:val="fr-CA" w:eastAsia="en-GB"/>
        </w:rPr>
        <w:t>é</w:t>
      </w:r>
      <w:r w:rsidR="00825F3F" w:rsidRPr="00CF5797">
        <w:rPr>
          <w:rFonts w:eastAsiaTheme="minorEastAsia"/>
          <w:lang w:val="fr-CA" w:eastAsia="en-GB"/>
        </w:rPr>
        <w:t>cision</w:t>
      </w:r>
      <w:proofErr w:type="gramEnd"/>
      <w:r w:rsidR="00825F3F" w:rsidRPr="00CF5797">
        <w:rPr>
          <w:rFonts w:eastAsiaTheme="minorEastAsia"/>
          <w:lang w:val="fr-CA" w:eastAsia="en-GB"/>
        </w:rPr>
        <w:t> XXXII/6).</w:t>
      </w:r>
    </w:p>
    <w:p w14:paraId="3BC3EA4A" w14:textId="55B47755" w:rsidR="00825F3F" w:rsidRPr="00CF5797" w:rsidRDefault="008E1C3E" w:rsidP="00825F3F">
      <w:pPr>
        <w:numPr>
          <w:ilvl w:val="0"/>
          <w:numId w:val="1"/>
        </w:numPr>
        <w:spacing w:after="240"/>
        <w:outlineLvl w:val="0"/>
        <w:rPr>
          <w:rFonts w:eastAsiaTheme="minorEastAsia"/>
          <w:lang w:val="fr-CA" w:eastAsia="en-GB"/>
        </w:rPr>
      </w:pPr>
      <w:r w:rsidRPr="00CF5797">
        <w:rPr>
          <w:lang w:val="fr-CA"/>
        </w:rPr>
        <w:t xml:space="preserve">Le Secrétariat a pris note que l’ONUDI a continué à </w:t>
      </w:r>
      <w:r w:rsidR="00B27345">
        <w:rPr>
          <w:lang w:val="fr-CA"/>
        </w:rPr>
        <w:t>faire preuve de</w:t>
      </w:r>
      <w:r w:rsidR="008E5A09" w:rsidRPr="00CF5797">
        <w:rPr>
          <w:lang w:val="fr-CA"/>
        </w:rPr>
        <w:t xml:space="preserve"> diligence raisonnable et à assurer le suivi tout au long de la mise en œuvre du projet. L’ON</w:t>
      </w:r>
      <w:r w:rsidR="00271C9F" w:rsidRPr="00CF5797">
        <w:rPr>
          <w:lang w:val="fr-CA"/>
        </w:rPr>
        <w:t>U</w:t>
      </w:r>
      <w:r w:rsidR="008E5A09" w:rsidRPr="00CF5797">
        <w:rPr>
          <w:lang w:val="fr-CA"/>
        </w:rPr>
        <w:t>DI a présenté une demande de dérogation, ainsi qu’une liste actualisée de l’</w:t>
      </w:r>
      <w:r w:rsidR="00271C9F" w:rsidRPr="00CF5797">
        <w:rPr>
          <w:lang w:val="fr-CA"/>
        </w:rPr>
        <w:t>é</w:t>
      </w:r>
      <w:r w:rsidR="008E5A09" w:rsidRPr="00CF5797">
        <w:rPr>
          <w:lang w:val="fr-CA"/>
        </w:rPr>
        <w:t>quipement à importer au pays, conformément à la résolution 1718</w:t>
      </w:r>
      <w:r w:rsidR="00271C9F" w:rsidRPr="00CF5797">
        <w:rPr>
          <w:lang w:val="fr-CA"/>
        </w:rPr>
        <w:t>,</w:t>
      </w:r>
      <w:r w:rsidR="00E266CB">
        <w:rPr>
          <w:lang w:val="fr-CA"/>
        </w:rPr>
        <w:t xml:space="preserve"> au C</w:t>
      </w:r>
      <w:r w:rsidR="008E5A09" w:rsidRPr="00CF5797">
        <w:rPr>
          <w:lang w:val="fr-CA"/>
        </w:rPr>
        <w:t xml:space="preserve">omité du Conseil de sécurité des Nations Unies dès l’adoption </w:t>
      </w:r>
      <w:r w:rsidR="00271C9F" w:rsidRPr="00CF5797">
        <w:rPr>
          <w:lang w:val="fr-CA"/>
        </w:rPr>
        <w:t>de la</w:t>
      </w:r>
      <w:r w:rsidR="008E5A09" w:rsidRPr="00CF5797">
        <w:rPr>
          <w:lang w:val="fr-CA"/>
        </w:rPr>
        <w:t xml:space="preserve"> résolution supplémentaire du Conseil de sécurité des Nation</w:t>
      </w:r>
      <w:r w:rsidR="00271C9F" w:rsidRPr="00CF5797">
        <w:rPr>
          <w:lang w:val="fr-CA"/>
        </w:rPr>
        <w:t>s</w:t>
      </w:r>
      <w:r w:rsidR="008E5A09" w:rsidRPr="00CF5797">
        <w:rPr>
          <w:lang w:val="fr-CA"/>
        </w:rPr>
        <w:t xml:space="preserve"> Unies en 2017, et a continué à collaborer étro</w:t>
      </w:r>
      <w:r w:rsidR="00271C9F" w:rsidRPr="00CF5797">
        <w:rPr>
          <w:lang w:val="fr-CA"/>
        </w:rPr>
        <w:t>itement avec plusieurs États me</w:t>
      </w:r>
      <w:r w:rsidR="008E5A09" w:rsidRPr="00CF5797">
        <w:rPr>
          <w:lang w:val="fr-CA"/>
        </w:rPr>
        <w:t>mbres des Nations Unies au sujet de l’achat et de l’</w:t>
      </w:r>
      <w:r w:rsidR="00271C9F" w:rsidRPr="00CF5797">
        <w:rPr>
          <w:lang w:val="fr-CA"/>
        </w:rPr>
        <w:t>exportati</w:t>
      </w:r>
      <w:r w:rsidR="008E5A09" w:rsidRPr="00CF5797">
        <w:rPr>
          <w:lang w:val="fr-CA"/>
        </w:rPr>
        <w:t xml:space="preserve">on d’équipement pour éliminer </w:t>
      </w:r>
      <w:r w:rsidR="00271C9F" w:rsidRPr="00CF5797">
        <w:rPr>
          <w:lang w:val="fr-CA"/>
        </w:rPr>
        <w:t>l’utilisation</w:t>
      </w:r>
      <w:r w:rsidR="008E5A09" w:rsidRPr="00CF5797">
        <w:rPr>
          <w:lang w:val="fr-CA"/>
        </w:rPr>
        <w:t xml:space="preserve"> de substances réglementées au pays</w:t>
      </w:r>
      <w:r w:rsidR="00825F3F" w:rsidRPr="00CF5797">
        <w:rPr>
          <w:lang w:val="fr-CA"/>
        </w:rPr>
        <w:t>.</w:t>
      </w:r>
    </w:p>
    <w:p w14:paraId="65FFFCFC" w14:textId="6C397156" w:rsidR="00825F3F" w:rsidRPr="00CF5797" w:rsidRDefault="00271C9F" w:rsidP="00825F3F">
      <w:pPr>
        <w:pStyle w:val="Heading1"/>
        <w:rPr>
          <w:rFonts w:eastAsiaTheme="minorEastAsia"/>
          <w:lang w:val="fr-CA" w:eastAsia="en-GB"/>
        </w:rPr>
      </w:pPr>
      <w:r w:rsidRPr="00CF5797">
        <w:rPr>
          <w:lang w:val="fr-CA"/>
        </w:rPr>
        <w:t>En réponse aux questions du Secrétariat sur les nouveaux développements dans la mise en œuvre du PGEH pour la République populaire démocratique de Corée, l’ONUDI a déclaré qu’il n’y avait rien de nouveau à communiquer à la 85</w:t>
      </w:r>
      <w:r w:rsidRPr="00CF5797">
        <w:rPr>
          <w:vertAlign w:val="superscript"/>
          <w:lang w:val="fr-CA"/>
        </w:rPr>
        <w:t>e</w:t>
      </w:r>
      <w:r w:rsidRPr="00CF5797">
        <w:rPr>
          <w:lang w:val="fr-CA"/>
        </w:rPr>
        <w:t xml:space="preserve"> </w:t>
      </w:r>
      <w:r w:rsidR="00206C58" w:rsidRPr="00CF5797">
        <w:rPr>
          <w:lang w:val="fr-CA"/>
        </w:rPr>
        <w:t>ré</w:t>
      </w:r>
      <w:r w:rsidRPr="00CF5797">
        <w:rPr>
          <w:lang w:val="fr-CA"/>
        </w:rPr>
        <w:t>union et que la mise en œuvre du PGEH ne pourrait se faire par l’ON</w:t>
      </w:r>
      <w:r w:rsidR="00206C58" w:rsidRPr="00CF5797">
        <w:rPr>
          <w:lang w:val="fr-CA"/>
        </w:rPr>
        <w:t>U</w:t>
      </w:r>
      <w:r w:rsidRPr="00CF5797">
        <w:rPr>
          <w:lang w:val="fr-CA"/>
        </w:rPr>
        <w:t xml:space="preserve">DI que si les sanctions du Conseil de sécurité des Nations Unies étaient levées ou qu’une dérogation était accordée. </w:t>
      </w:r>
      <w:r w:rsidR="00206C58" w:rsidRPr="00CF5797">
        <w:rPr>
          <w:lang w:val="fr-CA"/>
        </w:rPr>
        <w:t xml:space="preserve">L’ONUDI n’est toutefois en position </w:t>
      </w:r>
      <w:r w:rsidR="00B27345">
        <w:rPr>
          <w:lang w:val="fr-CA"/>
        </w:rPr>
        <w:t>d’</w:t>
      </w:r>
      <w:r w:rsidR="00206C58" w:rsidRPr="00CF5797">
        <w:rPr>
          <w:lang w:val="fr-CA"/>
        </w:rPr>
        <w:t>obtenir une telle dérogation. Par conséquent, l’ONUDI a réitéré qu’elle n’était pas en position de poursuivre la mise en œuvre du PGEH pour la République populaire démocratique de Corée et demande l’orientation du Comité exécutif</w:t>
      </w:r>
      <w:r w:rsidR="00825F3F" w:rsidRPr="00CF5797">
        <w:rPr>
          <w:lang w:val="fr-CA"/>
        </w:rPr>
        <w:t>.</w:t>
      </w:r>
    </w:p>
    <w:p w14:paraId="3E65AEA6" w14:textId="77777777" w:rsidR="008376CB" w:rsidRDefault="008376CB">
      <w:pPr>
        <w:jc w:val="left"/>
        <w:rPr>
          <w:b/>
          <w:color w:val="000000" w:themeColor="text1"/>
          <w:lang w:val="fr-CA"/>
        </w:rPr>
      </w:pPr>
      <w:r>
        <w:rPr>
          <w:b/>
          <w:color w:val="000000" w:themeColor="text1"/>
          <w:lang w:val="fr-CA"/>
        </w:rPr>
        <w:br w:type="page"/>
      </w:r>
    </w:p>
    <w:p w14:paraId="2899432A" w14:textId="62CBC587" w:rsidR="00825F3F" w:rsidRPr="00CF5797" w:rsidRDefault="00206C58" w:rsidP="00825F3F">
      <w:pPr>
        <w:spacing w:after="240"/>
        <w:outlineLvl w:val="0"/>
        <w:rPr>
          <w:rFonts w:eastAsiaTheme="minorEastAsia"/>
          <w:lang w:val="fr-CA"/>
        </w:rPr>
      </w:pPr>
      <w:r w:rsidRPr="00CF5797">
        <w:rPr>
          <w:b/>
          <w:color w:val="000000" w:themeColor="text1"/>
          <w:lang w:val="fr-CA"/>
        </w:rPr>
        <w:lastRenderedPageBreak/>
        <w:t>Recomma</w:t>
      </w:r>
      <w:r w:rsidR="00825F3F" w:rsidRPr="00CF5797">
        <w:rPr>
          <w:b/>
          <w:color w:val="000000" w:themeColor="text1"/>
          <w:lang w:val="fr-CA"/>
        </w:rPr>
        <w:t>ndation</w:t>
      </w:r>
    </w:p>
    <w:p w14:paraId="1AB26027" w14:textId="7A4E27B6" w:rsidR="00825F3F" w:rsidRPr="00CF5797" w:rsidRDefault="00206C58" w:rsidP="00825F3F">
      <w:pPr>
        <w:numPr>
          <w:ilvl w:val="0"/>
          <w:numId w:val="1"/>
        </w:numPr>
        <w:spacing w:after="240"/>
        <w:outlineLvl w:val="0"/>
        <w:rPr>
          <w:color w:val="000000" w:themeColor="text1"/>
          <w:lang w:val="fr-CA"/>
        </w:rPr>
      </w:pPr>
      <w:r w:rsidRPr="00CF5797">
        <w:rPr>
          <w:color w:val="000000" w:themeColor="text1"/>
          <w:lang w:val="fr-CA"/>
        </w:rPr>
        <w:t>Le Comité exécutif pourrait souhaiter examiner les informations sur la mise en œuvre des activités de la phase I du plan de gestion de l'élimination des HCFC (PGEH) pour la République populaire démocratique de Corée présenté</w:t>
      </w:r>
      <w:r w:rsidR="00CF5797" w:rsidRPr="00CF5797">
        <w:rPr>
          <w:color w:val="000000" w:themeColor="text1"/>
          <w:lang w:val="fr-CA"/>
        </w:rPr>
        <w:t>es p</w:t>
      </w:r>
      <w:r w:rsidRPr="00CF5797">
        <w:rPr>
          <w:color w:val="000000" w:themeColor="text1"/>
          <w:lang w:val="fr-CA"/>
        </w:rPr>
        <w:t xml:space="preserve">ar l’ONUDI, en tenant </w:t>
      </w:r>
      <w:r w:rsidR="00B27345">
        <w:rPr>
          <w:color w:val="000000" w:themeColor="text1"/>
          <w:lang w:val="fr-CA"/>
        </w:rPr>
        <w:t xml:space="preserve">dûment </w:t>
      </w:r>
      <w:r w:rsidRPr="00CF5797">
        <w:rPr>
          <w:color w:val="000000" w:themeColor="text1"/>
          <w:lang w:val="fr-CA"/>
        </w:rPr>
        <w:t>compte de la décision XXXII/6 de la Réunion des Parties.</w:t>
      </w:r>
    </w:p>
    <w:p w14:paraId="481F6CFE" w14:textId="77777777" w:rsidR="00825F3F" w:rsidRPr="00CF5797" w:rsidRDefault="00825F3F" w:rsidP="00825F3F">
      <w:pPr>
        <w:pStyle w:val="StyleHeader4Para4Left0Firstline0"/>
        <w:numPr>
          <w:ilvl w:val="0"/>
          <w:numId w:val="0"/>
        </w:numPr>
        <w:jc w:val="left"/>
        <w:rPr>
          <w:b/>
          <w:sz w:val="22"/>
          <w:highlight w:val="yellow"/>
          <w:lang w:val="fr-CA"/>
        </w:rPr>
      </w:pPr>
    </w:p>
    <w:p w14:paraId="4D6C63FF" w14:textId="77777777" w:rsidR="0037190F" w:rsidRDefault="0037190F" w:rsidP="00825F3F">
      <w:pPr>
        <w:rPr>
          <w:lang w:val="fr-CA"/>
        </w:rPr>
        <w:sectPr w:rsidR="0037190F" w:rsidSect="00014E87">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864" w:left="1440" w:header="720" w:footer="475" w:gutter="0"/>
          <w:cols w:space="720"/>
          <w:titlePg/>
        </w:sectPr>
      </w:pPr>
    </w:p>
    <w:p w14:paraId="3050FF01" w14:textId="35B313CA" w:rsidR="00825F3F" w:rsidRPr="0049199D" w:rsidRDefault="0037190F" w:rsidP="0037190F">
      <w:pPr>
        <w:jc w:val="center"/>
        <w:rPr>
          <w:b/>
          <w:lang w:val="en-US"/>
        </w:rPr>
      </w:pPr>
      <w:proofErr w:type="spellStart"/>
      <w:r w:rsidRPr="0049199D">
        <w:rPr>
          <w:b/>
          <w:lang w:val="en-US"/>
        </w:rPr>
        <w:lastRenderedPageBreak/>
        <w:t>Annexe</w:t>
      </w:r>
      <w:proofErr w:type="spellEnd"/>
      <w:r w:rsidRPr="0049199D">
        <w:rPr>
          <w:b/>
          <w:lang w:val="en-US"/>
        </w:rPr>
        <w:t xml:space="preserve"> I</w:t>
      </w:r>
    </w:p>
    <w:p w14:paraId="320B0686" w14:textId="743F18CA" w:rsidR="00BF17C8" w:rsidRPr="0049199D" w:rsidRDefault="00BF17C8" w:rsidP="0037190F">
      <w:pPr>
        <w:jc w:val="center"/>
        <w:rPr>
          <w:lang w:val="en-US"/>
        </w:rPr>
      </w:pPr>
    </w:p>
    <w:p w14:paraId="2D1CE7A6" w14:textId="77777777" w:rsidR="00F457F9" w:rsidRDefault="00F457F9" w:rsidP="00F457F9">
      <w:pPr>
        <w:pStyle w:val="StyleHeader4Para4Left0Firstline0"/>
        <w:numPr>
          <w:ilvl w:val="0"/>
          <w:numId w:val="0"/>
        </w:numPr>
        <w:jc w:val="center"/>
        <w:rPr>
          <w:b/>
          <w:caps/>
          <w:sz w:val="22"/>
          <w:lang w:val="en-CA"/>
        </w:rPr>
      </w:pPr>
      <w:r w:rsidRPr="00FD1CAA">
        <w:rPr>
          <w:b/>
          <w:caps/>
          <w:sz w:val="22"/>
          <w:lang w:val="en-CA"/>
        </w:rPr>
        <w:t>PROJECTS THAT ARE CLASSIFIED AS “SOME PROGRESS” and are recommended for continued monitoring</w:t>
      </w:r>
    </w:p>
    <w:tbl>
      <w:tblPr>
        <w:tblpPr w:leftFromText="180" w:rightFromText="180" w:vertAnchor="text" w:tblpX="-275"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074"/>
        <w:gridCol w:w="4677"/>
        <w:gridCol w:w="961"/>
      </w:tblGrid>
      <w:tr w:rsidR="00F457F9" w:rsidRPr="00176B12" w14:paraId="3F0996BC" w14:textId="77777777" w:rsidTr="00F457F9">
        <w:trPr>
          <w:trHeight w:val="530"/>
          <w:tblHeader/>
        </w:trPr>
        <w:tc>
          <w:tcPr>
            <w:tcW w:w="1979" w:type="dxa"/>
            <w:shd w:val="clear" w:color="auto" w:fill="auto"/>
            <w:tcMar>
              <w:left w:w="58" w:type="dxa"/>
              <w:right w:w="58" w:type="dxa"/>
            </w:tcMar>
            <w:vAlign w:val="center"/>
            <w:hideMark/>
          </w:tcPr>
          <w:p w14:paraId="48EF9C60" w14:textId="77777777" w:rsidR="00F457F9" w:rsidRPr="00176B12" w:rsidRDefault="00F457F9" w:rsidP="00F457F9">
            <w:pPr>
              <w:jc w:val="left"/>
              <w:rPr>
                <w:b/>
                <w:bCs/>
                <w:color w:val="000000"/>
                <w:sz w:val="20"/>
                <w:szCs w:val="20"/>
                <w:lang w:val="en-US"/>
              </w:rPr>
            </w:pPr>
            <w:r w:rsidRPr="00176B12">
              <w:rPr>
                <w:b/>
                <w:bCs/>
                <w:color w:val="000000"/>
                <w:sz w:val="20"/>
                <w:szCs w:val="20"/>
                <w:lang w:val="en-CA" w:eastAsia="en-CA"/>
              </w:rPr>
              <w:t>Country</w:t>
            </w:r>
          </w:p>
        </w:tc>
        <w:tc>
          <w:tcPr>
            <w:tcW w:w="2074" w:type="dxa"/>
            <w:shd w:val="clear" w:color="auto" w:fill="auto"/>
            <w:tcMar>
              <w:left w:w="58" w:type="dxa"/>
              <w:right w:w="58" w:type="dxa"/>
            </w:tcMar>
            <w:vAlign w:val="center"/>
            <w:hideMark/>
          </w:tcPr>
          <w:p w14:paraId="2B4EFD3F" w14:textId="77777777" w:rsidR="00F457F9" w:rsidRPr="00176B12" w:rsidRDefault="00F457F9" w:rsidP="00F457F9">
            <w:pPr>
              <w:jc w:val="left"/>
              <w:rPr>
                <w:b/>
                <w:bCs/>
                <w:color w:val="000000"/>
                <w:sz w:val="20"/>
                <w:szCs w:val="20"/>
                <w:lang w:val="en-US"/>
              </w:rPr>
            </w:pPr>
            <w:r w:rsidRPr="00176B12">
              <w:rPr>
                <w:b/>
                <w:bCs/>
                <w:color w:val="000000"/>
                <w:sz w:val="20"/>
                <w:szCs w:val="20"/>
                <w:lang w:val="en-CA" w:eastAsia="en-CA"/>
              </w:rPr>
              <w:t>Code</w:t>
            </w:r>
          </w:p>
        </w:tc>
        <w:tc>
          <w:tcPr>
            <w:tcW w:w="4677" w:type="dxa"/>
            <w:shd w:val="clear" w:color="auto" w:fill="auto"/>
            <w:tcMar>
              <w:left w:w="58" w:type="dxa"/>
              <w:right w:w="58" w:type="dxa"/>
            </w:tcMar>
            <w:vAlign w:val="center"/>
            <w:hideMark/>
          </w:tcPr>
          <w:p w14:paraId="105622B8" w14:textId="77777777" w:rsidR="00F457F9" w:rsidRPr="00176B12" w:rsidRDefault="00F457F9" w:rsidP="00F457F9">
            <w:pPr>
              <w:jc w:val="center"/>
              <w:rPr>
                <w:b/>
                <w:bCs/>
                <w:color w:val="000000"/>
                <w:sz w:val="20"/>
                <w:szCs w:val="20"/>
                <w:lang w:val="en-US"/>
              </w:rPr>
            </w:pPr>
            <w:r w:rsidRPr="00176B12">
              <w:rPr>
                <w:b/>
                <w:bCs/>
                <w:color w:val="000000"/>
                <w:sz w:val="20"/>
                <w:szCs w:val="20"/>
                <w:lang w:val="en-CA" w:eastAsia="en-CA"/>
              </w:rPr>
              <w:t>Project title</w:t>
            </w:r>
          </w:p>
        </w:tc>
        <w:tc>
          <w:tcPr>
            <w:tcW w:w="961" w:type="dxa"/>
            <w:shd w:val="clear" w:color="auto" w:fill="auto"/>
            <w:tcMar>
              <w:left w:w="58" w:type="dxa"/>
              <w:right w:w="58" w:type="dxa"/>
            </w:tcMar>
            <w:vAlign w:val="center"/>
            <w:hideMark/>
          </w:tcPr>
          <w:p w14:paraId="537EB599" w14:textId="77777777" w:rsidR="00F457F9" w:rsidRPr="00176B12" w:rsidRDefault="00F457F9" w:rsidP="00F457F9">
            <w:pPr>
              <w:jc w:val="center"/>
              <w:rPr>
                <w:b/>
                <w:bCs/>
                <w:color w:val="000000"/>
                <w:sz w:val="20"/>
                <w:szCs w:val="20"/>
                <w:lang w:val="en-US"/>
              </w:rPr>
            </w:pPr>
            <w:r w:rsidRPr="00176B12">
              <w:rPr>
                <w:b/>
                <w:bCs/>
                <w:color w:val="000000"/>
                <w:sz w:val="20"/>
                <w:szCs w:val="20"/>
                <w:lang w:val="en-CA" w:eastAsia="en-CA"/>
              </w:rPr>
              <w:t>Agency</w:t>
            </w:r>
          </w:p>
        </w:tc>
      </w:tr>
      <w:tr w:rsidR="00F457F9" w:rsidRPr="00176B12" w14:paraId="63127C44" w14:textId="77777777" w:rsidTr="00F457F9">
        <w:trPr>
          <w:trHeight w:val="323"/>
        </w:trPr>
        <w:tc>
          <w:tcPr>
            <w:tcW w:w="1979" w:type="dxa"/>
            <w:shd w:val="clear" w:color="auto" w:fill="auto"/>
            <w:tcMar>
              <w:left w:w="58" w:type="dxa"/>
              <w:right w:w="58" w:type="dxa"/>
            </w:tcMar>
            <w:vAlign w:val="center"/>
            <w:hideMark/>
          </w:tcPr>
          <w:p w14:paraId="6DE8703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092566C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ALG/PHA/66/INV/76</w:t>
            </w:r>
          </w:p>
        </w:tc>
        <w:tc>
          <w:tcPr>
            <w:tcW w:w="4677" w:type="dxa"/>
            <w:shd w:val="clear" w:color="auto" w:fill="auto"/>
            <w:tcMar>
              <w:left w:w="58" w:type="dxa"/>
              <w:right w:w="58" w:type="dxa"/>
            </w:tcMar>
            <w:hideMark/>
          </w:tcPr>
          <w:p w14:paraId="7AE51C6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first tranche) (conversion from HCFC-22 in the manufacture of room air conditioners at Condor)</w:t>
            </w:r>
          </w:p>
        </w:tc>
        <w:tc>
          <w:tcPr>
            <w:tcW w:w="961" w:type="dxa"/>
            <w:shd w:val="clear" w:color="auto" w:fill="auto"/>
            <w:tcMar>
              <w:left w:w="58" w:type="dxa"/>
              <w:right w:w="58" w:type="dxa"/>
            </w:tcMar>
            <w:vAlign w:val="center"/>
            <w:hideMark/>
          </w:tcPr>
          <w:p w14:paraId="4280D259"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4846B11F" w14:textId="77777777" w:rsidTr="00F457F9">
        <w:trPr>
          <w:trHeight w:val="890"/>
        </w:trPr>
        <w:tc>
          <w:tcPr>
            <w:tcW w:w="1979" w:type="dxa"/>
            <w:shd w:val="clear" w:color="auto" w:fill="auto"/>
            <w:tcMar>
              <w:left w:w="58" w:type="dxa"/>
              <w:right w:w="58" w:type="dxa"/>
            </w:tcMar>
            <w:vAlign w:val="center"/>
            <w:hideMark/>
          </w:tcPr>
          <w:p w14:paraId="57363809"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Algeria</w:t>
            </w:r>
          </w:p>
        </w:tc>
        <w:tc>
          <w:tcPr>
            <w:tcW w:w="2074" w:type="dxa"/>
            <w:shd w:val="clear" w:color="auto" w:fill="auto"/>
            <w:tcMar>
              <w:left w:w="58" w:type="dxa"/>
              <w:right w:w="58" w:type="dxa"/>
            </w:tcMar>
            <w:vAlign w:val="center"/>
            <w:hideMark/>
          </w:tcPr>
          <w:p w14:paraId="56108A5C"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ALG/PHA/66/INV/77</w:t>
            </w:r>
          </w:p>
        </w:tc>
        <w:tc>
          <w:tcPr>
            <w:tcW w:w="4677" w:type="dxa"/>
            <w:shd w:val="clear" w:color="auto" w:fill="auto"/>
            <w:tcMar>
              <w:left w:w="58" w:type="dxa"/>
              <w:right w:w="58" w:type="dxa"/>
            </w:tcMar>
            <w:hideMark/>
          </w:tcPr>
          <w:p w14:paraId="5398C42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first tranche) (activities in the refrigeration servicing sector including phase-out of HCFC-141b used for flushing, and project monitoring)</w:t>
            </w:r>
          </w:p>
        </w:tc>
        <w:tc>
          <w:tcPr>
            <w:tcW w:w="961" w:type="dxa"/>
            <w:shd w:val="clear" w:color="auto" w:fill="auto"/>
            <w:tcMar>
              <w:left w:w="58" w:type="dxa"/>
              <w:right w:w="58" w:type="dxa"/>
            </w:tcMar>
            <w:vAlign w:val="center"/>
            <w:hideMark/>
          </w:tcPr>
          <w:p w14:paraId="26A94EF4"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50ECE70E" w14:textId="77777777" w:rsidTr="00F457F9">
        <w:trPr>
          <w:trHeight w:val="134"/>
        </w:trPr>
        <w:tc>
          <w:tcPr>
            <w:tcW w:w="1979" w:type="dxa"/>
            <w:shd w:val="clear" w:color="auto" w:fill="auto"/>
            <w:tcMar>
              <w:left w:w="58" w:type="dxa"/>
              <w:right w:w="58" w:type="dxa"/>
            </w:tcMar>
            <w:vAlign w:val="center"/>
            <w:hideMark/>
          </w:tcPr>
          <w:p w14:paraId="5B05BAD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Bahamas (the)</w:t>
            </w:r>
          </w:p>
        </w:tc>
        <w:tc>
          <w:tcPr>
            <w:tcW w:w="2074" w:type="dxa"/>
            <w:shd w:val="clear" w:color="auto" w:fill="auto"/>
            <w:tcMar>
              <w:left w:w="58" w:type="dxa"/>
              <w:right w:w="58" w:type="dxa"/>
            </w:tcMar>
            <w:vAlign w:val="center"/>
            <w:hideMark/>
          </w:tcPr>
          <w:p w14:paraId="05DEB0D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BHA/PHA/80/TAS/26</w:t>
            </w:r>
          </w:p>
        </w:tc>
        <w:tc>
          <w:tcPr>
            <w:tcW w:w="4677" w:type="dxa"/>
            <w:shd w:val="clear" w:color="auto" w:fill="auto"/>
            <w:tcMar>
              <w:left w:w="58" w:type="dxa"/>
              <w:right w:w="58" w:type="dxa"/>
            </w:tcMar>
            <w:hideMark/>
          </w:tcPr>
          <w:p w14:paraId="4B33DC6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1F9C7979"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UNEP</w:t>
            </w:r>
          </w:p>
        </w:tc>
      </w:tr>
      <w:tr w:rsidR="00F457F9" w:rsidRPr="00176B12" w14:paraId="7C4C77C4" w14:textId="77777777" w:rsidTr="00F457F9">
        <w:trPr>
          <w:trHeight w:val="197"/>
        </w:trPr>
        <w:tc>
          <w:tcPr>
            <w:tcW w:w="1979" w:type="dxa"/>
            <w:shd w:val="clear" w:color="auto" w:fill="auto"/>
            <w:tcMar>
              <w:left w:w="58" w:type="dxa"/>
              <w:right w:w="58" w:type="dxa"/>
            </w:tcMar>
            <w:vAlign w:val="center"/>
            <w:hideMark/>
          </w:tcPr>
          <w:p w14:paraId="2B68E49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Cameroon </w:t>
            </w:r>
          </w:p>
        </w:tc>
        <w:tc>
          <w:tcPr>
            <w:tcW w:w="2074" w:type="dxa"/>
            <w:shd w:val="clear" w:color="auto" w:fill="auto"/>
            <w:tcMar>
              <w:left w:w="58" w:type="dxa"/>
              <w:right w:w="58" w:type="dxa"/>
            </w:tcMar>
            <w:vAlign w:val="center"/>
            <w:hideMark/>
          </w:tcPr>
          <w:p w14:paraId="7216734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CMR/PHA/82/INV/45</w:t>
            </w:r>
          </w:p>
        </w:tc>
        <w:tc>
          <w:tcPr>
            <w:tcW w:w="4677" w:type="dxa"/>
            <w:shd w:val="clear" w:color="auto" w:fill="auto"/>
            <w:tcMar>
              <w:left w:w="58" w:type="dxa"/>
              <w:right w:w="58" w:type="dxa"/>
            </w:tcMar>
            <w:hideMark/>
          </w:tcPr>
          <w:p w14:paraId="62509539"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w:t>
            </w:r>
          </w:p>
        </w:tc>
        <w:tc>
          <w:tcPr>
            <w:tcW w:w="961" w:type="dxa"/>
            <w:shd w:val="clear" w:color="auto" w:fill="auto"/>
            <w:tcMar>
              <w:left w:w="58" w:type="dxa"/>
              <w:right w:w="58" w:type="dxa"/>
            </w:tcMar>
            <w:vAlign w:val="center"/>
            <w:hideMark/>
          </w:tcPr>
          <w:p w14:paraId="48799B6D"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54E65039" w14:textId="77777777" w:rsidTr="00F457F9">
        <w:trPr>
          <w:trHeight w:val="458"/>
        </w:trPr>
        <w:tc>
          <w:tcPr>
            <w:tcW w:w="1979" w:type="dxa"/>
            <w:shd w:val="clear" w:color="auto" w:fill="auto"/>
            <w:tcMar>
              <w:left w:w="58" w:type="dxa"/>
              <w:right w:w="58" w:type="dxa"/>
            </w:tcMar>
            <w:vAlign w:val="center"/>
            <w:hideMark/>
          </w:tcPr>
          <w:p w14:paraId="1C9B8BD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1651B29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CPR/PHA/64/INV/513</w:t>
            </w:r>
          </w:p>
        </w:tc>
        <w:tc>
          <w:tcPr>
            <w:tcW w:w="4677" w:type="dxa"/>
            <w:shd w:val="clear" w:color="auto" w:fill="auto"/>
            <w:tcMar>
              <w:left w:w="58" w:type="dxa"/>
              <w:right w:w="58" w:type="dxa"/>
            </w:tcMar>
            <w:hideMark/>
          </w:tcPr>
          <w:p w14:paraId="573E319C"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(room air-conditioner manufacturing sector plan) (stage I, first tranche)</w:t>
            </w:r>
          </w:p>
        </w:tc>
        <w:tc>
          <w:tcPr>
            <w:tcW w:w="961" w:type="dxa"/>
            <w:shd w:val="clear" w:color="auto" w:fill="auto"/>
            <w:tcMar>
              <w:left w:w="58" w:type="dxa"/>
              <w:right w:w="58" w:type="dxa"/>
            </w:tcMar>
            <w:vAlign w:val="center"/>
            <w:hideMark/>
          </w:tcPr>
          <w:p w14:paraId="08022230"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0E0D4AE6" w14:textId="77777777" w:rsidTr="00F457F9">
        <w:trPr>
          <w:trHeight w:val="287"/>
        </w:trPr>
        <w:tc>
          <w:tcPr>
            <w:tcW w:w="1979" w:type="dxa"/>
            <w:shd w:val="clear" w:color="auto" w:fill="auto"/>
            <w:tcMar>
              <w:left w:w="58" w:type="dxa"/>
              <w:right w:w="58" w:type="dxa"/>
            </w:tcMar>
            <w:vAlign w:val="center"/>
            <w:hideMark/>
          </w:tcPr>
          <w:p w14:paraId="22A06AC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7F2E415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CPR/PHA/68/INV/524</w:t>
            </w:r>
          </w:p>
        </w:tc>
        <w:tc>
          <w:tcPr>
            <w:tcW w:w="4677" w:type="dxa"/>
            <w:shd w:val="clear" w:color="auto" w:fill="auto"/>
            <w:tcMar>
              <w:left w:w="58" w:type="dxa"/>
              <w:right w:w="58" w:type="dxa"/>
            </w:tcMar>
            <w:hideMark/>
          </w:tcPr>
          <w:p w14:paraId="2C8DA50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second tranche) (room air conditioner manufacturing sector plan)</w:t>
            </w:r>
          </w:p>
        </w:tc>
        <w:tc>
          <w:tcPr>
            <w:tcW w:w="961" w:type="dxa"/>
            <w:shd w:val="clear" w:color="auto" w:fill="auto"/>
            <w:tcMar>
              <w:left w:w="58" w:type="dxa"/>
              <w:right w:w="58" w:type="dxa"/>
            </w:tcMar>
            <w:vAlign w:val="center"/>
            <w:hideMark/>
          </w:tcPr>
          <w:p w14:paraId="5100280D"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38254763" w14:textId="77777777" w:rsidTr="00F457F9">
        <w:trPr>
          <w:trHeight w:val="404"/>
        </w:trPr>
        <w:tc>
          <w:tcPr>
            <w:tcW w:w="1979" w:type="dxa"/>
            <w:shd w:val="clear" w:color="auto" w:fill="auto"/>
            <w:tcMar>
              <w:left w:w="58" w:type="dxa"/>
              <w:right w:w="58" w:type="dxa"/>
            </w:tcMar>
            <w:vAlign w:val="center"/>
            <w:hideMark/>
          </w:tcPr>
          <w:p w14:paraId="2EFF1AA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0BAEE60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CPR/PHA/71/INV/536</w:t>
            </w:r>
          </w:p>
        </w:tc>
        <w:tc>
          <w:tcPr>
            <w:tcW w:w="4677" w:type="dxa"/>
            <w:shd w:val="clear" w:color="auto" w:fill="auto"/>
            <w:tcMar>
              <w:left w:w="58" w:type="dxa"/>
              <w:right w:w="58" w:type="dxa"/>
            </w:tcMar>
            <w:hideMark/>
          </w:tcPr>
          <w:p w14:paraId="4FBBF841"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third tranche) (room air conditioner manufacturing sector plan)</w:t>
            </w:r>
          </w:p>
        </w:tc>
        <w:tc>
          <w:tcPr>
            <w:tcW w:w="961" w:type="dxa"/>
            <w:shd w:val="clear" w:color="auto" w:fill="auto"/>
            <w:tcMar>
              <w:left w:w="58" w:type="dxa"/>
              <w:right w:w="58" w:type="dxa"/>
            </w:tcMar>
            <w:vAlign w:val="center"/>
            <w:hideMark/>
          </w:tcPr>
          <w:p w14:paraId="792FC1A8"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32A0A77A" w14:textId="77777777" w:rsidTr="00F457F9">
        <w:trPr>
          <w:trHeight w:val="332"/>
        </w:trPr>
        <w:tc>
          <w:tcPr>
            <w:tcW w:w="1979" w:type="dxa"/>
            <w:shd w:val="clear" w:color="auto" w:fill="auto"/>
            <w:tcMar>
              <w:left w:w="58" w:type="dxa"/>
              <w:right w:w="58" w:type="dxa"/>
            </w:tcMar>
            <w:vAlign w:val="center"/>
            <w:hideMark/>
          </w:tcPr>
          <w:p w14:paraId="0930767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233D4A0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CPR/PHA/73/INV/548</w:t>
            </w:r>
          </w:p>
        </w:tc>
        <w:tc>
          <w:tcPr>
            <w:tcW w:w="4677" w:type="dxa"/>
            <w:shd w:val="clear" w:color="auto" w:fill="auto"/>
            <w:tcMar>
              <w:left w:w="58" w:type="dxa"/>
              <w:right w:w="58" w:type="dxa"/>
            </w:tcMar>
            <w:hideMark/>
          </w:tcPr>
          <w:p w14:paraId="014D10F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fourth tranche) (room air conditioner manufacturing sector plan)</w:t>
            </w:r>
          </w:p>
        </w:tc>
        <w:tc>
          <w:tcPr>
            <w:tcW w:w="961" w:type="dxa"/>
            <w:shd w:val="clear" w:color="auto" w:fill="auto"/>
            <w:tcMar>
              <w:left w:w="58" w:type="dxa"/>
              <w:right w:w="58" w:type="dxa"/>
            </w:tcMar>
            <w:vAlign w:val="center"/>
            <w:hideMark/>
          </w:tcPr>
          <w:p w14:paraId="049065DE"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5ACE4346" w14:textId="77777777" w:rsidTr="00F457F9">
        <w:trPr>
          <w:trHeight w:val="440"/>
        </w:trPr>
        <w:tc>
          <w:tcPr>
            <w:tcW w:w="1979" w:type="dxa"/>
            <w:shd w:val="clear" w:color="auto" w:fill="auto"/>
            <w:tcMar>
              <w:left w:w="58" w:type="dxa"/>
              <w:right w:w="58" w:type="dxa"/>
            </w:tcMar>
            <w:vAlign w:val="center"/>
            <w:hideMark/>
          </w:tcPr>
          <w:p w14:paraId="5845D0A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China </w:t>
            </w:r>
          </w:p>
        </w:tc>
        <w:tc>
          <w:tcPr>
            <w:tcW w:w="2074" w:type="dxa"/>
            <w:shd w:val="clear" w:color="auto" w:fill="auto"/>
            <w:tcMar>
              <w:left w:w="58" w:type="dxa"/>
              <w:right w:w="58" w:type="dxa"/>
            </w:tcMar>
            <w:vAlign w:val="center"/>
            <w:hideMark/>
          </w:tcPr>
          <w:p w14:paraId="0961EB8D"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CPR/PHA/75/INV/564</w:t>
            </w:r>
          </w:p>
        </w:tc>
        <w:tc>
          <w:tcPr>
            <w:tcW w:w="4677" w:type="dxa"/>
            <w:shd w:val="clear" w:color="auto" w:fill="auto"/>
            <w:tcMar>
              <w:left w:w="58" w:type="dxa"/>
              <w:right w:w="58" w:type="dxa"/>
            </w:tcMar>
            <w:hideMark/>
          </w:tcPr>
          <w:p w14:paraId="0C96326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fifth tranche) (room air conditioner manufacturing sector plan)</w:t>
            </w:r>
          </w:p>
        </w:tc>
        <w:tc>
          <w:tcPr>
            <w:tcW w:w="961" w:type="dxa"/>
            <w:shd w:val="clear" w:color="auto" w:fill="auto"/>
            <w:tcMar>
              <w:left w:w="58" w:type="dxa"/>
              <w:right w:w="58" w:type="dxa"/>
            </w:tcMar>
            <w:vAlign w:val="center"/>
            <w:hideMark/>
          </w:tcPr>
          <w:p w14:paraId="79194DE5"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44AF0C44" w14:textId="77777777" w:rsidTr="00F457F9">
        <w:trPr>
          <w:trHeight w:val="287"/>
        </w:trPr>
        <w:tc>
          <w:tcPr>
            <w:tcW w:w="1979" w:type="dxa"/>
            <w:shd w:val="clear" w:color="auto" w:fill="auto"/>
            <w:tcMar>
              <w:left w:w="58" w:type="dxa"/>
              <w:right w:w="58" w:type="dxa"/>
            </w:tcMar>
            <w:vAlign w:val="center"/>
            <w:hideMark/>
          </w:tcPr>
          <w:p w14:paraId="35F7C2A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7CF33B8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DMI/PHA/62/TAS/19</w:t>
            </w:r>
          </w:p>
        </w:tc>
        <w:tc>
          <w:tcPr>
            <w:tcW w:w="4677" w:type="dxa"/>
            <w:shd w:val="clear" w:color="auto" w:fill="auto"/>
            <w:tcMar>
              <w:left w:w="58" w:type="dxa"/>
              <w:right w:w="58" w:type="dxa"/>
            </w:tcMar>
            <w:hideMark/>
          </w:tcPr>
          <w:p w14:paraId="1A40D450"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441DC22D"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UNEP</w:t>
            </w:r>
          </w:p>
        </w:tc>
      </w:tr>
      <w:tr w:rsidR="00F457F9" w:rsidRPr="00176B12" w14:paraId="39DF45B4" w14:textId="77777777" w:rsidTr="00F457F9">
        <w:trPr>
          <w:trHeight w:val="80"/>
        </w:trPr>
        <w:tc>
          <w:tcPr>
            <w:tcW w:w="1979" w:type="dxa"/>
            <w:shd w:val="clear" w:color="auto" w:fill="auto"/>
            <w:tcMar>
              <w:left w:w="58" w:type="dxa"/>
              <w:right w:w="58" w:type="dxa"/>
            </w:tcMar>
            <w:vAlign w:val="center"/>
            <w:hideMark/>
          </w:tcPr>
          <w:p w14:paraId="0A76775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Dominica </w:t>
            </w:r>
          </w:p>
        </w:tc>
        <w:tc>
          <w:tcPr>
            <w:tcW w:w="2074" w:type="dxa"/>
            <w:shd w:val="clear" w:color="auto" w:fill="auto"/>
            <w:tcMar>
              <w:left w:w="58" w:type="dxa"/>
              <w:right w:w="58" w:type="dxa"/>
            </w:tcMar>
            <w:vAlign w:val="center"/>
            <w:hideMark/>
          </w:tcPr>
          <w:p w14:paraId="7DCC973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DMI/SEV/80/TAS/01+</w:t>
            </w:r>
          </w:p>
        </w:tc>
        <w:tc>
          <w:tcPr>
            <w:tcW w:w="4677" w:type="dxa"/>
            <w:shd w:val="clear" w:color="auto" w:fill="auto"/>
            <w:tcMar>
              <w:left w:w="58" w:type="dxa"/>
              <w:right w:w="58" w:type="dxa"/>
            </w:tcMar>
            <w:hideMark/>
          </w:tcPr>
          <w:p w14:paraId="2CD15685"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Enabling activities for HFC phase down</w:t>
            </w:r>
          </w:p>
        </w:tc>
        <w:tc>
          <w:tcPr>
            <w:tcW w:w="961" w:type="dxa"/>
            <w:shd w:val="clear" w:color="auto" w:fill="auto"/>
            <w:tcMar>
              <w:left w:w="58" w:type="dxa"/>
              <w:right w:w="58" w:type="dxa"/>
            </w:tcMar>
            <w:vAlign w:val="center"/>
            <w:hideMark/>
          </w:tcPr>
          <w:p w14:paraId="75F101CE"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UNEP</w:t>
            </w:r>
          </w:p>
        </w:tc>
      </w:tr>
      <w:tr w:rsidR="00F457F9" w:rsidRPr="00176B12" w14:paraId="35719932" w14:textId="77777777" w:rsidTr="00F457F9">
        <w:trPr>
          <w:trHeight w:val="116"/>
        </w:trPr>
        <w:tc>
          <w:tcPr>
            <w:tcW w:w="1979" w:type="dxa"/>
            <w:shd w:val="clear" w:color="auto" w:fill="auto"/>
            <w:tcMar>
              <w:left w:w="58" w:type="dxa"/>
              <w:right w:w="58" w:type="dxa"/>
            </w:tcMar>
            <w:vAlign w:val="center"/>
            <w:hideMark/>
          </w:tcPr>
          <w:p w14:paraId="4581EC9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Gabon </w:t>
            </w:r>
          </w:p>
        </w:tc>
        <w:tc>
          <w:tcPr>
            <w:tcW w:w="2074" w:type="dxa"/>
            <w:shd w:val="clear" w:color="auto" w:fill="auto"/>
            <w:tcMar>
              <w:left w:w="58" w:type="dxa"/>
              <w:right w:w="58" w:type="dxa"/>
            </w:tcMar>
            <w:vAlign w:val="center"/>
            <w:hideMark/>
          </w:tcPr>
          <w:p w14:paraId="245F6E9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GAB/PHA/79/INV/34</w:t>
            </w:r>
          </w:p>
        </w:tc>
        <w:tc>
          <w:tcPr>
            <w:tcW w:w="4677" w:type="dxa"/>
            <w:shd w:val="clear" w:color="auto" w:fill="auto"/>
            <w:tcMar>
              <w:left w:w="58" w:type="dxa"/>
              <w:right w:w="58" w:type="dxa"/>
            </w:tcMar>
            <w:hideMark/>
          </w:tcPr>
          <w:p w14:paraId="7C23A1F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7E08DF75"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12A3FA0C" w14:textId="77777777" w:rsidTr="00F457F9">
        <w:trPr>
          <w:trHeight w:val="179"/>
        </w:trPr>
        <w:tc>
          <w:tcPr>
            <w:tcW w:w="1979" w:type="dxa"/>
            <w:shd w:val="clear" w:color="auto" w:fill="auto"/>
            <w:tcMar>
              <w:left w:w="58" w:type="dxa"/>
              <w:right w:w="58" w:type="dxa"/>
            </w:tcMar>
            <w:vAlign w:val="center"/>
            <w:hideMark/>
          </w:tcPr>
          <w:p w14:paraId="620ED93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Haiti</w:t>
            </w:r>
          </w:p>
        </w:tc>
        <w:tc>
          <w:tcPr>
            <w:tcW w:w="2074" w:type="dxa"/>
            <w:shd w:val="clear" w:color="auto" w:fill="auto"/>
            <w:tcMar>
              <w:left w:w="58" w:type="dxa"/>
              <w:right w:w="58" w:type="dxa"/>
            </w:tcMar>
            <w:vAlign w:val="center"/>
            <w:hideMark/>
          </w:tcPr>
          <w:p w14:paraId="6EB0332D"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HAI/PHA/76/TAS/21</w:t>
            </w:r>
          </w:p>
        </w:tc>
        <w:tc>
          <w:tcPr>
            <w:tcW w:w="4677" w:type="dxa"/>
            <w:shd w:val="clear" w:color="auto" w:fill="auto"/>
            <w:tcMar>
              <w:left w:w="58" w:type="dxa"/>
              <w:right w:w="58" w:type="dxa"/>
            </w:tcMar>
            <w:hideMark/>
          </w:tcPr>
          <w:p w14:paraId="78A82C85"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second tranche)</w:t>
            </w:r>
          </w:p>
        </w:tc>
        <w:tc>
          <w:tcPr>
            <w:tcW w:w="961" w:type="dxa"/>
            <w:shd w:val="clear" w:color="auto" w:fill="auto"/>
            <w:tcMar>
              <w:left w:w="58" w:type="dxa"/>
              <w:right w:w="58" w:type="dxa"/>
            </w:tcMar>
            <w:vAlign w:val="center"/>
            <w:hideMark/>
          </w:tcPr>
          <w:p w14:paraId="66C0EF2A"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UNEP</w:t>
            </w:r>
          </w:p>
        </w:tc>
      </w:tr>
      <w:tr w:rsidR="00F457F9" w:rsidRPr="00176B12" w14:paraId="5DBBCBB7" w14:textId="77777777" w:rsidTr="00F457F9">
        <w:trPr>
          <w:trHeight w:val="44"/>
        </w:trPr>
        <w:tc>
          <w:tcPr>
            <w:tcW w:w="1979" w:type="dxa"/>
            <w:shd w:val="clear" w:color="auto" w:fill="auto"/>
            <w:tcMar>
              <w:left w:w="58" w:type="dxa"/>
              <w:right w:w="58" w:type="dxa"/>
            </w:tcMar>
            <w:vAlign w:val="center"/>
            <w:hideMark/>
          </w:tcPr>
          <w:p w14:paraId="37BC656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Indonesia</w:t>
            </w:r>
          </w:p>
        </w:tc>
        <w:tc>
          <w:tcPr>
            <w:tcW w:w="2074" w:type="dxa"/>
            <w:shd w:val="clear" w:color="auto" w:fill="auto"/>
            <w:tcMar>
              <w:left w:w="58" w:type="dxa"/>
              <w:right w:w="58" w:type="dxa"/>
            </w:tcMar>
            <w:vAlign w:val="center"/>
            <w:hideMark/>
          </w:tcPr>
          <w:p w14:paraId="518A8EA9"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IDS/PHA/76/INV/211</w:t>
            </w:r>
          </w:p>
        </w:tc>
        <w:tc>
          <w:tcPr>
            <w:tcW w:w="4677" w:type="dxa"/>
            <w:shd w:val="clear" w:color="auto" w:fill="auto"/>
            <w:tcMar>
              <w:left w:w="58" w:type="dxa"/>
              <w:right w:w="58" w:type="dxa"/>
            </w:tcMar>
            <w:hideMark/>
          </w:tcPr>
          <w:p w14:paraId="4B8FC15C"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 (fire fighting sector)</w:t>
            </w:r>
          </w:p>
        </w:tc>
        <w:tc>
          <w:tcPr>
            <w:tcW w:w="961" w:type="dxa"/>
            <w:shd w:val="clear" w:color="auto" w:fill="auto"/>
            <w:tcMar>
              <w:left w:w="58" w:type="dxa"/>
              <w:right w:w="58" w:type="dxa"/>
            </w:tcMar>
            <w:vAlign w:val="center"/>
            <w:hideMark/>
          </w:tcPr>
          <w:p w14:paraId="64F9C9B3"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UNDP</w:t>
            </w:r>
          </w:p>
        </w:tc>
      </w:tr>
      <w:tr w:rsidR="00F457F9" w:rsidRPr="00176B12" w14:paraId="4F72D240" w14:textId="77777777" w:rsidTr="00F457F9">
        <w:trPr>
          <w:trHeight w:val="179"/>
        </w:trPr>
        <w:tc>
          <w:tcPr>
            <w:tcW w:w="1979" w:type="dxa"/>
            <w:shd w:val="clear" w:color="auto" w:fill="auto"/>
            <w:tcMar>
              <w:left w:w="58" w:type="dxa"/>
              <w:right w:w="58" w:type="dxa"/>
            </w:tcMar>
            <w:vAlign w:val="center"/>
            <w:hideMark/>
          </w:tcPr>
          <w:p w14:paraId="088316B5"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Iraq</w:t>
            </w:r>
          </w:p>
        </w:tc>
        <w:tc>
          <w:tcPr>
            <w:tcW w:w="2074" w:type="dxa"/>
            <w:shd w:val="clear" w:color="auto" w:fill="auto"/>
            <w:tcMar>
              <w:left w:w="58" w:type="dxa"/>
              <w:right w:w="58" w:type="dxa"/>
            </w:tcMar>
            <w:vAlign w:val="center"/>
            <w:hideMark/>
          </w:tcPr>
          <w:p w14:paraId="280ACE7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IRQ/PHA/58/INV/09</w:t>
            </w:r>
          </w:p>
        </w:tc>
        <w:tc>
          <w:tcPr>
            <w:tcW w:w="4677" w:type="dxa"/>
            <w:shd w:val="clear" w:color="auto" w:fill="auto"/>
            <w:tcMar>
              <w:left w:w="58" w:type="dxa"/>
              <w:right w:w="58" w:type="dxa"/>
            </w:tcMar>
            <w:hideMark/>
          </w:tcPr>
          <w:p w14:paraId="419F3AE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National phase-out plan (first tranche)</w:t>
            </w:r>
          </w:p>
        </w:tc>
        <w:tc>
          <w:tcPr>
            <w:tcW w:w="961" w:type="dxa"/>
            <w:shd w:val="clear" w:color="auto" w:fill="auto"/>
            <w:tcMar>
              <w:left w:w="58" w:type="dxa"/>
              <w:right w:w="58" w:type="dxa"/>
            </w:tcMar>
            <w:vAlign w:val="center"/>
            <w:hideMark/>
          </w:tcPr>
          <w:p w14:paraId="14A3153F"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1DEA644F" w14:textId="77777777" w:rsidTr="00F457F9">
        <w:trPr>
          <w:trHeight w:val="44"/>
        </w:trPr>
        <w:tc>
          <w:tcPr>
            <w:tcW w:w="1979" w:type="dxa"/>
            <w:shd w:val="clear" w:color="auto" w:fill="auto"/>
            <w:tcMar>
              <w:left w:w="58" w:type="dxa"/>
              <w:right w:w="58" w:type="dxa"/>
            </w:tcMar>
            <w:vAlign w:val="center"/>
            <w:hideMark/>
          </w:tcPr>
          <w:p w14:paraId="02F8BC3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1B59511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KUW/PHA/66/INV/21</w:t>
            </w:r>
          </w:p>
        </w:tc>
        <w:tc>
          <w:tcPr>
            <w:tcW w:w="4677" w:type="dxa"/>
            <w:shd w:val="clear" w:color="auto" w:fill="auto"/>
            <w:tcMar>
              <w:left w:w="58" w:type="dxa"/>
              <w:right w:w="58" w:type="dxa"/>
            </w:tcMar>
            <w:hideMark/>
          </w:tcPr>
          <w:p w14:paraId="4C88A14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HCFC phase-out management plan (stage I, first tranche) (extruded polystyrene foam sector phase-out: Gulf Insulating Materials Manufacturing and Trading; </w:t>
            </w:r>
            <w:proofErr w:type="spellStart"/>
            <w:r w:rsidRPr="00176B12">
              <w:rPr>
                <w:color w:val="000000"/>
                <w:sz w:val="20"/>
                <w:szCs w:val="20"/>
                <w:lang w:val="en-CA" w:eastAsia="en-CA"/>
              </w:rPr>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30A0A518"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7EA7C187" w14:textId="77777777" w:rsidTr="00F457F9">
        <w:trPr>
          <w:trHeight w:val="44"/>
        </w:trPr>
        <w:tc>
          <w:tcPr>
            <w:tcW w:w="1979" w:type="dxa"/>
            <w:shd w:val="clear" w:color="auto" w:fill="auto"/>
            <w:tcMar>
              <w:left w:w="58" w:type="dxa"/>
              <w:right w:w="58" w:type="dxa"/>
            </w:tcMar>
            <w:vAlign w:val="center"/>
            <w:hideMark/>
          </w:tcPr>
          <w:p w14:paraId="4416F55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3FCE6E0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KUW/PHA/74/INV/24</w:t>
            </w:r>
          </w:p>
        </w:tc>
        <w:tc>
          <w:tcPr>
            <w:tcW w:w="4677" w:type="dxa"/>
            <w:shd w:val="clear" w:color="auto" w:fill="auto"/>
            <w:tcMar>
              <w:left w:w="58" w:type="dxa"/>
              <w:right w:w="58" w:type="dxa"/>
            </w:tcMar>
            <w:hideMark/>
          </w:tcPr>
          <w:p w14:paraId="6D61076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second tranche) (polyurethane foam sector phase-out: Kuwait polyurethane Industry Co.; Kirby Building Systems, technical assistance to spray foam users and other small users)</w:t>
            </w:r>
          </w:p>
        </w:tc>
        <w:tc>
          <w:tcPr>
            <w:tcW w:w="961" w:type="dxa"/>
            <w:shd w:val="clear" w:color="auto" w:fill="auto"/>
            <w:tcMar>
              <w:left w:w="58" w:type="dxa"/>
              <w:right w:w="58" w:type="dxa"/>
            </w:tcMar>
            <w:vAlign w:val="center"/>
            <w:hideMark/>
          </w:tcPr>
          <w:p w14:paraId="3E668922"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44969A75" w14:textId="77777777" w:rsidTr="00F457F9">
        <w:trPr>
          <w:trHeight w:val="44"/>
        </w:trPr>
        <w:tc>
          <w:tcPr>
            <w:tcW w:w="1979" w:type="dxa"/>
            <w:shd w:val="clear" w:color="auto" w:fill="auto"/>
            <w:tcMar>
              <w:left w:w="58" w:type="dxa"/>
              <w:right w:w="58" w:type="dxa"/>
            </w:tcMar>
            <w:vAlign w:val="center"/>
            <w:hideMark/>
          </w:tcPr>
          <w:p w14:paraId="04B852A1"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Kuwait</w:t>
            </w:r>
          </w:p>
        </w:tc>
        <w:tc>
          <w:tcPr>
            <w:tcW w:w="2074" w:type="dxa"/>
            <w:shd w:val="clear" w:color="auto" w:fill="auto"/>
            <w:tcMar>
              <w:left w:w="58" w:type="dxa"/>
              <w:right w:w="58" w:type="dxa"/>
            </w:tcMar>
            <w:vAlign w:val="center"/>
            <w:hideMark/>
          </w:tcPr>
          <w:p w14:paraId="2E46A44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KUW/PHA/74/INV/25</w:t>
            </w:r>
          </w:p>
        </w:tc>
        <w:tc>
          <w:tcPr>
            <w:tcW w:w="4677" w:type="dxa"/>
            <w:shd w:val="clear" w:color="auto" w:fill="auto"/>
            <w:tcMar>
              <w:left w:w="58" w:type="dxa"/>
              <w:right w:w="58" w:type="dxa"/>
            </w:tcMar>
            <w:hideMark/>
          </w:tcPr>
          <w:p w14:paraId="67185389"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HCFC phase-out management plan (stage I, second tranche) (extruded polystyrene foam sector phase-out: Gulf Insulating Materials Manufacturing and Trading; </w:t>
            </w:r>
            <w:proofErr w:type="spellStart"/>
            <w:r w:rsidRPr="00176B12">
              <w:rPr>
                <w:color w:val="000000"/>
                <w:sz w:val="20"/>
                <w:szCs w:val="20"/>
                <w:lang w:val="en-CA" w:eastAsia="en-CA"/>
              </w:rPr>
              <w:lastRenderedPageBreak/>
              <w:t>Isofoam</w:t>
            </w:r>
            <w:proofErr w:type="spellEnd"/>
            <w:r w:rsidRPr="00176B12">
              <w:rPr>
                <w:color w:val="000000"/>
                <w:sz w:val="20"/>
                <w:szCs w:val="20"/>
                <w:lang w:val="en-CA" w:eastAsia="en-CA"/>
              </w:rPr>
              <w:t xml:space="preserve"> Insulating Materials Plants; and Al </w:t>
            </w:r>
            <w:proofErr w:type="spellStart"/>
            <w:r w:rsidRPr="00176B12">
              <w:rPr>
                <w:color w:val="000000"/>
                <w:sz w:val="20"/>
                <w:szCs w:val="20"/>
                <w:lang w:val="en-CA" w:eastAsia="en-CA"/>
              </w:rPr>
              <w:t>Masaha</w:t>
            </w:r>
            <w:proofErr w:type="spellEnd"/>
            <w:r w:rsidRPr="00176B12">
              <w:rPr>
                <w:color w:val="000000"/>
                <w:sz w:val="20"/>
                <w:szCs w:val="20"/>
                <w:lang w:val="en-CA" w:eastAsia="en-CA"/>
              </w:rPr>
              <w:t xml:space="preserve"> Company)</w:t>
            </w:r>
          </w:p>
        </w:tc>
        <w:tc>
          <w:tcPr>
            <w:tcW w:w="961" w:type="dxa"/>
            <w:shd w:val="clear" w:color="auto" w:fill="auto"/>
            <w:tcMar>
              <w:left w:w="58" w:type="dxa"/>
              <w:right w:w="58" w:type="dxa"/>
            </w:tcMar>
            <w:vAlign w:val="center"/>
            <w:hideMark/>
          </w:tcPr>
          <w:p w14:paraId="2B49ADA0"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lastRenderedPageBreak/>
              <w:t>UNIDO</w:t>
            </w:r>
          </w:p>
        </w:tc>
      </w:tr>
      <w:tr w:rsidR="00F457F9" w:rsidRPr="00176B12" w14:paraId="7016EBC7" w14:textId="77777777" w:rsidTr="00F457F9">
        <w:trPr>
          <w:trHeight w:val="134"/>
        </w:trPr>
        <w:tc>
          <w:tcPr>
            <w:tcW w:w="1979" w:type="dxa"/>
            <w:shd w:val="clear" w:color="auto" w:fill="auto"/>
            <w:tcMar>
              <w:left w:w="58" w:type="dxa"/>
              <w:right w:w="58" w:type="dxa"/>
            </w:tcMar>
            <w:vAlign w:val="center"/>
            <w:hideMark/>
          </w:tcPr>
          <w:p w14:paraId="60B0515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lastRenderedPageBreak/>
              <w:t>Libya</w:t>
            </w:r>
          </w:p>
        </w:tc>
        <w:tc>
          <w:tcPr>
            <w:tcW w:w="2074" w:type="dxa"/>
            <w:shd w:val="clear" w:color="auto" w:fill="auto"/>
            <w:tcMar>
              <w:left w:w="58" w:type="dxa"/>
              <w:right w:w="58" w:type="dxa"/>
            </w:tcMar>
            <w:vAlign w:val="center"/>
            <w:hideMark/>
          </w:tcPr>
          <w:p w14:paraId="672D8AD0"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LIB/PHA/75/INV/37</w:t>
            </w:r>
          </w:p>
        </w:tc>
        <w:tc>
          <w:tcPr>
            <w:tcW w:w="4677" w:type="dxa"/>
            <w:shd w:val="clear" w:color="auto" w:fill="auto"/>
            <w:tcMar>
              <w:left w:w="58" w:type="dxa"/>
              <w:right w:w="58" w:type="dxa"/>
            </w:tcMar>
            <w:hideMark/>
          </w:tcPr>
          <w:p w14:paraId="5933325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first tranche) (refrigeration servicing sector)</w:t>
            </w:r>
          </w:p>
        </w:tc>
        <w:tc>
          <w:tcPr>
            <w:tcW w:w="961" w:type="dxa"/>
            <w:shd w:val="clear" w:color="auto" w:fill="auto"/>
            <w:tcMar>
              <w:left w:w="58" w:type="dxa"/>
              <w:right w:w="58" w:type="dxa"/>
            </w:tcMar>
            <w:vAlign w:val="center"/>
            <w:hideMark/>
          </w:tcPr>
          <w:p w14:paraId="1C1F1936"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7C547108" w14:textId="77777777" w:rsidTr="00F457F9">
        <w:trPr>
          <w:trHeight w:val="296"/>
        </w:trPr>
        <w:tc>
          <w:tcPr>
            <w:tcW w:w="1979" w:type="dxa"/>
            <w:shd w:val="clear" w:color="auto" w:fill="auto"/>
            <w:tcMar>
              <w:left w:w="58" w:type="dxa"/>
              <w:right w:w="58" w:type="dxa"/>
            </w:tcMar>
            <w:vAlign w:val="center"/>
            <w:hideMark/>
          </w:tcPr>
          <w:p w14:paraId="3A60363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Libya</w:t>
            </w:r>
          </w:p>
        </w:tc>
        <w:tc>
          <w:tcPr>
            <w:tcW w:w="2074" w:type="dxa"/>
            <w:shd w:val="clear" w:color="auto" w:fill="auto"/>
            <w:tcMar>
              <w:left w:w="58" w:type="dxa"/>
              <w:right w:w="58" w:type="dxa"/>
            </w:tcMar>
            <w:vAlign w:val="center"/>
            <w:hideMark/>
          </w:tcPr>
          <w:p w14:paraId="180CBED0"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LIB/PHA/82/INV/42</w:t>
            </w:r>
          </w:p>
        </w:tc>
        <w:tc>
          <w:tcPr>
            <w:tcW w:w="4677" w:type="dxa"/>
            <w:shd w:val="clear" w:color="auto" w:fill="auto"/>
            <w:tcMar>
              <w:left w:w="58" w:type="dxa"/>
              <w:right w:w="58" w:type="dxa"/>
            </w:tcMar>
            <w:hideMark/>
          </w:tcPr>
          <w:p w14:paraId="3C00FB71"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second tranche) (refrigeration servicing sector)</w:t>
            </w:r>
          </w:p>
        </w:tc>
        <w:tc>
          <w:tcPr>
            <w:tcW w:w="961" w:type="dxa"/>
            <w:shd w:val="clear" w:color="auto" w:fill="auto"/>
            <w:tcMar>
              <w:left w:w="58" w:type="dxa"/>
              <w:right w:w="58" w:type="dxa"/>
            </w:tcMar>
            <w:vAlign w:val="center"/>
            <w:hideMark/>
          </w:tcPr>
          <w:p w14:paraId="0CBAFBA4"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5A4C556F" w14:textId="77777777" w:rsidTr="00F457F9">
        <w:trPr>
          <w:trHeight w:val="98"/>
        </w:trPr>
        <w:tc>
          <w:tcPr>
            <w:tcW w:w="1979" w:type="dxa"/>
            <w:shd w:val="clear" w:color="auto" w:fill="auto"/>
            <w:tcMar>
              <w:left w:w="58" w:type="dxa"/>
              <w:right w:w="58" w:type="dxa"/>
            </w:tcMar>
            <w:vAlign w:val="center"/>
            <w:hideMark/>
          </w:tcPr>
          <w:p w14:paraId="4E81316C"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Maldives </w:t>
            </w:r>
          </w:p>
        </w:tc>
        <w:tc>
          <w:tcPr>
            <w:tcW w:w="2074" w:type="dxa"/>
            <w:shd w:val="clear" w:color="auto" w:fill="auto"/>
            <w:tcMar>
              <w:left w:w="58" w:type="dxa"/>
              <w:right w:w="58" w:type="dxa"/>
            </w:tcMar>
            <w:vAlign w:val="center"/>
            <w:hideMark/>
          </w:tcPr>
          <w:p w14:paraId="4D51DD4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MDV/SEV/80/TAS/02+</w:t>
            </w:r>
          </w:p>
        </w:tc>
        <w:tc>
          <w:tcPr>
            <w:tcW w:w="4677" w:type="dxa"/>
            <w:shd w:val="clear" w:color="auto" w:fill="auto"/>
            <w:tcMar>
              <w:left w:w="58" w:type="dxa"/>
              <w:right w:w="58" w:type="dxa"/>
            </w:tcMar>
            <w:hideMark/>
          </w:tcPr>
          <w:p w14:paraId="58A25C2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Enabling activities for HFC phase-down</w:t>
            </w:r>
          </w:p>
        </w:tc>
        <w:tc>
          <w:tcPr>
            <w:tcW w:w="961" w:type="dxa"/>
            <w:shd w:val="clear" w:color="auto" w:fill="auto"/>
            <w:tcMar>
              <w:left w:w="58" w:type="dxa"/>
              <w:right w:w="58" w:type="dxa"/>
            </w:tcMar>
            <w:vAlign w:val="center"/>
            <w:hideMark/>
          </w:tcPr>
          <w:p w14:paraId="67B65E4B"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Italy</w:t>
            </w:r>
          </w:p>
        </w:tc>
      </w:tr>
      <w:tr w:rsidR="00F457F9" w:rsidRPr="00176B12" w14:paraId="77939AF6" w14:textId="77777777" w:rsidTr="00F457F9">
        <w:trPr>
          <w:trHeight w:val="116"/>
        </w:trPr>
        <w:tc>
          <w:tcPr>
            <w:tcW w:w="1979" w:type="dxa"/>
            <w:shd w:val="clear" w:color="auto" w:fill="auto"/>
            <w:tcMar>
              <w:left w:w="58" w:type="dxa"/>
              <w:right w:w="58" w:type="dxa"/>
            </w:tcMar>
            <w:vAlign w:val="center"/>
            <w:hideMark/>
          </w:tcPr>
          <w:p w14:paraId="3D767CA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Mauritania</w:t>
            </w:r>
          </w:p>
        </w:tc>
        <w:tc>
          <w:tcPr>
            <w:tcW w:w="2074" w:type="dxa"/>
            <w:shd w:val="clear" w:color="auto" w:fill="auto"/>
            <w:tcMar>
              <w:left w:w="58" w:type="dxa"/>
              <w:right w:w="58" w:type="dxa"/>
            </w:tcMar>
            <w:vAlign w:val="center"/>
            <w:hideMark/>
          </w:tcPr>
          <w:p w14:paraId="05982F9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MAU/PHA/80/INV/25</w:t>
            </w:r>
          </w:p>
        </w:tc>
        <w:tc>
          <w:tcPr>
            <w:tcW w:w="4677" w:type="dxa"/>
            <w:shd w:val="clear" w:color="auto" w:fill="auto"/>
            <w:tcMar>
              <w:left w:w="58" w:type="dxa"/>
              <w:right w:w="58" w:type="dxa"/>
            </w:tcMar>
            <w:hideMark/>
          </w:tcPr>
          <w:p w14:paraId="3A676EE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first tranche)</w:t>
            </w:r>
          </w:p>
        </w:tc>
        <w:tc>
          <w:tcPr>
            <w:tcW w:w="961" w:type="dxa"/>
            <w:shd w:val="clear" w:color="auto" w:fill="auto"/>
            <w:tcMar>
              <w:left w:w="58" w:type="dxa"/>
              <w:right w:w="58" w:type="dxa"/>
            </w:tcMar>
            <w:vAlign w:val="center"/>
            <w:hideMark/>
          </w:tcPr>
          <w:p w14:paraId="2D177295"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UNDP</w:t>
            </w:r>
          </w:p>
        </w:tc>
      </w:tr>
      <w:tr w:rsidR="00F457F9" w:rsidRPr="00176B12" w14:paraId="7C034426" w14:textId="77777777" w:rsidTr="00F457F9">
        <w:trPr>
          <w:trHeight w:val="44"/>
        </w:trPr>
        <w:tc>
          <w:tcPr>
            <w:tcW w:w="1979" w:type="dxa"/>
            <w:shd w:val="clear" w:color="auto" w:fill="auto"/>
            <w:tcMar>
              <w:left w:w="58" w:type="dxa"/>
              <w:right w:w="58" w:type="dxa"/>
            </w:tcMar>
            <w:vAlign w:val="center"/>
            <w:hideMark/>
          </w:tcPr>
          <w:p w14:paraId="74ACD19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Mexico </w:t>
            </w:r>
          </w:p>
        </w:tc>
        <w:tc>
          <w:tcPr>
            <w:tcW w:w="2074" w:type="dxa"/>
            <w:shd w:val="clear" w:color="auto" w:fill="auto"/>
            <w:tcMar>
              <w:left w:w="58" w:type="dxa"/>
              <w:right w:w="58" w:type="dxa"/>
            </w:tcMar>
            <w:vAlign w:val="center"/>
            <w:hideMark/>
          </w:tcPr>
          <w:p w14:paraId="24F1825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MEX/PHA/73/INV/171</w:t>
            </w:r>
          </w:p>
        </w:tc>
        <w:tc>
          <w:tcPr>
            <w:tcW w:w="4677" w:type="dxa"/>
            <w:shd w:val="clear" w:color="auto" w:fill="auto"/>
            <w:tcMar>
              <w:left w:w="58" w:type="dxa"/>
              <w:right w:w="58" w:type="dxa"/>
            </w:tcMar>
            <w:hideMark/>
          </w:tcPr>
          <w:p w14:paraId="60233B5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 (reclamation of HCFC refrigerants)</w:t>
            </w:r>
          </w:p>
        </w:tc>
        <w:tc>
          <w:tcPr>
            <w:tcW w:w="961" w:type="dxa"/>
            <w:shd w:val="clear" w:color="auto" w:fill="auto"/>
            <w:tcMar>
              <w:left w:w="58" w:type="dxa"/>
              <w:right w:w="58" w:type="dxa"/>
            </w:tcMar>
            <w:vAlign w:val="center"/>
            <w:hideMark/>
          </w:tcPr>
          <w:p w14:paraId="42A98294"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Italy</w:t>
            </w:r>
          </w:p>
        </w:tc>
      </w:tr>
      <w:tr w:rsidR="00F457F9" w:rsidRPr="00176B12" w14:paraId="207C6852" w14:textId="77777777" w:rsidTr="00F457F9">
        <w:trPr>
          <w:trHeight w:val="44"/>
        </w:trPr>
        <w:tc>
          <w:tcPr>
            <w:tcW w:w="1979" w:type="dxa"/>
            <w:shd w:val="clear" w:color="auto" w:fill="auto"/>
            <w:tcMar>
              <w:left w:w="58" w:type="dxa"/>
              <w:right w:w="58" w:type="dxa"/>
            </w:tcMar>
            <w:vAlign w:val="center"/>
            <w:hideMark/>
          </w:tcPr>
          <w:p w14:paraId="245A649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3AD18ED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MEX/PHA/74/INV/172</w:t>
            </w:r>
          </w:p>
        </w:tc>
        <w:tc>
          <w:tcPr>
            <w:tcW w:w="4677" w:type="dxa"/>
            <w:shd w:val="clear" w:color="auto" w:fill="auto"/>
            <w:tcMar>
              <w:left w:w="58" w:type="dxa"/>
              <w:right w:w="58" w:type="dxa"/>
            </w:tcMar>
            <w:hideMark/>
          </w:tcPr>
          <w:p w14:paraId="14624286"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 (HC demonstration and training)</w:t>
            </w:r>
          </w:p>
        </w:tc>
        <w:tc>
          <w:tcPr>
            <w:tcW w:w="961" w:type="dxa"/>
            <w:shd w:val="clear" w:color="auto" w:fill="auto"/>
            <w:tcMar>
              <w:left w:w="58" w:type="dxa"/>
              <w:right w:w="58" w:type="dxa"/>
            </w:tcMar>
            <w:vAlign w:val="center"/>
            <w:hideMark/>
          </w:tcPr>
          <w:p w14:paraId="189ED5CA"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Germany</w:t>
            </w:r>
          </w:p>
        </w:tc>
      </w:tr>
      <w:tr w:rsidR="00F457F9" w:rsidRPr="00176B12" w14:paraId="4719269F" w14:textId="77777777" w:rsidTr="00F457F9">
        <w:trPr>
          <w:trHeight w:val="44"/>
        </w:trPr>
        <w:tc>
          <w:tcPr>
            <w:tcW w:w="1979" w:type="dxa"/>
            <w:shd w:val="clear" w:color="auto" w:fill="auto"/>
            <w:tcMar>
              <w:left w:w="58" w:type="dxa"/>
              <w:right w:w="58" w:type="dxa"/>
            </w:tcMar>
            <w:vAlign w:val="center"/>
            <w:hideMark/>
          </w:tcPr>
          <w:p w14:paraId="5FBAE5A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Mexico</w:t>
            </w:r>
          </w:p>
        </w:tc>
        <w:tc>
          <w:tcPr>
            <w:tcW w:w="2074" w:type="dxa"/>
            <w:shd w:val="clear" w:color="auto" w:fill="auto"/>
            <w:tcMar>
              <w:left w:w="58" w:type="dxa"/>
              <w:right w:w="58" w:type="dxa"/>
            </w:tcMar>
            <w:vAlign w:val="center"/>
            <w:hideMark/>
          </w:tcPr>
          <w:p w14:paraId="20085B8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MEX/PHA/77/INV/179</w:t>
            </w:r>
          </w:p>
        </w:tc>
        <w:tc>
          <w:tcPr>
            <w:tcW w:w="4677" w:type="dxa"/>
            <w:shd w:val="clear" w:color="auto" w:fill="auto"/>
            <w:tcMar>
              <w:left w:w="58" w:type="dxa"/>
              <w:right w:w="58" w:type="dxa"/>
            </w:tcMar>
            <w:hideMark/>
          </w:tcPr>
          <w:p w14:paraId="7BAB540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second tranche) (HC demonstration and training)</w:t>
            </w:r>
          </w:p>
        </w:tc>
        <w:tc>
          <w:tcPr>
            <w:tcW w:w="961" w:type="dxa"/>
            <w:shd w:val="clear" w:color="auto" w:fill="auto"/>
            <w:tcMar>
              <w:left w:w="58" w:type="dxa"/>
              <w:right w:w="58" w:type="dxa"/>
            </w:tcMar>
            <w:vAlign w:val="center"/>
            <w:hideMark/>
          </w:tcPr>
          <w:p w14:paraId="76C38D85"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Germany</w:t>
            </w:r>
          </w:p>
        </w:tc>
      </w:tr>
      <w:tr w:rsidR="00F457F9" w:rsidRPr="00176B12" w14:paraId="6BE6EB9F" w14:textId="77777777" w:rsidTr="00F457F9">
        <w:trPr>
          <w:trHeight w:val="44"/>
        </w:trPr>
        <w:tc>
          <w:tcPr>
            <w:tcW w:w="1979" w:type="dxa"/>
            <w:shd w:val="clear" w:color="auto" w:fill="auto"/>
            <w:tcMar>
              <w:left w:w="58" w:type="dxa"/>
              <w:right w:w="58" w:type="dxa"/>
            </w:tcMar>
            <w:vAlign w:val="center"/>
            <w:hideMark/>
          </w:tcPr>
          <w:p w14:paraId="2AEB6C9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24B2AE7C"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SEY/PHA/70/INV/19</w:t>
            </w:r>
          </w:p>
        </w:tc>
        <w:tc>
          <w:tcPr>
            <w:tcW w:w="4677" w:type="dxa"/>
            <w:shd w:val="clear" w:color="auto" w:fill="auto"/>
            <w:tcMar>
              <w:left w:w="58" w:type="dxa"/>
              <w:right w:w="58" w:type="dxa"/>
            </w:tcMar>
            <w:hideMark/>
          </w:tcPr>
          <w:p w14:paraId="75DC90A7"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(second tranche)</w:t>
            </w:r>
          </w:p>
        </w:tc>
        <w:tc>
          <w:tcPr>
            <w:tcW w:w="961" w:type="dxa"/>
            <w:shd w:val="clear" w:color="auto" w:fill="auto"/>
            <w:tcMar>
              <w:left w:w="58" w:type="dxa"/>
              <w:right w:w="58" w:type="dxa"/>
            </w:tcMar>
            <w:vAlign w:val="center"/>
            <w:hideMark/>
          </w:tcPr>
          <w:p w14:paraId="29A64D0E"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Germany</w:t>
            </w:r>
          </w:p>
        </w:tc>
      </w:tr>
      <w:tr w:rsidR="00F457F9" w:rsidRPr="00176B12" w14:paraId="4481BFF0" w14:textId="77777777" w:rsidTr="00F457F9">
        <w:trPr>
          <w:trHeight w:val="44"/>
        </w:trPr>
        <w:tc>
          <w:tcPr>
            <w:tcW w:w="1979" w:type="dxa"/>
            <w:shd w:val="clear" w:color="auto" w:fill="auto"/>
            <w:tcMar>
              <w:left w:w="58" w:type="dxa"/>
              <w:right w:w="58" w:type="dxa"/>
            </w:tcMar>
            <w:vAlign w:val="center"/>
            <w:hideMark/>
          </w:tcPr>
          <w:p w14:paraId="14EA354A"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 xml:space="preserve">Seychelles </w:t>
            </w:r>
          </w:p>
        </w:tc>
        <w:tc>
          <w:tcPr>
            <w:tcW w:w="2074" w:type="dxa"/>
            <w:shd w:val="clear" w:color="auto" w:fill="auto"/>
            <w:tcMar>
              <w:left w:w="58" w:type="dxa"/>
              <w:right w:w="58" w:type="dxa"/>
            </w:tcMar>
            <w:vAlign w:val="center"/>
            <w:hideMark/>
          </w:tcPr>
          <w:p w14:paraId="780B1B8A"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SEY/PHA/75/INV/23</w:t>
            </w:r>
          </w:p>
        </w:tc>
        <w:tc>
          <w:tcPr>
            <w:tcW w:w="4677" w:type="dxa"/>
            <w:shd w:val="clear" w:color="auto" w:fill="auto"/>
            <w:tcMar>
              <w:left w:w="58" w:type="dxa"/>
              <w:right w:w="58" w:type="dxa"/>
            </w:tcMar>
            <w:hideMark/>
          </w:tcPr>
          <w:p w14:paraId="5D2C7E28"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third tranche)</w:t>
            </w:r>
          </w:p>
        </w:tc>
        <w:tc>
          <w:tcPr>
            <w:tcW w:w="961" w:type="dxa"/>
            <w:shd w:val="clear" w:color="auto" w:fill="auto"/>
            <w:tcMar>
              <w:left w:w="58" w:type="dxa"/>
              <w:right w:w="58" w:type="dxa"/>
            </w:tcMar>
            <w:vAlign w:val="center"/>
            <w:hideMark/>
          </w:tcPr>
          <w:p w14:paraId="0EF0BCA5"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Germany</w:t>
            </w:r>
          </w:p>
        </w:tc>
      </w:tr>
      <w:tr w:rsidR="00F457F9" w:rsidRPr="00176B12" w14:paraId="5A19EE12" w14:textId="77777777" w:rsidTr="00F457F9">
        <w:trPr>
          <w:trHeight w:val="314"/>
        </w:trPr>
        <w:tc>
          <w:tcPr>
            <w:tcW w:w="1979" w:type="dxa"/>
            <w:shd w:val="clear" w:color="auto" w:fill="auto"/>
            <w:tcMar>
              <w:left w:w="58" w:type="dxa"/>
              <w:right w:w="58" w:type="dxa"/>
            </w:tcMar>
            <w:vAlign w:val="center"/>
            <w:hideMark/>
          </w:tcPr>
          <w:p w14:paraId="40AD244B"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South Africa</w:t>
            </w:r>
          </w:p>
        </w:tc>
        <w:tc>
          <w:tcPr>
            <w:tcW w:w="2074" w:type="dxa"/>
            <w:shd w:val="clear" w:color="auto" w:fill="auto"/>
            <w:tcMar>
              <w:left w:w="58" w:type="dxa"/>
              <w:right w:w="58" w:type="dxa"/>
            </w:tcMar>
            <w:vAlign w:val="center"/>
            <w:hideMark/>
          </w:tcPr>
          <w:p w14:paraId="4D561D5F"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SOA/PHA/71/INV/06</w:t>
            </w:r>
          </w:p>
        </w:tc>
        <w:tc>
          <w:tcPr>
            <w:tcW w:w="4677" w:type="dxa"/>
            <w:shd w:val="clear" w:color="auto" w:fill="auto"/>
            <w:tcMar>
              <w:left w:w="58" w:type="dxa"/>
              <w:right w:w="58" w:type="dxa"/>
            </w:tcMar>
            <w:hideMark/>
          </w:tcPr>
          <w:p w14:paraId="7BB1B454"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 second tranche) (refrigeration servicing, custom training and monitoring)</w:t>
            </w:r>
          </w:p>
        </w:tc>
        <w:tc>
          <w:tcPr>
            <w:tcW w:w="961" w:type="dxa"/>
            <w:shd w:val="clear" w:color="auto" w:fill="auto"/>
            <w:tcMar>
              <w:left w:w="58" w:type="dxa"/>
              <w:right w:w="58" w:type="dxa"/>
            </w:tcMar>
            <w:vAlign w:val="center"/>
            <w:hideMark/>
          </w:tcPr>
          <w:p w14:paraId="6B5FED27"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17418571" w14:textId="77777777" w:rsidTr="00F457F9">
        <w:trPr>
          <w:trHeight w:val="44"/>
        </w:trPr>
        <w:tc>
          <w:tcPr>
            <w:tcW w:w="1979" w:type="dxa"/>
            <w:shd w:val="clear" w:color="auto" w:fill="auto"/>
            <w:tcMar>
              <w:left w:w="58" w:type="dxa"/>
              <w:right w:w="58" w:type="dxa"/>
            </w:tcMar>
            <w:vAlign w:val="center"/>
            <w:hideMark/>
          </w:tcPr>
          <w:p w14:paraId="2FCF20F3"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382FE025"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VEN/PHA/76/TAS/132</w:t>
            </w:r>
          </w:p>
        </w:tc>
        <w:tc>
          <w:tcPr>
            <w:tcW w:w="4677" w:type="dxa"/>
            <w:shd w:val="clear" w:color="auto" w:fill="auto"/>
            <w:tcMar>
              <w:left w:w="58" w:type="dxa"/>
              <w:right w:w="58" w:type="dxa"/>
            </w:tcMar>
            <w:hideMark/>
          </w:tcPr>
          <w:p w14:paraId="1FB6CB6D"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 (refrigeration servicing sector)</w:t>
            </w:r>
          </w:p>
        </w:tc>
        <w:tc>
          <w:tcPr>
            <w:tcW w:w="961" w:type="dxa"/>
            <w:shd w:val="clear" w:color="auto" w:fill="auto"/>
            <w:tcMar>
              <w:left w:w="58" w:type="dxa"/>
              <w:right w:w="58" w:type="dxa"/>
            </w:tcMar>
            <w:vAlign w:val="center"/>
            <w:hideMark/>
          </w:tcPr>
          <w:p w14:paraId="42A6E239"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r w:rsidR="00F457F9" w:rsidRPr="00176B12" w14:paraId="11D4F803" w14:textId="77777777" w:rsidTr="00F457F9">
        <w:trPr>
          <w:trHeight w:val="44"/>
        </w:trPr>
        <w:tc>
          <w:tcPr>
            <w:tcW w:w="1979" w:type="dxa"/>
            <w:shd w:val="clear" w:color="auto" w:fill="auto"/>
            <w:tcMar>
              <w:left w:w="58" w:type="dxa"/>
              <w:right w:w="58" w:type="dxa"/>
            </w:tcMar>
            <w:vAlign w:val="center"/>
            <w:hideMark/>
          </w:tcPr>
          <w:p w14:paraId="47A906A2"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Venezuela (Bolivarian Republic of)</w:t>
            </w:r>
          </w:p>
        </w:tc>
        <w:tc>
          <w:tcPr>
            <w:tcW w:w="2074" w:type="dxa"/>
            <w:shd w:val="clear" w:color="auto" w:fill="auto"/>
            <w:tcMar>
              <w:left w:w="58" w:type="dxa"/>
              <w:right w:w="58" w:type="dxa"/>
            </w:tcMar>
            <w:vAlign w:val="center"/>
            <w:hideMark/>
          </w:tcPr>
          <w:p w14:paraId="3A7052BD"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VEN/PHA/76/INV/134</w:t>
            </w:r>
          </w:p>
        </w:tc>
        <w:tc>
          <w:tcPr>
            <w:tcW w:w="4677" w:type="dxa"/>
            <w:shd w:val="clear" w:color="auto" w:fill="auto"/>
            <w:tcMar>
              <w:left w:w="58" w:type="dxa"/>
              <w:right w:w="58" w:type="dxa"/>
            </w:tcMar>
            <w:hideMark/>
          </w:tcPr>
          <w:p w14:paraId="0222E6FE" w14:textId="77777777" w:rsidR="00F457F9" w:rsidRPr="00176B12" w:rsidRDefault="00F457F9" w:rsidP="00F457F9">
            <w:pPr>
              <w:jc w:val="left"/>
              <w:rPr>
                <w:color w:val="000000"/>
                <w:sz w:val="20"/>
                <w:szCs w:val="20"/>
                <w:lang w:val="en-US"/>
              </w:rPr>
            </w:pPr>
            <w:r w:rsidRPr="00176B12">
              <w:rPr>
                <w:color w:val="000000"/>
                <w:sz w:val="20"/>
                <w:szCs w:val="20"/>
                <w:lang w:val="en-CA" w:eastAsia="en-CA"/>
              </w:rPr>
              <w:t>HCFC phase-out management plan (stage II, first tranche) (technical assistance in refrigeration and air-conditioning manufacturing sector)</w:t>
            </w:r>
          </w:p>
        </w:tc>
        <w:tc>
          <w:tcPr>
            <w:tcW w:w="961" w:type="dxa"/>
            <w:shd w:val="clear" w:color="auto" w:fill="auto"/>
            <w:tcMar>
              <w:left w:w="58" w:type="dxa"/>
              <w:right w:w="58" w:type="dxa"/>
            </w:tcMar>
            <w:vAlign w:val="center"/>
            <w:hideMark/>
          </w:tcPr>
          <w:p w14:paraId="100458F2" w14:textId="77777777" w:rsidR="00F457F9" w:rsidRPr="00176B12" w:rsidRDefault="00F457F9" w:rsidP="00F457F9">
            <w:pPr>
              <w:jc w:val="center"/>
              <w:rPr>
                <w:color w:val="000000"/>
                <w:sz w:val="20"/>
                <w:szCs w:val="20"/>
                <w:lang w:val="en-US"/>
              </w:rPr>
            </w:pPr>
            <w:r w:rsidRPr="00176B12">
              <w:rPr>
                <w:color w:val="000000"/>
                <w:sz w:val="20"/>
                <w:szCs w:val="20"/>
                <w:lang w:val="en-CA" w:eastAsia="en-CA"/>
              </w:rPr>
              <w:t>UNIDO</w:t>
            </w:r>
          </w:p>
        </w:tc>
      </w:tr>
    </w:tbl>
    <w:p w14:paraId="323B4922" w14:textId="5401E7D8" w:rsidR="00F457F9" w:rsidRDefault="00F457F9" w:rsidP="00F457F9">
      <w:pPr>
        <w:pStyle w:val="StyleHeader4Para4Left0Firstline0"/>
        <w:numPr>
          <w:ilvl w:val="0"/>
          <w:numId w:val="0"/>
        </w:numPr>
        <w:jc w:val="center"/>
        <w:rPr>
          <w:b/>
          <w:caps/>
          <w:sz w:val="22"/>
          <w:lang w:val="en-CA"/>
        </w:rPr>
      </w:pPr>
      <w:r>
        <w:rPr>
          <w:b/>
          <w:caps/>
          <w:sz w:val="22"/>
          <w:lang w:val="en-CA"/>
        </w:rPr>
        <w:br w:type="textWrapping" w:clear="all"/>
      </w:r>
    </w:p>
    <w:p w14:paraId="33A6E310" w14:textId="2C5B335D" w:rsidR="00F457F9" w:rsidRDefault="00F457F9" w:rsidP="0037190F">
      <w:pPr>
        <w:jc w:val="center"/>
        <w:rPr>
          <w:lang w:val="fr-CA"/>
        </w:rPr>
      </w:pPr>
    </w:p>
    <w:p w14:paraId="41CE381F" w14:textId="77777777" w:rsidR="00F457F9" w:rsidRDefault="00F457F9" w:rsidP="0037190F">
      <w:pPr>
        <w:jc w:val="center"/>
        <w:rPr>
          <w:lang w:val="fr-CA"/>
        </w:rPr>
      </w:pPr>
    </w:p>
    <w:p w14:paraId="51FB1FAD" w14:textId="77777777" w:rsidR="00BF17C8" w:rsidRDefault="00BF17C8" w:rsidP="0037190F">
      <w:pPr>
        <w:jc w:val="center"/>
        <w:rPr>
          <w:lang w:val="fr-CA"/>
        </w:rPr>
        <w:sectPr w:rsidR="00BF17C8" w:rsidSect="0037190F">
          <w:headerReference w:type="even" r:id="rId18"/>
          <w:footerReference w:type="even" r:id="rId19"/>
          <w:headerReference w:type="first" r:id="rId20"/>
          <w:footerReference w:type="first" r:id="rId21"/>
          <w:pgSz w:w="12240" w:h="15840" w:code="1"/>
          <w:pgMar w:top="720" w:right="1440" w:bottom="864" w:left="1440" w:header="720" w:footer="475" w:gutter="0"/>
          <w:pgNumType w:start="1"/>
          <w:cols w:space="720"/>
          <w:titlePg/>
        </w:sectPr>
      </w:pPr>
    </w:p>
    <w:p w14:paraId="32C6043D" w14:textId="451D32EA" w:rsidR="00BF17C8" w:rsidRPr="00F457F9" w:rsidRDefault="00BF17C8" w:rsidP="0037190F">
      <w:pPr>
        <w:jc w:val="center"/>
        <w:rPr>
          <w:b/>
          <w:lang w:val="fr-CA"/>
        </w:rPr>
      </w:pPr>
      <w:r w:rsidRPr="00F457F9">
        <w:rPr>
          <w:b/>
          <w:lang w:val="fr-CA"/>
        </w:rPr>
        <w:lastRenderedPageBreak/>
        <w:t>Annexe II</w:t>
      </w:r>
    </w:p>
    <w:p w14:paraId="0C370BA2" w14:textId="1E02835D" w:rsidR="00BF17C8" w:rsidRDefault="00BF17C8" w:rsidP="0037190F">
      <w:pPr>
        <w:jc w:val="center"/>
        <w:rPr>
          <w:lang w:val="fr-CA"/>
        </w:rPr>
      </w:pPr>
    </w:p>
    <w:p w14:paraId="58A3AFED" w14:textId="77777777" w:rsidR="00F457F9" w:rsidRPr="00FD1CAA" w:rsidRDefault="00F457F9" w:rsidP="00F457F9">
      <w:pPr>
        <w:pStyle w:val="StyleHeader4Para4Left0Firstline0"/>
        <w:numPr>
          <w:ilvl w:val="0"/>
          <w:numId w:val="0"/>
        </w:numPr>
        <w:jc w:val="center"/>
        <w:rPr>
          <w:b/>
          <w:caps/>
          <w:sz w:val="22"/>
          <w:lang w:val="en-CA"/>
        </w:rPr>
      </w:pPr>
      <w:r w:rsidRPr="005F13EC">
        <w:rPr>
          <w:b/>
          <w:caps/>
          <w:sz w:val="22"/>
          <w:lang w:val="en-CA"/>
        </w:rPr>
        <w:t>PROJECTS THAT ARE CLASSIFIED AS “NO PROGRESS” and are recommended for continued monitoring</w:t>
      </w:r>
    </w:p>
    <w:tbl>
      <w:tblPr>
        <w:tblW w:w="9609" w:type="dxa"/>
        <w:tblInd w:w="-185" w:type="dxa"/>
        <w:tblLook w:val="04A0" w:firstRow="1" w:lastRow="0" w:firstColumn="1" w:lastColumn="0" w:noHBand="0" w:noVBand="1"/>
      </w:tblPr>
      <w:tblGrid>
        <w:gridCol w:w="2070"/>
        <w:gridCol w:w="2070"/>
        <w:gridCol w:w="4680"/>
        <w:gridCol w:w="789"/>
      </w:tblGrid>
      <w:tr w:rsidR="00F457F9" w:rsidRPr="00FD1CAA" w14:paraId="7925F555" w14:textId="77777777" w:rsidTr="00876646">
        <w:tc>
          <w:tcPr>
            <w:tcW w:w="207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hideMark/>
          </w:tcPr>
          <w:p w14:paraId="1AA1076B"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Country</w:t>
            </w:r>
          </w:p>
        </w:tc>
        <w:tc>
          <w:tcPr>
            <w:tcW w:w="207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2EA65210"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Code</w:t>
            </w:r>
          </w:p>
        </w:tc>
        <w:tc>
          <w:tcPr>
            <w:tcW w:w="4680" w:type="dxa"/>
            <w:tcBorders>
              <w:top w:val="single" w:sz="4" w:space="0" w:color="auto"/>
              <w:left w:val="nil"/>
              <w:bottom w:val="single" w:sz="4" w:space="0" w:color="auto"/>
              <w:right w:val="single" w:sz="4" w:space="0" w:color="auto"/>
            </w:tcBorders>
            <w:shd w:val="clear" w:color="auto" w:fill="auto"/>
            <w:tcMar>
              <w:left w:w="72" w:type="dxa"/>
              <w:right w:w="72" w:type="dxa"/>
            </w:tcMar>
            <w:hideMark/>
          </w:tcPr>
          <w:p w14:paraId="3DA70083" w14:textId="77777777" w:rsidR="00F457F9" w:rsidRPr="00FD1CAA" w:rsidRDefault="00F457F9" w:rsidP="00876646">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789" w:type="dxa"/>
            <w:tcBorders>
              <w:top w:val="single" w:sz="4" w:space="0" w:color="auto"/>
              <w:left w:val="nil"/>
              <w:bottom w:val="single" w:sz="4" w:space="0" w:color="auto"/>
              <w:right w:val="single" w:sz="4" w:space="0" w:color="auto"/>
            </w:tcBorders>
            <w:shd w:val="clear" w:color="auto" w:fill="auto"/>
            <w:tcMar>
              <w:left w:w="72" w:type="dxa"/>
              <w:right w:w="72" w:type="dxa"/>
            </w:tcMar>
            <w:vAlign w:val="center"/>
            <w:hideMark/>
          </w:tcPr>
          <w:p w14:paraId="4ACB6D1E"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Agency</w:t>
            </w:r>
          </w:p>
        </w:tc>
      </w:tr>
      <w:tr w:rsidR="00F457F9" w:rsidRPr="00FD1CAA" w14:paraId="483EB8E4"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041AB2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Barbados </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24EBE2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BAR/PHA/80/TAS/26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11E265C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566EA7E"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3F3C543F"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947E9D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China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6E3470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CPR/PHA/77/INV/574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1828DAE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II, first tranche) (room air-conditioner manufacturing sector plan)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26246A0"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Italy</w:t>
            </w:r>
          </w:p>
        </w:tc>
      </w:tr>
      <w:tr w:rsidR="00F457F9" w:rsidRPr="00FD1CAA" w14:paraId="3D910737"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878D2E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E40800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PRC/PHA/76/TAS/30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B7B58C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60A2097"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29B2DA03"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7FCE91F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2C2610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DRK/PHA/73/INV/59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66125C6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HCFC phase-out management plan (stage I, first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970DBF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r>
      <w:tr w:rsidR="00F457F9" w:rsidRPr="00FD1CAA" w14:paraId="6C177B3E"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D626BA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53C9835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DRK/PHA/73/TAS/60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74C19DD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2D1222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r>
      <w:tr w:rsidR="00F457F9" w:rsidRPr="00FD1CAA" w14:paraId="66A43C04"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BDFF44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9AA4FD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DRK/PHA/75/INV/62</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55C57FA3"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HCFC phase-out management plan (stage I, second tranche) (phase-out of HCFC-141b in polyurethane foam sector at Pyongyang </w:t>
            </w:r>
            <w:proofErr w:type="spellStart"/>
            <w:r w:rsidRPr="00FD1CAA">
              <w:rPr>
                <w:color w:val="000000"/>
                <w:sz w:val="20"/>
                <w:szCs w:val="20"/>
                <w:lang w:val="en-CA" w:eastAsia="en-CA"/>
              </w:rPr>
              <w:t>Sonbong</w:t>
            </w:r>
            <w:proofErr w:type="spellEnd"/>
            <w:r w:rsidRPr="00FD1CAA">
              <w:rPr>
                <w:color w:val="000000"/>
                <w:sz w:val="20"/>
                <w:szCs w:val="20"/>
                <w:lang w:val="en-CA" w:eastAsia="en-CA"/>
              </w:rPr>
              <w:t xml:space="preserve"> and </w:t>
            </w:r>
            <w:proofErr w:type="spellStart"/>
            <w:r w:rsidRPr="00FD1CAA">
              <w:rPr>
                <w:color w:val="000000"/>
                <w:sz w:val="20"/>
                <w:szCs w:val="20"/>
                <w:lang w:val="en-CA" w:eastAsia="en-CA"/>
              </w:rPr>
              <w:t>Puhung</w:t>
            </w:r>
            <w:proofErr w:type="spellEnd"/>
            <w:r w:rsidRPr="00FD1CAA">
              <w:rPr>
                <w:color w:val="000000"/>
                <w:sz w:val="20"/>
                <w:szCs w:val="20"/>
                <w:lang w:val="en-CA" w:eastAsia="en-CA"/>
              </w:rPr>
              <w:t xml:space="preserve"> Building Materials)</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4BE6137"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r>
      <w:tr w:rsidR="00F457F9" w:rsidRPr="00FD1CAA" w14:paraId="6E4C3162"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59F58C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People's Republic of Korea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D1D45F3"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DRK/PHA/77/INV/64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711409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tranche) (policy, refrigeration servicing and monitoring)</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2BE79502"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r>
      <w:tr w:rsidR="00F457F9" w:rsidRPr="00FD1CAA" w14:paraId="32BB401B"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7C0F7DA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Republic of the Congo (the)</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9535B3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DRC/PHA/80/TAS/44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0DDFED3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629CC194"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4A72972A"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54971084"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261877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KUW/PHA/66/TAS/19</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3296050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first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04C4EAA"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0ACEC869"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291E041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Kuwait</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F8EE9E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KUW/PHA/74/TAS/23</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8B001B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second tranche) (refrigeration servicing sector and monitoring and verification)</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33E5EFD"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14114AE8"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39EB15F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Libya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0AB6DA4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LIB/PHA/75/INV/36</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23E07E6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first tranche) (foam sector)</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65E207D"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r>
      <w:tr w:rsidR="00F457F9" w:rsidRPr="00FD1CAA" w14:paraId="1DE39D00"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7673648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Mauritania</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43E5268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MAU/PHA/80/TAS/24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4903D09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2666954"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225A7673"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400AC88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Saint Kitts and Nevis</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8BC312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STK/PHA/74/TAS/20</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66B7330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1D2EAAC8"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r w:rsidR="00F457F9" w:rsidRPr="00FD1CAA" w14:paraId="7567E53E" w14:textId="77777777" w:rsidTr="00876646">
        <w:tc>
          <w:tcPr>
            <w:tcW w:w="2070" w:type="dxa"/>
            <w:tcBorders>
              <w:top w:val="nil"/>
              <w:left w:val="single" w:sz="4" w:space="0" w:color="auto"/>
              <w:bottom w:val="single" w:sz="4" w:space="0" w:color="auto"/>
              <w:right w:val="single" w:sz="4" w:space="0" w:color="auto"/>
            </w:tcBorders>
            <w:shd w:val="clear" w:color="auto" w:fill="auto"/>
            <w:tcMar>
              <w:left w:w="72" w:type="dxa"/>
              <w:right w:w="72" w:type="dxa"/>
            </w:tcMar>
            <w:vAlign w:val="center"/>
            <w:hideMark/>
          </w:tcPr>
          <w:p w14:paraId="037EF1A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South Sudan</w:t>
            </w:r>
          </w:p>
        </w:tc>
        <w:tc>
          <w:tcPr>
            <w:tcW w:w="2070"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380A096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SSD/PHA/77/TAS/04</w:t>
            </w:r>
          </w:p>
        </w:tc>
        <w:tc>
          <w:tcPr>
            <w:tcW w:w="4680" w:type="dxa"/>
            <w:tcBorders>
              <w:top w:val="nil"/>
              <w:left w:val="nil"/>
              <w:bottom w:val="single" w:sz="4" w:space="0" w:color="auto"/>
              <w:right w:val="single" w:sz="4" w:space="0" w:color="auto"/>
            </w:tcBorders>
            <w:shd w:val="clear" w:color="auto" w:fill="auto"/>
            <w:tcMar>
              <w:left w:w="72" w:type="dxa"/>
              <w:right w:w="72" w:type="dxa"/>
            </w:tcMar>
            <w:hideMark/>
          </w:tcPr>
          <w:p w14:paraId="7418B8C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first tranche)</w:t>
            </w:r>
          </w:p>
        </w:tc>
        <w:tc>
          <w:tcPr>
            <w:tcW w:w="789" w:type="dxa"/>
            <w:tcBorders>
              <w:top w:val="nil"/>
              <w:left w:val="nil"/>
              <w:bottom w:val="single" w:sz="4" w:space="0" w:color="auto"/>
              <w:right w:val="single" w:sz="4" w:space="0" w:color="auto"/>
            </w:tcBorders>
            <w:shd w:val="clear" w:color="auto" w:fill="auto"/>
            <w:tcMar>
              <w:left w:w="72" w:type="dxa"/>
              <w:right w:w="72" w:type="dxa"/>
            </w:tcMar>
            <w:vAlign w:val="center"/>
            <w:hideMark/>
          </w:tcPr>
          <w:p w14:paraId="73754869"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r>
    </w:tbl>
    <w:p w14:paraId="617650AA" w14:textId="77777777" w:rsidR="00F457F9" w:rsidRDefault="00F457F9" w:rsidP="0037190F">
      <w:pPr>
        <w:jc w:val="center"/>
        <w:rPr>
          <w:lang w:val="fr-CA"/>
        </w:rPr>
      </w:pPr>
    </w:p>
    <w:p w14:paraId="2B55E7BF" w14:textId="36F1E999" w:rsidR="00BF17C8" w:rsidRDefault="00BF17C8" w:rsidP="0037190F">
      <w:pPr>
        <w:jc w:val="center"/>
        <w:rPr>
          <w:lang w:val="fr-CA"/>
        </w:rPr>
      </w:pPr>
    </w:p>
    <w:p w14:paraId="5578B335" w14:textId="77777777" w:rsidR="00BF17C8" w:rsidRDefault="00BF17C8" w:rsidP="0037190F">
      <w:pPr>
        <w:jc w:val="center"/>
        <w:rPr>
          <w:lang w:val="fr-CA"/>
        </w:rPr>
        <w:sectPr w:rsidR="00BF17C8" w:rsidSect="0037190F">
          <w:headerReference w:type="first" r:id="rId22"/>
          <w:footerReference w:type="first" r:id="rId23"/>
          <w:pgSz w:w="12240" w:h="15840" w:code="1"/>
          <w:pgMar w:top="720" w:right="1440" w:bottom="864" w:left="1440" w:header="720" w:footer="475" w:gutter="0"/>
          <w:pgNumType w:start="1"/>
          <w:cols w:space="720"/>
          <w:titlePg/>
        </w:sectPr>
      </w:pPr>
    </w:p>
    <w:p w14:paraId="799B6E11" w14:textId="35E68761" w:rsidR="00BF17C8" w:rsidRDefault="00BF17C8" w:rsidP="0037190F">
      <w:pPr>
        <w:jc w:val="center"/>
        <w:rPr>
          <w:b/>
          <w:lang w:val="fr-CA"/>
        </w:rPr>
      </w:pPr>
      <w:r w:rsidRPr="00F457F9">
        <w:rPr>
          <w:b/>
          <w:lang w:val="fr-CA"/>
        </w:rPr>
        <w:lastRenderedPageBreak/>
        <w:t>Annexe III</w:t>
      </w:r>
    </w:p>
    <w:p w14:paraId="67E45EF1" w14:textId="77777777" w:rsidR="00F457F9" w:rsidRPr="00F457F9" w:rsidRDefault="00F457F9" w:rsidP="0037190F">
      <w:pPr>
        <w:jc w:val="center"/>
        <w:rPr>
          <w:b/>
          <w:lang w:val="fr-CA"/>
        </w:rPr>
      </w:pPr>
    </w:p>
    <w:p w14:paraId="1DEA3402" w14:textId="77777777" w:rsidR="00F457F9" w:rsidRPr="00FD1CAA" w:rsidRDefault="00F457F9" w:rsidP="00F457F9">
      <w:pPr>
        <w:keepNext/>
        <w:spacing w:after="240"/>
        <w:jc w:val="center"/>
        <w:rPr>
          <w:b/>
          <w:bCs/>
          <w:lang w:val="en-CA"/>
        </w:rPr>
      </w:pPr>
      <w:r w:rsidRPr="00FD1CAA">
        <w:rPr>
          <w:b/>
          <w:bCs/>
          <w:lang w:val="en-CA"/>
        </w:rPr>
        <w:t xml:space="preserve">PROJECTS FOR WHICH ADDITIONAL STATUS REPORTS ARE REQUESTED </w:t>
      </w:r>
    </w:p>
    <w:tbl>
      <w:tblPr>
        <w:tblW w:w="9360" w:type="dxa"/>
        <w:jc w:val="center"/>
        <w:tblLook w:val="04A0" w:firstRow="1" w:lastRow="0" w:firstColumn="1" w:lastColumn="0" w:noHBand="0" w:noVBand="1"/>
      </w:tblPr>
      <w:tblGrid>
        <w:gridCol w:w="1401"/>
        <w:gridCol w:w="2061"/>
        <w:gridCol w:w="2534"/>
        <w:gridCol w:w="801"/>
        <w:gridCol w:w="2563"/>
      </w:tblGrid>
      <w:tr w:rsidR="00F457F9" w:rsidRPr="00FD1CAA" w14:paraId="16A850D7" w14:textId="77777777" w:rsidTr="00876646">
        <w:trPr>
          <w:tblHeader/>
          <w:jc w:val="center"/>
        </w:trPr>
        <w:tc>
          <w:tcPr>
            <w:tcW w:w="145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hideMark/>
          </w:tcPr>
          <w:p w14:paraId="3CD9FC54"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Country</w:t>
            </w:r>
          </w:p>
        </w:tc>
        <w:tc>
          <w:tcPr>
            <w:tcW w:w="2061"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11B206EC"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Code</w:t>
            </w:r>
          </w:p>
        </w:tc>
        <w:tc>
          <w:tcPr>
            <w:tcW w:w="2784"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75C04E7E" w14:textId="77777777" w:rsidR="00F457F9" w:rsidRPr="00FD1CAA" w:rsidRDefault="00F457F9" w:rsidP="00876646">
            <w:pPr>
              <w:jc w:val="center"/>
              <w:rPr>
                <w:b/>
                <w:bCs/>
                <w:color w:val="000000"/>
                <w:sz w:val="20"/>
                <w:szCs w:val="20"/>
                <w:lang w:val="en-CA" w:eastAsia="en-CA"/>
              </w:rPr>
            </w:pPr>
            <w:r>
              <w:rPr>
                <w:b/>
                <w:bCs/>
                <w:color w:val="000000"/>
                <w:sz w:val="20"/>
                <w:szCs w:val="20"/>
                <w:lang w:val="en-CA" w:eastAsia="en-CA"/>
              </w:rPr>
              <w:t>Project t</w:t>
            </w:r>
            <w:r w:rsidRPr="00FD1CAA">
              <w:rPr>
                <w:b/>
                <w:bCs/>
                <w:color w:val="000000"/>
                <w:sz w:val="20"/>
                <w:szCs w:val="20"/>
                <w:lang w:val="en-CA" w:eastAsia="en-CA"/>
              </w:rPr>
              <w:t>itle</w:t>
            </w:r>
          </w:p>
        </w:tc>
        <w:tc>
          <w:tcPr>
            <w:tcW w:w="81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6D9031E7"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Agency</w:t>
            </w:r>
          </w:p>
        </w:tc>
        <w:tc>
          <w:tcPr>
            <w:tcW w:w="2785" w:type="dxa"/>
            <w:tcBorders>
              <w:top w:val="single" w:sz="4" w:space="0" w:color="auto"/>
              <w:left w:val="nil"/>
              <w:bottom w:val="single" w:sz="4" w:space="0" w:color="auto"/>
              <w:right w:val="single" w:sz="4" w:space="0" w:color="auto"/>
            </w:tcBorders>
            <w:shd w:val="clear" w:color="auto" w:fill="auto"/>
            <w:tcMar>
              <w:left w:w="58" w:type="dxa"/>
              <w:right w:w="58" w:type="dxa"/>
            </w:tcMar>
            <w:hideMark/>
          </w:tcPr>
          <w:p w14:paraId="4FD76E1E" w14:textId="77777777" w:rsidR="00F457F9" w:rsidRPr="00FD1CAA" w:rsidRDefault="00F457F9" w:rsidP="00876646">
            <w:pPr>
              <w:jc w:val="center"/>
              <w:rPr>
                <w:b/>
                <w:bCs/>
                <w:color w:val="000000"/>
                <w:sz w:val="20"/>
                <w:szCs w:val="20"/>
                <w:lang w:val="en-CA" w:eastAsia="en-CA"/>
              </w:rPr>
            </w:pPr>
            <w:r w:rsidRPr="00FD1CAA">
              <w:rPr>
                <w:b/>
                <w:bCs/>
                <w:color w:val="000000"/>
                <w:sz w:val="20"/>
                <w:szCs w:val="20"/>
                <w:lang w:val="en-CA" w:eastAsia="en-CA"/>
              </w:rPr>
              <w:t>Recommendation</w:t>
            </w:r>
          </w:p>
        </w:tc>
      </w:tr>
      <w:tr w:rsidR="00F457F9" w:rsidRPr="00FD1CAA" w14:paraId="1CB24D2E"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231F6B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Algeria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D27D3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ALG/SEV/73/INS/81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31A32F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VI: 12/2014-11/2016)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F223054"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DA4F75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15BB43AB"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F479F7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9BEB76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ANT/SEV/73/INS/16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248EFCC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institutional strengthening project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C834837"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376201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0B1B29F6"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4C1FBB1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Antigua and Barbuda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858E4C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ANT/PHA/73/PRP/17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054E73F4"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DC30546"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DAE19A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F457F9" w:rsidRPr="00FD1CAA" w14:paraId="5A360E0F"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C25735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Bahamas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3C7D56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BHA/PHA/82/TAS/27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452E514"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Verification report on the implementation of the HCFC phase out management plan</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B2AF221"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4997A8D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 xml:space="preserve">the </w:t>
            </w:r>
            <w:r w:rsidRPr="00FD1CAA">
              <w:rPr>
                <w:color w:val="000000"/>
                <w:sz w:val="20"/>
                <w:szCs w:val="20"/>
                <w:lang w:val="en-CA" w:eastAsia="en-CA"/>
              </w:rPr>
              <w:t xml:space="preserve">status of preparation of </w:t>
            </w:r>
            <w:r>
              <w:rPr>
                <w:color w:val="000000"/>
                <w:sz w:val="20"/>
                <w:szCs w:val="20"/>
                <w:lang w:val="en-CA" w:eastAsia="en-CA"/>
              </w:rPr>
              <w:t xml:space="preserve">the </w:t>
            </w:r>
            <w:r w:rsidRPr="00FD1CAA">
              <w:rPr>
                <w:color w:val="000000"/>
                <w:sz w:val="20"/>
                <w:szCs w:val="20"/>
                <w:lang w:val="en-CA" w:eastAsia="en-CA"/>
              </w:rPr>
              <w:t>verification report</w:t>
            </w:r>
          </w:p>
        </w:tc>
      </w:tr>
      <w:tr w:rsidR="00F457F9" w:rsidRPr="00FD1CAA" w14:paraId="58E6A819"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6C6453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Bangladesh</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5B35A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BGD/PHA/81/TAS/49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92681F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II, first tranche) (project management unit)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553C374"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97E2F3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53B8D901"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3CBB3B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Bangladesh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8BACEF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BGD/PHA/81/INV/51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1A1F4B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w:t>
            </w:r>
            <w:r>
              <w:rPr>
                <w:color w:val="000000"/>
                <w:sz w:val="20"/>
                <w:szCs w:val="20"/>
                <w:lang w:val="en-CA" w:eastAsia="en-CA"/>
              </w:rPr>
              <w:t xml:space="preserve"> (stage II, first tranche) (air</w:t>
            </w:r>
            <w:r>
              <w:rPr>
                <w:color w:val="000000"/>
                <w:sz w:val="20"/>
                <w:szCs w:val="20"/>
                <w:lang w:val="en-CA" w:eastAsia="en-CA"/>
              </w:rPr>
              <w:noBreakHyphen/>
            </w:r>
            <w:r w:rsidRPr="00FD1CAA">
              <w:rPr>
                <w:color w:val="000000"/>
                <w:sz w:val="20"/>
                <w:szCs w:val="20"/>
                <w:lang w:val="en-CA" w:eastAsia="en-CA"/>
              </w:rPr>
              <w:t>conditioning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36631B"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A84CCF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3ECE00E4"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569E62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Central African Republic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AAEA05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CAF/SEV/68/INS/23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849D1F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VI: 1/2013-12/2014)</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309D384"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B044B6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7047F523"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0050D7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Democratic Republic of the Congo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CE136A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DRC/PHA/79/PRP/42 </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46FADB5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0BDA087"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5C4218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F457F9" w:rsidRPr="00FD1CAA" w14:paraId="0331B307"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3943488"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7AFFFC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DMI/SEV/80/INS/23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5F43BD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Additional emergency assistance for institutional strengthening</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5A9DE4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0C07AB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the small-scale funding agreement (</w:t>
            </w:r>
            <w:r w:rsidRPr="00FD1CAA">
              <w:rPr>
                <w:color w:val="000000"/>
                <w:sz w:val="20"/>
                <w:szCs w:val="20"/>
                <w:lang w:val="en-CA" w:eastAsia="en-CA"/>
              </w:rPr>
              <w:t>SSFA</w:t>
            </w:r>
            <w:r>
              <w:rPr>
                <w:color w:val="000000"/>
                <w:sz w:val="20"/>
                <w:szCs w:val="20"/>
                <w:lang w:val="en-CA" w:eastAsia="en-CA"/>
              </w:rPr>
              <w:t>)</w:t>
            </w:r>
            <w:r w:rsidRPr="00FD1CAA">
              <w:rPr>
                <w:color w:val="000000"/>
                <w:sz w:val="20"/>
                <w:szCs w:val="20"/>
                <w:lang w:val="en-CA" w:eastAsia="en-CA"/>
              </w:rPr>
              <w:t xml:space="preserve"> and progress in implementation </w:t>
            </w:r>
          </w:p>
        </w:tc>
      </w:tr>
      <w:tr w:rsidR="00F457F9" w:rsidRPr="00FD1CAA" w14:paraId="6746BD44"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4ADCB84"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 xml:space="preserve">Dominica </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A6554B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DMI/SEV/81/INS/24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C70693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VII: 6/2018-5/2020 )</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824B29"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48A435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F457F9" w:rsidRPr="00FD1CAA" w14:paraId="79EBEB0F"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FD7D74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66ACF7B"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HAI/SEV/75/INS/20</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AA671D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IV: 11/2015-10/2017)</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E6AC609"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13C1B3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status of submission of progress and financial reports</w:t>
            </w:r>
          </w:p>
        </w:tc>
      </w:tr>
      <w:tr w:rsidR="00F457F9" w:rsidRPr="00FD1CAA" w14:paraId="3B8E8E63"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AA58A7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Haiti</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BBF0CA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HAI/PHA/76/INV/22</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B55D07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second tranche)</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62C39A1"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UNDP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9ABB6B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delivery of equipment</w:t>
            </w:r>
          </w:p>
        </w:tc>
      </w:tr>
      <w:tr w:rsidR="00F457F9" w:rsidRPr="00FD1CAA" w14:paraId="675841DA"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6F92D0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404C5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KUW/PHA/83/INV/36</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DBC87C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tranche) (polyurethane foam sector phase-out)</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4B2D58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5BB5C52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F457F9" w:rsidRPr="00FD1CAA" w14:paraId="23D62159"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FE3313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Kuwait</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9E50AB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KUW/PHA/83/TAS/37</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32D7E2B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tranche) (refrigeration servicing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F2286F1"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0A9F7EF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F457F9" w:rsidRPr="00FD1CAA" w14:paraId="48ABF4ED"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8CA0A7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lastRenderedPageBreak/>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A00DE8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LIB/FOA/82/PRP/41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E65FD0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Preparation for HCFC phase-out investment activities (stage II) (foam sector)</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9A96F95"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642A5FD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F457F9" w:rsidRPr="00FD1CAA" w14:paraId="4A28B9D0"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7E013EC"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Libya</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A6906D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LIB/PHA/82/PRP/43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A37881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Preparation of a HCFC phase-out management plan (stage II)</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F6BF5F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BC75C3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w:t>
            </w:r>
            <w:r>
              <w:rPr>
                <w:color w:val="000000"/>
                <w:sz w:val="20"/>
                <w:szCs w:val="20"/>
                <w:lang w:val="en-CA" w:eastAsia="en-CA"/>
              </w:rPr>
              <w:t>stage </w:t>
            </w:r>
            <w:r w:rsidRPr="00FD1CAA">
              <w:rPr>
                <w:color w:val="000000"/>
                <w:sz w:val="20"/>
                <w:szCs w:val="20"/>
                <w:lang w:val="en-CA" w:eastAsia="en-CA"/>
              </w:rPr>
              <w:t>II preparation</w:t>
            </w:r>
          </w:p>
        </w:tc>
      </w:tr>
      <w:tr w:rsidR="00F457F9" w:rsidRPr="00FD1CAA" w14:paraId="4690C735"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76D3DA0"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Mozambique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4E1ED8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MOZ/PHA/83/INV/31</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A623C0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HCFC phase-out management plan (stage I, third and fourth tranches)</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5A65055"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78649AB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F457F9" w:rsidRPr="00FD1CAA" w14:paraId="44A5149E"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B371CFD"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South Sudan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C5FDC7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SSD/SEV/76/INS/03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149AABA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Institutional strengthening project (phase I: 5/2016-4/2018)</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CB83CBA"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12FE663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meeting on progress in implementation and disbursement of funds</w:t>
            </w:r>
          </w:p>
        </w:tc>
      </w:tr>
      <w:tr w:rsidR="00F457F9" w:rsidRPr="00FD1CAA" w14:paraId="000945C1"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C14BEC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Syrian Arab Republic</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2E88A4E"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SYR/SEV/73/INS/104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E0E7EE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institutional strengthening (phase V: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27DA2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4CE81F6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5ABC95E6"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EC5AB5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United Republic of Tanzania (the)</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4B2B9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URT/SEV/83/INS/39</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5ED3C7DF"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VII: 7/2019-6/2021)</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A7A08F"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2C7816A"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w:t>
            </w:r>
            <w:r>
              <w:rPr>
                <w:color w:val="000000"/>
                <w:sz w:val="20"/>
                <w:szCs w:val="20"/>
                <w:lang w:val="en-CA" w:eastAsia="en-CA"/>
              </w:rPr>
              <w:t>the signing</w:t>
            </w:r>
            <w:r w:rsidRPr="00FD1CAA">
              <w:rPr>
                <w:color w:val="000000"/>
                <w:sz w:val="20"/>
                <w:szCs w:val="20"/>
                <w:lang w:val="en-CA" w:eastAsia="en-CA"/>
              </w:rPr>
              <w:t xml:space="preserve"> of </w:t>
            </w:r>
            <w:r>
              <w:rPr>
                <w:color w:val="000000"/>
                <w:sz w:val="20"/>
                <w:szCs w:val="20"/>
                <w:lang w:val="en-CA" w:eastAsia="en-CA"/>
              </w:rPr>
              <w:t xml:space="preserve">the </w:t>
            </w:r>
            <w:r w:rsidRPr="00FD1CAA">
              <w:rPr>
                <w:color w:val="000000"/>
                <w:sz w:val="20"/>
                <w:szCs w:val="20"/>
                <w:lang w:val="en-CA" w:eastAsia="en-CA"/>
              </w:rPr>
              <w:t xml:space="preserve">SSFA and progress in implementation </w:t>
            </w:r>
          </w:p>
        </w:tc>
      </w:tr>
      <w:tr w:rsidR="00F457F9" w:rsidRPr="00FD1CAA" w14:paraId="3E5BAAB4"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FCF82F5"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Yemen</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6DFA1C9"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YEM/SEV/73/INS/43</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6C4E590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Extension of the institutional strengthening project (phase VIII: 1/2015-12/2016)</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4B99C63"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UNEP</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2FB142C7"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4B674A">
              <w:rPr>
                <w:color w:val="000000"/>
                <w:sz w:val="20"/>
                <w:szCs w:val="20"/>
                <w:vertAlign w:val="superscript"/>
                <w:lang w:val="en-CA" w:eastAsia="en-CA"/>
              </w:rPr>
              <w:t>th</w:t>
            </w:r>
            <w:r>
              <w:rPr>
                <w:color w:val="000000"/>
                <w:sz w:val="20"/>
                <w:szCs w:val="20"/>
                <w:lang w:val="en-CA" w:eastAsia="en-CA"/>
              </w:rPr>
              <w:t> </w:t>
            </w:r>
            <w:r w:rsidRPr="00FD1CAA">
              <w:rPr>
                <w:color w:val="000000"/>
                <w:sz w:val="20"/>
                <w:szCs w:val="20"/>
                <w:lang w:val="en-CA" w:eastAsia="en-CA"/>
              </w:rPr>
              <w:t xml:space="preserve">meeting on progress in implementation </w:t>
            </w:r>
          </w:p>
        </w:tc>
      </w:tr>
      <w:tr w:rsidR="00F457F9" w:rsidRPr="00FD1CAA" w14:paraId="755DAAFD" w14:textId="77777777" w:rsidTr="00876646">
        <w:trPr>
          <w:jc w:val="center"/>
        </w:trPr>
        <w:tc>
          <w:tcPr>
            <w:tcW w:w="1455"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DB09022"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Global</w:t>
            </w:r>
          </w:p>
        </w:tc>
        <w:tc>
          <w:tcPr>
            <w:tcW w:w="2061"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99652E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GLO/REF/80/DEM/344</w:t>
            </w:r>
          </w:p>
        </w:tc>
        <w:tc>
          <w:tcPr>
            <w:tcW w:w="2784" w:type="dxa"/>
            <w:tcBorders>
              <w:top w:val="nil"/>
              <w:left w:val="nil"/>
              <w:bottom w:val="single" w:sz="4" w:space="0" w:color="auto"/>
              <w:right w:val="single" w:sz="4" w:space="0" w:color="auto"/>
            </w:tcBorders>
            <w:shd w:val="clear" w:color="auto" w:fill="auto"/>
            <w:tcMar>
              <w:left w:w="58" w:type="dxa"/>
              <w:right w:w="58" w:type="dxa"/>
            </w:tcMar>
            <w:hideMark/>
          </w:tcPr>
          <w:p w14:paraId="76F726A1"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Global chiller replacement project (Argentina)</w:t>
            </w:r>
          </w:p>
        </w:tc>
        <w:tc>
          <w:tcPr>
            <w:tcW w:w="81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291EFF8" w14:textId="77777777" w:rsidR="00F457F9" w:rsidRPr="00FD1CAA" w:rsidRDefault="00F457F9" w:rsidP="00876646">
            <w:pPr>
              <w:jc w:val="center"/>
              <w:rPr>
                <w:color w:val="000000"/>
                <w:sz w:val="20"/>
                <w:szCs w:val="20"/>
                <w:lang w:val="en-CA" w:eastAsia="en-CA"/>
              </w:rPr>
            </w:pPr>
            <w:r w:rsidRPr="00FD1CAA">
              <w:rPr>
                <w:color w:val="000000"/>
                <w:sz w:val="20"/>
                <w:szCs w:val="20"/>
                <w:lang w:val="en-CA" w:eastAsia="en-CA"/>
              </w:rPr>
              <w:t>UNIDO</w:t>
            </w:r>
          </w:p>
        </w:tc>
        <w:tc>
          <w:tcPr>
            <w:tcW w:w="2785" w:type="dxa"/>
            <w:tcBorders>
              <w:top w:val="nil"/>
              <w:left w:val="nil"/>
              <w:bottom w:val="single" w:sz="4" w:space="0" w:color="auto"/>
              <w:right w:val="single" w:sz="4" w:space="0" w:color="auto"/>
            </w:tcBorders>
            <w:shd w:val="clear" w:color="auto" w:fill="auto"/>
            <w:tcMar>
              <w:left w:w="58" w:type="dxa"/>
              <w:right w:w="58" w:type="dxa"/>
            </w:tcMar>
            <w:hideMark/>
          </w:tcPr>
          <w:p w14:paraId="33AFABC6" w14:textId="77777777" w:rsidR="00F457F9" w:rsidRPr="00FD1CAA" w:rsidRDefault="00F457F9" w:rsidP="00876646">
            <w:pPr>
              <w:jc w:val="left"/>
              <w:rPr>
                <w:color w:val="000000"/>
                <w:sz w:val="20"/>
                <w:szCs w:val="20"/>
                <w:lang w:val="en-CA" w:eastAsia="en-CA"/>
              </w:rPr>
            </w:pPr>
            <w:r w:rsidRPr="00FD1CAA">
              <w:rPr>
                <w:color w:val="000000"/>
                <w:sz w:val="20"/>
                <w:szCs w:val="20"/>
                <w:lang w:val="en-CA" w:eastAsia="en-CA"/>
              </w:rPr>
              <w:t>To requ</w:t>
            </w:r>
            <w:r>
              <w:rPr>
                <w:color w:val="000000"/>
                <w:sz w:val="20"/>
                <w:szCs w:val="20"/>
                <w:lang w:val="en-CA" w:eastAsia="en-CA"/>
              </w:rPr>
              <w:t>est a status report to the 88</w:t>
            </w:r>
            <w:r w:rsidRPr="008C18DF">
              <w:rPr>
                <w:color w:val="000000"/>
                <w:sz w:val="20"/>
                <w:szCs w:val="20"/>
                <w:vertAlign w:val="superscript"/>
                <w:lang w:val="en-CA" w:eastAsia="en-CA"/>
              </w:rPr>
              <w:t>th</w:t>
            </w:r>
            <w:r>
              <w:rPr>
                <w:color w:val="000000"/>
                <w:sz w:val="20"/>
                <w:szCs w:val="20"/>
                <w:lang w:val="en-CA" w:eastAsia="en-CA"/>
              </w:rPr>
              <w:t xml:space="preserve"> </w:t>
            </w:r>
            <w:r w:rsidRPr="00FD1CAA">
              <w:rPr>
                <w:color w:val="000000"/>
                <w:sz w:val="20"/>
                <w:szCs w:val="20"/>
                <w:lang w:val="en-CA" w:eastAsia="en-CA"/>
              </w:rPr>
              <w:t xml:space="preserve">meeting on progress in implementation </w:t>
            </w:r>
          </w:p>
        </w:tc>
      </w:tr>
    </w:tbl>
    <w:p w14:paraId="5F5C9AAD" w14:textId="23F0F04B" w:rsidR="00F457F9" w:rsidRPr="00F457F9" w:rsidRDefault="00F457F9" w:rsidP="0037190F">
      <w:pPr>
        <w:jc w:val="center"/>
      </w:pPr>
    </w:p>
    <w:p w14:paraId="6D3F3660" w14:textId="77777777" w:rsidR="00F457F9" w:rsidRPr="00F457F9" w:rsidRDefault="00F457F9" w:rsidP="0037190F">
      <w:pPr>
        <w:jc w:val="center"/>
        <w:rPr>
          <w:lang w:val="en-US"/>
        </w:rPr>
      </w:pPr>
    </w:p>
    <w:p w14:paraId="4D83446A" w14:textId="77777777" w:rsidR="00BF17C8" w:rsidRPr="00F457F9" w:rsidRDefault="00BF17C8" w:rsidP="0037190F">
      <w:pPr>
        <w:jc w:val="center"/>
        <w:rPr>
          <w:lang w:val="en-US"/>
        </w:rPr>
        <w:sectPr w:rsidR="00BF17C8" w:rsidRPr="00F457F9" w:rsidSect="0037190F">
          <w:headerReference w:type="even" r:id="rId24"/>
          <w:footerReference w:type="even" r:id="rId25"/>
          <w:headerReference w:type="first" r:id="rId26"/>
          <w:footerReference w:type="first" r:id="rId27"/>
          <w:pgSz w:w="12240" w:h="15840" w:code="1"/>
          <w:pgMar w:top="720" w:right="1440" w:bottom="864" w:left="1440" w:header="720" w:footer="475" w:gutter="0"/>
          <w:pgNumType w:start="1"/>
          <w:cols w:space="720"/>
          <w:titlePg/>
        </w:sectPr>
      </w:pPr>
    </w:p>
    <w:p w14:paraId="381E1990" w14:textId="134CCC82" w:rsidR="00BF17C8" w:rsidRPr="00F457F9" w:rsidRDefault="00BF17C8" w:rsidP="0037190F">
      <w:pPr>
        <w:jc w:val="center"/>
        <w:rPr>
          <w:b/>
          <w:lang w:val="fr-CA"/>
        </w:rPr>
      </w:pPr>
      <w:r w:rsidRPr="00F457F9">
        <w:rPr>
          <w:b/>
          <w:lang w:val="fr-CA"/>
        </w:rPr>
        <w:lastRenderedPageBreak/>
        <w:t>Annexe IV</w:t>
      </w:r>
    </w:p>
    <w:p w14:paraId="044E6049" w14:textId="34D3F1E8" w:rsidR="00BF17C8" w:rsidRDefault="00BF17C8" w:rsidP="0037190F">
      <w:pPr>
        <w:jc w:val="center"/>
        <w:rPr>
          <w:lang w:val="fr-CA"/>
        </w:rPr>
      </w:pPr>
    </w:p>
    <w:p w14:paraId="2332E5E9" w14:textId="77777777" w:rsidR="009E1019" w:rsidRPr="009E1019" w:rsidRDefault="009E1019" w:rsidP="009E1019">
      <w:pPr>
        <w:jc w:val="center"/>
        <w:rPr>
          <w:b/>
          <w:lang w:val="fr-CA"/>
        </w:rPr>
      </w:pPr>
      <w:r w:rsidRPr="009E1019">
        <w:rPr>
          <w:b/>
          <w:lang w:val="fr-CA"/>
        </w:rPr>
        <w:t>TEXTE À INCLURE DANS L’ACCORD MIS À JOUR ENTRE LE GOUVERNEMENT DES PHILIPPINES ET LE COMITÉ EXÉCUTIF DU FONDS MULTILATÉRAL POUR LA RÉDUCTION DE LA CONSOMMATION DES HYDROCHLOROFLUOROCARBURES</w:t>
      </w:r>
    </w:p>
    <w:p w14:paraId="72AAE48C" w14:textId="77777777" w:rsidR="009E1019" w:rsidRPr="009E1019" w:rsidRDefault="009E1019" w:rsidP="009E1019">
      <w:pPr>
        <w:jc w:val="center"/>
        <w:rPr>
          <w:lang w:val="fr-CA"/>
        </w:rPr>
      </w:pPr>
      <w:r w:rsidRPr="009E1019">
        <w:rPr>
          <w:b/>
          <w:lang w:val="fr-CA"/>
        </w:rPr>
        <w:t>(Les changements pertinents sont en caractères gras)</w:t>
      </w:r>
    </w:p>
    <w:p w14:paraId="210EC4F3" w14:textId="77777777" w:rsidR="009E1019" w:rsidRPr="009E1019" w:rsidRDefault="009E1019" w:rsidP="009E1019">
      <w:pPr>
        <w:rPr>
          <w:lang w:val="fr-CA"/>
        </w:rPr>
      </w:pPr>
    </w:p>
    <w:p w14:paraId="4EA65BF1" w14:textId="77777777" w:rsidR="009E1019" w:rsidRPr="009E1019" w:rsidRDefault="009E1019" w:rsidP="009E1019">
      <w:pPr>
        <w:pStyle w:val="Heading1"/>
        <w:numPr>
          <w:ilvl w:val="0"/>
          <w:numId w:val="0"/>
        </w:numPr>
        <w:rPr>
          <w:bCs/>
          <w:lang w:val="fr-CA"/>
        </w:rPr>
      </w:pPr>
      <w:r w:rsidRPr="009E1019">
        <w:rPr>
          <w:lang w:val="fr-CA"/>
        </w:rPr>
        <w:t>17.</w:t>
      </w:r>
      <w:r w:rsidRPr="009E1019">
        <w:rPr>
          <w:lang w:val="fr-CA"/>
        </w:rPr>
        <w:tab/>
        <w:t>À la 83</w:t>
      </w:r>
      <w:r w:rsidRPr="009E1019">
        <w:rPr>
          <w:vertAlign w:val="superscript"/>
          <w:lang w:val="fr-CA"/>
        </w:rPr>
        <w:t>e</w:t>
      </w:r>
      <w:r w:rsidRPr="009E1019">
        <w:rPr>
          <w:lang w:val="fr-CA"/>
        </w:rPr>
        <w:t xml:space="preserve"> réunion, la Banque mondiale a cessé d’agir en qualité d’agence principale, pour les activités du Pays prévues en vertu du présent Accord. Par conséquent, les responsabilités de la Banque mondiale en vertu du présent Accord ne s’étendaient que jusqu’à la 82</w:t>
      </w:r>
      <w:r w:rsidRPr="009E1019">
        <w:rPr>
          <w:vertAlign w:val="superscript"/>
          <w:lang w:val="fr-CA"/>
        </w:rPr>
        <w:t>e</w:t>
      </w:r>
      <w:r w:rsidRPr="009E1019">
        <w:rPr>
          <w:lang w:val="fr-CA"/>
        </w:rPr>
        <w:t xml:space="preserve"> réunion. Le présent accord </w:t>
      </w:r>
      <w:r w:rsidRPr="009E1019">
        <w:rPr>
          <w:b/>
          <w:lang w:val="fr-CA"/>
        </w:rPr>
        <w:t>révisé</w:t>
      </w:r>
      <w:r w:rsidRPr="009E1019">
        <w:rPr>
          <w:lang w:val="fr-CA"/>
        </w:rPr>
        <w:t xml:space="preserve"> remplace l’accord conclu entre le gouvernement des Philippines et le Comité exécutif à la </w:t>
      </w:r>
      <w:r w:rsidRPr="009E1019">
        <w:rPr>
          <w:b/>
          <w:bCs/>
          <w:lang w:val="fr-CA"/>
        </w:rPr>
        <w:t>83</w:t>
      </w:r>
      <w:r w:rsidRPr="009E1019">
        <w:rPr>
          <w:b/>
          <w:bCs/>
          <w:vertAlign w:val="superscript"/>
          <w:lang w:val="fr-CA"/>
        </w:rPr>
        <w:t>e</w:t>
      </w:r>
      <w:r w:rsidRPr="009E1019">
        <w:rPr>
          <w:lang w:val="fr-CA"/>
        </w:rPr>
        <w:t xml:space="preserve"> réunion du Comité exécutif.</w:t>
      </w:r>
    </w:p>
    <w:p w14:paraId="5F221932" w14:textId="77777777" w:rsidR="009E1019" w:rsidRPr="009E1019" w:rsidRDefault="009E1019" w:rsidP="009E1019">
      <w:pPr>
        <w:widowControl w:val="0"/>
        <w:rPr>
          <w:b/>
          <w:lang w:val="fr-CA"/>
        </w:rPr>
      </w:pPr>
      <w:r w:rsidRPr="009E1019">
        <w:rPr>
          <w:b/>
          <w:lang w:val="fr-CA"/>
        </w:rPr>
        <w:t>APPENDICE 2-A : LES OBJECTIFS ET LE FINANCEMENT</w:t>
      </w:r>
    </w:p>
    <w:p w14:paraId="3A2D7B8A" w14:textId="77777777" w:rsidR="009E1019" w:rsidRPr="009E1019" w:rsidRDefault="009E1019" w:rsidP="009E1019">
      <w:pPr>
        <w:widowControl w:val="0"/>
        <w:rPr>
          <w:b/>
          <w:lang w:val="fr-CA"/>
        </w:rPr>
      </w:pPr>
    </w:p>
    <w:tbl>
      <w:tblPr>
        <w:tblStyle w:val="TableGrid"/>
        <w:tblW w:w="9394" w:type="dxa"/>
        <w:tblLayout w:type="fixed"/>
        <w:tblLook w:val="04A0" w:firstRow="1" w:lastRow="0" w:firstColumn="1" w:lastColumn="0" w:noHBand="0" w:noVBand="1"/>
      </w:tblPr>
      <w:tblGrid>
        <w:gridCol w:w="625"/>
        <w:gridCol w:w="3287"/>
        <w:gridCol w:w="894"/>
        <w:gridCol w:w="894"/>
        <w:gridCol w:w="895"/>
        <w:gridCol w:w="894"/>
        <w:gridCol w:w="895"/>
        <w:gridCol w:w="20"/>
        <w:gridCol w:w="970"/>
        <w:gridCol w:w="20"/>
      </w:tblGrid>
      <w:tr w:rsidR="009E1019" w:rsidRPr="008A3CCC" w14:paraId="27DC1D75"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7DE937F1" w14:textId="77777777" w:rsidR="009E1019" w:rsidRPr="008A3CCC" w:rsidRDefault="009E1019" w:rsidP="00876646">
            <w:pPr>
              <w:widowControl w:val="0"/>
              <w:jc w:val="left"/>
              <w:rPr>
                <w:b/>
                <w:bCs/>
                <w:sz w:val="20"/>
                <w:szCs w:val="20"/>
              </w:rPr>
            </w:pPr>
            <w:proofErr w:type="spellStart"/>
            <w:r>
              <w:rPr>
                <w:b/>
                <w:bCs/>
                <w:sz w:val="20"/>
                <w:szCs w:val="20"/>
              </w:rPr>
              <w:t>Ligne</w:t>
            </w:r>
            <w:proofErr w:type="spellEnd"/>
          </w:p>
        </w:tc>
        <w:tc>
          <w:tcPr>
            <w:tcW w:w="3287" w:type="dxa"/>
            <w:tcBorders>
              <w:top w:val="single" w:sz="4" w:space="0" w:color="auto"/>
              <w:left w:val="single" w:sz="4" w:space="0" w:color="auto"/>
              <w:bottom w:val="single" w:sz="4" w:space="0" w:color="auto"/>
              <w:right w:val="single" w:sz="4" w:space="0" w:color="auto"/>
            </w:tcBorders>
            <w:hideMark/>
          </w:tcPr>
          <w:p w14:paraId="77141E72" w14:textId="77777777" w:rsidR="009E1019" w:rsidRPr="008A3CCC" w:rsidRDefault="009E1019" w:rsidP="00876646">
            <w:pPr>
              <w:widowControl w:val="0"/>
              <w:rPr>
                <w:b/>
                <w:bCs/>
                <w:sz w:val="20"/>
                <w:szCs w:val="20"/>
              </w:rPr>
            </w:pPr>
            <w:proofErr w:type="spellStart"/>
            <w:r>
              <w:rPr>
                <w:b/>
                <w:bCs/>
                <w:sz w:val="20"/>
                <w:szCs w:val="20"/>
              </w:rPr>
              <w:t>Paramètres</w:t>
            </w:r>
            <w:proofErr w:type="spellEnd"/>
          </w:p>
        </w:tc>
        <w:tc>
          <w:tcPr>
            <w:tcW w:w="894" w:type="dxa"/>
            <w:tcBorders>
              <w:top w:val="single" w:sz="4" w:space="0" w:color="auto"/>
              <w:left w:val="single" w:sz="4" w:space="0" w:color="auto"/>
              <w:bottom w:val="single" w:sz="4" w:space="0" w:color="auto"/>
              <w:right w:val="single" w:sz="4" w:space="0" w:color="auto"/>
            </w:tcBorders>
            <w:noWrap/>
            <w:hideMark/>
          </w:tcPr>
          <w:p w14:paraId="59E0EC08" w14:textId="77777777" w:rsidR="009E1019" w:rsidRPr="008A3CCC" w:rsidRDefault="009E1019" w:rsidP="00876646">
            <w:pPr>
              <w:widowControl w:val="0"/>
              <w:jc w:val="center"/>
              <w:rPr>
                <w:b/>
                <w:bCs/>
                <w:sz w:val="20"/>
                <w:szCs w:val="20"/>
              </w:rPr>
            </w:pPr>
            <w:r>
              <w:rPr>
                <w:b/>
                <w:bCs/>
                <w:sz w:val="20"/>
                <w:szCs w:val="20"/>
              </w:rPr>
              <w:t>2017</w:t>
            </w:r>
          </w:p>
        </w:tc>
        <w:tc>
          <w:tcPr>
            <w:tcW w:w="894" w:type="dxa"/>
            <w:tcBorders>
              <w:top w:val="single" w:sz="4" w:space="0" w:color="auto"/>
              <w:left w:val="single" w:sz="4" w:space="0" w:color="auto"/>
              <w:bottom w:val="single" w:sz="4" w:space="0" w:color="auto"/>
              <w:right w:val="single" w:sz="4" w:space="0" w:color="auto"/>
            </w:tcBorders>
            <w:noWrap/>
            <w:hideMark/>
          </w:tcPr>
          <w:p w14:paraId="24CBC90C" w14:textId="77777777" w:rsidR="009E1019" w:rsidRPr="008A3CCC" w:rsidRDefault="009E1019" w:rsidP="00876646">
            <w:pPr>
              <w:widowControl w:val="0"/>
              <w:jc w:val="center"/>
              <w:rPr>
                <w:b/>
                <w:bCs/>
                <w:sz w:val="20"/>
                <w:szCs w:val="20"/>
              </w:rPr>
            </w:pPr>
            <w:r>
              <w:rPr>
                <w:b/>
                <w:bCs/>
                <w:sz w:val="20"/>
                <w:szCs w:val="20"/>
              </w:rPr>
              <w:t>2018</w:t>
            </w:r>
          </w:p>
        </w:tc>
        <w:tc>
          <w:tcPr>
            <w:tcW w:w="895" w:type="dxa"/>
            <w:tcBorders>
              <w:top w:val="single" w:sz="4" w:space="0" w:color="auto"/>
              <w:left w:val="single" w:sz="4" w:space="0" w:color="auto"/>
              <w:bottom w:val="single" w:sz="4" w:space="0" w:color="auto"/>
              <w:right w:val="single" w:sz="4" w:space="0" w:color="auto"/>
            </w:tcBorders>
            <w:noWrap/>
            <w:hideMark/>
          </w:tcPr>
          <w:p w14:paraId="38EC988B" w14:textId="77777777" w:rsidR="009E1019" w:rsidRPr="008A3CCC" w:rsidRDefault="009E1019" w:rsidP="00876646">
            <w:pPr>
              <w:widowControl w:val="0"/>
              <w:jc w:val="center"/>
              <w:rPr>
                <w:b/>
                <w:bCs/>
                <w:sz w:val="20"/>
                <w:szCs w:val="20"/>
              </w:rPr>
            </w:pPr>
            <w:r>
              <w:rPr>
                <w:b/>
                <w:bCs/>
                <w:sz w:val="20"/>
                <w:szCs w:val="20"/>
              </w:rPr>
              <w:t>2019</w:t>
            </w:r>
          </w:p>
        </w:tc>
        <w:tc>
          <w:tcPr>
            <w:tcW w:w="894" w:type="dxa"/>
            <w:tcBorders>
              <w:top w:val="single" w:sz="4" w:space="0" w:color="auto"/>
              <w:left w:val="single" w:sz="4" w:space="0" w:color="auto"/>
              <w:bottom w:val="single" w:sz="4" w:space="0" w:color="auto"/>
              <w:right w:val="single" w:sz="4" w:space="0" w:color="auto"/>
            </w:tcBorders>
            <w:noWrap/>
            <w:hideMark/>
          </w:tcPr>
          <w:p w14:paraId="67A4D566" w14:textId="77777777" w:rsidR="009E1019" w:rsidRPr="008A3CCC" w:rsidRDefault="009E1019" w:rsidP="00876646">
            <w:pPr>
              <w:widowControl w:val="0"/>
              <w:jc w:val="center"/>
              <w:rPr>
                <w:b/>
                <w:bCs/>
                <w:sz w:val="20"/>
                <w:szCs w:val="20"/>
              </w:rPr>
            </w:pPr>
            <w:r>
              <w:rPr>
                <w:b/>
                <w:bCs/>
                <w:sz w:val="20"/>
                <w:szCs w:val="20"/>
              </w:rPr>
              <w:t>2020</w:t>
            </w:r>
          </w:p>
        </w:tc>
        <w:tc>
          <w:tcPr>
            <w:tcW w:w="895" w:type="dxa"/>
            <w:tcBorders>
              <w:top w:val="single" w:sz="4" w:space="0" w:color="auto"/>
              <w:left w:val="single" w:sz="4" w:space="0" w:color="auto"/>
              <w:bottom w:val="single" w:sz="4" w:space="0" w:color="auto"/>
              <w:right w:val="single" w:sz="4" w:space="0" w:color="auto"/>
            </w:tcBorders>
            <w:noWrap/>
            <w:hideMark/>
          </w:tcPr>
          <w:p w14:paraId="399BA024" w14:textId="77777777" w:rsidR="009E1019" w:rsidRPr="008A3CCC" w:rsidRDefault="009E1019" w:rsidP="00876646">
            <w:pPr>
              <w:widowControl w:val="0"/>
              <w:jc w:val="center"/>
              <w:rPr>
                <w:b/>
                <w:bCs/>
                <w:sz w:val="20"/>
                <w:szCs w:val="20"/>
              </w:rPr>
            </w:pPr>
            <w:r>
              <w:rPr>
                <w:b/>
                <w:bCs/>
                <w:sz w:val="20"/>
                <w:szCs w:val="20"/>
              </w:rPr>
              <w:t>2021</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225B691C" w14:textId="77777777" w:rsidR="009E1019" w:rsidRPr="008A3CCC" w:rsidRDefault="009E1019" w:rsidP="00876646">
            <w:pPr>
              <w:widowControl w:val="0"/>
              <w:jc w:val="right"/>
              <w:rPr>
                <w:b/>
                <w:bCs/>
                <w:sz w:val="20"/>
                <w:szCs w:val="20"/>
              </w:rPr>
            </w:pPr>
            <w:r>
              <w:rPr>
                <w:b/>
                <w:bCs/>
                <w:sz w:val="20"/>
                <w:szCs w:val="20"/>
              </w:rPr>
              <w:t>Total</w:t>
            </w:r>
          </w:p>
        </w:tc>
      </w:tr>
      <w:tr w:rsidR="009E1019" w:rsidRPr="008A3CCC" w14:paraId="5B05930F"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4262D384" w14:textId="77777777" w:rsidR="009E1019" w:rsidRPr="008A3CCC" w:rsidRDefault="009E1019" w:rsidP="00876646">
            <w:pPr>
              <w:widowControl w:val="0"/>
              <w:jc w:val="left"/>
              <w:rPr>
                <w:sz w:val="20"/>
                <w:szCs w:val="20"/>
              </w:rPr>
            </w:pPr>
            <w:r>
              <w:rPr>
                <w:sz w:val="20"/>
                <w:szCs w:val="20"/>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645949C4" w14:textId="77777777" w:rsidR="009E1019" w:rsidRPr="009E1019" w:rsidRDefault="009E1019" w:rsidP="00876646">
            <w:pPr>
              <w:widowControl w:val="0"/>
              <w:jc w:val="left"/>
              <w:rPr>
                <w:sz w:val="20"/>
                <w:szCs w:val="20"/>
                <w:lang w:val="fr-CA"/>
              </w:rPr>
            </w:pPr>
            <w:r w:rsidRPr="009E1019">
              <w:rPr>
                <w:sz w:val="20"/>
                <w:szCs w:val="20"/>
                <w:lang w:val="fr-CA"/>
              </w:rPr>
              <w:t>Calendrier de réduction des substances du groupe I de l’annexe C du Protocole de Montréal (tonnes PAO)</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06FC3BC" w14:textId="77777777" w:rsidR="009E1019" w:rsidRPr="008A3CCC" w:rsidRDefault="009E1019" w:rsidP="00876646">
            <w:pPr>
              <w:widowControl w:val="0"/>
              <w:jc w:val="right"/>
              <w:rPr>
                <w:sz w:val="20"/>
                <w:szCs w:val="20"/>
              </w:rPr>
            </w:pPr>
            <w:r>
              <w:rPr>
                <w:sz w:val="20"/>
                <w:szCs w:val="20"/>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AB4F3D6" w14:textId="77777777" w:rsidR="009E1019" w:rsidRPr="008A3CCC" w:rsidRDefault="009E1019" w:rsidP="00876646">
            <w:pPr>
              <w:widowControl w:val="0"/>
              <w:jc w:val="right"/>
              <w:rPr>
                <w:sz w:val="20"/>
                <w:szCs w:val="20"/>
              </w:rPr>
            </w:pPr>
            <w:r>
              <w:rPr>
                <w:sz w:val="20"/>
                <w:szCs w:val="20"/>
              </w:rPr>
              <w:t>187,56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AFB5234" w14:textId="77777777" w:rsidR="009E1019" w:rsidRPr="008A3CCC" w:rsidRDefault="009E1019" w:rsidP="00876646">
            <w:pPr>
              <w:widowControl w:val="0"/>
              <w:jc w:val="right"/>
              <w:rPr>
                <w:sz w:val="20"/>
                <w:szCs w:val="20"/>
              </w:rPr>
            </w:pPr>
            <w:r>
              <w:rPr>
                <w:sz w:val="20"/>
                <w:szCs w:val="20"/>
              </w:rPr>
              <w:t>187,56</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568D5939" w14:textId="77777777" w:rsidR="009E1019" w:rsidRPr="008A3CCC" w:rsidRDefault="009E1019" w:rsidP="00876646">
            <w:pPr>
              <w:widowControl w:val="0"/>
              <w:jc w:val="right"/>
              <w:rPr>
                <w:sz w:val="20"/>
                <w:szCs w:val="20"/>
              </w:rPr>
            </w:pPr>
            <w:r>
              <w:rPr>
                <w:sz w:val="20"/>
                <w:szCs w:val="20"/>
              </w:rPr>
              <w:t>135,46</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7A4D2BA" w14:textId="77777777" w:rsidR="009E1019" w:rsidRPr="008A3CCC" w:rsidRDefault="009E1019" w:rsidP="00876646">
            <w:pPr>
              <w:widowControl w:val="0"/>
              <w:jc w:val="right"/>
              <w:rPr>
                <w:sz w:val="20"/>
                <w:szCs w:val="20"/>
              </w:rPr>
            </w:pPr>
            <w:r>
              <w:rPr>
                <w:sz w:val="20"/>
                <w:szCs w:val="20"/>
              </w:rPr>
              <w:t>135,46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934D614" w14:textId="77777777" w:rsidR="009E1019" w:rsidRPr="008A3CCC" w:rsidRDefault="009E1019" w:rsidP="00876646">
            <w:pPr>
              <w:widowControl w:val="0"/>
              <w:jc w:val="right"/>
              <w:rPr>
                <w:sz w:val="20"/>
                <w:szCs w:val="20"/>
              </w:rPr>
            </w:pPr>
            <w:r>
              <w:rPr>
                <w:sz w:val="20"/>
                <w:szCs w:val="20"/>
              </w:rPr>
              <w:t>s. o.</w:t>
            </w:r>
          </w:p>
        </w:tc>
      </w:tr>
      <w:tr w:rsidR="009E1019" w:rsidRPr="008A3CCC" w14:paraId="685E7023"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7FE77F76" w14:textId="77777777" w:rsidR="009E1019" w:rsidRPr="008A3CCC" w:rsidRDefault="009E1019" w:rsidP="00876646">
            <w:pPr>
              <w:widowControl w:val="0"/>
              <w:jc w:val="left"/>
              <w:rPr>
                <w:sz w:val="20"/>
                <w:szCs w:val="20"/>
              </w:rPr>
            </w:pPr>
            <w:r>
              <w:rPr>
                <w:sz w:val="20"/>
                <w:szCs w:val="20"/>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6F11C9FA" w14:textId="77777777" w:rsidR="009E1019" w:rsidRPr="009E1019" w:rsidRDefault="009E1019" w:rsidP="00876646">
            <w:pPr>
              <w:widowControl w:val="0"/>
              <w:jc w:val="left"/>
              <w:rPr>
                <w:sz w:val="20"/>
                <w:szCs w:val="20"/>
                <w:lang w:val="fr-CA"/>
              </w:rPr>
            </w:pPr>
            <w:r w:rsidRPr="009E1019">
              <w:rPr>
                <w:sz w:val="20"/>
                <w:szCs w:val="20"/>
                <w:lang w:val="fr-CA"/>
              </w:rPr>
              <w:t>Consommation maximale admissible des substances du groupe I de l’annexe C (tonnes PAO)</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87E5C41" w14:textId="77777777" w:rsidR="009E1019" w:rsidRPr="008A3CCC" w:rsidRDefault="009E1019" w:rsidP="00876646">
            <w:pPr>
              <w:widowControl w:val="0"/>
              <w:jc w:val="right"/>
              <w:rPr>
                <w:sz w:val="20"/>
                <w:szCs w:val="20"/>
              </w:rPr>
            </w:pPr>
            <w:r>
              <w:rPr>
                <w:sz w:val="20"/>
                <w:szCs w:val="20"/>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2A5FAC3" w14:textId="77777777" w:rsidR="009E1019" w:rsidRPr="008A3CCC" w:rsidRDefault="009E1019" w:rsidP="00876646">
            <w:pPr>
              <w:widowControl w:val="0"/>
              <w:jc w:val="right"/>
              <w:rPr>
                <w:sz w:val="20"/>
                <w:szCs w:val="20"/>
              </w:rPr>
            </w:pPr>
            <w:r>
              <w:rPr>
                <w:sz w:val="20"/>
                <w:szCs w:val="20"/>
              </w:rPr>
              <w:t>129,52</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491D9D0" w14:textId="77777777" w:rsidR="009E1019" w:rsidRPr="008A3CCC" w:rsidRDefault="009E1019" w:rsidP="00876646">
            <w:pPr>
              <w:widowControl w:val="0"/>
              <w:jc w:val="right"/>
              <w:rPr>
                <w:sz w:val="20"/>
                <w:szCs w:val="20"/>
              </w:rPr>
            </w:pPr>
            <w:r>
              <w:rPr>
                <w:sz w:val="20"/>
                <w:szCs w:val="20"/>
              </w:rPr>
              <w:t>129,52</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A5DEBA3" w14:textId="77777777" w:rsidR="009E1019" w:rsidRPr="008A3CCC" w:rsidRDefault="009E1019" w:rsidP="00876646">
            <w:pPr>
              <w:widowControl w:val="0"/>
              <w:jc w:val="right"/>
              <w:rPr>
                <w:sz w:val="20"/>
                <w:szCs w:val="20"/>
              </w:rPr>
            </w:pPr>
            <w:r>
              <w:rPr>
                <w:sz w:val="20"/>
                <w:szCs w:val="20"/>
              </w:rPr>
              <w:t>105,87</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025956C" w14:textId="77777777" w:rsidR="009E1019" w:rsidRPr="008A3CCC" w:rsidRDefault="009E1019" w:rsidP="00876646">
            <w:pPr>
              <w:widowControl w:val="0"/>
              <w:jc w:val="right"/>
              <w:rPr>
                <w:sz w:val="20"/>
                <w:szCs w:val="20"/>
              </w:rPr>
            </w:pPr>
            <w:r>
              <w:rPr>
                <w:sz w:val="20"/>
                <w:szCs w:val="20"/>
              </w:rPr>
              <w:t>82,56</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CE21577" w14:textId="77777777" w:rsidR="009E1019" w:rsidRPr="008A3CCC" w:rsidRDefault="009E1019" w:rsidP="00876646">
            <w:pPr>
              <w:widowControl w:val="0"/>
              <w:jc w:val="right"/>
              <w:rPr>
                <w:sz w:val="20"/>
                <w:szCs w:val="20"/>
              </w:rPr>
            </w:pPr>
            <w:r>
              <w:rPr>
                <w:sz w:val="20"/>
                <w:szCs w:val="20"/>
              </w:rPr>
              <w:t>s. o.</w:t>
            </w:r>
          </w:p>
        </w:tc>
      </w:tr>
      <w:tr w:rsidR="009E1019" w:rsidRPr="008A3CCC" w14:paraId="1775F905"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A00DCDD" w14:textId="77777777" w:rsidR="009E1019" w:rsidRPr="008A3CCC" w:rsidRDefault="009E1019" w:rsidP="00876646">
            <w:pPr>
              <w:widowControl w:val="0"/>
              <w:jc w:val="left"/>
              <w:rPr>
                <w:sz w:val="20"/>
                <w:szCs w:val="20"/>
              </w:rPr>
            </w:pPr>
            <w:r>
              <w:rPr>
                <w:sz w:val="20"/>
                <w:szCs w:val="20"/>
              </w:rPr>
              <w:t>2.1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5E25BE35" w14:textId="77777777" w:rsidR="009E1019" w:rsidRPr="009E1019" w:rsidRDefault="009E1019" w:rsidP="00876646">
            <w:pPr>
              <w:widowControl w:val="0"/>
              <w:jc w:val="left"/>
              <w:rPr>
                <w:sz w:val="20"/>
                <w:szCs w:val="20"/>
                <w:lang w:val="fr-CA"/>
              </w:rPr>
            </w:pPr>
            <w:r w:rsidRPr="009E1019">
              <w:rPr>
                <w:sz w:val="20"/>
                <w:szCs w:val="20"/>
                <w:lang w:val="fr-CA"/>
              </w:rPr>
              <w:t>Financement convenu pour l’agence principale (ONUDI) ($ US)</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8FEF2BC" w14:textId="77777777" w:rsidR="009E1019" w:rsidRPr="008A3CCC" w:rsidRDefault="009E1019" w:rsidP="00876646">
            <w:pPr>
              <w:widowControl w:val="0"/>
              <w:jc w:val="right"/>
              <w:rPr>
                <w:b/>
                <w:sz w:val="20"/>
                <w:szCs w:val="20"/>
              </w:rPr>
            </w:pPr>
            <w:r>
              <w:rPr>
                <w:b/>
                <w:sz w:val="20"/>
                <w:szCs w:val="20"/>
              </w:rPr>
              <w:t>811 750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7B2FD53"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8AD29A0" w14:textId="77777777" w:rsidR="009E1019" w:rsidRPr="008A3CCC" w:rsidRDefault="009E1019" w:rsidP="00876646">
            <w:pPr>
              <w:widowControl w:val="0"/>
              <w:jc w:val="right"/>
              <w:rPr>
                <w:b/>
                <w:sz w:val="20"/>
                <w:szCs w:val="20"/>
              </w:rPr>
            </w:pPr>
            <w:r>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622BC1D"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6D9767F8" w14:textId="77777777" w:rsidR="009E1019" w:rsidRPr="008A3CCC" w:rsidRDefault="009E1019" w:rsidP="00876646">
            <w:pPr>
              <w:widowControl w:val="0"/>
              <w:jc w:val="right"/>
              <w:rPr>
                <w:b/>
                <w:sz w:val="20"/>
                <w:szCs w:val="20"/>
              </w:rPr>
            </w:pPr>
            <w:r>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647C8137" w14:textId="77777777" w:rsidR="009E1019" w:rsidRPr="008A3CCC" w:rsidRDefault="009E1019" w:rsidP="00876646">
            <w:pPr>
              <w:widowControl w:val="0"/>
              <w:jc w:val="right"/>
              <w:rPr>
                <w:b/>
                <w:sz w:val="20"/>
                <w:szCs w:val="20"/>
              </w:rPr>
            </w:pPr>
            <w:r>
              <w:rPr>
                <w:b/>
                <w:sz w:val="20"/>
                <w:szCs w:val="20"/>
              </w:rPr>
              <w:t>811 750</w:t>
            </w:r>
          </w:p>
        </w:tc>
      </w:tr>
      <w:tr w:rsidR="009E1019" w:rsidRPr="008A3CCC" w14:paraId="68AE49D6"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23DEE6B8" w14:textId="77777777" w:rsidR="009E1019" w:rsidRPr="008A3CCC" w:rsidRDefault="009E1019" w:rsidP="00876646">
            <w:pPr>
              <w:widowControl w:val="0"/>
              <w:jc w:val="left"/>
              <w:rPr>
                <w:sz w:val="20"/>
                <w:szCs w:val="20"/>
              </w:rPr>
            </w:pPr>
            <w:r>
              <w:rPr>
                <w:sz w:val="20"/>
                <w:szCs w:val="20"/>
              </w:rPr>
              <w:t>2.2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3945F9A2" w14:textId="77777777" w:rsidR="009E1019" w:rsidRPr="009E1019" w:rsidRDefault="009E1019" w:rsidP="00876646">
            <w:pPr>
              <w:widowControl w:val="0"/>
              <w:jc w:val="left"/>
              <w:rPr>
                <w:sz w:val="20"/>
                <w:szCs w:val="20"/>
                <w:lang w:val="fr-CA"/>
              </w:rPr>
            </w:pPr>
            <w:r w:rsidRPr="009E1019">
              <w:rPr>
                <w:sz w:val="20"/>
                <w:szCs w:val="20"/>
                <w:lang w:val="fr-CA"/>
              </w:rPr>
              <w:t>Coûts d’appui pour l’Agence principale ($ US)</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C869F0E" w14:textId="77777777" w:rsidR="009E1019" w:rsidRPr="008A3CCC" w:rsidRDefault="009E1019" w:rsidP="00876646">
            <w:pPr>
              <w:widowControl w:val="0"/>
              <w:jc w:val="right"/>
              <w:rPr>
                <w:b/>
                <w:sz w:val="20"/>
                <w:szCs w:val="20"/>
              </w:rPr>
            </w:pPr>
            <w:r>
              <w:rPr>
                <w:b/>
                <w:sz w:val="20"/>
                <w:szCs w:val="20"/>
              </w:rPr>
              <w:t>56 823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390C8CE"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474762E" w14:textId="77777777" w:rsidR="009E1019" w:rsidRPr="008A3CCC" w:rsidRDefault="009E1019" w:rsidP="00876646">
            <w:pPr>
              <w:widowControl w:val="0"/>
              <w:jc w:val="right"/>
              <w:rPr>
                <w:b/>
                <w:sz w:val="20"/>
                <w:szCs w:val="20"/>
              </w:rPr>
            </w:pPr>
            <w:r>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42E69967"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2397E454" w14:textId="77777777" w:rsidR="009E1019" w:rsidRPr="008A3CCC" w:rsidRDefault="009E1019" w:rsidP="00876646">
            <w:pPr>
              <w:widowControl w:val="0"/>
              <w:jc w:val="right"/>
              <w:rPr>
                <w:b/>
                <w:sz w:val="20"/>
                <w:szCs w:val="20"/>
              </w:rPr>
            </w:pPr>
            <w:r>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51F312D" w14:textId="77777777" w:rsidR="009E1019" w:rsidRPr="008A3CCC" w:rsidRDefault="009E1019" w:rsidP="00876646">
            <w:pPr>
              <w:widowControl w:val="0"/>
              <w:jc w:val="right"/>
              <w:rPr>
                <w:b/>
                <w:sz w:val="20"/>
                <w:szCs w:val="20"/>
              </w:rPr>
            </w:pPr>
            <w:r>
              <w:rPr>
                <w:b/>
                <w:sz w:val="20"/>
                <w:szCs w:val="20"/>
              </w:rPr>
              <w:t>56 823</w:t>
            </w:r>
          </w:p>
        </w:tc>
      </w:tr>
      <w:tr w:rsidR="009E1019" w:rsidRPr="008A3CCC" w14:paraId="79F23616"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1538351" w14:textId="77777777" w:rsidR="009E1019" w:rsidRPr="008A3CCC" w:rsidRDefault="009E1019" w:rsidP="00876646">
            <w:pPr>
              <w:widowControl w:val="0"/>
              <w:jc w:val="left"/>
              <w:rPr>
                <w:sz w:val="20"/>
                <w:szCs w:val="20"/>
              </w:rPr>
            </w:pPr>
            <w:r>
              <w:rPr>
                <w:sz w:val="20"/>
                <w:szCs w:val="20"/>
              </w:rPr>
              <w:t>3.1</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BE17577" w14:textId="77777777" w:rsidR="009E1019" w:rsidRPr="008A3CCC" w:rsidRDefault="009E1019" w:rsidP="00876646">
            <w:pPr>
              <w:widowControl w:val="0"/>
              <w:jc w:val="left"/>
              <w:rPr>
                <w:sz w:val="20"/>
                <w:szCs w:val="20"/>
              </w:rPr>
            </w:pPr>
            <w:proofErr w:type="spellStart"/>
            <w:r>
              <w:rPr>
                <w:sz w:val="20"/>
                <w:szCs w:val="20"/>
              </w:rPr>
              <w:t>Financement</w:t>
            </w:r>
            <w:proofErr w:type="spellEnd"/>
            <w:r>
              <w:rPr>
                <w:sz w:val="20"/>
                <w:szCs w:val="20"/>
              </w:rPr>
              <w:t xml:space="preserve"> total </w:t>
            </w:r>
            <w:proofErr w:type="spellStart"/>
            <w:r>
              <w:rPr>
                <w:sz w:val="20"/>
                <w:szCs w:val="20"/>
              </w:rPr>
              <w:t>convenu</w:t>
            </w:r>
            <w:proofErr w:type="spellEnd"/>
            <w:r>
              <w:rPr>
                <w:sz w:val="20"/>
                <w:szCs w:val="20"/>
              </w:rPr>
              <w:t xml:space="preserve"> ($ US)</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3645B88" w14:textId="77777777" w:rsidR="009E1019" w:rsidRPr="008A3CCC" w:rsidRDefault="009E1019" w:rsidP="00876646">
            <w:pPr>
              <w:widowControl w:val="0"/>
              <w:jc w:val="right"/>
              <w:rPr>
                <w:b/>
                <w:sz w:val="20"/>
                <w:szCs w:val="20"/>
              </w:rPr>
            </w:pPr>
            <w:r>
              <w:rPr>
                <w:b/>
                <w:sz w:val="20"/>
                <w:szCs w:val="20"/>
              </w:rPr>
              <w:t>811 750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0C1834D2"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7AF098C" w14:textId="77777777" w:rsidR="009E1019" w:rsidRPr="008A3CCC" w:rsidRDefault="009E1019" w:rsidP="00876646">
            <w:pPr>
              <w:widowControl w:val="0"/>
              <w:jc w:val="right"/>
              <w:rPr>
                <w:b/>
                <w:sz w:val="20"/>
                <w:szCs w:val="20"/>
              </w:rPr>
            </w:pPr>
            <w:r>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310E0E9C"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03534CD8" w14:textId="77777777" w:rsidR="009E1019" w:rsidRPr="008A3CCC" w:rsidRDefault="009E1019" w:rsidP="00876646">
            <w:pPr>
              <w:widowControl w:val="0"/>
              <w:jc w:val="right"/>
              <w:rPr>
                <w:b/>
                <w:sz w:val="20"/>
                <w:szCs w:val="20"/>
              </w:rPr>
            </w:pPr>
            <w:r>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2DB7A99A" w14:textId="77777777" w:rsidR="009E1019" w:rsidRPr="008A3CCC" w:rsidRDefault="009E1019" w:rsidP="00876646">
            <w:pPr>
              <w:widowControl w:val="0"/>
              <w:jc w:val="right"/>
              <w:rPr>
                <w:b/>
                <w:sz w:val="20"/>
                <w:szCs w:val="20"/>
              </w:rPr>
            </w:pPr>
            <w:r>
              <w:rPr>
                <w:b/>
                <w:sz w:val="20"/>
                <w:szCs w:val="20"/>
              </w:rPr>
              <w:t>811 750</w:t>
            </w:r>
          </w:p>
        </w:tc>
      </w:tr>
      <w:tr w:rsidR="009E1019" w:rsidRPr="008A3CCC" w14:paraId="2F4BF3E3"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5C11E33A" w14:textId="77777777" w:rsidR="009E1019" w:rsidRPr="008A3CCC" w:rsidRDefault="009E1019" w:rsidP="00876646">
            <w:pPr>
              <w:widowControl w:val="0"/>
              <w:jc w:val="left"/>
              <w:rPr>
                <w:sz w:val="20"/>
                <w:szCs w:val="20"/>
              </w:rPr>
            </w:pPr>
            <w:r>
              <w:rPr>
                <w:sz w:val="20"/>
                <w:szCs w:val="20"/>
              </w:rPr>
              <w:t>3.2</w:t>
            </w:r>
          </w:p>
        </w:tc>
        <w:tc>
          <w:tcPr>
            <w:tcW w:w="3287" w:type="dxa"/>
            <w:tcBorders>
              <w:top w:val="single" w:sz="4" w:space="0" w:color="auto"/>
              <w:left w:val="single" w:sz="4" w:space="0" w:color="auto"/>
              <w:bottom w:val="single" w:sz="4" w:space="0" w:color="auto"/>
              <w:right w:val="single" w:sz="4" w:space="0" w:color="auto"/>
            </w:tcBorders>
            <w:vAlign w:val="center"/>
            <w:hideMark/>
          </w:tcPr>
          <w:p w14:paraId="3546FE04" w14:textId="77777777" w:rsidR="009E1019" w:rsidRPr="009E1019" w:rsidRDefault="009E1019" w:rsidP="00876646">
            <w:pPr>
              <w:widowControl w:val="0"/>
              <w:jc w:val="left"/>
              <w:rPr>
                <w:sz w:val="20"/>
                <w:szCs w:val="20"/>
                <w:lang w:val="fr-CA"/>
              </w:rPr>
            </w:pPr>
            <w:r w:rsidRPr="009E1019">
              <w:rPr>
                <w:sz w:val="20"/>
                <w:szCs w:val="20"/>
                <w:lang w:val="fr-CA"/>
              </w:rPr>
              <w:t>Total des coûts d’appui ($ US)</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7F8BA00A" w14:textId="77777777" w:rsidR="009E1019" w:rsidRPr="008A3CCC" w:rsidRDefault="009E1019" w:rsidP="00876646">
            <w:pPr>
              <w:widowControl w:val="0"/>
              <w:jc w:val="right"/>
              <w:rPr>
                <w:b/>
                <w:sz w:val="20"/>
                <w:szCs w:val="20"/>
              </w:rPr>
            </w:pPr>
            <w:r>
              <w:rPr>
                <w:b/>
                <w:sz w:val="20"/>
                <w:szCs w:val="20"/>
              </w:rPr>
              <w:t>56 823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A878F81"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D9902AF" w14:textId="77777777" w:rsidR="009E1019" w:rsidRPr="008A3CCC" w:rsidRDefault="009E1019" w:rsidP="00876646">
            <w:pPr>
              <w:widowControl w:val="0"/>
              <w:jc w:val="right"/>
              <w:rPr>
                <w:b/>
                <w:sz w:val="20"/>
                <w:szCs w:val="20"/>
              </w:rPr>
            </w:pPr>
            <w:r>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208BD9A"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045EA879" w14:textId="77777777" w:rsidR="009E1019" w:rsidRPr="008A3CCC" w:rsidRDefault="009E1019" w:rsidP="00876646">
            <w:pPr>
              <w:widowControl w:val="0"/>
              <w:jc w:val="right"/>
              <w:rPr>
                <w:b/>
                <w:sz w:val="20"/>
                <w:szCs w:val="20"/>
              </w:rPr>
            </w:pPr>
            <w:r>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E71D02C" w14:textId="77777777" w:rsidR="009E1019" w:rsidRPr="008A3CCC" w:rsidRDefault="009E1019" w:rsidP="00876646">
            <w:pPr>
              <w:widowControl w:val="0"/>
              <w:jc w:val="right"/>
              <w:rPr>
                <w:b/>
                <w:sz w:val="20"/>
                <w:szCs w:val="20"/>
              </w:rPr>
            </w:pPr>
            <w:r>
              <w:rPr>
                <w:b/>
                <w:sz w:val="20"/>
                <w:szCs w:val="20"/>
              </w:rPr>
              <w:t>56 823</w:t>
            </w:r>
          </w:p>
        </w:tc>
      </w:tr>
      <w:tr w:rsidR="009E1019" w:rsidRPr="008A3CCC" w14:paraId="5E54167E" w14:textId="77777777" w:rsidTr="00876646">
        <w:trPr>
          <w:gridAfter w:val="1"/>
          <w:wAfter w:w="20" w:type="dxa"/>
        </w:trPr>
        <w:tc>
          <w:tcPr>
            <w:tcW w:w="625" w:type="dxa"/>
            <w:tcBorders>
              <w:top w:val="single" w:sz="4" w:space="0" w:color="auto"/>
              <w:left w:val="single" w:sz="4" w:space="0" w:color="auto"/>
              <w:bottom w:val="single" w:sz="4" w:space="0" w:color="auto"/>
              <w:right w:val="single" w:sz="4" w:space="0" w:color="auto"/>
            </w:tcBorders>
            <w:noWrap/>
            <w:hideMark/>
          </w:tcPr>
          <w:p w14:paraId="0FD82562" w14:textId="77777777" w:rsidR="009E1019" w:rsidRPr="008A3CCC" w:rsidRDefault="009E1019" w:rsidP="00876646">
            <w:pPr>
              <w:widowControl w:val="0"/>
              <w:jc w:val="left"/>
              <w:rPr>
                <w:sz w:val="20"/>
                <w:szCs w:val="20"/>
              </w:rPr>
            </w:pPr>
            <w:r>
              <w:rPr>
                <w:sz w:val="20"/>
                <w:szCs w:val="20"/>
              </w:rPr>
              <w:t>3.3</w:t>
            </w:r>
          </w:p>
        </w:tc>
        <w:tc>
          <w:tcPr>
            <w:tcW w:w="3287" w:type="dxa"/>
            <w:tcBorders>
              <w:top w:val="single" w:sz="4" w:space="0" w:color="auto"/>
              <w:left w:val="single" w:sz="4" w:space="0" w:color="auto"/>
              <w:bottom w:val="single" w:sz="4" w:space="0" w:color="auto"/>
              <w:right w:val="single" w:sz="4" w:space="0" w:color="auto"/>
            </w:tcBorders>
            <w:vAlign w:val="center"/>
            <w:hideMark/>
          </w:tcPr>
          <w:p w14:paraId="721ED2E0" w14:textId="77777777" w:rsidR="009E1019" w:rsidRPr="009E1019" w:rsidRDefault="009E1019" w:rsidP="00876646">
            <w:pPr>
              <w:widowControl w:val="0"/>
              <w:jc w:val="left"/>
              <w:rPr>
                <w:sz w:val="20"/>
                <w:szCs w:val="20"/>
                <w:lang w:val="fr-CA"/>
              </w:rPr>
            </w:pPr>
            <w:r w:rsidRPr="009E1019">
              <w:rPr>
                <w:sz w:val="20"/>
                <w:szCs w:val="20"/>
                <w:lang w:val="fr-CA"/>
              </w:rPr>
              <w:t>Total des coûts convenus ($ US)</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38CD702" w14:textId="77777777" w:rsidR="009E1019" w:rsidRPr="008A3CCC" w:rsidRDefault="009E1019" w:rsidP="00876646">
            <w:pPr>
              <w:widowControl w:val="0"/>
              <w:jc w:val="right"/>
              <w:rPr>
                <w:b/>
                <w:sz w:val="20"/>
                <w:szCs w:val="20"/>
              </w:rPr>
            </w:pPr>
            <w:r>
              <w:rPr>
                <w:b/>
                <w:sz w:val="20"/>
                <w:szCs w:val="20"/>
              </w:rPr>
              <w:t>868 573</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6D213679"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2E33BC7D" w14:textId="77777777" w:rsidR="009E1019" w:rsidRPr="008A3CCC" w:rsidRDefault="009E1019" w:rsidP="00876646">
            <w:pPr>
              <w:widowControl w:val="0"/>
              <w:jc w:val="right"/>
              <w:rPr>
                <w:b/>
                <w:sz w:val="20"/>
                <w:szCs w:val="20"/>
              </w:rPr>
            </w:pPr>
            <w:r>
              <w:rPr>
                <w:b/>
                <w:sz w:val="20"/>
                <w:szCs w:val="20"/>
              </w:rPr>
              <w:t>0</w:t>
            </w:r>
          </w:p>
        </w:tc>
        <w:tc>
          <w:tcPr>
            <w:tcW w:w="894" w:type="dxa"/>
            <w:tcBorders>
              <w:top w:val="single" w:sz="4" w:space="0" w:color="auto"/>
              <w:left w:val="single" w:sz="4" w:space="0" w:color="auto"/>
              <w:bottom w:val="single" w:sz="4" w:space="0" w:color="auto"/>
              <w:right w:val="single" w:sz="4" w:space="0" w:color="auto"/>
            </w:tcBorders>
            <w:noWrap/>
            <w:tcMar>
              <w:left w:w="0" w:type="dxa"/>
              <w:right w:w="58" w:type="dxa"/>
            </w:tcMar>
            <w:hideMark/>
          </w:tcPr>
          <w:p w14:paraId="11D2DD0E" w14:textId="77777777" w:rsidR="009E1019" w:rsidRPr="008A3CCC" w:rsidRDefault="009E1019" w:rsidP="00876646">
            <w:pPr>
              <w:widowControl w:val="0"/>
              <w:jc w:val="right"/>
              <w:rPr>
                <w:sz w:val="20"/>
                <w:szCs w:val="20"/>
              </w:rPr>
            </w:pPr>
            <w:r>
              <w:rPr>
                <w:sz w:val="20"/>
                <w:szCs w:val="20"/>
              </w:rPr>
              <w:t>0</w:t>
            </w:r>
          </w:p>
        </w:tc>
        <w:tc>
          <w:tcPr>
            <w:tcW w:w="895" w:type="dxa"/>
            <w:tcBorders>
              <w:top w:val="single" w:sz="4" w:space="0" w:color="auto"/>
              <w:left w:val="single" w:sz="4" w:space="0" w:color="auto"/>
              <w:bottom w:val="single" w:sz="4" w:space="0" w:color="auto"/>
              <w:right w:val="single" w:sz="4" w:space="0" w:color="auto"/>
            </w:tcBorders>
            <w:noWrap/>
            <w:tcMar>
              <w:left w:w="0" w:type="dxa"/>
              <w:right w:w="58" w:type="dxa"/>
            </w:tcMar>
          </w:tcPr>
          <w:p w14:paraId="61772D2A" w14:textId="77777777" w:rsidR="009E1019" w:rsidRPr="008A3CCC" w:rsidRDefault="009E1019" w:rsidP="00876646">
            <w:pPr>
              <w:widowControl w:val="0"/>
              <w:jc w:val="right"/>
              <w:rPr>
                <w:b/>
                <w:sz w:val="20"/>
                <w:szCs w:val="20"/>
              </w:rPr>
            </w:pPr>
            <w:r>
              <w:rPr>
                <w:b/>
                <w:sz w:val="20"/>
                <w:szCs w:val="20"/>
              </w:rPr>
              <w:t>0</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340C7E3F" w14:textId="77777777" w:rsidR="009E1019" w:rsidRPr="008A3CCC" w:rsidRDefault="009E1019" w:rsidP="00876646">
            <w:pPr>
              <w:widowControl w:val="0"/>
              <w:jc w:val="right"/>
              <w:rPr>
                <w:b/>
                <w:sz w:val="20"/>
                <w:szCs w:val="20"/>
              </w:rPr>
            </w:pPr>
            <w:r>
              <w:rPr>
                <w:b/>
                <w:sz w:val="20"/>
                <w:szCs w:val="20"/>
              </w:rPr>
              <w:t>868 753</w:t>
            </w:r>
          </w:p>
        </w:tc>
      </w:tr>
      <w:tr w:rsidR="009E1019" w:rsidRPr="00563B49" w14:paraId="585193F6"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5AEFD748" w14:textId="77777777" w:rsidR="009E1019" w:rsidRPr="008A3CCC" w:rsidRDefault="009E1019" w:rsidP="00876646">
            <w:pPr>
              <w:widowControl w:val="0"/>
              <w:jc w:val="left"/>
              <w:rPr>
                <w:sz w:val="20"/>
                <w:szCs w:val="20"/>
              </w:rPr>
            </w:pPr>
            <w:r>
              <w:rPr>
                <w:sz w:val="20"/>
                <w:szCs w:val="20"/>
              </w:rPr>
              <w:t>4.1.1</w:t>
            </w:r>
          </w:p>
        </w:tc>
        <w:tc>
          <w:tcPr>
            <w:tcW w:w="7779" w:type="dxa"/>
            <w:gridSpan w:val="7"/>
            <w:tcBorders>
              <w:top w:val="single" w:sz="4" w:space="0" w:color="auto"/>
              <w:left w:val="single" w:sz="4" w:space="0" w:color="auto"/>
              <w:bottom w:val="single" w:sz="4" w:space="0" w:color="auto"/>
              <w:right w:val="single" w:sz="4" w:space="0" w:color="auto"/>
            </w:tcBorders>
            <w:hideMark/>
          </w:tcPr>
          <w:p w14:paraId="3E22DA7F" w14:textId="77777777" w:rsidR="009E1019" w:rsidRPr="009E1019" w:rsidRDefault="009E1019" w:rsidP="00876646">
            <w:pPr>
              <w:widowControl w:val="0"/>
              <w:rPr>
                <w:sz w:val="20"/>
                <w:szCs w:val="20"/>
                <w:lang w:val="fr-CA"/>
              </w:rPr>
            </w:pPr>
            <w:r w:rsidRPr="009E1019">
              <w:rPr>
                <w:sz w:val="20"/>
                <w:szCs w:val="20"/>
                <w:lang w:val="fr-CA"/>
              </w:rPr>
              <w:t>Élimination totale du HCFC-22 convenue à réaliser en vertu du présent accord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A24FED8" w14:textId="77777777" w:rsidR="009E1019" w:rsidRPr="008A3CCC" w:rsidRDefault="009E1019" w:rsidP="00876646">
            <w:pPr>
              <w:widowControl w:val="0"/>
              <w:jc w:val="right"/>
              <w:rPr>
                <w:sz w:val="20"/>
                <w:szCs w:val="20"/>
              </w:rPr>
            </w:pPr>
            <w:r>
              <w:rPr>
                <w:sz w:val="20"/>
                <w:szCs w:val="20"/>
              </w:rPr>
              <w:t>23,44</w:t>
            </w:r>
          </w:p>
        </w:tc>
      </w:tr>
      <w:tr w:rsidR="009E1019" w:rsidRPr="00563B49" w14:paraId="59A157D5"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4CA628FF" w14:textId="77777777" w:rsidR="009E1019" w:rsidRPr="008A3CCC" w:rsidRDefault="009E1019" w:rsidP="00876646">
            <w:pPr>
              <w:widowControl w:val="0"/>
              <w:jc w:val="left"/>
              <w:rPr>
                <w:sz w:val="20"/>
                <w:szCs w:val="20"/>
              </w:rPr>
            </w:pPr>
            <w:r>
              <w:rPr>
                <w:sz w:val="20"/>
                <w:szCs w:val="20"/>
              </w:rPr>
              <w:t>4.1.2</w:t>
            </w:r>
          </w:p>
        </w:tc>
        <w:tc>
          <w:tcPr>
            <w:tcW w:w="7779" w:type="dxa"/>
            <w:gridSpan w:val="7"/>
            <w:tcBorders>
              <w:top w:val="single" w:sz="4" w:space="0" w:color="auto"/>
              <w:left w:val="single" w:sz="4" w:space="0" w:color="auto"/>
              <w:bottom w:val="single" w:sz="4" w:space="0" w:color="auto"/>
              <w:right w:val="single" w:sz="4" w:space="0" w:color="auto"/>
            </w:tcBorders>
            <w:hideMark/>
          </w:tcPr>
          <w:p w14:paraId="1D7F964E" w14:textId="77777777" w:rsidR="009E1019" w:rsidRPr="009E1019" w:rsidRDefault="009E1019" w:rsidP="00876646">
            <w:pPr>
              <w:widowControl w:val="0"/>
              <w:rPr>
                <w:sz w:val="20"/>
                <w:szCs w:val="20"/>
                <w:lang w:val="fr-CA"/>
              </w:rPr>
            </w:pPr>
            <w:r w:rsidRPr="009E1019">
              <w:rPr>
                <w:sz w:val="20"/>
                <w:szCs w:val="20"/>
                <w:lang w:val="fr-CA"/>
              </w:rPr>
              <w:t>Élimination du HCFC-22 à réaliser dans le cadre de projets approuvés précédemment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2B5F5BE" w14:textId="77777777" w:rsidR="009E1019" w:rsidRPr="008A3CCC" w:rsidRDefault="009E1019" w:rsidP="00876646">
            <w:pPr>
              <w:widowControl w:val="0"/>
              <w:jc w:val="right"/>
              <w:rPr>
                <w:sz w:val="20"/>
                <w:szCs w:val="20"/>
              </w:rPr>
            </w:pPr>
            <w:r>
              <w:rPr>
                <w:sz w:val="20"/>
                <w:szCs w:val="20"/>
              </w:rPr>
              <w:t>2,00</w:t>
            </w:r>
          </w:p>
        </w:tc>
      </w:tr>
      <w:tr w:rsidR="009E1019" w:rsidRPr="00563B49" w14:paraId="373447AE"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1DB3701B" w14:textId="77777777" w:rsidR="009E1019" w:rsidRPr="008A3CCC" w:rsidRDefault="009E1019" w:rsidP="00876646">
            <w:pPr>
              <w:widowControl w:val="0"/>
              <w:jc w:val="left"/>
              <w:rPr>
                <w:sz w:val="20"/>
                <w:szCs w:val="20"/>
              </w:rPr>
            </w:pPr>
            <w:r>
              <w:rPr>
                <w:sz w:val="20"/>
                <w:szCs w:val="20"/>
              </w:rPr>
              <w:t>4.1.3</w:t>
            </w:r>
          </w:p>
        </w:tc>
        <w:tc>
          <w:tcPr>
            <w:tcW w:w="7779" w:type="dxa"/>
            <w:gridSpan w:val="7"/>
            <w:tcBorders>
              <w:top w:val="single" w:sz="4" w:space="0" w:color="auto"/>
              <w:left w:val="single" w:sz="4" w:space="0" w:color="auto"/>
              <w:bottom w:val="single" w:sz="4" w:space="0" w:color="auto"/>
              <w:right w:val="single" w:sz="4" w:space="0" w:color="auto"/>
            </w:tcBorders>
            <w:hideMark/>
          </w:tcPr>
          <w:p w14:paraId="07E07A9A" w14:textId="77777777" w:rsidR="009E1019" w:rsidRPr="009E1019" w:rsidRDefault="009E1019" w:rsidP="00876646">
            <w:pPr>
              <w:widowControl w:val="0"/>
              <w:rPr>
                <w:sz w:val="20"/>
                <w:szCs w:val="20"/>
                <w:lang w:val="fr-CA"/>
              </w:rPr>
            </w:pPr>
            <w:r w:rsidRPr="009E1019">
              <w:rPr>
                <w:sz w:val="20"/>
                <w:szCs w:val="20"/>
                <w:lang w:val="fr-CA"/>
              </w:rPr>
              <w:t>Consommation admissible restante de HCFC-22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9CC21AA" w14:textId="77777777" w:rsidR="009E1019" w:rsidRPr="008A3CCC" w:rsidRDefault="009E1019" w:rsidP="00876646">
            <w:pPr>
              <w:widowControl w:val="0"/>
              <w:jc w:val="right"/>
              <w:rPr>
                <w:sz w:val="20"/>
                <w:szCs w:val="20"/>
              </w:rPr>
            </w:pPr>
            <w:r>
              <w:rPr>
                <w:sz w:val="20"/>
                <w:szCs w:val="20"/>
              </w:rPr>
              <w:t>83,88</w:t>
            </w:r>
          </w:p>
        </w:tc>
      </w:tr>
      <w:tr w:rsidR="009E1019" w:rsidRPr="00563B49" w14:paraId="61594D70"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6BAEBEA4" w14:textId="77777777" w:rsidR="009E1019" w:rsidRPr="008A3CCC" w:rsidRDefault="009E1019" w:rsidP="00876646">
            <w:pPr>
              <w:widowControl w:val="0"/>
              <w:jc w:val="left"/>
              <w:rPr>
                <w:sz w:val="20"/>
                <w:szCs w:val="20"/>
              </w:rPr>
            </w:pPr>
            <w:r>
              <w:rPr>
                <w:sz w:val="20"/>
                <w:szCs w:val="20"/>
              </w:rPr>
              <w:t>4.2.1</w:t>
            </w:r>
          </w:p>
        </w:tc>
        <w:tc>
          <w:tcPr>
            <w:tcW w:w="7779" w:type="dxa"/>
            <w:gridSpan w:val="7"/>
            <w:tcBorders>
              <w:top w:val="single" w:sz="4" w:space="0" w:color="auto"/>
              <w:left w:val="single" w:sz="4" w:space="0" w:color="auto"/>
              <w:bottom w:val="single" w:sz="4" w:space="0" w:color="auto"/>
              <w:right w:val="single" w:sz="4" w:space="0" w:color="auto"/>
            </w:tcBorders>
            <w:hideMark/>
          </w:tcPr>
          <w:p w14:paraId="29D49104" w14:textId="77777777" w:rsidR="009E1019" w:rsidRPr="009E1019" w:rsidRDefault="009E1019" w:rsidP="00876646">
            <w:pPr>
              <w:widowControl w:val="0"/>
              <w:rPr>
                <w:sz w:val="20"/>
                <w:szCs w:val="20"/>
                <w:lang w:val="fr-CA"/>
              </w:rPr>
            </w:pPr>
            <w:r w:rsidRPr="009E1019">
              <w:rPr>
                <w:sz w:val="20"/>
                <w:szCs w:val="20"/>
                <w:lang w:val="fr-CA"/>
              </w:rPr>
              <w:t>Élimination totale du HCFC-123 convenue à réaliser en vertu du présent accord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5ACC0E9C" w14:textId="77777777" w:rsidR="009E1019" w:rsidRPr="008A3CCC" w:rsidRDefault="009E1019" w:rsidP="00876646">
            <w:pPr>
              <w:widowControl w:val="0"/>
              <w:jc w:val="right"/>
              <w:rPr>
                <w:sz w:val="20"/>
                <w:szCs w:val="20"/>
              </w:rPr>
            </w:pPr>
            <w:r>
              <w:rPr>
                <w:sz w:val="20"/>
                <w:szCs w:val="20"/>
              </w:rPr>
              <w:t>0,00</w:t>
            </w:r>
          </w:p>
        </w:tc>
      </w:tr>
      <w:tr w:rsidR="009E1019" w:rsidRPr="00563B49" w14:paraId="13C14085"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39FCA891" w14:textId="77777777" w:rsidR="009E1019" w:rsidRPr="008A3CCC" w:rsidRDefault="009E1019" w:rsidP="00876646">
            <w:pPr>
              <w:widowControl w:val="0"/>
              <w:jc w:val="left"/>
              <w:rPr>
                <w:sz w:val="20"/>
                <w:szCs w:val="20"/>
              </w:rPr>
            </w:pPr>
            <w:r>
              <w:rPr>
                <w:sz w:val="20"/>
                <w:szCs w:val="20"/>
              </w:rPr>
              <w:t>4.2.2</w:t>
            </w:r>
          </w:p>
        </w:tc>
        <w:tc>
          <w:tcPr>
            <w:tcW w:w="7779" w:type="dxa"/>
            <w:gridSpan w:val="7"/>
            <w:tcBorders>
              <w:top w:val="single" w:sz="4" w:space="0" w:color="auto"/>
              <w:left w:val="single" w:sz="4" w:space="0" w:color="auto"/>
              <w:bottom w:val="single" w:sz="4" w:space="0" w:color="auto"/>
              <w:right w:val="single" w:sz="4" w:space="0" w:color="auto"/>
            </w:tcBorders>
            <w:hideMark/>
          </w:tcPr>
          <w:p w14:paraId="2CDB8537" w14:textId="77777777" w:rsidR="009E1019" w:rsidRPr="009E1019" w:rsidRDefault="009E1019" w:rsidP="00876646">
            <w:pPr>
              <w:widowControl w:val="0"/>
              <w:rPr>
                <w:sz w:val="20"/>
                <w:szCs w:val="20"/>
                <w:lang w:val="fr-CA"/>
              </w:rPr>
            </w:pPr>
            <w:r w:rsidRPr="009E1019">
              <w:rPr>
                <w:sz w:val="20"/>
                <w:szCs w:val="20"/>
                <w:lang w:val="fr-CA"/>
              </w:rPr>
              <w:t>Élimination du HCFC-123 à réaliser dans le cadre de projets approuvés précédemment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7C924DD8" w14:textId="77777777" w:rsidR="009E1019" w:rsidRPr="008A3CCC" w:rsidRDefault="009E1019" w:rsidP="00876646">
            <w:pPr>
              <w:widowControl w:val="0"/>
              <w:jc w:val="right"/>
              <w:rPr>
                <w:sz w:val="20"/>
                <w:szCs w:val="20"/>
              </w:rPr>
            </w:pPr>
            <w:r>
              <w:rPr>
                <w:sz w:val="20"/>
                <w:szCs w:val="20"/>
              </w:rPr>
              <w:t>0,00</w:t>
            </w:r>
          </w:p>
        </w:tc>
      </w:tr>
      <w:tr w:rsidR="009E1019" w:rsidRPr="00563B49" w14:paraId="7D6D813E"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77D4FB44" w14:textId="77777777" w:rsidR="009E1019" w:rsidRPr="008A3CCC" w:rsidRDefault="009E1019" w:rsidP="00876646">
            <w:pPr>
              <w:widowControl w:val="0"/>
              <w:jc w:val="left"/>
              <w:rPr>
                <w:sz w:val="20"/>
                <w:szCs w:val="20"/>
              </w:rPr>
            </w:pPr>
            <w:r>
              <w:rPr>
                <w:sz w:val="20"/>
                <w:szCs w:val="20"/>
              </w:rPr>
              <w:t>4.2.3</w:t>
            </w:r>
          </w:p>
        </w:tc>
        <w:tc>
          <w:tcPr>
            <w:tcW w:w="7779" w:type="dxa"/>
            <w:gridSpan w:val="7"/>
            <w:tcBorders>
              <w:top w:val="single" w:sz="4" w:space="0" w:color="auto"/>
              <w:left w:val="single" w:sz="4" w:space="0" w:color="auto"/>
              <w:bottom w:val="single" w:sz="4" w:space="0" w:color="auto"/>
              <w:right w:val="single" w:sz="4" w:space="0" w:color="auto"/>
            </w:tcBorders>
            <w:hideMark/>
          </w:tcPr>
          <w:p w14:paraId="40B84E73" w14:textId="77777777" w:rsidR="009E1019" w:rsidRPr="009E1019" w:rsidRDefault="009E1019" w:rsidP="00876646">
            <w:pPr>
              <w:widowControl w:val="0"/>
              <w:rPr>
                <w:sz w:val="20"/>
                <w:szCs w:val="20"/>
                <w:lang w:val="fr-CA"/>
              </w:rPr>
            </w:pPr>
            <w:r w:rsidRPr="009E1019">
              <w:rPr>
                <w:sz w:val="20"/>
                <w:szCs w:val="20"/>
                <w:lang w:val="fr-CA"/>
              </w:rPr>
              <w:t>Consommation admissible restante de HCFC-123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79A6573C" w14:textId="77777777" w:rsidR="009E1019" w:rsidRPr="008A3CCC" w:rsidRDefault="009E1019" w:rsidP="00876646">
            <w:pPr>
              <w:widowControl w:val="0"/>
              <w:jc w:val="right"/>
              <w:rPr>
                <w:sz w:val="20"/>
                <w:szCs w:val="20"/>
              </w:rPr>
            </w:pPr>
            <w:r>
              <w:rPr>
                <w:sz w:val="20"/>
                <w:szCs w:val="20"/>
              </w:rPr>
              <w:t>1,70</w:t>
            </w:r>
          </w:p>
        </w:tc>
      </w:tr>
      <w:tr w:rsidR="009E1019" w:rsidRPr="00563B49" w14:paraId="7F1471E4"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6D042FD1" w14:textId="77777777" w:rsidR="009E1019" w:rsidRPr="008A3CCC" w:rsidRDefault="009E1019" w:rsidP="00876646">
            <w:pPr>
              <w:widowControl w:val="0"/>
              <w:jc w:val="left"/>
              <w:rPr>
                <w:sz w:val="20"/>
                <w:szCs w:val="20"/>
              </w:rPr>
            </w:pPr>
            <w:r>
              <w:rPr>
                <w:sz w:val="20"/>
                <w:szCs w:val="20"/>
              </w:rPr>
              <w:t>4.3.1</w:t>
            </w:r>
          </w:p>
        </w:tc>
        <w:tc>
          <w:tcPr>
            <w:tcW w:w="7779" w:type="dxa"/>
            <w:gridSpan w:val="7"/>
            <w:tcBorders>
              <w:top w:val="single" w:sz="4" w:space="0" w:color="auto"/>
              <w:left w:val="single" w:sz="4" w:space="0" w:color="auto"/>
              <w:bottom w:val="single" w:sz="4" w:space="0" w:color="auto"/>
              <w:right w:val="single" w:sz="4" w:space="0" w:color="auto"/>
            </w:tcBorders>
            <w:hideMark/>
          </w:tcPr>
          <w:p w14:paraId="54AB4E59" w14:textId="77777777" w:rsidR="009E1019" w:rsidRPr="009E1019" w:rsidRDefault="009E1019" w:rsidP="00876646">
            <w:pPr>
              <w:widowControl w:val="0"/>
              <w:rPr>
                <w:sz w:val="20"/>
                <w:szCs w:val="20"/>
                <w:lang w:val="fr-CA"/>
              </w:rPr>
            </w:pPr>
            <w:r w:rsidRPr="009E1019">
              <w:rPr>
                <w:sz w:val="20"/>
                <w:szCs w:val="20"/>
                <w:lang w:val="fr-CA"/>
              </w:rPr>
              <w:t>Élimination totale du HCFC-141b convenue à réaliser en vertu du présent accord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AE99C0D" w14:textId="77777777" w:rsidR="009E1019" w:rsidRPr="008A3CCC" w:rsidRDefault="009E1019" w:rsidP="00876646">
            <w:pPr>
              <w:widowControl w:val="0"/>
              <w:jc w:val="right"/>
              <w:rPr>
                <w:sz w:val="20"/>
                <w:szCs w:val="20"/>
              </w:rPr>
            </w:pPr>
            <w:r>
              <w:rPr>
                <w:sz w:val="20"/>
                <w:szCs w:val="20"/>
              </w:rPr>
              <w:t>1,15</w:t>
            </w:r>
          </w:p>
        </w:tc>
      </w:tr>
      <w:tr w:rsidR="009E1019" w:rsidRPr="00563B49" w14:paraId="16E83650"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4E62297E" w14:textId="77777777" w:rsidR="009E1019" w:rsidRPr="008A3CCC" w:rsidRDefault="009E1019" w:rsidP="00876646">
            <w:pPr>
              <w:widowControl w:val="0"/>
              <w:jc w:val="left"/>
              <w:rPr>
                <w:sz w:val="20"/>
                <w:szCs w:val="20"/>
              </w:rPr>
            </w:pPr>
            <w:r>
              <w:rPr>
                <w:sz w:val="20"/>
                <w:szCs w:val="20"/>
              </w:rPr>
              <w:t>4.3.2</w:t>
            </w:r>
          </w:p>
        </w:tc>
        <w:tc>
          <w:tcPr>
            <w:tcW w:w="7779" w:type="dxa"/>
            <w:gridSpan w:val="7"/>
            <w:tcBorders>
              <w:top w:val="single" w:sz="4" w:space="0" w:color="auto"/>
              <w:left w:val="single" w:sz="4" w:space="0" w:color="auto"/>
              <w:bottom w:val="single" w:sz="4" w:space="0" w:color="auto"/>
              <w:right w:val="single" w:sz="4" w:space="0" w:color="auto"/>
            </w:tcBorders>
            <w:hideMark/>
          </w:tcPr>
          <w:p w14:paraId="26DEB5BE" w14:textId="77777777" w:rsidR="009E1019" w:rsidRPr="009E1019" w:rsidRDefault="009E1019" w:rsidP="00876646">
            <w:pPr>
              <w:widowControl w:val="0"/>
              <w:rPr>
                <w:sz w:val="20"/>
                <w:szCs w:val="20"/>
                <w:lang w:val="fr-CA"/>
              </w:rPr>
            </w:pPr>
            <w:r w:rsidRPr="009E1019">
              <w:rPr>
                <w:sz w:val="20"/>
                <w:szCs w:val="20"/>
                <w:lang w:val="fr-CA"/>
              </w:rPr>
              <w:t>Élimination du HCFC-141b à réaliser dans le cadre de projets approuvés précédemment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48EF143D" w14:textId="77777777" w:rsidR="009E1019" w:rsidRPr="008A3CCC" w:rsidRDefault="009E1019" w:rsidP="00876646">
            <w:pPr>
              <w:widowControl w:val="0"/>
              <w:jc w:val="right"/>
              <w:rPr>
                <w:sz w:val="20"/>
                <w:szCs w:val="20"/>
              </w:rPr>
            </w:pPr>
            <w:r>
              <w:rPr>
                <w:sz w:val="20"/>
                <w:szCs w:val="20"/>
              </w:rPr>
              <w:t>43,00</w:t>
            </w:r>
          </w:p>
        </w:tc>
      </w:tr>
      <w:tr w:rsidR="009E1019" w:rsidRPr="00563B49" w14:paraId="7C7CF322" w14:textId="77777777" w:rsidTr="00876646">
        <w:tc>
          <w:tcPr>
            <w:tcW w:w="625" w:type="dxa"/>
            <w:tcBorders>
              <w:top w:val="single" w:sz="4" w:space="0" w:color="auto"/>
              <w:left w:val="single" w:sz="4" w:space="0" w:color="auto"/>
              <w:bottom w:val="single" w:sz="4" w:space="0" w:color="auto"/>
              <w:right w:val="single" w:sz="4" w:space="0" w:color="auto"/>
            </w:tcBorders>
            <w:noWrap/>
            <w:hideMark/>
          </w:tcPr>
          <w:p w14:paraId="65785FD8" w14:textId="77777777" w:rsidR="009E1019" w:rsidRPr="008A3CCC" w:rsidRDefault="009E1019" w:rsidP="00876646">
            <w:pPr>
              <w:widowControl w:val="0"/>
              <w:jc w:val="left"/>
              <w:rPr>
                <w:sz w:val="20"/>
                <w:szCs w:val="20"/>
              </w:rPr>
            </w:pPr>
            <w:r>
              <w:rPr>
                <w:sz w:val="20"/>
                <w:szCs w:val="20"/>
              </w:rPr>
              <w:t>4.3.3</w:t>
            </w:r>
          </w:p>
        </w:tc>
        <w:tc>
          <w:tcPr>
            <w:tcW w:w="7779" w:type="dxa"/>
            <w:gridSpan w:val="7"/>
            <w:tcBorders>
              <w:top w:val="single" w:sz="4" w:space="0" w:color="auto"/>
              <w:left w:val="single" w:sz="4" w:space="0" w:color="auto"/>
              <w:bottom w:val="single" w:sz="4" w:space="0" w:color="auto"/>
              <w:right w:val="single" w:sz="4" w:space="0" w:color="auto"/>
            </w:tcBorders>
            <w:hideMark/>
          </w:tcPr>
          <w:p w14:paraId="5601D7EE" w14:textId="77777777" w:rsidR="009E1019" w:rsidRPr="009E1019" w:rsidRDefault="009E1019" w:rsidP="00876646">
            <w:pPr>
              <w:widowControl w:val="0"/>
              <w:rPr>
                <w:sz w:val="20"/>
                <w:szCs w:val="20"/>
                <w:lang w:val="fr-CA"/>
              </w:rPr>
            </w:pPr>
            <w:r w:rsidRPr="009E1019">
              <w:rPr>
                <w:sz w:val="20"/>
                <w:szCs w:val="20"/>
                <w:lang w:val="fr-CA"/>
              </w:rPr>
              <w:t>Consommation admissible restante de HCFC-141b (tonnes PAO)</w:t>
            </w:r>
          </w:p>
        </w:tc>
        <w:tc>
          <w:tcPr>
            <w:tcW w:w="990" w:type="dxa"/>
            <w:gridSpan w:val="2"/>
            <w:tcBorders>
              <w:top w:val="single" w:sz="4" w:space="0" w:color="auto"/>
              <w:left w:val="single" w:sz="4" w:space="0" w:color="auto"/>
              <w:bottom w:val="single" w:sz="4" w:space="0" w:color="auto"/>
              <w:right w:val="single" w:sz="4" w:space="0" w:color="auto"/>
            </w:tcBorders>
            <w:noWrap/>
            <w:hideMark/>
          </w:tcPr>
          <w:p w14:paraId="1FC5A5F9" w14:textId="77777777" w:rsidR="009E1019" w:rsidRPr="008A3CCC" w:rsidRDefault="009E1019" w:rsidP="00876646">
            <w:pPr>
              <w:widowControl w:val="0"/>
              <w:jc w:val="right"/>
              <w:rPr>
                <w:sz w:val="20"/>
                <w:szCs w:val="20"/>
              </w:rPr>
            </w:pPr>
            <w:r>
              <w:rPr>
                <w:sz w:val="20"/>
                <w:szCs w:val="20"/>
              </w:rPr>
              <w:t>7,70</w:t>
            </w:r>
          </w:p>
        </w:tc>
      </w:tr>
    </w:tbl>
    <w:p w14:paraId="60884999" w14:textId="77777777" w:rsidR="009E1019" w:rsidRPr="009E1019" w:rsidRDefault="009E1019" w:rsidP="009E1019">
      <w:pPr>
        <w:widowControl w:val="0"/>
        <w:rPr>
          <w:sz w:val="20"/>
          <w:lang w:val="fr-CA"/>
        </w:rPr>
      </w:pPr>
      <w:r w:rsidRPr="009E1019">
        <w:rPr>
          <w:sz w:val="19"/>
          <w:szCs w:val="19"/>
          <w:lang w:val="fr-CA"/>
        </w:rPr>
        <w:t>* Révisé à la 87</w:t>
      </w:r>
      <w:r w:rsidRPr="009E1019">
        <w:rPr>
          <w:sz w:val="19"/>
          <w:szCs w:val="19"/>
          <w:vertAlign w:val="superscript"/>
          <w:lang w:val="fr-CA"/>
        </w:rPr>
        <w:t>e</w:t>
      </w:r>
      <w:r w:rsidRPr="009E1019">
        <w:rPr>
          <w:sz w:val="19"/>
          <w:szCs w:val="19"/>
          <w:lang w:val="fr-CA"/>
        </w:rPr>
        <w:t xml:space="preserve"> réunion après l’annulation du plan du secteur de la fabrication des climatiseurs et des coûts de gestion de projet et d’appui d’agence associés (2 073 988 $ US y compris les coûts d’appui d’agence).</w:t>
      </w:r>
    </w:p>
    <w:p w14:paraId="677C624C" w14:textId="77777777" w:rsidR="009E1019" w:rsidRPr="009E1019" w:rsidRDefault="009E1019" w:rsidP="009E1019">
      <w:pPr>
        <w:widowControl w:val="0"/>
        <w:tabs>
          <w:tab w:val="left" w:pos="2880"/>
          <w:tab w:val="left" w:pos="5760"/>
        </w:tabs>
        <w:spacing w:after="240"/>
        <w:jc w:val="center"/>
        <w:rPr>
          <w:b/>
          <w:lang w:val="fr-CA"/>
        </w:rPr>
      </w:pPr>
    </w:p>
    <w:p w14:paraId="55315453" w14:textId="77777777" w:rsidR="00F457F9" w:rsidRPr="009E1019" w:rsidRDefault="00F457F9" w:rsidP="0037190F">
      <w:pPr>
        <w:jc w:val="center"/>
        <w:rPr>
          <w:lang w:val="fr-CA"/>
        </w:rPr>
      </w:pPr>
    </w:p>
    <w:p w14:paraId="313BADBB" w14:textId="77777777" w:rsidR="00BF17C8" w:rsidRPr="009E1019" w:rsidRDefault="00BF17C8" w:rsidP="0037190F">
      <w:pPr>
        <w:jc w:val="center"/>
        <w:rPr>
          <w:lang w:val="fr-CA"/>
        </w:rPr>
        <w:sectPr w:rsidR="00BF17C8" w:rsidRPr="009E1019" w:rsidSect="0037190F">
          <w:headerReference w:type="first" r:id="rId28"/>
          <w:footerReference w:type="first" r:id="rId29"/>
          <w:pgSz w:w="12240" w:h="15840" w:code="1"/>
          <w:pgMar w:top="720" w:right="1440" w:bottom="864" w:left="1440" w:header="720" w:footer="475" w:gutter="0"/>
          <w:pgNumType w:start="1"/>
          <w:cols w:space="720"/>
          <w:titlePg/>
        </w:sectPr>
      </w:pPr>
    </w:p>
    <w:p w14:paraId="14EDE755" w14:textId="636F5629" w:rsidR="00BF17C8" w:rsidRPr="00F457F9" w:rsidRDefault="00BF17C8" w:rsidP="0037190F">
      <w:pPr>
        <w:jc w:val="center"/>
        <w:rPr>
          <w:b/>
          <w:lang w:val="fr-CA"/>
        </w:rPr>
      </w:pPr>
      <w:r w:rsidRPr="00F457F9">
        <w:rPr>
          <w:b/>
          <w:lang w:val="fr-CA"/>
        </w:rPr>
        <w:lastRenderedPageBreak/>
        <w:t>Annexe V</w:t>
      </w:r>
    </w:p>
    <w:p w14:paraId="41495FCD" w14:textId="61CCE1B4" w:rsidR="00BF17C8" w:rsidRDefault="00BF17C8" w:rsidP="0037190F">
      <w:pPr>
        <w:jc w:val="center"/>
        <w:rPr>
          <w:lang w:val="fr-CA"/>
        </w:rPr>
      </w:pPr>
    </w:p>
    <w:p w14:paraId="79C0F013" w14:textId="77777777" w:rsidR="009E1019" w:rsidRPr="009E1019" w:rsidRDefault="009E1019" w:rsidP="009E1019">
      <w:pPr>
        <w:jc w:val="center"/>
        <w:rPr>
          <w:b/>
          <w:lang w:val="fr-CA"/>
        </w:rPr>
      </w:pPr>
      <w:r w:rsidRPr="009E1019">
        <w:rPr>
          <w:b/>
          <w:lang w:val="fr-CA"/>
        </w:rPr>
        <w:t xml:space="preserve">TEXTE À INCLURE DANS L’ACCORD </w:t>
      </w:r>
      <w:r w:rsidRPr="009E1019">
        <w:rPr>
          <w:b/>
          <w:u w:val="single"/>
          <w:lang w:val="fr-CA"/>
        </w:rPr>
        <w:t>MIS À JOUR RÉVISÉ</w:t>
      </w:r>
      <w:r w:rsidRPr="009E1019">
        <w:rPr>
          <w:b/>
          <w:lang w:val="fr-CA"/>
        </w:rPr>
        <w:t xml:space="preserve"> ENTRE LE GOUVERNEMENT DE L’ÉQUATEUR ET LE COMITÉ EXÉCUTIF DU FONDS MULTILATÉRAL POUR LA RÉDUCTION DE LA CONSOMMATION DES HYDROCHLOROFLUOROCARBURES</w:t>
      </w:r>
    </w:p>
    <w:p w14:paraId="79C70009" w14:textId="77777777" w:rsidR="009E1019" w:rsidRPr="009E1019" w:rsidRDefault="009E1019" w:rsidP="009E1019">
      <w:pPr>
        <w:jc w:val="center"/>
        <w:rPr>
          <w:b/>
          <w:lang w:val="fr-CA"/>
        </w:rPr>
      </w:pPr>
    </w:p>
    <w:p w14:paraId="62595247" w14:textId="77777777" w:rsidR="009E1019" w:rsidRPr="009E1019" w:rsidRDefault="009E1019" w:rsidP="009E1019">
      <w:pPr>
        <w:jc w:val="center"/>
        <w:rPr>
          <w:lang w:val="fr-CA"/>
        </w:rPr>
      </w:pPr>
      <w:r w:rsidRPr="009E1019">
        <w:rPr>
          <w:lang w:val="fr-CA"/>
        </w:rPr>
        <w:t>(Les changements pertinents sont en caractères gras)</w:t>
      </w:r>
    </w:p>
    <w:p w14:paraId="17B6551F" w14:textId="77777777" w:rsidR="009E1019" w:rsidRPr="009E1019" w:rsidRDefault="009E1019" w:rsidP="009E1019">
      <w:pPr>
        <w:jc w:val="center"/>
        <w:rPr>
          <w:lang w:val="fr-CA"/>
        </w:rPr>
      </w:pPr>
    </w:p>
    <w:p w14:paraId="48EC4C3F" w14:textId="77777777" w:rsidR="009E1019" w:rsidRPr="009E1019" w:rsidRDefault="009E1019" w:rsidP="009E1019">
      <w:pPr>
        <w:rPr>
          <w:lang w:val="fr-CA"/>
        </w:rPr>
      </w:pPr>
      <w:r w:rsidRPr="009E1019">
        <w:rPr>
          <w:lang w:val="fr-CA"/>
        </w:rPr>
        <w:t>16.</w:t>
      </w:r>
      <w:r w:rsidRPr="009E1019">
        <w:rPr>
          <w:lang w:val="fr-CA"/>
        </w:rPr>
        <w:tab/>
        <w:t xml:space="preserve">Le présent Accord </w:t>
      </w:r>
      <w:r w:rsidRPr="009E1019">
        <w:rPr>
          <w:b/>
          <w:bCs/>
          <w:lang w:val="fr-CA"/>
        </w:rPr>
        <w:t>révisé</w:t>
      </w:r>
      <w:r w:rsidRPr="009E1019">
        <w:rPr>
          <w:lang w:val="fr-CA"/>
        </w:rPr>
        <w:t xml:space="preserve"> remplace l’Accord conclu entre le gouvernement de l’Équateur et le Comité exécutif à la </w:t>
      </w:r>
      <w:r w:rsidRPr="009E1019">
        <w:rPr>
          <w:b/>
          <w:bCs/>
          <w:lang w:val="fr-CA"/>
        </w:rPr>
        <w:t>81</w:t>
      </w:r>
      <w:r w:rsidRPr="009E1019">
        <w:rPr>
          <w:b/>
          <w:bCs/>
          <w:vertAlign w:val="superscript"/>
          <w:lang w:val="fr-CA"/>
        </w:rPr>
        <w:t>e</w:t>
      </w:r>
      <w:r w:rsidRPr="009E1019">
        <w:rPr>
          <w:lang w:val="fr-CA"/>
        </w:rPr>
        <w:t xml:space="preserve"> réunion du Comité exécutif.</w:t>
      </w:r>
    </w:p>
    <w:p w14:paraId="2C35D964" w14:textId="77777777" w:rsidR="009E1019" w:rsidRPr="009E1019" w:rsidRDefault="009E1019" w:rsidP="009E1019">
      <w:pPr>
        <w:rPr>
          <w:lang w:val="fr-CA"/>
        </w:rPr>
      </w:pPr>
    </w:p>
    <w:p w14:paraId="28E19644" w14:textId="77777777" w:rsidR="009E1019" w:rsidRPr="009E1019" w:rsidRDefault="009E1019" w:rsidP="009E1019">
      <w:pPr>
        <w:keepNext/>
        <w:keepLines/>
        <w:suppressAutoHyphens/>
        <w:rPr>
          <w:rFonts w:eastAsia="SimSun"/>
          <w:b/>
          <w:lang w:val="fr-CA"/>
        </w:rPr>
      </w:pPr>
      <w:r w:rsidRPr="009E1019">
        <w:rPr>
          <w:b/>
          <w:lang w:val="fr-CA"/>
        </w:rPr>
        <w:t>APPENDICE 2-A : LES OBJECTIFS ET LE FINANCEMENT</w:t>
      </w:r>
    </w:p>
    <w:tbl>
      <w:tblPr>
        <w:tblW w:w="5265" w:type="pct"/>
        <w:tblInd w:w="-5" w:type="dxa"/>
        <w:tblLook w:val="00A0" w:firstRow="1" w:lastRow="0" w:firstColumn="1" w:lastColumn="0" w:noHBand="0" w:noVBand="0"/>
      </w:tblPr>
      <w:tblGrid>
        <w:gridCol w:w="525"/>
        <w:gridCol w:w="1819"/>
        <w:gridCol w:w="862"/>
        <w:gridCol w:w="502"/>
        <w:gridCol w:w="727"/>
        <w:gridCol w:w="547"/>
        <w:gridCol w:w="547"/>
        <w:gridCol w:w="727"/>
        <w:gridCol w:w="547"/>
        <w:gridCol w:w="817"/>
        <w:gridCol w:w="547"/>
        <w:gridCol w:w="817"/>
        <w:gridCol w:w="862"/>
      </w:tblGrid>
      <w:tr w:rsidR="009E1019" w:rsidRPr="00606BD8" w14:paraId="4C01AE75"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tcMar>
              <w:left w:w="57" w:type="dxa"/>
              <w:right w:w="28" w:type="dxa"/>
            </w:tcMar>
          </w:tcPr>
          <w:p w14:paraId="714E665F" w14:textId="77777777" w:rsidR="009E1019" w:rsidRPr="009E1019" w:rsidRDefault="009E1019" w:rsidP="00876646">
            <w:pPr>
              <w:keepNext/>
              <w:keepLines/>
              <w:jc w:val="left"/>
              <w:rPr>
                <w:rFonts w:eastAsia="SimSun"/>
                <w:color w:val="000000"/>
                <w:sz w:val="18"/>
                <w:szCs w:val="16"/>
                <w:lang w:val="fr-CA" w:eastAsia="en-CA"/>
              </w:rPr>
            </w:pPr>
          </w:p>
        </w:tc>
        <w:tc>
          <w:tcPr>
            <w:tcW w:w="1173" w:type="pct"/>
            <w:tcBorders>
              <w:top w:val="single" w:sz="4" w:space="0" w:color="auto"/>
              <w:left w:val="nil"/>
              <w:bottom w:val="single" w:sz="4" w:space="0" w:color="auto"/>
              <w:right w:val="single" w:sz="4" w:space="0" w:color="auto"/>
            </w:tcBorders>
            <w:tcMar>
              <w:left w:w="57" w:type="dxa"/>
              <w:right w:w="28" w:type="dxa"/>
            </w:tcMar>
          </w:tcPr>
          <w:p w14:paraId="67BA4923" w14:textId="77777777" w:rsidR="009E1019" w:rsidRPr="009E1019" w:rsidRDefault="009E1019" w:rsidP="00876646">
            <w:pPr>
              <w:keepNext/>
              <w:keepLines/>
              <w:suppressAutoHyphens/>
              <w:jc w:val="left"/>
              <w:rPr>
                <w:rFonts w:eastAsia="SimSun"/>
                <w:b/>
                <w:color w:val="000000"/>
                <w:sz w:val="18"/>
                <w:szCs w:val="16"/>
                <w:lang w:val="fr-CA" w:eastAsia="en-CA"/>
              </w:rPr>
            </w:pPr>
          </w:p>
        </w:tc>
        <w:tc>
          <w:tcPr>
            <w:tcW w:w="188" w:type="pct"/>
            <w:tcBorders>
              <w:top w:val="single" w:sz="4" w:space="0" w:color="auto"/>
              <w:left w:val="nil"/>
              <w:bottom w:val="single" w:sz="4" w:space="0" w:color="auto"/>
              <w:right w:val="single" w:sz="4" w:space="0" w:color="auto"/>
            </w:tcBorders>
            <w:tcMar>
              <w:left w:w="57" w:type="dxa"/>
              <w:right w:w="85" w:type="dxa"/>
            </w:tcMar>
          </w:tcPr>
          <w:p w14:paraId="7094C304"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2011</w:t>
            </w:r>
          </w:p>
        </w:tc>
        <w:tc>
          <w:tcPr>
            <w:tcW w:w="255" w:type="pct"/>
            <w:tcBorders>
              <w:top w:val="single" w:sz="4" w:space="0" w:color="auto"/>
              <w:left w:val="nil"/>
              <w:bottom w:val="single" w:sz="4" w:space="0" w:color="auto"/>
              <w:right w:val="single" w:sz="4" w:space="0" w:color="auto"/>
            </w:tcBorders>
            <w:tcMar>
              <w:left w:w="57" w:type="dxa"/>
              <w:right w:w="85" w:type="dxa"/>
            </w:tcMar>
          </w:tcPr>
          <w:p w14:paraId="160A6199"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2012</w:t>
            </w:r>
          </w:p>
        </w:tc>
        <w:tc>
          <w:tcPr>
            <w:tcW w:w="369" w:type="pct"/>
            <w:tcBorders>
              <w:top w:val="single" w:sz="4" w:space="0" w:color="auto"/>
              <w:left w:val="nil"/>
              <w:bottom w:val="single" w:sz="4" w:space="0" w:color="auto"/>
              <w:right w:val="single" w:sz="4" w:space="0" w:color="auto"/>
            </w:tcBorders>
            <w:tcMar>
              <w:left w:w="57" w:type="dxa"/>
              <w:right w:w="85" w:type="dxa"/>
            </w:tcMar>
          </w:tcPr>
          <w:p w14:paraId="274EE8D9"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2013</w:t>
            </w:r>
          </w:p>
        </w:tc>
        <w:tc>
          <w:tcPr>
            <w:tcW w:w="278" w:type="pct"/>
            <w:tcBorders>
              <w:top w:val="single" w:sz="4" w:space="0" w:color="auto"/>
              <w:left w:val="nil"/>
              <w:bottom w:val="single" w:sz="4" w:space="0" w:color="auto"/>
              <w:right w:val="single" w:sz="4" w:space="0" w:color="auto"/>
            </w:tcBorders>
            <w:tcMar>
              <w:left w:w="57" w:type="dxa"/>
              <w:right w:w="85" w:type="dxa"/>
            </w:tcMar>
          </w:tcPr>
          <w:p w14:paraId="1947A480"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2014</w:t>
            </w:r>
          </w:p>
        </w:tc>
        <w:tc>
          <w:tcPr>
            <w:tcW w:w="278" w:type="pct"/>
            <w:tcBorders>
              <w:top w:val="single" w:sz="4" w:space="0" w:color="auto"/>
              <w:left w:val="nil"/>
              <w:bottom w:val="single" w:sz="4" w:space="0" w:color="auto"/>
              <w:right w:val="single" w:sz="4" w:space="0" w:color="auto"/>
            </w:tcBorders>
            <w:tcMar>
              <w:left w:w="57" w:type="dxa"/>
              <w:right w:w="85" w:type="dxa"/>
            </w:tcMar>
          </w:tcPr>
          <w:p w14:paraId="6C7E89E7"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2015</w:t>
            </w:r>
          </w:p>
        </w:tc>
        <w:tc>
          <w:tcPr>
            <w:tcW w:w="369" w:type="pct"/>
            <w:tcBorders>
              <w:top w:val="single" w:sz="4" w:space="0" w:color="auto"/>
              <w:left w:val="nil"/>
              <w:bottom w:val="single" w:sz="4" w:space="0" w:color="auto"/>
              <w:right w:val="single" w:sz="4" w:space="0" w:color="auto"/>
            </w:tcBorders>
            <w:tcMar>
              <w:left w:w="57" w:type="dxa"/>
              <w:right w:w="85" w:type="dxa"/>
            </w:tcMar>
          </w:tcPr>
          <w:p w14:paraId="4D7D6717"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2016</w:t>
            </w:r>
          </w:p>
        </w:tc>
        <w:tc>
          <w:tcPr>
            <w:tcW w:w="278" w:type="pct"/>
            <w:tcBorders>
              <w:top w:val="single" w:sz="4" w:space="0" w:color="auto"/>
              <w:left w:val="nil"/>
              <w:bottom w:val="single" w:sz="4" w:space="0" w:color="auto"/>
              <w:right w:val="single" w:sz="4" w:space="0" w:color="auto"/>
            </w:tcBorders>
            <w:tcMar>
              <w:left w:w="57" w:type="dxa"/>
              <w:right w:w="85" w:type="dxa"/>
            </w:tcMar>
          </w:tcPr>
          <w:p w14:paraId="5EE8C714"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2017</w:t>
            </w:r>
          </w:p>
        </w:tc>
        <w:tc>
          <w:tcPr>
            <w:tcW w:w="415" w:type="pct"/>
            <w:tcBorders>
              <w:top w:val="single" w:sz="4" w:space="0" w:color="auto"/>
              <w:left w:val="nil"/>
              <w:bottom w:val="single" w:sz="4" w:space="0" w:color="auto"/>
              <w:right w:val="single" w:sz="4" w:space="0" w:color="auto"/>
            </w:tcBorders>
            <w:tcMar>
              <w:left w:w="57" w:type="dxa"/>
              <w:right w:w="85" w:type="dxa"/>
            </w:tcMar>
          </w:tcPr>
          <w:p w14:paraId="232A2F6C"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2018</w:t>
            </w:r>
          </w:p>
        </w:tc>
        <w:tc>
          <w:tcPr>
            <w:tcW w:w="278" w:type="pct"/>
            <w:tcBorders>
              <w:top w:val="single" w:sz="4" w:space="0" w:color="auto"/>
              <w:left w:val="nil"/>
              <w:bottom w:val="single" w:sz="4" w:space="0" w:color="auto"/>
              <w:right w:val="single" w:sz="4" w:space="0" w:color="auto"/>
            </w:tcBorders>
            <w:tcMar>
              <w:left w:w="57" w:type="dxa"/>
              <w:right w:w="85" w:type="dxa"/>
            </w:tcMar>
          </w:tcPr>
          <w:p w14:paraId="2469FDF4"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2019</w:t>
            </w:r>
          </w:p>
        </w:tc>
        <w:tc>
          <w:tcPr>
            <w:tcW w:w="415" w:type="pct"/>
            <w:tcBorders>
              <w:top w:val="single" w:sz="4" w:space="0" w:color="auto"/>
              <w:left w:val="nil"/>
              <w:bottom w:val="single" w:sz="4" w:space="0" w:color="auto"/>
              <w:right w:val="single" w:sz="4" w:space="0" w:color="auto"/>
            </w:tcBorders>
            <w:tcMar>
              <w:left w:w="57" w:type="dxa"/>
              <w:right w:w="85" w:type="dxa"/>
            </w:tcMar>
          </w:tcPr>
          <w:p w14:paraId="11404A91"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2020</w:t>
            </w:r>
          </w:p>
        </w:tc>
        <w:tc>
          <w:tcPr>
            <w:tcW w:w="438" w:type="pct"/>
            <w:tcBorders>
              <w:top w:val="single" w:sz="4" w:space="0" w:color="auto"/>
              <w:left w:val="nil"/>
              <w:bottom w:val="single" w:sz="4" w:space="0" w:color="auto"/>
              <w:right w:val="single" w:sz="4" w:space="0" w:color="auto"/>
            </w:tcBorders>
            <w:tcMar>
              <w:left w:w="57" w:type="dxa"/>
              <w:right w:w="85" w:type="dxa"/>
            </w:tcMar>
          </w:tcPr>
          <w:p w14:paraId="6A7956BE" w14:textId="77777777" w:rsidR="009E1019" w:rsidRPr="004F4229" w:rsidRDefault="009E1019" w:rsidP="00876646">
            <w:pPr>
              <w:keepNext/>
              <w:keepLines/>
              <w:suppressAutoHyphens/>
              <w:jc w:val="center"/>
              <w:rPr>
                <w:rFonts w:eastAsia="SimSun"/>
                <w:b/>
                <w:color w:val="000000"/>
                <w:sz w:val="18"/>
                <w:szCs w:val="16"/>
              </w:rPr>
            </w:pPr>
            <w:r>
              <w:rPr>
                <w:b/>
                <w:color w:val="000000"/>
                <w:sz w:val="18"/>
                <w:szCs w:val="16"/>
              </w:rPr>
              <w:t>Total</w:t>
            </w:r>
          </w:p>
        </w:tc>
      </w:tr>
      <w:tr w:rsidR="009E1019" w:rsidRPr="00606BD8" w14:paraId="0713AEB5" w14:textId="77777777" w:rsidTr="00876646">
        <w:trPr>
          <w:trHeight w:val="568"/>
        </w:trPr>
        <w:tc>
          <w:tcPr>
            <w:tcW w:w="267" w:type="pct"/>
            <w:tcBorders>
              <w:top w:val="nil"/>
              <w:left w:val="single" w:sz="4" w:space="0" w:color="auto"/>
              <w:bottom w:val="single" w:sz="4" w:space="0" w:color="auto"/>
              <w:right w:val="single" w:sz="4" w:space="0" w:color="auto"/>
            </w:tcBorders>
            <w:tcMar>
              <w:left w:w="57" w:type="dxa"/>
              <w:right w:w="28" w:type="dxa"/>
            </w:tcMar>
          </w:tcPr>
          <w:p w14:paraId="778EACDF"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1.1</w:t>
            </w:r>
          </w:p>
        </w:tc>
        <w:tc>
          <w:tcPr>
            <w:tcW w:w="1173" w:type="pct"/>
            <w:tcBorders>
              <w:top w:val="nil"/>
              <w:left w:val="nil"/>
              <w:bottom w:val="single" w:sz="4" w:space="0" w:color="auto"/>
              <w:right w:val="single" w:sz="4" w:space="0" w:color="auto"/>
            </w:tcBorders>
            <w:tcMar>
              <w:left w:w="57" w:type="dxa"/>
              <w:right w:w="28" w:type="dxa"/>
            </w:tcMar>
          </w:tcPr>
          <w:p w14:paraId="378AD635"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Calendrier de réduction des substances du groupe I de l’annexe C du Protocole de Montréal (tonnes PAO)</w:t>
            </w:r>
          </w:p>
        </w:tc>
        <w:tc>
          <w:tcPr>
            <w:tcW w:w="188" w:type="pct"/>
            <w:tcBorders>
              <w:top w:val="nil"/>
              <w:left w:val="nil"/>
              <w:bottom w:val="single" w:sz="4" w:space="0" w:color="auto"/>
              <w:right w:val="single" w:sz="4" w:space="0" w:color="auto"/>
            </w:tcBorders>
            <w:tcMar>
              <w:left w:w="57" w:type="dxa"/>
              <w:right w:w="85" w:type="dxa"/>
            </w:tcMar>
          </w:tcPr>
          <w:p w14:paraId="64487802" w14:textId="77777777" w:rsidR="009E1019" w:rsidRPr="004F4229" w:rsidRDefault="009E1019" w:rsidP="00876646">
            <w:pPr>
              <w:keepNext/>
              <w:keepLines/>
              <w:suppressAutoHyphens/>
              <w:jc w:val="center"/>
              <w:rPr>
                <w:rFonts w:eastAsia="SimSun"/>
                <w:color w:val="000000"/>
                <w:sz w:val="18"/>
                <w:szCs w:val="16"/>
              </w:rPr>
            </w:pPr>
            <w:r>
              <w:rPr>
                <w:color w:val="000000"/>
                <w:sz w:val="18"/>
                <w:szCs w:val="16"/>
              </w:rPr>
              <w:t>s. o.</w:t>
            </w:r>
          </w:p>
        </w:tc>
        <w:tc>
          <w:tcPr>
            <w:tcW w:w="255" w:type="pct"/>
            <w:tcBorders>
              <w:top w:val="nil"/>
              <w:left w:val="nil"/>
              <w:bottom w:val="single" w:sz="4" w:space="0" w:color="auto"/>
              <w:right w:val="single" w:sz="4" w:space="0" w:color="auto"/>
            </w:tcBorders>
            <w:tcMar>
              <w:left w:w="57" w:type="dxa"/>
              <w:right w:w="85" w:type="dxa"/>
            </w:tcMar>
          </w:tcPr>
          <w:p w14:paraId="4B30CCE0" w14:textId="77777777" w:rsidR="009E1019" w:rsidRPr="004F4229" w:rsidRDefault="009E1019" w:rsidP="00876646">
            <w:pPr>
              <w:keepNext/>
              <w:keepLines/>
              <w:suppressAutoHyphens/>
              <w:jc w:val="center"/>
              <w:rPr>
                <w:rFonts w:eastAsia="SimSun"/>
                <w:color w:val="000000"/>
                <w:sz w:val="18"/>
                <w:szCs w:val="16"/>
              </w:rPr>
            </w:pPr>
            <w:r>
              <w:rPr>
                <w:color w:val="000000"/>
                <w:sz w:val="18"/>
                <w:szCs w:val="16"/>
              </w:rPr>
              <w:t>s. o.</w:t>
            </w:r>
          </w:p>
        </w:tc>
        <w:tc>
          <w:tcPr>
            <w:tcW w:w="369" w:type="pct"/>
            <w:tcBorders>
              <w:top w:val="nil"/>
              <w:left w:val="nil"/>
              <w:bottom w:val="single" w:sz="4" w:space="0" w:color="auto"/>
              <w:right w:val="single" w:sz="4" w:space="0" w:color="auto"/>
            </w:tcBorders>
            <w:tcMar>
              <w:left w:w="57" w:type="dxa"/>
              <w:right w:w="85" w:type="dxa"/>
            </w:tcMar>
          </w:tcPr>
          <w:p w14:paraId="2A3099A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25833AD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3675132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369" w:type="pct"/>
            <w:tcBorders>
              <w:top w:val="nil"/>
              <w:left w:val="nil"/>
              <w:bottom w:val="single" w:sz="4" w:space="0" w:color="auto"/>
              <w:right w:val="single" w:sz="4" w:space="0" w:color="auto"/>
            </w:tcBorders>
            <w:tcMar>
              <w:left w:w="57" w:type="dxa"/>
              <w:right w:w="85" w:type="dxa"/>
            </w:tcMar>
          </w:tcPr>
          <w:p w14:paraId="446CE98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2148C860"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003BD1E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11F0929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55356900"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15,27</w:t>
            </w:r>
          </w:p>
        </w:tc>
        <w:tc>
          <w:tcPr>
            <w:tcW w:w="438" w:type="pct"/>
            <w:tcBorders>
              <w:top w:val="nil"/>
              <w:left w:val="nil"/>
              <w:bottom w:val="single" w:sz="4" w:space="0" w:color="auto"/>
              <w:right w:val="single" w:sz="4" w:space="0" w:color="auto"/>
            </w:tcBorders>
            <w:tcMar>
              <w:left w:w="57" w:type="dxa"/>
              <w:right w:w="85" w:type="dxa"/>
            </w:tcMar>
          </w:tcPr>
          <w:p w14:paraId="7D0A16A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s. o.</w:t>
            </w:r>
          </w:p>
        </w:tc>
      </w:tr>
      <w:tr w:rsidR="009E1019" w:rsidRPr="00606BD8" w14:paraId="16909EFE" w14:textId="77777777" w:rsidTr="00876646">
        <w:trPr>
          <w:trHeight w:val="775"/>
        </w:trPr>
        <w:tc>
          <w:tcPr>
            <w:tcW w:w="267" w:type="pct"/>
            <w:tcBorders>
              <w:top w:val="nil"/>
              <w:left w:val="single" w:sz="4" w:space="0" w:color="auto"/>
              <w:bottom w:val="single" w:sz="4" w:space="0" w:color="auto"/>
              <w:right w:val="single" w:sz="4" w:space="0" w:color="auto"/>
            </w:tcBorders>
            <w:tcMar>
              <w:left w:w="57" w:type="dxa"/>
              <w:right w:w="28" w:type="dxa"/>
            </w:tcMar>
          </w:tcPr>
          <w:p w14:paraId="1922057C"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1.2</w:t>
            </w:r>
          </w:p>
        </w:tc>
        <w:tc>
          <w:tcPr>
            <w:tcW w:w="1173" w:type="pct"/>
            <w:tcBorders>
              <w:top w:val="nil"/>
              <w:left w:val="nil"/>
              <w:bottom w:val="single" w:sz="4" w:space="0" w:color="auto"/>
              <w:right w:val="single" w:sz="4" w:space="0" w:color="auto"/>
            </w:tcBorders>
            <w:tcMar>
              <w:left w:w="57" w:type="dxa"/>
              <w:right w:w="28" w:type="dxa"/>
            </w:tcMar>
          </w:tcPr>
          <w:p w14:paraId="49393492"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Consommation maximale admissible des substances du groupe I de l’annexe C (tonnes PAO)</w:t>
            </w:r>
          </w:p>
        </w:tc>
        <w:tc>
          <w:tcPr>
            <w:tcW w:w="188" w:type="pct"/>
            <w:tcBorders>
              <w:top w:val="nil"/>
              <w:left w:val="nil"/>
              <w:bottom w:val="single" w:sz="4" w:space="0" w:color="auto"/>
              <w:right w:val="single" w:sz="4" w:space="0" w:color="auto"/>
            </w:tcBorders>
            <w:tcMar>
              <w:left w:w="57" w:type="dxa"/>
              <w:right w:w="85" w:type="dxa"/>
            </w:tcMar>
          </w:tcPr>
          <w:p w14:paraId="32A2ACAB" w14:textId="77777777" w:rsidR="009E1019" w:rsidRPr="004F4229" w:rsidRDefault="009E1019" w:rsidP="00876646">
            <w:pPr>
              <w:keepNext/>
              <w:keepLines/>
              <w:suppressAutoHyphens/>
              <w:jc w:val="center"/>
              <w:rPr>
                <w:rFonts w:eastAsia="SimSun"/>
                <w:color w:val="000000"/>
                <w:sz w:val="18"/>
                <w:szCs w:val="16"/>
              </w:rPr>
            </w:pPr>
            <w:r>
              <w:rPr>
                <w:color w:val="000000"/>
                <w:sz w:val="18"/>
                <w:szCs w:val="16"/>
              </w:rPr>
              <w:t>s. o.</w:t>
            </w:r>
          </w:p>
        </w:tc>
        <w:tc>
          <w:tcPr>
            <w:tcW w:w="255" w:type="pct"/>
            <w:tcBorders>
              <w:top w:val="nil"/>
              <w:left w:val="nil"/>
              <w:bottom w:val="single" w:sz="4" w:space="0" w:color="auto"/>
              <w:right w:val="single" w:sz="4" w:space="0" w:color="auto"/>
            </w:tcBorders>
            <w:tcMar>
              <w:left w:w="57" w:type="dxa"/>
              <w:right w:w="85" w:type="dxa"/>
            </w:tcMar>
          </w:tcPr>
          <w:p w14:paraId="25C6D79E" w14:textId="77777777" w:rsidR="009E1019" w:rsidRPr="004F4229" w:rsidRDefault="009E1019" w:rsidP="00876646">
            <w:pPr>
              <w:keepNext/>
              <w:keepLines/>
              <w:suppressAutoHyphens/>
              <w:jc w:val="center"/>
              <w:rPr>
                <w:rFonts w:eastAsia="SimSun"/>
                <w:color w:val="000000"/>
                <w:sz w:val="18"/>
                <w:szCs w:val="16"/>
              </w:rPr>
            </w:pPr>
            <w:r>
              <w:rPr>
                <w:color w:val="000000"/>
                <w:sz w:val="18"/>
                <w:szCs w:val="16"/>
              </w:rPr>
              <w:t>s. o.</w:t>
            </w:r>
          </w:p>
        </w:tc>
        <w:tc>
          <w:tcPr>
            <w:tcW w:w="369" w:type="pct"/>
            <w:tcBorders>
              <w:top w:val="nil"/>
              <w:left w:val="nil"/>
              <w:bottom w:val="single" w:sz="4" w:space="0" w:color="auto"/>
              <w:right w:val="single" w:sz="4" w:space="0" w:color="auto"/>
            </w:tcBorders>
            <w:tcMar>
              <w:left w:w="57" w:type="dxa"/>
              <w:right w:w="85" w:type="dxa"/>
            </w:tcMar>
          </w:tcPr>
          <w:p w14:paraId="584A846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3DC6C34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23,49</w:t>
            </w:r>
          </w:p>
        </w:tc>
        <w:tc>
          <w:tcPr>
            <w:tcW w:w="278" w:type="pct"/>
            <w:tcBorders>
              <w:top w:val="nil"/>
              <w:left w:val="nil"/>
              <w:bottom w:val="single" w:sz="4" w:space="0" w:color="auto"/>
              <w:right w:val="single" w:sz="4" w:space="0" w:color="auto"/>
            </w:tcBorders>
            <w:tcMar>
              <w:left w:w="57" w:type="dxa"/>
              <w:right w:w="85" w:type="dxa"/>
            </w:tcMar>
          </w:tcPr>
          <w:p w14:paraId="0D3F574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369" w:type="pct"/>
            <w:tcBorders>
              <w:top w:val="nil"/>
              <w:left w:val="nil"/>
              <w:bottom w:val="single" w:sz="4" w:space="0" w:color="auto"/>
              <w:right w:val="single" w:sz="4" w:space="0" w:color="auto"/>
            </w:tcBorders>
            <w:tcMar>
              <w:left w:w="57" w:type="dxa"/>
              <w:right w:w="85" w:type="dxa"/>
            </w:tcMar>
          </w:tcPr>
          <w:p w14:paraId="52045E1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0C9A78A4"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1D12EEB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278" w:type="pct"/>
            <w:tcBorders>
              <w:top w:val="nil"/>
              <w:left w:val="nil"/>
              <w:bottom w:val="single" w:sz="4" w:space="0" w:color="auto"/>
              <w:right w:val="single" w:sz="4" w:space="0" w:color="auto"/>
            </w:tcBorders>
            <w:tcMar>
              <w:left w:w="57" w:type="dxa"/>
              <w:right w:w="85" w:type="dxa"/>
            </w:tcMar>
          </w:tcPr>
          <w:p w14:paraId="7A5CB2B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21,14</w:t>
            </w:r>
          </w:p>
        </w:tc>
        <w:tc>
          <w:tcPr>
            <w:tcW w:w="415" w:type="pct"/>
            <w:tcBorders>
              <w:top w:val="nil"/>
              <w:left w:val="nil"/>
              <w:bottom w:val="single" w:sz="4" w:space="0" w:color="auto"/>
              <w:right w:val="single" w:sz="4" w:space="0" w:color="auto"/>
            </w:tcBorders>
            <w:tcMar>
              <w:left w:w="57" w:type="dxa"/>
              <w:right w:w="85" w:type="dxa"/>
            </w:tcMar>
          </w:tcPr>
          <w:p w14:paraId="51417804"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15,27</w:t>
            </w:r>
          </w:p>
        </w:tc>
        <w:tc>
          <w:tcPr>
            <w:tcW w:w="438" w:type="pct"/>
            <w:tcBorders>
              <w:top w:val="nil"/>
              <w:left w:val="nil"/>
              <w:bottom w:val="single" w:sz="4" w:space="0" w:color="auto"/>
              <w:right w:val="single" w:sz="4" w:space="0" w:color="auto"/>
            </w:tcBorders>
            <w:tcMar>
              <w:left w:w="57" w:type="dxa"/>
              <w:right w:w="85" w:type="dxa"/>
            </w:tcMar>
          </w:tcPr>
          <w:p w14:paraId="57A6016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s. o.</w:t>
            </w:r>
          </w:p>
        </w:tc>
      </w:tr>
      <w:tr w:rsidR="009E1019" w:rsidRPr="00606BD8" w14:paraId="697F92B1" w14:textId="77777777" w:rsidTr="00876646">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45303031"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2.1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64B5B14C"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Financement convenu pour l’agence principale ONUDI ($ US)</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295FA73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1 531 940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559EFDC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4F7AFE2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86 500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3C7615B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92BA948"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3B09F18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86 500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78438C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7683684F"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*518 219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A45911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49DCED76"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**65 000</w:t>
            </w:r>
          </w:p>
        </w:tc>
        <w:tc>
          <w:tcPr>
            <w:tcW w:w="438" w:type="pct"/>
            <w:tcBorders>
              <w:top w:val="single" w:sz="4" w:space="0" w:color="auto"/>
              <w:left w:val="nil"/>
              <w:bottom w:val="single" w:sz="4" w:space="0" w:color="auto"/>
              <w:right w:val="single" w:sz="4" w:space="0" w:color="auto"/>
            </w:tcBorders>
            <w:shd w:val="clear" w:color="auto" w:fill="auto"/>
            <w:tcMar>
              <w:left w:w="57" w:type="dxa"/>
              <w:right w:w="85" w:type="dxa"/>
            </w:tcMar>
          </w:tcPr>
          <w:p w14:paraId="3B8E9F3C"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2 288 159</w:t>
            </w:r>
          </w:p>
        </w:tc>
      </w:tr>
      <w:tr w:rsidR="009E1019" w:rsidRPr="00606BD8" w14:paraId="13DE1C2B" w14:textId="77777777" w:rsidTr="00876646">
        <w:trPr>
          <w:trHeight w:val="405"/>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5E2B7E98"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2.2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45A47572"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Coûts d’appui pour l’Agence principale ($ US)</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513A634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114 896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47FFF5A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41801DD3"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6 488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B0501C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3A228FE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5AF86684"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6 487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681B39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38D469D3"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*36 707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7EC8AAF"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58913CE8"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**4 825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56DA683F"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169 403</w:t>
            </w:r>
          </w:p>
        </w:tc>
      </w:tr>
      <w:tr w:rsidR="009E1019" w:rsidRPr="00606BD8" w14:paraId="38DC6081" w14:textId="77777777" w:rsidTr="00876646">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4AEB6AF2"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2.3</w:t>
            </w:r>
          </w:p>
        </w:tc>
        <w:tc>
          <w:tcPr>
            <w:tcW w:w="1173" w:type="pct"/>
            <w:tcBorders>
              <w:top w:val="nil"/>
              <w:left w:val="nil"/>
              <w:bottom w:val="single" w:sz="4" w:space="0" w:color="auto"/>
              <w:right w:val="single" w:sz="4" w:space="0" w:color="auto"/>
            </w:tcBorders>
            <w:tcMar>
              <w:left w:w="57" w:type="dxa"/>
              <w:right w:w="28" w:type="dxa"/>
            </w:tcMar>
          </w:tcPr>
          <w:p w14:paraId="4472B123"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Financement convenu pour l’Agence coopérative PNUE ($ US)</w:t>
            </w:r>
          </w:p>
        </w:tc>
        <w:tc>
          <w:tcPr>
            <w:tcW w:w="188" w:type="pct"/>
            <w:tcBorders>
              <w:top w:val="nil"/>
              <w:left w:val="nil"/>
              <w:bottom w:val="single" w:sz="4" w:space="0" w:color="auto"/>
              <w:right w:val="single" w:sz="4" w:space="0" w:color="auto"/>
            </w:tcBorders>
            <w:tcMar>
              <w:left w:w="57" w:type="dxa"/>
              <w:right w:w="85" w:type="dxa"/>
            </w:tcMar>
          </w:tcPr>
          <w:p w14:paraId="7F0262C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30 000</w:t>
            </w:r>
          </w:p>
        </w:tc>
        <w:tc>
          <w:tcPr>
            <w:tcW w:w="255" w:type="pct"/>
            <w:tcBorders>
              <w:top w:val="nil"/>
              <w:left w:val="nil"/>
              <w:bottom w:val="single" w:sz="4" w:space="0" w:color="auto"/>
              <w:right w:val="single" w:sz="4" w:space="0" w:color="auto"/>
            </w:tcBorders>
            <w:tcMar>
              <w:left w:w="57" w:type="dxa"/>
              <w:right w:w="85" w:type="dxa"/>
            </w:tcMar>
          </w:tcPr>
          <w:p w14:paraId="19946F0C"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6E74D17C"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20 000</w:t>
            </w:r>
          </w:p>
        </w:tc>
        <w:tc>
          <w:tcPr>
            <w:tcW w:w="278" w:type="pct"/>
            <w:tcBorders>
              <w:top w:val="nil"/>
              <w:left w:val="nil"/>
              <w:bottom w:val="single" w:sz="4" w:space="0" w:color="auto"/>
              <w:right w:val="single" w:sz="4" w:space="0" w:color="auto"/>
            </w:tcBorders>
            <w:tcMar>
              <w:left w:w="57" w:type="dxa"/>
              <w:right w:w="85" w:type="dxa"/>
            </w:tcMar>
          </w:tcPr>
          <w:p w14:paraId="12956FBF"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tcMar>
              <w:left w:w="57" w:type="dxa"/>
              <w:right w:w="85" w:type="dxa"/>
            </w:tcMar>
          </w:tcPr>
          <w:p w14:paraId="09ECA2DE" w14:textId="77777777" w:rsidR="009E1019" w:rsidRPr="004F4229" w:rsidRDefault="009E1019" w:rsidP="00876646">
            <w:pPr>
              <w:keepNext/>
              <w:keepLines/>
              <w:suppressAutoHyphens/>
              <w:jc w:val="right"/>
              <w:rPr>
                <w:rFonts w:eastAsia="SimSun"/>
                <w:color w:val="000000"/>
                <w:sz w:val="18"/>
                <w:szCs w:val="16"/>
                <w:lang w:eastAsia="en-CA"/>
              </w:rPr>
            </w:pPr>
          </w:p>
        </w:tc>
        <w:tc>
          <w:tcPr>
            <w:tcW w:w="369" w:type="pct"/>
            <w:tcBorders>
              <w:top w:val="nil"/>
              <w:left w:val="nil"/>
              <w:bottom w:val="single" w:sz="4" w:space="0" w:color="auto"/>
              <w:right w:val="single" w:sz="4" w:space="0" w:color="auto"/>
            </w:tcBorders>
            <w:tcMar>
              <w:left w:w="57" w:type="dxa"/>
              <w:right w:w="85" w:type="dxa"/>
            </w:tcMar>
          </w:tcPr>
          <w:p w14:paraId="5630E621"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30 000</w:t>
            </w:r>
          </w:p>
        </w:tc>
        <w:tc>
          <w:tcPr>
            <w:tcW w:w="278" w:type="pct"/>
            <w:tcBorders>
              <w:top w:val="nil"/>
              <w:left w:val="nil"/>
              <w:bottom w:val="single" w:sz="4" w:space="0" w:color="auto"/>
              <w:right w:val="single" w:sz="4" w:space="0" w:color="auto"/>
            </w:tcBorders>
            <w:tcMar>
              <w:left w:w="57" w:type="dxa"/>
              <w:right w:w="85" w:type="dxa"/>
            </w:tcMar>
          </w:tcPr>
          <w:p w14:paraId="2CF964C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769B98C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25 000</w:t>
            </w:r>
          </w:p>
        </w:tc>
        <w:tc>
          <w:tcPr>
            <w:tcW w:w="278" w:type="pct"/>
            <w:tcBorders>
              <w:top w:val="nil"/>
              <w:left w:val="nil"/>
              <w:bottom w:val="single" w:sz="4" w:space="0" w:color="auto"/>
              <w:right w:val="single" w:sz="4" w:space="0" w:color="auto"/>
            </w:tcBorders>
            <w:tcMar>
              <w:left w:w="57" w:type="dxa"/>
              <w:right w:w="85" w:type="dxa"/>
            </w:tcMar>
          </w:tcPr>
          <w:p w14:paraId="4A41FC5D"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607B5A6B"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**0</w:t>
            </w:r>
          </w:p>
        </w:tc>
        <w:tc>
          <w:tcPr>
            <w:tcW w:w="438" w:type="pct"/>
            <w:tcBorders>
              <w:top w:val="nil"/>
              <w:left w:val="nil"/>
              <w:bottom w:val="single" w:sz="4" w:space="0" w:color="auto"/>
              <w:right w:val="single" w:sz="4" w:space="0" w:color="auto"/>
            </w:tcBorders>
            <w:tcMar>
              <w:left w:w="57" w:type="dxa"/>
              <w:right w:w="85" w:type="dxa"/>
            </w:tcMar>
          </w:tcPr>
          <w:p w14:paraId="7748A484"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105 000</w:t>
            </w:r>
          </w:p>
        </w:tc>
      </w:tr>
      <w:tr w:rsidR="009E1019" w:rsidRPr="00606BD8" w14:paraId="0902BA66" w14:textId="77777777" w:rsidTr="00876646">
        <w:trPr>
          <w:trHeight w:val="405"/>
        </w:trPr>
        <w:tc>
          <w:tcPr>
            <w:tcW w:w="267" w:type="pct"/>
            <w:tcBorders>
              <w:top w:val="nil"/>
              <w:left w:val="single" w:sz="4" w:space="0" w:color="auto"/>
              <w:bottom w:val="single" w:sz="4" w:space="0" w:color="auto"/>
              <w:right w:val="single" w:sz="4" w:space="0" w:color="auto"/>
            </w:tcBorders>
            <w:tcMar>
              <w:left w:w="57" w:type="dxa"/>
              <w:right w:w="28" w:type="dxa"/>
            </w:tcMar>
          </w:tcPr>
          <w:p w14:paraId="796EF4C6"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2.4</w:t>
            </w:r>
          </w:p>
        </w:tc>
        <w:tc>
          <w:tcPr>
            <w:tcW w:w="1173" w:type="pct"/>
            <w:tcBorders>
              <w:top w:val="nil"/>
              <w:left w:val="nil"/>
              <w:bottom w:val="single" w:sz="4" w:space="0" w:color="auto"/>
              <w:right w:val="single" w:sz="4" w:space="0" w:color="auto"/>
            </w:tcBorders>
            <w:tcMar>
              <w:left w:w="57" w:type="dxa"/>
              <w:right w:w="28" w:type="dxa"/>
            </w:tcMar>
          </w:tcPr>
          <w:p w14:paraId="30B14DCF"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Coûts d’appui pour l’agence coopérative ($ US)</w:t>
            </w:r>
          </w:p>
        </w:tc>
        <w:tc>
          <w:tcPr>
            <w:tcW w:w="188" w:type="pct"/>
            <w:tcBorders>
              <w:top w:val="nil"/>
              <w:left w:val="nil"/>
              <w:bottom w:val="single" w:sz="4" w:space="0" w:color="auto"/>
              <w:right w:val="single" w:sz="4" w:space="0" w:color="auto"/>
            </w:tcBorders>
            <w:tcMar>
              <w:left w:w="57" w:type="dxa"/>
              <w:right w:w="85" w:type="dxa"/>
            </w:tcMar>
          </w:tcPr>
          <w:p w14:paraId="1D02DE0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3 900</w:t>
            </w:r>
          </w:p>
        </w:tc>
        <w:tc>
          <w:tcPr>
            <w:tcW w:w="255" w:type="pct"/>
            <w:tcBorders>
              <w:top w:val="nil"/>
              <w:left w:val="nil"/>
              <w:bottom w:val="single" w:sz="4" w:space="0" w:color="auto"/>
              <w:right w:val="single" w:sz="4" w:space="0" w:color="auto"/>
            </w:tcBorders>
            <w:tcMar>
              <w:left w:w="57" w:type="dxa"/>
              <w:right w:w="85" w:type="dxa"/>
            </w:tcMar>
          </w:tcPr>
          <w:p w14:paraId="120CBEF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0E06A5F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2 600</w:t>
            </w:r>
          </w:p>
        </w:tc>
        <w:tc>
          <w:tcPr>
            <w:tcW w:w="278" w:type="pct"/>
            <w:tcBorders>
              <w:top w:val="nil"/>
              <w:left w:val="nil"/>
              <w:bottom w:val="single" w:sz="4" w:space="0" w:color="auto"/>
              <w:right w:val="single" w:sz="4" w:space="0" w:color="auto"/>
            </w:tcBorders>
            <w:tcMar>
              <w:left w:w="57" w:type="dxa"/>
              <w:right w:w="85" w:type="dxa"/>
            </w:tcMar>
          </w:tcPr>
          <w:p w14:paraId="301A540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tcMar>
              <w:left w:w="57" w:type="dxa"/>
              <w:right w:w="85" w:type="dxa"/>
            </w:tcMar>
          </w:tcPr>
          <w:p w14:paraId="7D160261"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tcMar>
              <w:left w:w="57" w:type="dxa"/>
              <w:right w:w="85" w:type="dxa"/>
            </w:tcMar>
          </w:tcPr>
          <w:p w14:paraId="506636C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3 900</w:t>
            </w:r>
          </w:p>
        </w:tc>
        <w:tc>
          <w:tcPr>
            <w:tcW w:w="278" w:type="pct"/>
            <w:tcBorders>
              <w:top w:val="nil"/>
              <w:left w:val="nil"/>
              <w:bottom w:val="single" w:sz="4" w:space="0" w:color="auto"/>
              <w:right w:val="single" w:sz="4" w:space="0" w:color="auto"/>
            </w:tcBorders>
            <w:tcMar>
              <w:left w:w="57" w:type="dxa"/>
              <w:right w:w="85" w:type="dxa"/>
            </w:tcMar>
          </w:tcPr>
          <w:p w14:paraId="7C504DB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2FC2C5D1"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3 250</w:t>
            </w:r>
          </w:p>
        </w:tc>
        <w:tc>
          <w:tcPr>
            <w:tcW w:w="278" w:type="pct"/>
            <w:tcBorders>
              <w:top w:val="nil"/>
              <w:left w:val="nil"/>
              <w:bottom w:val="single" w:sz="4" w:space="0" w:color="auto"/>
              <w:right w:val="single" w:sz="4" w:space="0" w:color="auto"/>
            </w:tcBorders>
            <w:tcMar>
              <w:left w:w="57" w:type="dxa"/>
              <w:right w:w="85" w:type="dxa"/>
            </w:tcMar>
          </w:tcPr>
          <w:p w14:paraId="5E2BB678"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tcMar>
              <w:left w:w="57" w:type="dxa"/>
              <w:right w:w="85" w:type="dxa"/>
            </w:tcMar>
          </w:tcPr>
          <w:p w14:paraId="4E0407BD"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**0</w:t>
            </w:r>
          </w:p>
        </w:tc>
        <w:tc>
          <w:tcPr>
            <w:tcW w:w="438" w:type="pct"/>
            <w:tcBorders>
              <w:top w:val="nil"/>
              <w:left w:val="nil"/>
              <w:bottom w:val="single" w:sz="4" w:space="0" w:color="auto"/>
              <w:right w:val="single" w:sz="4" w:space="0" w:color="auto"/>
            </w:tcBorders>
            <w:tcMar>
              <w:left w:w="57" w:type="dxa"/>
              <w:right w:w="85" w:type="dxa"/>
            </w:tcMar>
          </w:tcPr>
          <w:p w14:paraId="0BA9B7F4"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13 650</w:t>
            </w:r>
          </w:p>
        </w:tc>
      </w:tr>
      <w:tr w:rsidR="009E1019" w:rsidRPr="00606BD8" w14:paraId="27A01353" w14:textId="77777777" w:rsidTr="00876646">
        <w:trPr>
          <w:trHeight w:val="88"/>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48B59BB8"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3.1</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7A23B250" w14:textId="77777777" w:rsidR="009E1019" w:rsidRPr="004F4229" w:rsidRDefault="009E1019" w:rsidP="00876646">
            <w:pPr>
              <w:keepNext/>
              <w:keepLines/>
              <w:suppressAutoHyphens/>
              <w:jc w:val="left"/>
              <w:rPr>
                <w:rFonts w:eastAsia="SimSun"/>
                <w:color w:val="000000"/>
                <w:sz w:val="18"/>
                <w:szCs w:val="16"/>
              </w:rPr>
            </w:pPr>
            <w:proofErr w:type="spellStart"/>
            <w:r>
              <w:rPr>
                <w:color w:val="000000"/>
                <w:sz w:val="18"/>
                <w:szCs w:val="16"/>
              </w:rPr>
              <w:t>Financement</w:t>
            </w:r>
            <w:proofErr w:type="spellEnd"/>
            <w:r>
              <w:rPr>
                <w:color w:val="000000"/>
                <w:sz w:val="18"/>
                <w:szCs w:val="16"/>
              </w:rPr>
              <w:t xml:space="preserve"> total </w:t>
            </w:r>
            <w:proofErr w:type="spellStart"/>
            <w:r>
              <w:rPr>
                <w:color w:val="000000"/>
                <w:sz w:val="18"/>
                <w:szCs w:val="16"/>
              </w:rPr>
              <w:t>convenu</w:t>
            </w:r>
            <w:proofErr w:type="spellEnd"/>
            <w:r>
              <w:rPr>
                <w:color w:val="000000"/>
                <w:sz w:val="18"/>
                <w:szCs w:val="16"/>
              </w:rPr>
              <w:t xml:space="preserve"> ($ US)</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467CAA69"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1 561 940</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37A2680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6C7D548A"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106 500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1F21325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794DEFD"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053B704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116 500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44ED12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6EBB511C"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543 219</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23238DF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260B15A1"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65 000</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1249787D"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2 393 159</w:t>
            </w:r>
          </w:p>
        </w:tc>
      </w:tr>
      <w:tr w:rsidR="009E1019" w:rsidRPr="00606BD8" w14:paraId="294A9691" w14:textId="77777777" w:rsidTr="00876646">
        <w:trPr>
          <w:trHeight w:val="291"/>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43122EAB"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3.2</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2B9535F5"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Total des coûts d’appui ($ US)</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1643B7B2"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118 796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3EEAEA4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552A6BA0"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9 088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76FBE0D"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4DAEC42"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0DA6A3A1"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10 387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4CE01082"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4AE62DD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39 957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B791FB7"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70C2996D"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4 825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7484E4CE"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183 053</w:t>
            </w:r>
          </w:p>
        </w:tc>
      </w:tr>
      <w:tr w:rsidR="009E1019" w:rsidRPr="00606BD8" w14:paraId="60FD3BFF" w14:textId="77777777" w:rsidTr="00876646">
        <w:trPr>
          <w:trHeight w:val="280"/>
        </w:trPr>
        <w:tc>
          <w:tcPr>
            <w:tcW w:w="267" w:type="pct"/>
            <w:tcBorders>
              <w:top w:val="nil"/>
              <w:left w:val="single" w:sz="4" w:space="0" w:color="auto"/>
              <w:bottom w:val="single" w:sz="4" w:space="0" w:color="auto"/>
              <w:right w:val="single" w:sz="4" w:space="0" w:color="auto"/>
            </w:tcBorders>
            <w:shd w:val="clear" w:color="auto" w:fill="auto"/>
            <w:tcMar>
              <w:left w:w="57" w:type="dxa"/>
              <w:right w:w="28" w:type="dxa"/>
            </w:tcMar>
          </w:tcPr>
          <w:p w14:paraId="2D7F0986"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3.3</w:t>
            </w:r>
          </w:p>
        </w:tc>
        <w:tc>
          <w:tcPr>
            <w:tcW w:w="1173" w:type="pct"/>
            <w:tcBorders>
              <w:top w:val="nil"/>
              <w:left w:val="nil"/>
              <w:bottom w:val="single" w:sz="4" w:space="0" w:color="auto"/>
              <w:right w:val="single" w:sz="4" w:space="0" w:color="auto"/>
            </w:tcBorders>
            <w:shd w:val="clear" w:color="auto" w:fill="auto"/>
            <w:tcMar>
              <w:left w:w="57" w:type="dxa"/>
              <w:right w:w="28" w:type="dxa"/>
            </w:tcMar>
          </w:tcPr>
          <w:p w14:paraId="7D9D3324"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Total des coûts convenus ($ US)</w:t>
            </w:r>
          </w:p>
        </w:tc>
        <w:tc>
          <w:tcPr>
            <w:tcW w:w="188" w:type="pct"/>
            <w:tcBorders>
              <w:top w:val="nil"/>
              <w:left w:val="nil"/>
              <w:bottom w:val="single" w:sz="4" w:space="0" w:color="auto"/>
              <w:right w:val="single" w:sz="4" w:space="0" w:color="auto"/>
            </w:tcBorders>
            <w:shd w:val="clear" w:color="auto" w:fill="auto"/>
            <w:tcMar>
              <w:left w:w="57" w:type="dxa"/>
              <w:right w:w="85" w:type="dxa"/>
            </w:tcMar>
          </w:tcPr>
          <w:p w14:paraId="12BFE7A3"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1 680 736</w:t>
            </w:r>
          </w:p>
        </w:tc>
        <w:tc>
          <w:tcPr>
            <w:tcW w:w="255" w:type="pct"/>
            <w:tcBorders>
              <w:top w:val="nil"/>
              <w:left w:val="nil"/>
              <w:bottom w:val="single" w:sz="4" w:space="0" w:color="auto"/>
              <w:right w:val="single" w:sz="4" w:space="0" w:color="auto"/>
            </w:tcBorders>
            <w:shd w:val="clear" w:color="auto" w:fill="auto"/>
            <w:tcMar>
              <w:left w:w="57" w:type="dxa"/>
              <w:right w:w="85" w:type="dxa"/>
            </w:tcMar>
          </w:tcPr>
          <w:p w14:paraId="67261FE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3CA3740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115 588</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65A81653"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7C6D54CD"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369" w:type="pct"/>
            <w:tcBorders>
              <w:top w:val="nil"/>
              <w:left w:val="nil"/>
              <w:bottom w:val="single" w:sz="4" w:space="0" w:color="auto"/>
              <w:right w:val="single" w:sz="4" w:space="0" w:color="auto"/>
            </w:tcBorders>
            <w:shd w:val="clear" w:color="auto" w:fill="auto"/>
            <w:tcMar>
              <w:left w:w="57" w:type="dxa"/>
              <w:right w:w="85" w:type="dxa"/>
            </w:tcMar>
          </w:tcPr>
          <w:p w14:paraId="095B36D6"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126 887</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0B5354AF"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16E4861C"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583 176</w:t>
            </w:r>
          </w:p>
        </w:tc>
        <w:tc>
          <w:tcPr>
            <w:tcW w:w="278" w:type="pct"/>
            <w:tcBorders>
              <w:top w:val="nil"/>
              <w:left w:val="nil"/>
              <w:bottom w:val="single" w:sz="4" w:space="0" w:color="auto"/>
              <w:right w:val="single" w:sz="4" w:space="0" w:color="auto"/>
            </w:tcBorders>
            <w:shd w:val="clear" w:color="auto" w:fill="auto"/>
            <w:tcMar>
              <w:left w:w="57" w:type="dxa"/>
              <w:right w:w="85" w:type="dxa"/>
            </w:tcMar>
          </w:tcPr>
          <w:p w14:paraId="57F98D0E"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w:t>
            </w:r>
          </w:p>
        </w:tc>
        <w:tc>
          <w:tcPr>
            <w:tcW w:w="415" w:type="pct"/>
            <w:tcBorders>
              <w:top w:val="nil"/>
              <w:left w:val="nil"/>
              <w:bottom w:val="single" w:sz="4" w:space="0" w:color="auto"/>
              <w:right w:val="single" w:sz="4" w:space="0" w:color="auto"/>
            </w:tcBorders>
            <w:shd w:val="clear" w:color="auto" w:fill="auto"/>
            <w:tcMar>
              <w:left w:w="57" w:type="dxa"/>
              <w:right w:w="85" w:type="dxa"/>
            </w:tcMar>
          </w:tcPr>
          <w:p w14:paraId="1BA5245C"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69 825</w:t>
            </w:r>
          </w:p>
        </w:tc>
        <w:tc>
          <w:tcPr>
            <w:tcW w:w="438" w:type="pct"/>
            <w:tcBorders>
              <w:top w:val="nil"/>
              <w:left w:val="nil"/>
              <w:bottom w:val="single" w:sz="4" w:space="0" w:color="auto"/>
              <w:right w:val="single" w:sz="4" w:space="0" w:color="auto"/>
            </w:tcBorders>
            <w:shd w:val="clear" w:color="auto" w:fill="auto"/>
            <w:tcMar>
              <w:left w:w="57" w:type="dxa"/>
              <w:right w:w="85" w:type="dxa"/>
            </w:tcMar>
          </w:tcPr>
          <w:p w14:paraId="2970A1D5" w14:textId="77777777" w:rsidR="009E1019" w:rsidRPr="004F4229" w:rsidRDefault="009E1019" w:rsidP="00876646">
            <w:pPr>
              <w:keepNext/>
              <w:keepLines/>
              <w:suppressAutoHyphens/>
              <w:jc w:val="right"/>
              <w:rPr>
                <w:rFonts w:eastAsia="SimSun"/>
                <w:b/>
                <w:color w:val="000000"/>
                <w:sz w:val="18"/>
                <w:szCs w:val="16"/>
              </w:rPr>
            </w:pPr>
            <w:r>
              <w:rPr>
                <w:b/>
                <w:color w:val="000000"/>
                <w:sz w:val="18"/>
                <w:szCs w:val="16"/>
              </w:rPr>
              <w:t>2 576 212</w:t>
            </w:r>
          </w:p>
        </w:tc>
      </w:tr>
      <w:tr w:rsidR="009E1019" w:rsidRPr="00606BD8" w14:paraId="319BD288"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6DF39ABF"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4.1.1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5848DEB"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totale du HCFC-22 convenue à réaliser en vertu du présent accord (tonnes PAO)</w:t>
            </w:r>
          </w:p>
        </w:tc>
        <w:tc>
          <w:tcPr>
            <w:tcW w:w="438" w:type="pct"/>
            <w:tcBorders>
              <w:top w:val="single" w:sz="4" w:space="0" w:color="auto"/>
              <w:left w:val="nil"/>
              <w:bottom w:val="single" w:sz="4" w:space="0" w:color="auto"/>
              <w:right w:val="single" w:sz="4" w:space="0" w:color="auto"/>
            </w:tcBorders>
            <w:vAlign w:val="bottom"/>
          </w:tcPr>
          <w:p w14:paraId="39454604"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7,36</w:t>
            </w:r>
          </w:p>
        </w:tc>
      </w:tr>
      <w:tr w:rsidR="009E1019" w:rsidRPr="00606BD8" w14:paraId="1556AE3D" w14:textId="77777777" w:rsidTr="00876646">
        <w:trPr>
          <w:trHeight w:val="210"/>
        </w:trPr>
        <w:tc>
          <w:tcPr>
            <w:tcW w:w="267" w:type="pct"/>
            <w:tcBorders>
              <w:top w:val="nil"/>
              <w:left w:val="single" w:sz="4" w:space="0" w:color="auto"/>
              <w:bottom w:val="single" w:sz="4" w:space="0" w:color="auto"/>
              <w:right w:val="single" w:sz="4" w:space="0" w:color="auto"/>
            </w:tcBorders>
            <w:noWrap/>
            <w:tcMar>
              <w:left w:w="57" w:type="dxa"/>
            </w:tcMar>
            <w:vAlign w:val="bottom"/>
          </w:tcPr>
          <w:p w14:paraId="41E88565"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4.1.2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052534E"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du HCFC-22 à réaliser dans le cadre de projets approuvés précédemment (tonnes PAO)</w:t>
            </w:r>
          </w:p>
        </w:tc>
        <w:tc>
          <w:tcPr>
            <w:tcW w:w="438" w:type="pct"/>
            <w:tcBorders>
              <w:top w:val="nil"/>
              <w:left w:val="nil"/>
              <w:bottom w:val="single" w:sz="4" w:space="0" w:color="auto"/>
              <w:right w:val="single" w:sz="4" w:space="0" w:color="auto"/>
            </w:tcBorders>
            <w:vAlign w:val="bottom"/>
          </w:tcPr>
          <w:p w14:paraId="4152821F"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s. o.</w:t>
            </w:r>
          </w:p>
        </w:tc>
      </w:tr>
      <w:tr w:rsidR="009E1019" w:rsidRPr="00606BD8" w14:paraId="4FC0E66B"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39671EDF"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4.1.3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4181A24" w14:textId="77777777" w:rsidR="009E1019" w:rsidRPr="009E1019" w:rsidRDefault="009E1019" w:rsidP="00876646">
            <w:pPr>
              <w:keepNext/>
              <w:keepLines/>
              <w:suppressAutoHyphens/>
              <w:jc w:val="left"/>
              <w:rPr>
                <w:rFonts w:eastAsia="SimSun"/>
                <w:bCs/>
                <w:color w:val="000000"/>
                <w:sz w:val="18"/>
                <w:szCs w:val="16"/>
                <w:lang w:val="fr-CA"/>
              </w:rPr>
            </w:pPr>
            <w:r w:rsidRPr="009E1019">
              <w:rPr>
                <w:bCs/>
                <w:color w:val="000000"/>
                <w:sz w:val="18"/>
                <w:szCs w:val="16"/>
                <w:lang w:val="fr-CA"/>
              </w:rPr>
              <w:t>Consommation admissible restante de HCFC-22 (tonnes PAO)</w:t>
            </w:r>
          </w:p>
        </w:tc>
        <w:tc>
          <w:tcPr>
            <w:tcW w:w="438" w:type="pct"/>
            <w:tcBorders>
              <w:top w:val="nil"/>
              <w:left w:val="nil"/>
              <w:bottom w:val="single" w:sz="4" w:space="0" w:color="auto"/>
              <w:right w:val="single" w:sz="4" w:space="0" w:color="auto"/>
            </w:tcBorders>
            <w:vAlign w:val="bottom"/>
          </w:tcPr>
          <w:p w14:paraId="6BAFBBB4"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13,66</w:t>
            </w:r>
          </w:p>
        </w:tc>
      </w:tr>
      <w:tr w:rsidR="009E1019" w:rsidRPr="00606BD8" w14:paraId="3FC7957F"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365484CB"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4.2.1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63772521"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totale du HCFC-141b convenue à réaliser en vertu du présent accord (tonnes PAO)</w:t>
            </w:r>
          </w:p>
        </w:tc>
        <w:tc>
          <w:tcPr>
            <w:tcW w:w="438" w:type="pct"/>
            <w:tcBorders>
              <w:top w:val="nil"/>
              <w:left w:val="nil"/>
              <w:bottom w:val="single" w:sz="4" w:space="0" w:color="auto"/>
              <w:right w:val="single" w:sz="4" w:space="0" w:color="auto"/>
            </w:tcBorders>
            <w:vAlign w:val="bottom"/>
          </w:tcPr>
          <w:p w14:paraId="6CD84478"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0,86</w:t>
            </w:r>
          </w:p>
        </w:tc>
      </w:tr>
      <w:tr w:rsidR="009E1019" w:rsidRPr="00606BD8" w14:paraId="730E9DB9"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66BF042C"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4.2.2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910006C"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du HCFC-141b à réaliser dans le cadre de projets approuvés précédemment (tonnes PAO)</w:t>
            </w:r>
          </w:p>
        </w:tc>
        <w:tc>
          <w:tcPr>
            <w:tcW w:w="438" w:type="pct"/>
            <w:tcBorders>
              <w:top w:val="nil"/>
              <w:left w:val="nil"/>
              <w:bottom w:val="single" w:sz="4" w:space="0" w:color="auto"/>
              <w:right w:val="single" w:sz="4" w:space="0" w:color="auto"/>
            </w:tcBorders>
            <w:vAlign w:val="bottom"/>
          </w:tcPr>
          <w:p w14:paraId="05ED136B"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s. o.</w:t>
            </w:r>
          </w:p>
        </w:tc>
      </w:tr>
      <w:tr w:rsidR="009E1019" w:rsidRPr="00606BD8" w14:paraId="5FC7CA93"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12C5C8B5"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4.2.3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48B17D07" w14:textId="77777777" w:rsidR="009E1019" w:rsidRPr="009E1019" w:rsidRDefault="009E1019" w:rsidP="00876646">
            <w:pPr>
              <w:keepNext/>
              <w:keepLines/>
              <w:suppressAutoHyphens/>
              <w:jc w:val="left"/>
              <w:rPr>
                <w:rFonts w:eastAsia="SimSun"/>
                <w:bCs/>
                <w:color w:val="000000"/>
                <w:sz w:val="18"/>
                <w:szCs w:val="16"/>
                <w:lang w:val="fr-CA"/>
              </w:rPr>
            </w:pPr>
            <w:r w:rsidRPr="009E1019">
              <w:rPr>
                <w:bCs/>
                <w:color w:val="000000"/>
                <w:sz w:val="18"/>
                <w:szCs w:val="16"/>
                <w:lang w:val="fr-CA"/>
              </w:rPr>
              <w:t>Consommation admissible restante de HCFC-141b (tonnes PAO)</w:t>
            </w:r>
          </w:p>
        </w:tc>
        <w:tc>
          <w:tcPr>
            <w:tcW w:w="438" w:type="pct"/>
            <w:tcBorders>
              <w:top w:val="nil"/>
              <w:left w:val="nil"/>
              <w:bottom w:val="single" w:sz="4" w:space="0" w:color="auto"/>
              <w:right w:val="single" w:sz="4" w:space="0" w:color="auto"/>
            </w:tcBorders>
            <w:vAlign w:val="bottom"/>
          </w:tcPr>
          <w:p w14:paraId="5C165500"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0,00</w:t>
            </w:r>
          </w:p>
        </w:tc>
      </w:tr>
      <w:tr w:rsidR="009E1019" w:rsidRPr="00606BD8" w14:paraId="0CE104B8"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0EB3409F"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4.3.1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DC2D7BA"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totale du HCFC-123 convenue à réaliser en vertu du présent accord (tonnes PAO)</w:t>
            </w:r>
          </w:p>
        </w:tc>
        <w:tc>
          <w:tcPr>
            <w:tcW w:w="438" w:type="pct"/>
            <w:tcBorders>
              <w:top w:val="nil"/>
              <w:left w:val="nil"/>
              <w:bottom w:val="single" w:sz="4" w:space="0" w:color="auto"/>
              <w:right w:val="single" w:sz="4" w:space="0" w:color="auto"/>
            </w:tcBorders>
            <w:vAlign w:val="bottom"/>
          </w:tcPr>
          <w:p w14:paraId="06DAA462"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0,00</w:t>
            </w:r>
          </w:p>
        </w:tc>
      </w:tr>
      <w:tr w:rsidR="009E1019" w:rsidRPr="00606BD8" w14:paraId="2A402F2F" w14:textId="77777777" w:rsidTr="00876646">
        <w:trPr>
          <w:trHeight w:val="202"/>
        </w:trPr>
        <w:tc>
          <w:tcPr>
            <w:tcW w:w="267" w:type="pct"/>
            <w:tcBorders>
              <w:top w:val="nil"/>
              <w:left w:val="single" w:sz="4" w:space="0" w:color="auto"/>
              <w:bottom w:val="single" w:sz="4" w:space="0" w:color="auto"/>
              <w:right w:val="single" w:sz="4" w:space="0" w:color="auto"/>
            </w:tcBorders>
            <w:noWrap/>
            <w:tcMar>
              <w:left w:w="57" w:type="dxa"/>
            </w:tcMar>
            <w:vAlign w:val="bottom"/>
          </w:tcPr>
          <w:p w14:paraId="2F7EB467" w14:textId="77777777" w:rsidR="009E1019" w:rsidRPr="004F4229" w:rsidRDefault="009E1019" w:rsidP="00876646">
            <w:pPr>
              <w:keepNext/>
              <w:keepLines/>
              <w:suppressAutoHyphens/>
              <w:jc w:val="left"/>
              <w:rPr>
                <w:rFonts w:eastAsia="SimSun"/>
                <w:color w:val="000000"/>
                <w:sz w:val="18"/>
                <w:szCs w:val="16"/>
              </w:rPr>
            </w:pPr>
            <w:r>
              <w:rPr>
                <w:color w:val="000000"/>
                <w:sz w:val="18"/>
                <w:szCs w:val="16"/>
              </w:rPr>
              <w:t>4.3.2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2ADB97AE" w14:textId="77777777" w:rsidR="009E1019" w:rsidRPr="009E1019" w:rsidRDefault="009E1019" w:rsidP="00876646">
            <w:pPr>
              <w:keepNext/>
              <w:keepLines/>
              <w:suppressAutoHyphens/>
              <w:jc w:val="left"/>
              <w:rPr>
                <w:rFonts w:eastAsia="SimSun"/>
                <w:color w:val="000000"/>
                <w:sz w:val="18"/>
                <w:szCs w:val="16"/>
                <w:lang w:val="fr-CA"/>
              </w:rPr>
            </w:pPr>
            <w:r w:rsidRPr="009E1019">
              <w:rPr>
                <w:color w:val="000000"/>
                <w:sz w:val="18"/>
                <w:szCs w:val="16"/>
                <w:lang w:val="fr-CA"/>
              </w:rPr>
              <w:t>Élimination du HCFC-123 à réaliser dans le cadre de projets approuvés précédemment (tonnes PAO)</w:t>
            </w:r>
          </w:p>
        </w:tc>
        <w:tc>
          <w:tcPr>
            <w:tcW w:w="438" w:type="pct"/>
            <w:tcBorders>
              <w:top w:val="nil"/>
              <w:left w:val="nil"/>
              <w:bottom w:val="single" w:sz="4" w:space="0" w:color="auto"/>
              <w:right w:val="single" w:sz="4" w:space="0" w:color="auto"/>
            </w:tcBorders>
            <w:vAlign w:val="bottom"/>
          </w:tcPr>
          <w:p w14:paraId="4556B3E5" w14:textId="77777777" w:rsidR="009E1019" w:rsidRPr="004F4229" w:rsidRDefault="009E1019" w:rsidP="00876646">
            <w:pPr>
              <w:keepNext/>
              <w:keepLines/>
              <w:suppressAutoHyphens/>
              <w:jc w:val="right"/>
              <w:rPr>
                <w:rFonts w:eastAsia="SimSun"/>
                <w:color w:val="000000"/>
                <w:sz w:val="18"/>
                <w:szCs w:val="16"/>
              </w:rPr>
            </w:pPr>
            <w:r>
              <w:rPr>
                <w:color w:val="000000"/>
                <w:sz w:val="18"/>
                <w:szCs w:val="16"/>
              </w:rPr>
              <w:t>s. o.</w:t>
            </w:r>
          </w:p>
        </w:tc>
      </w:tr>
      <w:tr w:rsidR="009E1019" w:rsidRPr="00606BD8" w14:paraId="7C014713"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7B5EF37D" w14:textId="77777777" w:rsidR="009E1019" w:rsidRPr="004F4229" w:rsidRDefault="009E1019" w:rsidP="00876646">
            <w:pPr>
              <w:suppressAutoHyphens/>
              <w:jc w:val="left"/>
              <w:rPr>
                <w:rFonts w:eastAsia="SimSun"/>
                <w:color w:val="000000"/>
                <w:sz w:val="18"/>
                <w:szCs w:val="16"/>
              </w:rPr>
            </w:pPr>
            <w:r>
              <w:rPr>
                <w:color w:val="000000"/>
                <w:sz w:val="18"/>
                <w:szCs w:val="16"/>
              </w:rPr>
              <w:t>4.3.3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4B00550" w14:textId="77777777" w:rsidR="009E1019" w:rsidRPr="009E1019" w:rsidRDefault="009E1019" w:rsidP="00876646">
            <w:pPr>
              <w:suppressAutoHyphens/>
              <w:jc w:val="left"/>
              <w:rPr>
                <w:rFonts w:eastAsia="SimSun"/>
                <w:bCs/>
                <w:color w:val="000000"/>
                <w:sz w:val="18"/>
                <w:szCs w:val="16"/>
                <w:lang w:val="fr-CA"/>
              </w:rPr>
            </w:pPr>
            <w:r w:rsidRPr="009E1019">
              <w:rPr>
                <w:bCs/>
                <w:color w:val="000000"/>
                <w:sz w:val="18"/>
                <w:szCs w:val="16"/>
                <w:lang w:val="fr-CA"/>
              </w:rPr>
              <w:t>Consommation admissible restante de HCFC-123 (tonnes PAO)</w:t>
            </w:r>
          </w:p>
        </w:tc>
        <w:tc>
          <w:tcPr>
            <w:tcW w:w="438" w:type="pct"/>
            <w:tcBorders>
              <w:top w:val="single" w:sz="4" w:space="0" w:color="auto"/>
              <w:left w:val="nil"/>
              <w:bottom w:val="single" w:sz="4" w:space="0" w:color="auto"/>
              <w:right w:val="single" w:sz="4" w:space="0" w:color="auto"/>
            </w:tcBorders>
            <w:vAlign w:val="bottom"/>
          </w:tcPr>
          <w:p w14:paraId="6FC88E20" w14:textId="77777777" w:rsidR="009E1019" w:rsidRPr="004F4229" w:rsidRDefault="009E1019" w:rsidP="00876646">
            <w:pPr>
              <w:suppressAutoHyphens/>
              <w:jc w:val="right"/>
              <w:rPr>
                <w:rFonts w:eastAsia="SimSun"/>
                <w:color w:val="000000"/>
                <w:sz w:val="18"/>
                <w:szCs w:val="16"/>
              </w:rPr>
            </w:pPr>
            <w:r>
              <w:rPr>
                <w:color w:val="000000"/>
                <w:sz w:val="18"/>
                <w:szCs w:val="16"/>
              </w:rPr>
              <w:t>0,18</w:t>
            </w:r>
          </w:p>
        </w:tc>
      </w:tr>
      <w:tr w:rsidR="009E1019" w:rsidRPr="00606BD8" w14:paraId="26E42C58" w14:textId="77777777" w:rsidTr="00876646">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5810A201" w14:textId="77777777" w:rsidR="009E1019" w:rsidRPr="004F4229" w:rsidRDefault="009E1019" w:rsidP="00876646">
            <w:pPr>
              <w:suppressAutoHyphens/>
              <w:jc w:val="left"/>
              <w:rPr>
                <w:rFonts w:eastAsia="SimSun"/>
                <w:color w:val="000000"/>
                <w:sz w:val="18"/>
                <w:szCs w:val="16"/>
              </w:rPr>
            </w:pPr>
            <w:r>
              <w:rPr>
                <w:color w:val="000000"/>
                <w:sz w:val="18"/>
                <w:szCs w:val="16"/>
              </w:rPr>
              <w:t>4.4.1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123F52E"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Élimination totale du HCFC-142b convenue à réaliser en vertu du présent accord (tonnes PAO)</w:t>
            </w:r>
          </w:p>
        </w:tc>
        <w:tc>
          <w:tcPr>
            <w:tcW w:w="438" w:type="pct"/>
            <w:tcBorders>
              <w:top w:val="single" w:sz="4" w:space="0" w:color="auto"/>
              <w:left w:val="nil"/>
              <w:bottom w:val="single" w:sz="4" w:space="0" w:color="auto"/>
              <w:right w:val="single" w:sz="4" w:space="0" w:color="auto"/>
            </w:tcBorders>
            <w:vAlign w:val="bottom"/>
          </w:tcPr>
          <w:p w14:paraId="2B81A002" w14:textId="77777777" w:rsidR="009E1019" w:rsidRPr="004F4229" w:rsidRDefault="009E1019" w:rsidP="00876646">
            <w:pPr>
              <w:suppressAutoHyphens/>
              <w:jc w:val="right"/>
              <w:rPr>
                <w:rFonts w:eastAsia="SimSun"/>
                <w:color w:val="000000"/>
                <w:sz w:val="18"/>
                <w:szCs w:val="16"/>
              </w:rPr>
            </w:pPr>
            <w:r>
              <w:rPr>
                <w:color w:val="000000"/>
                <w:sz w:val="18"/>
                <w:szCs w:val="16"/>
              </w:rPr>
              <w:t>0,00</w:t>
            </w:r>
          </w:p>
        </w:tc>
      </w:tr>
      <w:tr w:rsidR="009E1019" w:rsidRPr="00606BD8" w14:paraId="5BCFCEED"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1A85E79D" w14:textId="77777777" w:rsidR="009E1019" w:rsidRPr="004F4229" w:rsidRDefault="009E1019" w:rsidP="00876646">
            <w:pPr>
              <w:suppressAutoHyphens/>
              <w:jc w:val="left"/>
              <w:rPr>
                <w:rFonts w:eastAsia="SimSun"/>
                <w:color w:val="000000"/>
                <w:sz w:val="18"/>
                <w:szCs w:val="16"/>
              </w:rPr>
            </w:pPr>
            <w:r>
              <w:rPr>
                <w:color w:val="000000"/>
                <w:sz w:val="18"/>
                <w:szCs w:val="16"/>
              </w:rPr>
              <w:t>4.4.2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E133BFE"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Élimination du HCFC-142b à réaliser dans le cadre de projets approuvés précédemment (tonnes PAO)</w:t>
            </w:r>
          </w:p>
        </w:tc>
        <w:tc>
          <w:tcPr>
            <w:tcW w:w="438" w:type="pct"/>
            <w:tcBorders>
              <w:top w:val="single" w:sz="4" w:space="0" w:color="auto"/>
              <w:left w:val="nil"/>
              <w:bottom w:val="single" w:sz="4" w:space="0" w:color="auto"/>
              <w:right w:val="single" w:sz="4" w:space="0" w:color="auto"/>
            </w:tcBorders>
            <w:vAlign w:val="bottom"/>
          </w:tcPr>
          <w:p w14:paraId="62F13D76" w14:textId="77777777" w:rsidR="009E1019" w:rsidRPr="004F4229" w:rsidRDefault="009E1019" w:rsidP="00876646">
            <w:pPr>
              <w:suppressAutoHyphens/>
              <w:jc w:val="right"/>
              <w:rPr>
                <w:rFonts w:eastAsia="SimSun"/>
                <w:color w:val="000000"/>
                <w:sz w:val="18"/>
                <w:szCs w:val="16"/>
              </w:rPr>
            </w:pPr>
            <w:r>
              <w:rPr>
                <w:color w:val="000000"/>
                <w:sz w:val="18"/>
                <w:szCs w:val="16"/>
              </w:rPr>
              <w:t>s. o.</w:t>
            </w:r>
          </w:p>
        </w:tc>
      </w:tr>
      <w:tr w:rsidR="009E1019" w:rsidRPr="00606BD8" w14:paraId="478C5060"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4E424BFD" w14:textId="77777777" w:rsidR="009E1019" w:rsidRPr="004F4229" w:rsidRDefault="009E1019" w:rsidP="00876646">
            <w:pPr>
              <w:suppressAutoHyphens/>
              <w:jc w:val="left"/>
              <w:rPr>
                <w:rFonts w:eastAsia="SimSun"/>
                <w:color w:val="000000"/>
                <w:sz w:val="18"/>
                <w:szCs w:val="16"/>
              </w:rPr>
            </w:pPr>
            <w:r>
              <w:rPr>
                <w:color w:val="000000"/>
                <w:sz w:val="18"/>
                <w:szCs w:val="16"/>
              </w:rPr>
              <w:t>4.4.3</w:t>
            </w:r>
          </w:p>
        </w:tc>
        <w:tc>
          <w:tcPr>
            <w:tcW w:w="4296" w:type="pct"/>
            <w:gridSpan w:val="11"/>
            <w:tcBorders>
              <w:top w:val="single" w:sz="4" w:space="0" w:color="auto"/>
              <w:left w:val="single" w:sz="4" w:space="0" w:color="auto"/>
              <w:bottom w:val="single" w:sz="4" w:space="0" w:color="auto"/>
              <w:right w:val="single" w:sz="4" w:space="0" w:color="auto"/>
            </w:tcBorders>
            <w:tcMar>
              <w:left w:w="57" w:type="dxa"/>
            </w:tcMar>
            <w:vAlign w:val="bottom"/>
          </w:tcPr>
          <w:p w14:paraId="606A0658" w14:textId="77777777" w:rsidR="009E1019" w:rsidRPr="009E1019" w:rsidRDefault="009E1019" w:rsidP="00876646">
            <w:pPr>
              <w:suppressAutoHyphens/>
              <w:jc w:val="left"/>
              <w:rPr>
                <w:rFonts w:eastAsia="SimSun"/>
                <w:bCs/>
                <w:color w:val="000000"/>
                <w:sz w:val="18"/>
                <w:szCs w:val="16"/>
                <w:lang w:val="fr-CA"/>
              </w:rPr>
            </w:pPr>
            <w:r w:rsidRPr="009E1019">
              <w:rPr>
                <w:bCs/>
                <w:color w:val="000000"/>
                <w:sz w:val="18"/>
                <w:szCs w:val="16"/>
                <w:lang w:val="fr-CA"/>
              </w:rPr>
              <w:t>Consommation admissible restante de HCFC-142b (tonnes PAO)</w:t>
            </w:r>
          </w:p>
        </w:tc>
        <w:tc>
          <w:tcPr>
            <w:tcW w:w="438" w:type="pct"/>
            <w:tcBorders>
              <w:top w:val="single" w:sz="4" w:space="0" w:color="auto"/>
              <w:left w:val="single" w:sz="4" w:space="0" w:color="auto"/>
              <w:bottom w:val="single" w:sz="4" w:space="0" w:color="auto"/>
              <w:right w:val="single" w:sz="4" w:space="0" w:color="auto"/>
            </w:tcBorders>
            <w:vAlign w:val="bottom"/>
          </w:tcPr>
          <w:p w14:paraId="5E824B36" w14:textId="77777777" w:rsidR="009E1019" w:rsidRPr="004F4229" w:rsidRDefault="009E1019" w:rsidP="00876646">
            <w:pPr>
              <w:suppressAutoHyphens/>
              <w:jc w:val="right"/>
              <w:rPr>
                <w:rFonts w:eastAsia="SimSun"/>
                <w:color w:val="000000"/>
                <w:sz w:val="18"/>
                <w:szCs w:val="16"/>
              </w:rPr>
            </w:pPr>
            <w:r>
              <w:rPr>
                <w:color w:val="000000"/>
                <w:sz w:val="18"/>
                <w:szCs w:val="16"/>
              </w:rPr>
              <w:t>1,20</w:t>
            </w:r>
          </w:p>
        </w:tc>
      </w:tr>
      <w:tr w:rsidR="009E1019" w:rsidRPr="00606BD8" w14:paraId="3A10345B"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6CF45315" w14:textId="77777777" w:rsidR="009E1019" w:rsidRPr="004F4229" w:rsidRDefault="009E1019" w:rsidP="00876646">
            <w:pPr>
              <w:suppressAutoHyphens/>
              <w:jc w:val="left"/>
              <w:rPr>
                <w:rFonts w:eastAsia="SimSun"/>
                <w:color w:val="000000"/>
                <w:sz w:val="18"/>
                <w:szCs w:val="16"/>
              </w:rPr>
            </w:pPr>
            <w:r>
              <w:rPr>
                <w:color w:val="000000"/>
                <w:sz w:val="18"/>
                <w:szCs w:val="16"/>
              </w:rPr>
              <w:t>4.5.1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74242F28"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Élimination totale du HCFC-124 convenue à réaliser en vertu du présent accord (tonnes PAO)</w:t>
            </w:r>
          </w:p>
        </w:tc>
        <w:tc>
          <w:tcPr>
            <w:tcW w:w="438" w:type="pct"/>
            <w:tcBorders>
              <w:top w:val="single" w:sz="4" w:space="0" w:color="auto"/>
              <w:left w:val="nil"/>
              <w:bottom w:val="single" w:sz="4" w:space="0" w:color="auto"/>
              <w:right w:val="single" w:sz="4" w:space="0" w:color="auto"/>
            </w:tcBorders>
            <w:vAlign w:val="bottom"/>
          </w:tcPr>
          <w:p w14:paraId="2B320C57" w14:textId="77777777" w:rsidR="009E1019" w:rsidRPr="004F4229" w:rsidRDefault="009E1019" w:rsidP="00876646">
            <w:pPr>
              <w:suppressAutoHyphens/>
              <w:jc w:val="right"/>
              <w:rPr>
                <w:rFonts w:eastAsia="SimSun"/>
                <w:color w:val="000000"/>
                <w:sz w:val="18"/>
                <w:szCs w:val="16"/>
              </w:rPr>
            </w:pPr>
            <w:r>
              <w:rPr>
                <w:color w:val="000000"/>
                <w:sz w:val="18"/>
                <w:szCs w:val="16"/>
              </w:rPr>
              <w:t>0,00</w:t>
            </w:r>
          </w:p>
        </w:tc>
      </w:tr>
      <w:tr w:rsidR="009E1019" w:rsidRPr="00606BD8" w14:paraId="13627629"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1AB55D3B" w14:textId="77777777" w:rsidR="009E1019" w:rsidRPr="004F4229" w:rsidRDefault="009E1019" w:rsidP="00876646">
            <w:pPr>
              <w:suppressAutoHyphens/>
              <w:jc w:val="left"/>
              <w:rPr>
                <w:rFonts w:eastAsia="SimSun"/>
                <w:color w:val="000000"/>
                <w:sz w:val="18"/>
                <w:szCs w:val="16"/>
              </w:rPr>
            </w:pPr>
            <w:r>
              <w:rPr>
                <w:color w:val="000000"/>
                <w:sz w:val="18"/>
                <w:szCs w:val="16"/>
              </w:rPr>
              <w:t>4.5.2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AC64F90"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Élimination du HCFC-124 à réaliser dans le cadre de projets approuvés précédemment (tonnes PAO)</w:t>
            </w:r>
          </w:p>
        </w:tc>
        <w:tc>
          <w:tcPr>
            <w:tcW w:w="438" w:type="pct"/>
            <w:tcBorders>
              <w:top w:val="single" w:sz="4" w:space="0" w:color="auto"/>
              <w:left w:val="nil"/>
              <w:bottom w:val="single" w:sz="4" w:space="0" w:color="auto"/>
              <w:right w:val="single" w:sz="4" w:space="0" w:color="auto"/>
            </w:tcBorders>
            <w:vAlign w:val="bottom"/>
          </w:tcPr>
          <w:p w14:paraId="64E72AD1" w14:textId="77777777" w:rsidR="009E1019" w:rsidRPr="004F4229" w:rsidRDefault="009E1019" w:rsidP="00876646">
            <w:pPr>
              <w:suppressAutoHyphens/>
              <w:jc w:val="right"/>
              <w:rPr>
                <w:rFonts w:eastAsia="SimSun"/>
                <w:color w:val="000000"/>
                <w:sz w:val="18"/>
                <w:szCs w:val="16"/>
              </w:rPr>
            </w:pPr>
            <w:r>
              <w:rPr>
                <w:color w:val="000000"/>
                <w:sz w:val="18"/>
                <w:szCs w:val="16"/>
              </w:rPr>
              <w:t>s. o.</w:t>
            </w:r>
          </w:p>
        </w:tc>
      </w:tr>
      <w:tr w:rsidR="009E1019" w:rsidRPr="00606BD8" w14:paraId="6EB8010A" w14:textId="77777777" w:rsidTr="00876646">
        <w:trPr>
          <w:trHeight w:val="20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435BBB64" w14:textId="77777777" w:rsidR="009E1019" w:rsidRPr="004F4229" w:rsidRDefault="009E1019" w:rsidP="00876646">
            <w:pPr>
              <w:suppressAutoHyphens/>
              <w:jc w:val="left"/>
              <w:rPr>
                <w:rFonts w:eastAsia="SimSun"/>
                <w:color w:val="000000"/>
                <w:sz w:val="18"/>
                <w:szCs w:val="16"/>
              </w:rPr>
            </w:pPr>
            <w:r>
              <w:rPr>
                <w:color w:val="000000"/>
                <w:sz w:val="18"/>
                <w:szCs w:val="16"/>
              </w:rPr>
              <w:t>4.5.3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130C385" w14:textId="77777777" w:rsidR="009E1019" w:rsidRPr="009E1019" w:rsidRDefault="009E1019" w:rsidP="00876646">
            <w:pPr>
              <w:suppressAutoHyphens/>
              <w:jc w:val="left"/>
              <w:rPr>
                <w:rFonts w:eastAsia="SimSun"/>
                <w:bCs/>
                <w:color w:val="000000"/>
                <w:sz w:val="18"/>
                <w:szCs w:val="16"/>
                <w:lang w:val="fr-CA"/>
              </w:rPr>
            </w:pPr>
            <w:r w:rsidRPr="009E1019">
              <w:rPr>
                <w:bCs/>
                <w:color w:val="000000"/>
                <w:sz w:val="18"/>
                <w:szCs w:val="16"/>
                <w:lang w:val="fr-CA"/>
              </w:rPr>
              <w:t>Consommation admissible restante de HCFC-124 (tonnes PAO)</w:t>
            </w:r>
          </w:p>
        </w:tc>
        <w:tc>
          <w:tcPr>
            <w:tcW w:w="438" w:type="pct"/>
            <w:tcBorders>
              <w:top w:val="single" w:sz="4" w:space="0" w:color="auto"/>
              <w:left w:val="nil"/>
              <w:bottom w:val="single" w:sz="4" w:space="0" w:color="auto"/>
              <w:right w:val="single" w:sz="4" w:space="0" w:color="auto"/>
            </w:tcBorders>
            <w:vAlign w:val="bottom"/>
          </w:tcPr>
          <w:p w14:paraId="36C99724" w14:textId="77777777" w:rsidR="009E1019" w:rsidRPr="004F4229" w:rsidRDefault="009E1019" w:rsidP="00876646">
            <w:pPr>
              <w:suppressAutoHyphens/>
              <w:jc w:val="right"/>
              <w:rPr>
                <w:rFonts w:eastAsia="SimSun"/>
                <w:color w:val="000000"/>
                <w:sz w:val="18"/>
                <w:szCs w:val="16"/>
              </w:rPr>
            </w:pPr>
            <w:r>
              <w:rPr>
                <w:color w:val="000000"/>
                <w:sz w:val="18"/>
                <w:szCs w:val="16"/>
              </w:rPr>
              <w:t>0,22</w:t>
            </w:r>
          </w:p>
        </w:tc>
      </w:tr>
      <w:tr w:rsidR="009E1019" w:rsidRPr="00606BD8" w14:paraId="15E489D5" w14:textId="77777777" w:rsidTr="00876646">
        <w:trPr>
          <w:trHeight w:val="132"/>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240CC8FB" w14:textId="77777777" w:rsidR="009E1019" w:rsidRPr="004F4229" w:rsidRDefault="009E1019" w:rsidP="00876646">
            <w:pPr>
              <w:suppressAutoHyphens/>
              <w:jc w:val="left"/>
              <w:rPr>
                <w:rFonts w:eastAsia="SimSun"/>
                <w:color w:val="000000"/>
                <w:sz w:val="18"/>
                <w:szCs w:val="16"/>
              </w:rPr>
            </w:pPr>
            <w:r>
              <w:rPr>
                <w:color w:val="000000"/>
                <w:sz w:val="18"/>
                <w:szCs w:val="16"/>
              </w:rPr>
              <w:t>4.6.1</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198711D7"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 xml:space="preserve">Élimination totale du HCFC-141b dans les polyols </w:t>
            </w:r>
            <w:proofErr w:type="spellStart"/>
            <w:r w:rsidRPr="009E1019">
              <w:rPr>
                <w:color w:val="000000"/>
                <w:sz w:val="18"/>
                <w:szCs w:val="16"/>
                <w:lang w:val="fr-CA"/>
              </w:rPr>
              <w:t>prémélangés</w:t>
            </w:r>
            <w:proofErr w:type="spellEnd"/>
            <w:r w:rsidRPr="009E1019">
              <w:rPr>
                <w:color w:val="000000"/>
                <w:sz w:val="18"/>
                <w:szCs w:val="16"/>
                <w:lang w:val="fr-CA"/>
              </w:rPr>
              <w:t xml:space="preserve"> convenue à réaliser en vertu du présent accord (tonnes PAO)</w:t>
            </w:r>
          </w:p>
        </w:tc>
        <w:tc>
          <w:tcPr>
            <w:tcW w:w="438" w:type="pct"/>
            <w:tcBorders>
              <w:top w:val="single" w:sz="4" w:space="0" w:color="auto"/>
              <w:left w:val="nil"/>
              <w:bottom w:val="single" w:sz="4" w:space="0" w:color="auto"/>
              <w:right w:val="single" w:sz="4" w:space="0" w:color="auto"/>
            </w:tcBorders>
            <w:vAlign w:val="bottom"/>
          </w:tcPr>
          <w:p w14:paraId="6DC4119C" w14:textId="77777777" w:rsidR="009E1019" w:rsidRPr="004F4229" w:rsidRDefault="009E1019" w:rsidP="00876646">
            <w:pPr>
              <w:suppressAutoHyphens/>
              <w:jc w:val="right"/>
              <w:rPr>
                <w:rFonts w:eastAsia="SimSun"/>
                <w:color w:val="000000"/>
                <w:sz w:val="18"/>
                <w:szCs w:val="16"/>
              </w:rPr>
            </w:pPr>
            <w:r>
              <w:rPr>
                <w:color w:val="000000"/>
                <w:sz w:val="18"/>
                <w:szCs w:val="16"/>
              </w:rPr>
              <w:t>19,81</w:t>
            </w:r>
          </w:p>
        </w:tc>
      </w:tr>
      <w:tr w:rsidR="009E1019" w:rsidRPr="00606BD8" w14:paraId="3E6024DA" w14:textId="77777777" w:rsidTr="00876646">
        <w:trPr>
          <w:trHeight w:val="207"/>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7B88631A" w14:textId="77777777" w:rsidR="009E1019" w:rsidRPr="004F4229" w:rsidRDefault="009E1019" w:rsidP="00876646">
            <w:pPr>
              <w:suppressAutoHyphens/>
              <w:jc w:val="left"/>
              <w:rPr>
                <w:rFonts w:eastAsia="SimSun"/>
                <w:color w:val="000000"/>
                <w:sz w:val="18"/>
                <w:szCs w:val="16"/>
              </w:rPr>
            </w:pPr>
            <w:r>
              <w:rPr>
                <w:color w:val="000000"/>
                <w:sz w:val="18"/>
                <w:szCs w:val="16"/>
              </w:rPr>
              <w:lastRenderedPageBreak/>
              <w:t>4.6.2</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3A4EDB86" w14:textId="77777777" w:rsidR="009E1019" w:rsidRPr="009E1019" w:rsidRDefault="009E1019" w:rsidP="00876646">
            <w:pPr>
              <w:suppressAutoHyphens/>
              <w:jc w:val="left"/>
              <w:rPr>
                <w:rFonts w:eastAsia="SimSun"/>
                <w:color w:val="000000"/>
                <w:sz w:val="18"/>
                <w:szCs w:val="16"/>
                <w:lang w:val="fr-CA"/>
              </w:rPr>
            </w:pPr>
            <w:r w:rsidRPr="009E1019">
              <w:rPr>
                <w:color w:val="000000"/>
                <w:sz w:val="18"/>
                <w:szCs w:val="16"/>
                <w:lang w:val="fr-CA"/>
              </w:rPr>
              <w:t xml:space="preserve">Élimination de HCFC-141b dans les polyols </w:t>
            </w:r>
            <w:proofErr w:type="spellStart"/>
            <w:r w:rsidRPr="009E1019">
              <w:rPr>
                <w:color w:val="000000"/>
                <w:sz w:val="18"/>
                <w:szCs w:val="16"/>
                <w:lang w:val="fr-CA"/>
              </w:rPr>
              <w:t>prémélangés</w:t>
            </w:r>
            <w:proofErr w:type="spellEnd"/>
            <w:r w:rsidRPr="009E1019">
              <w:rPr>
                <w:color w:val="000000"/>
                <w:sz w:val="18"/>
                <w:szCs w:val="16"/>
                <w:lang w:val="fr-CA"/>
              </w:rPr>
              <w:t xml:space="preserve"> à réaliser par des projets approuvés antérieurement (tonnes PAO)</w:t>
            </w:r>
          </w:p>
        </w:tc>
        <w:tc>
          <w:tcPr>
            <w:tcW w:w="438" w:type="pct"/>
            <w:tcBorders>
              <w:top w:val="single" w:sz="4" w:space="0" w:color="auto"/>
              <w:left w:val="nil"/>
              <w:bottom w:val="single" w:sz="4" w:space="0" w:color="auto"/>
              <w:right w:val="single" w:sz="4" w:space="0" w:color="auto"/>
            </w:tcBorders>
            <w:vAlign w:val="bottom"/>
          </w:tcPr>
          <w:p w14:paraId="7E487FEA" w14:textId="77777777" w:rsidR="009E1019" w:rsidRPr="004F4229" w:rsidRDefault="009E1019" w:rsidP="00876646">
            <w:pPr>
              <w:suppressAutoHyphens/>
              <w:jc w:val="right"/>
              <w:rPr>
                <w:rFonts w:eastAsia="SimSun"/>
                <w:color w:val="000000"/>
                <w:sz w:val="18"/>
                <w:szCs w:val="16"/>
              </w:rPr>
            </w:pPr>
            <w:r>
              <w:rPr>
                <w:color w:val="000000"/>
                <w:sz w:val="18"/>
                <w:szCs w:val="16"/>
              </w:rPr>
              <w:t>s. o.</w:t>
            </w:r>
          </w:p>
        </w:tc>
      </w:tr>
      <w:tr w:rsidR="009E1019" w:rsidRPr="00606BD8" w14:paraId="2B6CD28C" w14:textId="77777777" w:rsidTr="00876646">
        <w:trPr>
          <w:trHeight w:val="210"/>
        </w:trPr>
        <w:tc>
          <w:tcPr>
            <w:tcW w:w="267" w:type="pct"/>
            <w:tcBorders>
              <w:top w:val="single" w:sz="4" w:space="0" w:color="auto"/>
              <w:left w:val="single" w:sz="4" w:space="0" w:color="auto"/>
              <w:bottom w:val="single" w:sz="4" w:space="0" w:color="auto"/>
              <w:right w:val="single" w:sz="4" w:space="0" w:color="auto"/>
            </w:tcBorders>
            <w:noWrap/>
            <w:tcMar>
              <w:left w:w="57" w:type="dxa"/>
            </w:tcMar>
            <w:vAlign w:val="bottom"/>
          </w:tcPr>
          <w:p w14:paraId="097287F4" w14:textId="77777777" w:rsidR="009E1019" w:rsidRPr="004F4229" w:rsidRDefault="009E1019" w:rsidP="00876646">
            <w:pPr>
              <w:suppressAutoHyphens/>
              <w:jc w:val="left"/>
              <w:rPr>
                <w:rFonts w:eastAsia="SimSun"/>
                <w:color w:val="000000"/>
                <w:sz w:val="18"/>
                <w:szCs w:val="16"/>
              </w:rPr>
            </w:pPr>
            <w:r>
              <w:rPr>
                <w:color w:val="000000"/>
                <w:sz w:val="18"/>
                <w:szCs w:val="16"/>
              </w:rPr>
              <w:t>4.6.3</w:t>
            </w:r>
          </w:p>
        </w:tc>
        <w:tc>
          <w:tcPr>
            <w:tcW w:w="4296" w:type="pct"/>
            <w:gridSpan w:val="11"/>
            <w:tcBorders>
              <w:top w:val="single" w:sz="4" w:space="0" w:color="auto"/>
              <w:left w:val="nil"/>
              <w:bottom w:val="single" w:sz="4" w:space="0" w:color="auto"/>
              <w:right w:val="single" w:sz="4" w:space="0" w:color="auto"/>
            </w:tcBorders>
            <w:tcMar>
              <w:left w:w="57" w:type="dxa"/>
            </w:tcMar>
            <w:vAlign w:val="bottom"/>
          </w:tcPr>
          <w:p w14:paraId="09D65D6E" w14:textId="77777777" w:rsidR="009E1019" w:rsidRPr="009E1019" w:rsidRDefault="009E1019" w:rsidP="00876646">
            <w:pPr>
              <w:suppressAutoHyphens/>
              <w:jc w:val="left"/>
              <w:rPr>
                <w:rFonts w:eastAsia="SimSun"/>
                <w:bCs/>
                <w:color w:val="000000"/>
                <w:sz w:val="18"/>
                <w:szCs w:val="16"/>
                <w:lang w:val="fr-CA"/>
              </w:rPr>
            </w:pPr>
            <w:r w:rsidRPr="009E1019">
              <w:rPr>
                <w:bCs/>
                <w:color w:val="000000"/>
                <w:sz w:val="18"/>
                <w:szCs w:val="16"/>
                <w:lang w:val="fr-CA"/>
              </w:rPr>
              <w:t xml:space="preserve">Consommation restante admissible de </w:t>
            </w:r>
            <w:r w:rsidRPr="009E1019">
              <w:rPr>
                <w:color w:val="000000"/>
                <w:sz w:val="18"/>
                <w:szCs w:val="16"/>
                <w:lang w:val="fr-CA"/>
              </w:rPr>
              <w:t xml:space="preserve">HCFC-141b dans les polyols </w:t>
            </w:r>
            <w:proofErr w:type="spellStart"/>
            <w:r w:rsidRPr="009E1019">
              <w:rPr>
                <w:color w:val="000000"/>
                <w:sz w:val="18"/>
                <w:szCs w:val="16"/>
                <w:lang w:val="fr-CA"/>
              </w:rPr>
              <w:t>prémélangés</w:t>
            </w:r>
            <w:proofErr w:type="spellEnd"/>
            <w:r w:rsidRPr="009E1019">
              <w:rPr>
                <w:color w:val="000000"/>
                <w:sz w:val="18"/>
                <w:szCs w:val="16"/>
                <w:lang w:val="fr-CA"/>
              </w:rPr>
              <w:t xml:space="preserve"> </w:t>
            </w:r>
            <w:r w:rsidRPr="009E1019">
              <w:rPr>
                <w:bCs/>
                <w:color w:val="000000"/>
                <w:sz w:val="18"/>
                <w:szCs w:val="16"/>
                <w:lang w:val="fr-CA"/>
              </w:rPr>
              <w:t>(tonnes PAO)</w:t>
            </w:r>
          </w:p>
        </w:tc>
        <w:tc>
          <w:tcPr>
            <w:tcW w:w="438" w:type="pct"/>
            <w:tcBorders>
              <w:top w:val="single" w:sz="4" w:space="0" w:color="auto"/>
              <w:left w:val="nil"/>
              <w:bottom w:val="single" w:sz="4" w:space="0" w:color="auto"/>
              <w:right w:val="single" w:sz="4" w:space="0" w:color="auto"/>
            </w:tcBorders>
            <w:vAlign w:val="bottom"/>
          </w:tcPr>
          <w:p w14:paraId="7FCB0ADE" w14:textId="77777777" w:rsidR="009E1019" w:rsidRPr="004F4229" w:rsidRDefault="009E1019" w:rsidP="00876646">
            <w:pPr>
              <w:suppressAutoHyphens/>
              <w:jc w:val="right"/>
              <w:rPr>
                <w:rFonts w:eastAsia="SimSun"/>
                <w:color w:val="000000"/>
                <w:sz w:val="18"/>
                <w:szCs w:val="16"/>
              </w:rPr>
            </w:pPr>
            <w:r>
              <w:rPr>
                <w:color w:val="000000"/>
                <w:sz w:val="18"/>
                <w:szCs w:val="16"/>
              </w:rPr>
              <w:t>0,86</w:t>
            </w:r>
          </w:p>
        </w:tc>
      </w:tr>
    </w:tbl>
    <w:p w14:paraId="08D60DEB" w14:textId="77777777" w:rsidR="009E1019" w:rsidRPr="009E1019" w:rsidRDefault="009E1019" w:rsidP="009E1019">
      <w:pPr>
        <w:suppressAutoHyphens/>
        <w:rPr>
          <w:rFonts w:eastAsia="SimSun"/>
          <w:sz w:val="18"/>
          <w:szCs w:val="18"/>
          <w:lang w:val="fr-CA"/>
        </w:rPr>
      </w:pPr>
      <w:r w:rsidRPr="009E1019">
        <w:rPr>
          <w:sz w:val="18"/>
          <w:szCs w:val="18"/>
          <w:lang w:val="fr-CA"/>
        </w:rPr>
        <w:t>*Le financement pour l’ONUDI comprend la demande pour la quatrième tranche de 86 500 $ US, plus les coûts d’appui d’agence de 6 487 $ US, et le projet des mousses de 431 719 $ US, plus les coûts d’appui d’agence de 30 220 $ US.</w:t>
      </w:r>
    </w:p>
    <w:p w14:paraId="0BFB975A" w14:textId="16E0A7AC" w:rsidR="00F457F9" w:rsidRPr="009E1019" w:rsidRDefault="009E1019" w:rsidP="009E1019">
      <w:pPr>
        <w:jc w:val="center"/>
        <w:rPr>
          <w:lang w:val="fr-CA"/>
        </w:rPr>
      </w:pPr>
      <w:r w:rsidRPr="009E1019">
        <w:rPr>
          <w:b/>
          <w:sz w:val="18"/>
          <w:szCs w:val="18"/>
          <w:lang w:val="fr-CA"/>
        </w:rPr>
        <w:t>**À la 87</w:t>
      </w:r>
      <w:r w:rsidRPr="009E1019">
        <w:rPr>
          <w:b/>
          <w:sz w:val="18"/>
          <w:szCs w:val="18"/>
          <w:vertAlign w:val="superscript"/>
          <w:lang w:val="fr-CA"/>
        </w:rPr>
        <w:t>e</w:t>
      </w:r>
      <w:r w:rsidRPr="009E1019">
        <w:rPr>
          <w:b/>
          <w:sz w:val="18"/>
          <w:szCs w:val="18"/>
          <w:lang w:val="fr-CA"/>
        </w:rPr>
        <w:t xml:space="preserve"> réunion, le PNUE a cessé d’être une agence de coopération et il lui a été demandé de transférer à l’ONUDI le financement approuvé de 10 000 $ US pour la cinquième tranche, plus 700 $ US en coûts d’appui d’agence.</w:t>
      </w:r>
    </w:p>
    <w:p w14:paraId="5BF41C6C" w14:textId="7A3618A6" w:rsidR="00F457F9" w:rsidRDefault="00F457F9" w:rsidP="0037190F">
      <w:pPr>
        <w:jc w:val="center"/>
        <w:rPr>
          <w:lang w:val="fr-CA"/>
        </w:rPr>
      </w:pPr>
    </w:p>
    <w:p w14:paraId="085C9344" w14:textId="001E0926" w:rsidR="009E1019" w:rsidRDefault="009E1019" w:rsidP="0037190F">
      <w:pPr>
        <w:jc w:val="center"/>
        <w:rPr>
          <w:lang w:val="fr-CA"/>
        </w:rPr>
      </w:pPr>
    </w:p>
    <w:p w14:paraId="1B51AEEE" w14:textId="77777777" w:rsidR="009E1019" w:rsidRPr="009E1019" w:rsidRDefault="009E1019" w:rsidP="0037190F">
      <w:pPr>
        <w:jc w:val="center"/>
        <w:rPr>
          <w:lang w:val="fr-CA"/>
        </w:rPr>
      </w:pPr>
    </w:p>
    <w:p w14:paraId="7B227FA9" w14:textId="77777777" w:rsidR="00BF17C8" w:rsidRPr="009E1019" w:rsidRDefault="00BF17C8" w:rsidP="0037190F">
      <w:pPr>
        <w:jc w:val="center"/>
        <w:rPr>
          <w:lang w:val="fr-CA"/>
        </w:rPr>
        <w:sectPr w:rsidR="00BF17C8" w:rsidRPr="009E1019" w:rsidSect="0037190F">
          <w:headerReference w:type="even" r:id="rId30"/>
          <w:headerReference w:type="first" r:id="rId31"/>
          <w:footerReference w:type="first" r:id="rId32"/>
          <w:pgSz w:w="12240" w:h="15840" w:code="1"/>
          <w:pgMar w:top="720" w:right="1440" w:bottom="864" w:left="1440" w:header="720" w:footer="475" w:gutter="0"/>
          <w:pgNumType w:start="1"/>
          <w:cols w:space="720"/>
          <w:titlePg/>
        </w:sectPr>
      </w:pPr>
    </w:p>
    <w:p w14:paraId="3FFDD60E" w14:textId="70E3203B" w:rsidR="00BF17C8" w:rsidRPr="00F457F9" w:rsidRDefault="00BF17C8" w:rsidP="0037190F">
      <w:pPr>
        <w:jc w:val="center"/>
        <w:rPr>
          <w:b/>
          <w:lang w:val="fr-CA"/>
        </w:rPr>
      </w:pPr>
      <w:r w:rsidRPr="00F457F9">
        <w:rPr>
          <w:b/>
          <w:lang w:val="fr-CA"/>
        </w:rPr>
        <w:lastRenderedPageBreak/>
        <w:t>Annexe VI</w:t>
      </w:r>
    </w:p>
    <w:p w14:paraId="54586341" w14:textId="6E2C18D2" w:rsidR="00BF17C8" w:rsidRDefault="00BF17C8" w:rsidP="0037190F">
      <w:pPr>
        <w:jc w:val="center"/>
        <w:rPr>
          <w:lang w:val="fr-CA"/>
        </w:rPr>
      </w:pPr>
    </w:p>
    <w:p w14:paraId="584FB560" w14:textId="77777777" w:rsidR="009E1019" w:rsidRDefault="009E1019" w:rsidP="009E1019">
      <w:pPr>
        <w:jc w:val="center"/>
        <w:rPr>
          <w:lang w:val="fr-CA"/>
        </w:rPr>
      </w:pPr>
      <w:r w:rsidRPr="001B438C">
        <w:rPr>
          <w:b/>
          <w:lang w:val="fr-FR"/>
        </w:rPr>
        <w:t>ACCORD MIS A JOUT ENTRE LE GOUVERNEMENT DE L’ÉQUATEUR ET LE COMITÉ EXÉCUTIF DU FONDS MULTILATÉRAL POUR LA RÉDUCTION DE LA CONSOMMATION DES HYDROFLUOROCARBURES CONFORMÉMENT À LA DEUXI</w:t>
      </w:r>
      <w:r>
        <w:rPr>
          <w:b/>
          <w:lang w:val="fr-FR"/>
        </w:rPr>
        <w:t xml:space="preserve">ÈME PHASE DU PLAN DE GESTION DE L'ÉLIMINATION DES HCFC </w:t>
      </w:r>
    </w:p>
    <w:p w14:paraId="04EE152C" w14:textId="77777777" w:rsidR="009E1019" w:rsidRDefault="009E1019" w:rsidP="009E1019">
      <w:pPr>
        <w:jc w:val="center"/>
        <w:rPr>
          <w:lang w:val="fr-CA"/>
        </w:rPr>
      </w:pPr>
    </w:p>
    <w:p w14:paraId="3CAEDEAD" w14:textId="77777777" w:rsidR="009E1019" w:rsidRDefault="009E1019" w:rsidP="009E1019">
      <w:pPr>
        <w:jc w:val="left"/>
        <w:rPr>
          <w:b/>
          <w:lang w:val="fr-CA"/>
        </w:rPr>
      </w:pPr>
      <w:r>
        <w:rPr>
          <w:b/>
          <w:lang w:val="fr-CA"/>
        </w:rPr>
        <w:t>Objet</w:t>
      </w:r>
    </w:p>
    <w:p w14:paraId="1BA15456" w14:textId="77777777" w:rsidR="009E1019" w:rsidRDefault="009E1019" w:rsidP="009E1019">
      <w:pPr>
        <w:jc w:val="left"/>
        <w:rPr>
          <w:lang w:val="fr-CA"/>
        </w:rPr>
      </w:pPr>
    </w:p>
    <w:p w14:paraId="172D37A5" w14:textId="77777777" w:rsidR="009E1019" w:rsidRPr="001B438C" w:rsidRDefault="009E1019" w:rsidP="009E1019">
      <w:pPr>
        <w:pStyle w:val="Heading1"/>
        <w:rPr>
          <w:lang w:val="fr-FR"/>
        </w:rPr>
      </w:pPr>
      <w:r w:rsidRPr="001B438C">
        <w:rPr>
          <w:lang w:val="fr-FR"/>
        </w:rPr>
        <w:t>Le présent Accord représente l’entente conclue entre le gouvernement de l’Équateur (le « Pays ») et le Comité exécutif concernant la réduction de l’usage réglementé des substances appauvrissant la couche d’ozone (SAO) indiquées à l’appendice 1-A (les « Substances ») à un niveau durable de zér</w:t>
      </w:r>
      <w:r>
        <w:rPr>
          <w:lang w:val="fr-FR"/>
        </w:rPr>
        <w:t>o</w:t>
      </w:r>
      <w:r w:rsidRPr="001B438C">
        <w:rPr>
          <w:lang w:val="fr-FR"/>
        </w:rPr>
        <w:t> tonnes PAO d’ici au 1</w:t>
      </w:r>
      <w:r w:rsidRPr="001B438C">
        <w:rPr>
          <w:vertAlign w:val="superscript"/>
          <w:lang w:val="fr-FR"/>
        </w:rPr>
        <w:t>er</w:t>
      </w:r>
      <w:r w:rsidRPr="001B438C">
        <w:rPr>
          <w:lang w:val="fr-FR"/>
        </w:rPr>
        <w:t> janvier 2030, conformément au calendrier de réduction du Protocole Montréal.</w:t>
      </w:r>
    </w:p>
    <w:p w14:paraId="3CBC6499" w14:textId="77777777" w:rsidR="009E1019" w:rsidRPr="001B438C" w:rsidRDefault="009E1019" w:rsidP="009E1019">
      <w:pPr>
        <w:pStyle w:val="Heading1"/>
        <w:rPr>
          <w:lang w:val="fr-FR"/>
        </w:rPr>
      </w:pPr>
      <w:r w:rsidRPr="001B438C">
        <w:rPr>
          <w:lang w:val="fr-FR"/>
        </w:rPr>
        <w:t>Le Pays convient de respecter les limites de consommation annuelle des Substances</w:t>
      </w:r>
      <w:r>
        <w:rPr>
          <w:lang w:val="fr-FR"/>
        </w:rPr>
        <w:t xml:space="preserve"> définies à la ligne 1.2 de l’Appendice 2-A (« Objectifs et financement ») du présent Accord, ainsi que les limites de consommation annuelle du Protocole de Montréal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w:t>
      </w:r>
      <w:r w:rsidRPr="001B438C">
        <w:rPr>
          <w:lang w:val="fr-FR"/>
        </w:rPr>
        <w:t>constituant la phase finale de réduction en vertu du présent Accord pour toutes les substances spécifiées à l’Appendice 1-A, et pour toute consommation de chacune des substances dépassant le niveau défini aux lignes 4.1.3, 4.2.3, 4.4.3 et 4.5.3 (consommation restante admissible au financement).</w:t>
      </w:r>
    </w:p>
    <w:p w14:paraId="226C0924" w14:textId="77777777" w:rsidR="009E1019" w:rsidRDefault="009E1019" w:rsidP="009E1019">
      <w:pPr>
        <w:pStyle w:val="Heading1"/>
        <w:rPr>
          <w:lang w:val="fr-FR"/>
        </w:rPr>
      </w:pPr>
      <w:r>
        <w:rPr>
          <w:lang w:val="fr-FR"/>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25A76F77" w14:textId="77777777" w:rsidR="009E1019" w:rsidRDefault="009E1019" w:rsidP="009E1019">
      <w:pPr>
        <w:pStyle w:val="Heading1"/>
        <w:rPr>
          <w:lang w:val="fr-FR"/>
        </w:rPr>
      </w:pPr>
      <w:r>
        <w:rPr>
          <w:lang w:val="fr-FR"/>
        </w:rPr>
        <w:t xml:space="preserve">Le Pays accepte de mettre en œuvre cet Accord conformément à la deuxième phase du plan de gestion de l'élimination des HCFC (PGEH) approuvé (le « Plan »). Conformément au paragraphe </w:t>
      </w:r>
      <w:proofErr w:type="gramStart"/>
      <w:r>
        <w:rPr>
          <w:lang w:val="fr-FR"/>
        </w:rPr>
        <w:t>5  b</w:t>
      </w:r>
      <w:proofErr w:type="gramEnd"/>
      <w:r>
        <w:rPr>
          <w:lang w:val="fr-FR"/>
        </w:rPr>
        <w:t>)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236BE35A" w14:textId="77777777" w:rsidR="009E1019" w:rsidRDefault="009E1019" w:rsidP="009E1019">
      <w:pPr>
        <w:rPr>
          <w:b/>
          <w:lang w:val="fr-FR" w:eastAsia="en-CA"/>
        </w:rPr>
      </w:pPr>
      <w:r>
        <w:rPr>
          <w:b/>
          <w:lang w:val="fr-FR" w:eastAsia="en-CA"/>
        </w:rPr>
        <w:t>Conditions de décaissement des sommes</w:t>
      </w:r>
    </w:p>
    <w:p w14:paraId="7CFDB33B" w14:textId="77777777" w:rsidR="009E1019" w:rsidRDefault="009E1019" w:rsidP="009E1019">
      <w:pPr>
        <w:rPr>
          <w:lang w:val="fr-FR" w:eastAsia="en-CA"/>
        </w:rPr>
      </w:pPr>
    </w:p>
    <w:p w14:paraId="2BD1DFD6" w14:textId="77777777" w:rsidR="009E1019" w:rsidRDefault="009E1019" w:rsidP="009E1019">
      <w:pPr>
        <w:pStyle w:val="Heading1"/>
        <w:rPr>
          <w:lang w:val="fr-FR"/>
        </w:rPr>
      </w:pPr>
      <w:r>
        <w:rPr>
          <w:lang w:val="fr-FR"/>
        </w:rPr>
        <w:t xml:space="preserve">Le Comité exécutif n’accordera le financement prévu au calendrier de financement approuvé que lorsque le Pays aura satisfait aux conditions suivantes au moins huit semaines avant la réunion du Comité exécutif indiquée dans le calendrier de financement </w:t>
      </w:r>
      <w:proofErr w:type="gramStart"/>
      <w:r>
        <w:rPr>
          <w:lang w:val="fr-FR"/>
        </w:rPr>
        <w:t>approuvé:</w:t>
      </w:r>
      <w:proofErr w:type="gramEnd"/>
    </w:p>
    <w:p w14:paraId="2D84E2E5" w14:textId="77777777" w:rsidR="009E1019" w:rsidRDefault="009E1019" w:rsidP="009E1019">
      <w:pPr>
        <w:pStyle w:val="Heading2"/>
        <w:rPr>
          <w:lang w:val="fr-FR"/>
        </w:rPr>
      </w:pPr>
      <w:r>
        <w:rPr>
          <w:lang w:val="fr-FR"/>
        </w:rPr>
        <w:t xml:space="preserve">Le Pays a respecté les objectifs fixés à la ligne 1.2 de l’Appendice 2-A pour toutes les années concernées. Les années concernées sont toutes celles qui se sont écoulées depuis l’année d’approbation du présent Accord. Les années auxquelles aucun rapport sur la mise en œuvre du programme de pays n’est dû à la date de la réunion du Comité à laquelle la demande de financement est soumise, font </w:t>
      </w:r>
      <w:proofErr w:type="gramStart"/>
      <w:r>
        <w:rPr>
          <w:lang w:val="fr-FR"/>
        </w:rPr>
        <w:t>exception;</w:t>
      </w:r>
      <w:proofErr w:type="gramEnd"/>
      <w:r>
        <w:rPr>
          <w:lang w:val="fr-FR"/>
        </w:rPr>
        <w:t xml:space="preserve"> </w:t>
      </w:r>
    </w:p>
    <w:p w14:paraId="5E012FF9" w14:textId="77777777" w:rsidR="009E1019" w:rsidRDefault="009E1019" w:rsidP="009E1019">
      <w:pPr>
        <w:pStyle w:val="Heading2"/>
        <w:rPr>
          <w:lang w:val="fr-FR"/>
        </w:rPr>
      </w:pPr>
      <w:r>
        <w:rPr>
          <w:lang w:val="fr-FR"/>
        </w:rPr>
        <w:t xml:space="preserve">Le respect de ces objectifs a été vérifié de manière indépendante pour toutes les années concernées, à moins que le Comité exécutif n’ait décidé que cette vérification n’était pas </w:t>
      </w:r>
      <w:proofErr w:type="gramStart"/>
      <w:r>
        <w:rPr>
          <w:lang w:val="fr-FR"/>
        </w:rPr>
        <w:t>nécessaire;</w:t>
      </w:r>
      <w:proofErr w:type="gramEnd"/>
    </w:p>
    <w:p w14:paraId="6E9A59EB" w14:textId="77777777" w:rsidR="009E1019" w:rsidRDefault="009E1019" w:rsidP="009E1019">
      <w:pPr>
        <w:pStyle w:val="Heading2"/>
        <w:keepNext/>
        <w:keepLines/>
        <w:rPr>
          <w:lang w:val="fr-FR"/>
        </w:rPr>
      </w:pPr>
      <w:r>
        <w:rPr>
          <w:lang w:val="fr-FR"/>
        </w:rPr>
        <w:lastRenderedPageBreak/>
        <w:t xml:space="preserve">Le Pays a soumis des rapports annuels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w:t>
      </w:r>
      <w:proofErr w:type="gramStart"/>
      <w:r>
        <w:rPr>
          <w:lang w:val="fr-FR"/>
        </w:rPr>
        <w:t>cent;</w:t>
      </w:r>
      <w:proofErr w:type="gramEnd"/>
      <w:r>
        <w:rPr>
          <w:lang w:val="fr-FR"/>
        </w:rPr>
        <w:t xml:space="preserve"> et</w:t>
      </w:r>
    </w:p>
    <w:p w14:paraId="32786CE1" w14:textId="77777777" w:rsidR="009E1019" w:rsidRDefault="009E1019" w:rsidP="009E1019">
      <w:pPr>
        <w:pStyle w:val="Heading2"/>
        <w:keepNext/>
        <w:keepLines/>
        <w:rPr>
          <w:lang w:val="fr-FR"/>
        </w:rPr>
      </w:pPr>
      <w:r>
        <w:rPr>
          <w:lang w:val="fr-FR"/>
        </w:rPr>
        <w:t>Le Pays a soumis un plan annuel de mise en œuvre de la tranche et a reçu l’approbation du Comité exécutif,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14:paraId="50F5CBC7" w14:textId="77777777" w:rsidR="009E1019" w:rsidRDefault="009E1019" w:rsidP="009E1019">
      <w:pPr>
        <w:rPr>
          <w:b/>
          <w:lang w:val="fr-FR" w:eastAsia="en-CA"/>
        </w:rPr>
      </w:pPr>
      <w:r>
        <w:rPr>
          <w:b/>
          <w:lang w:val="fr-FR" w:eastAsia="en-CA"/>
        </w:rPr>
        <w:t>Suivi</w:t>
      </w:r>
    </w:p>
    <w:p w14:paraId="00977B8C" w14:textId="77777777" w:rsidR="009E1019" w:rsidRDefault="009E1019" w:rsidP="009E1019">
      <w:pPr>
        <w:rPr>
          <w:lang w:val="fr-FR" w:eastAsia="en-CA"/>
        </w:rPr>
      </w:pPr>
    </w:p>
    <w:p w14:paraId="4E6B4CB3" w14:textId="77777777" w:rsidR="009E1019" w:rsidRDefault="009E1019" w:rsidP="009E1019">
      <w:pPr>
        <w:pStyle w:val="Heading1"/>
        <w:rPr>
          <w:lang w:val="fr-FR"/>
        </w:rPr>
      </w:pPr>
      <w:r>
        <w:rPr>
          <w:lang w:val="fr-FR"/>
        </w:rPr>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056A5AA1" w14:textId="77777777" w:rsidR="009E1019" w:rsidRDefault="009E1019" w:rsidP="009E1019">
      <w:pPr>
        <w:rPr>
          <w:b/>
          <w:lang w:val="fr-FR" w:eastAsia="en-CA"/>
        </w:rPr>
      </w:pPr>
      <w:r>
        <w:rPr>
          <w:b/>
          <w:lang w:val="fr-FR" w:eastAsia="en-CA"/>
        </w:rPr>
        <w:t>Souplesse dans la réaffectation des sommes</w:t>
      </w:r>
    </w:p>
    <w:p w14:paraId="5C238B22" w14:textId="77777777" w:rsidR="009E1019" w:rsidRDefault="009E1019" w:rsidP="009E1019">
      <w:pPr>
        <w:rPr>
          <w:b/>
          <w:lang w:val="fr-FR" w:eastAsia="en-CA"/>
        </w:rPr>
      </w:pPr>
    </w:p>
    <w:p w14:paraId="5A9D7D7A" w14:textId="77777777" w:rsidR="009E1019" w:rsidRDefault="009E1019" w:rsidP="009E1019">
      <w:pPr>
        <w:pStyle w:val="Heading1"/>
        <w:rPr>
          <w:lang w:val="fr-FR"/>
        </w:rPr>
      </w:pPr>
      <w:r>
        <w:rPr>
          <w:lang w:val="fr-FR"/>
        </w:rPr>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14:paraId="66E3A143" w14:textId="77777777" w:rsidR="009E1019" w:rsidRDefault="009E1019" w:rsidP="009E1019">
      <w:pPr>
        <w:pStyle w:val="Heading2"/>
        <w:rPr>
          <w:lang w:val="fr-CA"/>
        </w:rPr>
      </w:pPr>
      <w:r>
        <w:rPr>
          <w:lang w:val="fr-FR"/>
        </w:rPr>
        <w:t xml:space="preserve">Les réaffectations classées comme changements importants doivent être documentées à l’avance, dans un plan annuel de mise en œuvre de la tranche, remis tel que prévu au paragraphe 5 d) ci-dessus, ou dans une révision d’un plan annuel de mise en œuvre de la tranche existant, à remettre huit semaines avant toute réunion du Comité exécutif, pour approbation. Une réaffectation est dite importante lorsqu’elle </w:t>
      </w:r>
      <w:proofErr w:type="gramStart"/>
      <w:r>
        <w:rPr>
          <w:lang w:val="fr-FR"/>
        </w:rPr>
        <w:t>vise:</w:t>
      </w:r>
      <w:proofErr w:type="gramEnd"/>
    </w:p>
    <w:p w14:paraId="45AE6F6A" w14:textId="77777777" w:rsidR="009E1019" w:rsidRDefault="009E1019" w:rsidP="009E1019">
      <w:pPr>
        <w:pStyle w:val="Heading3"/>
        <w:rPr>
          <w:lang w:val="fr-FR"/>
        </w:rPr>
      </w:pPr>
      <w:r>
        <w:rPr>
          <w:lang w:val="fr-CA"/>
        </w:rPr>
        <w:t>D</w:t>
      </w:r>
      <w:r>
        <w:rPr>
          <w:lang w:val="fr-FR"/>
        </w:rPr>
        <w:t xml:space="preserve">es enjeux qui pourraient concerner les règles et politiques du Fonds </w:t>
      </w:r>
      <w:proofErr w:type="gramStart"/>
      <w:r>
        <w:rPr>
          <w:lang w:val="fr-FR"/>
        </w:rPr>
        <w:t>multilatéral;</w:t>
      </w:r>
      <w:proofErr w:type="gramEnd"/>
      <w:r>
        <w:rPr>
          <w:lang w:val="fr-FR"/>
        </w:rPr>
        <w:t xml:space="preserve"> </w:t>
      </w:r>
    </w:p>
    <w:p w14:paraId="4FF51ACF" w14:textId="77777777" w:rsidR="009E1019" w:rsidRDefault="009E1019" w:rsidP="009E1019">
      <w:pPr>
        <w:pStyle w:val="Heading3"/>
        <w:rPr>
          <w:lang w:val="fr-FR"/>
        </w:rPr>
      </w:pPr>
      <w:r>
        <w:rPr>
          <w:lang w:val="fr-FR"/>
        </w:rPr>
        <w:t xml:space="preserve">Des changements qui pourraient modifier une clause quelconque du présent </w:t>
      </w:r>
      <w:proofErr w:type="gramStart"/>
      <w:r>
        <w:rPr>
          <w:lang w:val="fr-FR"/>
        </w:rPr>
        <w:t>Accord;</w:t>
      </w:r>
      <w:proofErr w:type="gramEnd"/>
      <w:r>
        <w:rPr>
          <w:lang w:val="fr-FR"/>
        </w:rPr>
        <w:t xml:space="preserve"> </w:t>
      </w:r>
    </w:p>
    <w:p w14:paraId="09126738" w14:textId="77777777" w:rsidR="009E1019" w:rsidRDefault="009E1019" w:rsidP="009E1019">
      <w:pPr>
        <w:pStyle w:val="Heading3"/>
        <w:rPr>
          <w:lang w:val="fr-FR"/>
        </w:rPr>
      </w:pPr>
      <w:r>
        <w:rPr>
          <w:lang w:val="fr-FR"/>
        </w:rPr>
        <w:t xml:space="preserve">Des changements dans les montants annuels de financement alloués aux agences bilatérales individuelles ou d’exécution pour les différentes </w:t>
      </w:r>
      <w:proofErr w:type="gramStart"/>
      <w:r>
        <w:rPr>
          <w:lang w:val="fr-FR"/>
        </w:rPr>
        <w:t>tranches;</w:t>
      </w:r>
      <w:proofErr w:type="gramEnd"/>
      <w:r>
        <w:rPr>
          <w:lang w:val="fr-FR"/>
        </w:rPr>
        <w:t xml:space="preserve"> et</w:t>
      </w:r>
    </w:p>
    <w:p w14:paraId="220E9807" w14:textId="77777777" w:rsidR="009E1019" w:rsidRDefault="009E1019" w:rsidP="009E1019">
      <w:pPr>
        <w:pStyle w:val="Heading3"/>
        <w:rPr>
          <w:lang w:val="fr-FR"/>
        </w:rPr>
      </w:pPr>
      <w:r>
        <w:rPr>
          <w:lang w:val="fr-FR"/>
        </w:rPr>
        <w:t xml:space="preserve">La fourniture de fonds pour des activités qui ne sont pas incluses dans le plan de mise en œuvre annuel de la tranche courant endossé ou bien le retrait d’une activité du plan annuel de mise en œuvre de la tranche, représentant un coût supérieur à 30 pour cent du coût total de la dernière tranche </w:t>
      </w:r>
      <w:proofErr w:type="gramStart"/>
      <w:r>
        <w:rPr>
          <w:lang w:val="fr-FR"/>
        </w:rPr>
        <w:t>approuvée;</w:t>
      </w:r>
      <w:proofErr w:type="gramEnd"/>
    </w:p>
    <w:p w14:paraId="24EAFF5D" w14:textId="77777777" w:rsidR="009E1019" w:rsidRDefault="009E1019" w:rsidP="009E1019">
      <w:pPr>
        <w:pStyle w:val="Heading3"/>
        <w:rPr>
          <w:lang w:val="fr-FR"/>
        </w:rPr>
      </w:pPr>
      <w:r>
        <w:rPr>
          <w:lang w:val="fr-FR"/>
        </w:rPr>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w:t>
      </w:r>
    </w:p>
    <w:p w14:paraId="66535CD0" w14:textId="77777777" w:rsidR="009E1019" w:rsidRDefault="009E1019" w:rsidP="009E1019">
      <w:pPr>
        <w:pStyle w:val="Heading2"/>
        <w:rPr>
          <w:lang w:val="fr-FR"/>
        </w:rPr>
      </w:pPr>
      <w:r>
        <w:rPr>
          <w:lang w:val="fr-FR"/>
        </w:rPr>
        <w:lastRenderedPageBreak/>
        <w:t xml:space="preserve">Les réaffectations qui ne sont pas classées comme changements importants peuvent être intégrées au plan annuel de mise en œuvre </w:t>
      </w:r>
      <w:proofErr w:type="gramStart"/>
      <w:r>
        <w:rPr>
          <w:lang w:val="fr-FR"/>
        </w:rPr>
        <w:t>de la tranche approuvé</w:t>
      </w:r>
      <w:proofErr w:type="gramEnd"/>
      <w:r>
        <w:rPr>
          <w:lang w:val="fr-FR"/>
        </w:rPr>
        <w:t>, en cours d’application à ce moment, et communiquées au Comité exécutif dans le rapport annuel de mise en œuvre de la tranche suivant ;</w:t>
      </w:r>
    </w:p>
    <w:p w14:paraId="271C8316" w14:textId="77777777" w:rsidR="009E1019" w:rsidRDefault="009E1019" w:rsidP="009E1019">
      <w:pPr>
        <w:pStyle w:val="Heading2"/>
        <w:rPr>
          <w:lang w:val="fr-FR"/>
        </w:rPr>
      </w:pPr>
      <w:r>
        <w:rPr>
          <w:lang w:val="fr-FR"/>
        </w:rPr>
        <w:t xml:space="preserve">Toute entreprise à reconvertir à une technologie sans HCFC visée par le plan déclarée non admissible en vertu des politiques du Fonds multilatéral (soit parce qu’elle appartient à des intérêts étrangers ou qu’elle a entrepris ses activités après la date limite du 21 septembre 2007) ne recevra pas d’assistance financière. Cette information sera communiquée dans le cadre du plan annuel de mise en œuvre de la </w:t>
      </w:r>
      <w:proofErr w:type="gramStart"/>
      <w:r>
        <w:rPr>
          <w:lang w:val="fr-FR"/>
        </w:rPr>
        <w:t>tranche;</w:t>
      </w:r>
      <w:proofErr w:type="gramEnd"/>
      <w:r>
        <w:rPr>
          <w:lang w:val="fr-FR"/>
        </w:rPr>
        <w:t xml:space="preserve"> </w:t>
      </w:r>
    </w:p>
    <w:p w14:paraId="0BDDAF93" w14:textId="77777777" w:rsidR="009E1019" w:rsidRDefault="009E1019" w:rsidP="009E1019">
      <w:pPr>
        <w:pStyle w:val="Heading2"/>
        <w:rPr>
          <w:lang w:val="fr-FR"/>
        </w:rPr>
      </w:pPr>
      <w:r>
        <w:rPr>
          <w:lang w:val="fr-FR"/>
        </w:rPr>
        <w:t xml:space="preserve">Le pays s’engage à examiner la possibilité d’avoir recours à des formules </w:t>
      </w:r>
      <w:proofErr w:type="spellStart"/>
      <w:r>
        <w:rPr>
          <w:lang w:val="fr-FR"/>
        </w:rPr>
        <w:t>prémélangées</w:t>
      </w:r>
      <w:proofErr w:type="spellEnd"/>
      <w:r>
        <w:rPr>
          <w:lang w:val="fr-FR"/>
        </w:rPr>
        <w:t xml:space="preserve"> contenant des agents de gonflage à faible potentiel de réchauffement de la planète plutôt que des formules mélangées par les entreprises mêmes, pour les entreprises de mousse couvertes en vertu du Plan, si cela est techniquement viable, économiquement faisable et acceptable pour ces </w:t>
      </w:r>
      <w:proofErr w:type="gramStart"/>
      <w:r>
        <w:rPr>
          <w:lang w:val="fr-FR"/>
        </w:rPr>
        <w:t>entreprises;</w:t>
      </w:r>
      <w:proofErr w:type="gramEnd"/>
      <w:r>
        <w:rPr>
          <w:lang w:val="fr-FR"/>
        </w:rPr>
        <w:t xml:space="preserve"> </w:t>
      </w:r>
    </w:p>
    <w:p w14:paraId="52A53FF1" w14:textId="77777777" w:rsidR="009E1019" w:rsidRDefault="009E1019" w:rsidP="009E1019">
      <w:pPr>
        <w:pStyle w:val="Heading2"/>
        <w:rPr>
          <w:lang w:val="fr-FR"/>
        </w:rPr>
      </w:pPr>
      <w:r>
        <w:rPr>
          <w:lang w:val="fr-FR"/>
        </w:rPr>
        <w:t>Dans l’éventualité où le choix d’une technologie de remplacement des HCFC s’arrête sur une technologie à base de HFC, le pays s’engage, en tenant compte des circonstances nationales relatives à la santé et sécurité : à assurer un suivi des substances et technologies de remplacement vendues sur le marché qui réduisent davantage les incidences sur le climat; à envisager, lors de l’examen des normes de réglementation et des mesures d’incitation, des dispositions adéquates qui encouragent l’adoption de telles solutions de remplacement; et à examiner la possibilité d’adopter des solutions de remplacement économiques qui réduisent les conséquences de la mise en œuvre du PGEH sur le climat, selon qu’il convient, et d’informer le Comité exécutif des progrès réalisés dans ses rapports sur la mise en œuvre des tranches;</w:t>
      </w:r>
    </w:p>
    <w:p w14:paraId="2892DA77" w14:textId="77777777" w:rsidR="009E1019" w:rsidRDefault="009E1019" w:rsidP="009E1019">
      <w:pPr>
        <w:pStyle w:val="Heading2"/>
        <w:keepNext/>
        <w:keepLines/>
        <w:rPr>
          <w:lang w:val="fr-FR"/>
        </w:rPr>
      </w:pPr>
      <w:r>
        <w:rPr>
          <w:lang w:val="fr-FR"/>
        </w:rPr>
        <w:t xml:space="preserve">Tous les fonds restants détenus par les agences bilatérales ou d’exécution en vertu du Plan seront restitués au Fonds multilatéral lors de l’achèvement de la dernière tranche prévue dans le cadre du présent Accord. </w:t>
      </w:r>
    </w:p>
    <w:p w14:paraId="24D3DFDF" w14:textId="77777777" w:rsidR="009E1019" w:rsidRDefault="009E1019" w:rsidP="009E1019">
      <w:pPr>
        <w:rPr>
          <w:lang w:val="fr-FR" w:eastAsia="en-CA"/>
        </w:rPr>
      </w:pPr>
      <w:r>
        <w:rPr>
          <w:b/>
          <w:lang w:val="fr-FR" w:eastAsia="en-CA"/>
        </w:rPr>
        <w:t>Facteurs à prendre en ligne de compte pour le secteur de l’entretien de l’équipement de réfrigération</w:t>
      </w:r>
    </w:p>
    <w:p w14:paraId="6F404347" w14:textId="77777777" w:rsidR="009E1019" w:rsidRDefault="009E1019" w:rsidP="009E1019">
      <w:pPr>
        <w:rPr>
          <w:lang w:val="fr-FR" w:eastAsia="en-CA"/>
        </w:rPr>
      </w:pPr>
    </w:p>
    <w:p w14:paraId="0F61EFC2" w14:textId="77777777" w:rsidR="009E1019" w:rsidRDefault="009E1019" w:rsidP="009E1019">
      <w:pPr>
        <w:pStyle w:val="Heading1"/>
        <w:rPr>
          <w:lang w:val="fr-FR"/>
        </w:rPr>
      </w:pPr>
      <w:r>
        <w:rPr>
          <w:lang w:val="fr-FR"/>
        </w:rPr>
        <w:t xml:space="preserve">La réalisation des activités dans le sous-secteur de l’entretien des appareils de réfrigération fera l’objet d’une attention particulière, notamment sur les points </w:t>
      </w:r>
      <w:proofErr w:type="gramStart"/>
      <w:r>
        <w:rPr>
          <w:lang w:val="fr-FR"/>
        </w:rPr>
        <w:t>suivants:</w:t>
      </w:r>
      <w:proofErr w:type="gramEnd"/>
      <w:r>
        <w:rPr>
          <w:lang w:val="fr-FR"/>
        </w:rPr>
        <w:t> </w:t>
      </w:r>
    </w:p>
    <w:p w14:paraId="3B37ADC8" w14:textId="77777777" w:rsidR="009E1019" w:rsidRDefault="009E1019" w:rsidP="009E1019">
      <w:pPr>
        <w:pStyle w:val="Heading2"/>
        <w:rPr>
          <w:lang w:val="fr-FR"/>
        </w:rPr>
      </w:pPr>
      <w:r>
        <w:rPr>
          <w:lang w:val="fr-FR"/>
        </w:rPr>
        <w:t xml:space="preserve">Le Pays utilisera la marge de manœuvre offerte en vertu du présent Accord pour répondre aux besoins spécifiques qui pourraient survenir lors de la mise en œuvre du </w:t>
      </w:r>
      <w:proofErr w:type="gramStart"/>
      <w:r>
        <w:rPr>
          <w:lang w:val="fr-FR"/>
        </w:rPr>
        <w:t>projet;</w:t>
      </w:r>
      <w:proofErr w:type="gramEnd"/>
      <w:r>
        <w:rPr>
          <w:lang w:val="fr-FR"/>
        </w:rPr>
        <w:t xml:space="preserve"> et</w:t>
      </w:r>
    </w:p>
    <w:p w14:paraId="6212B65C" w14:textId="77777777" w:rsidR="009E1019" w:rsidRDefault="009E1019" w:rsidP="009E1019">
      <w:pPr>
        <w:pStyle w:val="Heading2"/>
        <w:rPr>
          <w:lang w:val="fr-FR"/>
        </w:rPr>
      </w:pPr>
      <w:r>
        <w:rPr>
          <w:lang w:val="fr-FR"/>
        </w:rPr>
        <w:t xml:space="preserve">Le Pays et les agences bilatérales et d’exécution concernées tiendront compte des décisions pertinentes concernant le secteur de l’entretien de l’équipement de réfrigération pendant la mise en œuvre du </w:t>
      </w:r>
      <w:proofErr w:type="gramStart"/>
      <w:r>
        <w:rPr>
          <w:lang w:val="fr-FR"/>
        </w:rPr>
        <w:t>plan;</w:t>
      </w:r>
      <w:proofErr w:type="gramEnd"/>
    </w:p>
    <w:p w14:paraId="02EAC60F" w14:textId="77777777" w:rsidR="009E1019" w:rsidRDefault="009E1019" w:rsidP="009E1019">
      <w:pPr>
        <w:keepNext/>
        <w:keepLines/>
        <w:rPr>
          <w:lang w:val="fr-FR" w:eastAsia="en-CA"/>
        </w:rPr>
      </w:pPr>
      <w:r>
        <w:rPr>
          <w:b/>
          <w:lang w:val="fr-FR" w:eastAsia="en-CA"/>
        </w:rPr>
        <w:lastRenderedPageBreak/>
        <w:t>Agences bilatérales et d’exécution</w:t>
      </w:r>
    </w:p>
    <w:p w14:paraId="03BCF0BD" w14:textId="77777777" w:rsidR="009E1019" w:rsidRDefault="009E1019" w:rsidP="009E1019">
      <w:pPr>
        <w:keepNext/>
        <w:keepLines/>
        <w:rPr>
          <w:lang w:val="fr-FR" w:eastAsia="en-CA"/>
        </w:rPr>
      </w:pPr>
    </w:p>
    <w:p w14:paraId="026C3A7D" w14:textId="77777777" w:rsidR="009E1019" w:rsidRPr="00DE3BCE" w:rsidRDefault="009E1019" w:rsidP="009E1019">
      <w:pPr>
        <w:pStyle w:val="Heading1"/>
        <w:keepNext/>
        <w:keepLines/>
        <w:rPr>
          <w:lang w:val="fr-FR"/>
        </w:rPr>
      </w:pPr>
      <w:r>
        <w:rPr>
          <w:lang w:val="fr-FR"/>
        </w:rPr>
        <w:t xml:space="preserve">Le Pays convient d’assumer la responsabilité </w:t>
      </w:r>
      <w:r w:rsidRPr="008904EC">
        <w:rPr>
          <w:lang w:val="fr-FR"/>
        </w:rPr>
        <w:t>générale de la gestion et de la mise en œuvre du présent Accord et de toutes les activités entreprises dans le cadre de ce dernier ou en son nom afin de s’acquitter de ses obligations en vertu du présent Accord. L’ONUDI a convenu d’agir en qualité d’agence d’exécution principale (« l’Agence principale ») en ce qui co</w:t>
      </w:r>
      <w:r>
        <w:rPr>
          <w:lang w:val="fr-FR"/>
        </w:rPr>
        <w:t xml:space="preserve">ncerne les activités du Pays prévues en vertu du présent Accord. Le Pays accepte les évaluations périodiques qui pourront être effectuées dans le cadre des programmes de travail </w:t>
      </w:r>
      <w:r w:rsidRPr="00DE3BCE">
        <w:rPr>
          <w:lang w:val="fr-FR"/>
        </w:rPr>
        <w:t>de surveillance et d’évaluation du Fonds multilatéral ou du programme d’évaluation de l’Agence principale au présent Accord.</w:t>
      </w:r>
    </w:p>
    <w:p w14:paraId="0D0C7DE2" w14:textId="77777777" w:rsidR="009E1019" w:rsidRPr="00DE3BCE" w:rsidRDefault="009E1019" w:rsidP="009E1019">
      <w:pPr>
        <w:pStyle w:val="Heading1"/>
        <w:rPr>
          <w:lang w:val="fr-FR"/>
        </w:rPr>
      </w:pPr>
      <w:r w:rsidRPr="00DE3BCE">
        <w:rPr>
          <w:lang w:val="fr-FR"/>
        </w:rPr>
        <w:t>L’Agence principale sera responsable de la coordination de la planification, de la mise en œuvre et des rapports pour toutes les activités dans le cadre du présent Accord, comprenant entre autres la vérification indépendante indiquée au paragraphe 5 b). Le rôle de l’Agence principale est indiqué à l’Appendice 6-A. Le Comité exécutif consent, en principe, à verser à l’Agence principale les honoraires indiqués à la ligne 2.2 de l’Appendice 2-A.</w:t>
      </w:r>
    </w:p>
    <w:p w14:paraId="3345FF54" w14:textId="77777777" w:rsidR="009E1019" w:rsidRPr="00DE3BCE" w:rsidRDefault="009E1019" w:rsidP="009E1019">
      <w:pPr>
        <w:rPr>
          <w:b/>
          <w:lang w:val="fr-FR" w:eastAsia="en-CA"/>
        </w:rPr>
      </w:pPr>
      <w:r w:rsidRPr="00DE3BCE">
        <w:rPr>
          <w:b/>
          <w:lang w:val="fr-FR" w:eastAsia="en-CA"/>
        </w:rPr>
        <w:t>Non-respect de l’Accord</w:t>
      </w:r>
    </w:p>
    <w:p w14:paraId="1F61143D" w14:textId="77777777" w:rsidR="009E1019" w:rsidRPr="00DE3BCE" w:rsidRDefault="009E1019" w:rsidP="009E1019">
      <w:pPr>
        <w:rPr>
          <w:b/>
          <w:lang w:val="fr-FR" w:eastAsia="en-CA"/>
        </w:rPr>
      </w:pPr>
    </w:p>
    <w:p w14:paraId="6A52223A" w14:textId="77777777" w:rsidR="009E1019" w:rsidRDefault="009E1019" w:rsidP="009E1019">
      <w:pPr>
        <w:pStyle w:val="Heading1"/>
        <w:rPr>
          <w:lang w:val="fr-FR"/>
        </w:rPr>
      </w:pPr>
      <w:r w:rsidRPr="00DE3BCE">
        <w:rPr>
          <w:lang w:val="fr-FR"/>
        </w:rPr>
        <w:t>Si, pour quelque raison que ce soit, le Pays ne respecte pas les Objectifs d’élimination des substances indiquées à la ligne 1.2 de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w:t>
      </w:r>
      <w:r>
        <w:rPr>
          <w:lang w:val="fr-FR"/>
        </w:rPr>
        <w:t>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les décisions prises, ce cas spécifique de non-conformité ne constituera plus un obstacle au financement des tranches futures indiquées au paragraphe 5 précédent.</w:t>
      </w:r>
    </w:p>
    <w:p w14:paraId="6BF80281" w14:textId="77777777" w:rsidR="009E1019" w:rsidRDefault="009E1019" w:rsidP="009E1019">
      <w:pPr>
        <w:pStyle w:val="Heading1"/>
        <w:rPr>
          <w:lang w:val="fr-FR"/>
        </w:rPr>
      </w:pPr>
      <w:r>
        <w:rPr>
          <w:lang w:val="fr-FR"/>
        </w:rPr>
        <w:t>Le financement du présent Accord ne sera pas modifié en raison de toute décision future du Comité exécutif qui pourrait avoir une incidence sur le financement de tout autre projet de consommation sectorielle ou sur toute autre activité connexe dans le Pays.</w:t>
      </w:r>
    </w:p>
    <w:p w14:paraId="2484FD3C" w14:textId="77777777" w:rsidR="009E1019" w:rsidRDefault="009E1019" w:rsidP="009E1019">
      <w:pPr>
        <w:pStyle w:val="Heading1"/>
        <w:rPr>
          <w:lang w:val="fr-FR"/>
        </w:rPr>
      </w:pPr>
      <w:r>
        <w:rPr>
          <w:lang w:val="fr-FR"/>
        </w:rPr>
        <w:t xml:space="preserve">Le Pays se conformera à toute demande </w:t>
      </w:r>
      <w:r w:rsidRPr="001C3C01">
        <w:rPr>
          <w:lang w:val="fr-FR"/>
        </w:rPr>
        <w:t>raisonnable du Comité exécutif et de l’Agence principale en vue de faciliter la mise en œuvre du présent Accord. En particulier, il permettra à l’Agence principale d’accéder aux renseignements nécessaires pour vérifier la conformité à cet Accord</w:t>
      </w:r>
      <w:r>
        <w:rPr>
          <w:lang w:val="fr-FR"/>
        </w:rPr>
        <w:t>.</w:t>
      </w:r>
    </w:p>
    <w:p w14:paraId="1CF3AFB4" w14:textId="77777777" w:rsidR="009E1019" w:rsidRDefault="009E1019" w:rsidP="009E1019">
      <w:pPr>
        <w:rPr>
          <w:lang w:val="fr-FR" w:eastAsia="en-CA"/>
        </w:rPr>
      </w:pPr>
      <w:r>
        <w:rPr>
          <w:b/>
          <w:lang w:val="fr-FR" w:eastAsia="en-CA"/>
        </w:rPr>
        <w:t>Date d’achèvement</w:t>
      </w:r>
    </w:p>
    <w:p w14:paraId="4BA85C1D" w14:textId="77777777" w:rsidR="009E1019" w:rsidRDefault="009E1019" w:rsidP="009E1019">
      <w:pPr>
        <w:rPr>
          <w:lang w:val="fr-FR" w:eastAsia="en-CA"/>
        </w:rPr>
      </w:pPr>
    </w:p>
    <w:p w14:paraId="14E2A891" w14:textId="77777777" w:rsidR="009E1019" w:rsidRDefault="009E1019" w:rsidP="009E1019">
      <w:pPr>
        <w:pStyle w:val="Heading1"/>
        <w:rPr>
          <w:lang w:val="fr-FR"/>
        </w:rPr>
      </w:pPr>
      <w:r>
        <w:rPr>
          <w:lang w:val="fr-FR"/>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w:t>
      </w:r>
      <w:r>
        <w:rPr>
          <w:lang w:val="fr-FR"/>
        </w:rPr>
        <w:noBreakHyphen/>
        <w:t>là, l’achèvement du Plan serait reporté à la fin de l’année suivant la mise en œuvre des activités restantes. Les exigences de remise de rapport selon les paragraphes 1 a), 1 b), 1 d) et 1 e) de l’Appendice 4</w:t>
      </w:r>
      <w:r>
        <w:rPr>
          <w:lang w:val="fr-FR"/>
        </w:rPr>
        <w:noBreakHyphen/>
        <w:t>A continueront jusqu’à l’achèvement du Plan à moins d’indication contraire de la part du Comité exécutif.</w:t>
      </w:r>
    </w:p>
    <w:p w14:paraId="566988F5" w14:textId="77777777" w:rsidR="009E1019" w:rsidRDefault="009E1019" w:rsidP="009E1019">
      <w:pPr>
        <w:keepNext/>
        <w:keepLines/>
        <w:rPr>
          <w:b/>
          <w:lang w:val="fr-FR" w:eastAsia="en-CA"/>
        </w:rPr>
      </w:pPr>
      <w:r>
        <w:rPr>
          <w:b/>
          <w:lang w:val="fr-FR" w:eastAsia="en-CA"/>
        </w:rPr>
        <w:lastRenderedPageBreak/>
        <w:t>Validité</w:t>
      </w:r>
    </w:p>
    <w:p w14:paraId="29B80761" w14:textId="77777777" w:rsidR="009E1019" w:rsidRDefault="009E1019" w:rsidP="009E1019">
      <w:pPr>
        <w:keepNext/>
        <w:keepLines/>
        <w:rPr>
          <w:b/>
          <w:lang w:val="fr-FR" w:eastAsia="en-CA"/>
        </w:rPr>
      </w:pPr>
    </w:p>
    <w:p w14:paraId="13FFEF0E" w14:textId="77777777" w:rsidR="009E1019" w:rsidRDefault="009E1019" w:rsidP="009E1019">
      <w:pPr>
        <w:pStyle w:val="StyleHeading1Para1Heading1CharHeading1Char3CharHeadin"/>
        <w:keepNext/>
        <w:keepLines/>
        <w:numPr>
          <w:ilvl w:val="0"/>
          <w:numId w:val="1"/>
        </w:numPr>
        <w:tabs>
          <w:tab w:val="clear" w:pos="0"/>
        </w:tabs>
        <w:rPr>
          <w:lang w:val="fr-CA"/>
        </w:rPr>
      </w:pPr>
      <w:r>
        <w:rPr>
          <w:lang w:val="fr-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5C82A541" w14:textId="77777777" w:rsidR="009E1019" w:rsidRPr="00D97AB8" w:rsidRDefault="009E1019" w:rsidP="009E1019">
      <w:pPr>
        <w:pStyle w:val="StyleHeading1Para1Heading1CharHeading1Char3CharHeadin"/>
        <w:numPr>
          <w:ilvl w:val="0"/>
          <w:numId w:val="1"/>
        </w:numPr>
        <w:tabs>
          <w:tab w:val="clear" w:pos="0"/>
        </w:tabs>
        <w:rPr>
          <w:lang w:val="fr-CA"/>
        </w:rPr>
      </w:pPr>
      <w:r>
        <w:rPr>
          <w:lang w:val="fr-FR"/>
        </w:rPr>
        <w:t>Cet Accord ne peut être modifié ou résilié que par consentement mutuel écrit du Pays et du Comité exécutif du Fonds multilatéral.</w:t>
      </w:r>
    </w:p>
    <w:p w14:paraId="1B0A9F28" w14:textId="77777777" w:rsidR="009E1019" w:rsidRPr="00F415F5" w:rsidRDefault="009E1019" w:rsidP="009E1019">
      <w:pPr>
        <w:pStyle w:val="Heading1"/>
        <w:rPr>
          <w:rFonts w:eastAsia="Calibri"/>
          <w:b/>
          <w:lang w:val="fr-CA"/>
        </w:rPr>
      </w:pPr>
      <w:r w:rsidRPr="00F415F5">
        <w:rPr>
          <w:rFonts w:eastAsia="Calibri"/>
          <w:b/>
          <w:lang w:val="fr-CA"/>
        </w:rPr>
        <w:t>Le PNUE a cessé d’être l’agence de coopération à la 87</w:t>
      </w:r>
      <w:r w:rsidRPr="00F415F5">
        <w:rPr>
          <w:rFonts w:eastAsia="Calibri"/>
          <w:b/>
          <w:vertAlign w:val="superscript"/>
          <w:lang w:val="fr-CA"/>
        </w:rPr>
        <w:t>e</w:t>
      </w:r>
      <w:r w:rsidRPr="00F415F5">
        <w:rPr>
          <w:rFonts w:eastAsia="Calibri"/>
          <w:b/>
          <w:lang w:val="fr-CA"/>
        </w:rPr>
        <w:t xml:space="preserve"> réunion, en ce qui concerne les activités du pays au titre de cet Accord. Par conséquent, les responsabilités du PNUE au titre de cet Accord prennent fin à la 87</w:t>
      </w:r>
      <w:r w:rsidRPr="00F415F5">
        <w:rPr>
          <w:rFonts w:eastAsia="Calibri"/>
          <w:b/>
          <w:vertAlign w:val="superscript"/>
          <w:lang w:val="fr-CA"/>
        </w:rPr>
        <w:t>e</w:t>
      </w:r>
      <w:r w:rsidRPr="00F415F5">
        <w:rPr>
          <w:rFonts w:eastAsia="Calibri"/>
          <w:b/>
          <w:lang w:val="fr-CA"/>
        </w:rPr>
        <w:t> réunion. L’Accord actualisé remplace l’Accord c</w:t>
      </w:r>
      <w:r>
        <w:rPr>
          <w:rFonts w:eastAsia="Calibri"/>
          <w:b/>
          <w:lang w:val="fr-CA"/>
        </w:rPr>
        <w:t>onclu entre le gouvernement de l</w:t>
      </w:r>
      <w:r w:rsidRPr="00F415F5">
        <w:rPr>
          <w:rFonts w:eastAsia="Calibri"/>
          <w:b/>
          <w:lang w:val="fr-CA"/>
        </w:rPr>
        <w:t>’Équateur et le Comité exécutif à la 86</w:t>
      </w:r>
      <w:r w:rsidRPr="00F415F5">
        <w:rPr>
          <w:rFonts w:eastAsia="Calibri"/>
          <w:b/>
          <w:vertAlign w:val="superscript"/>
          <w:lang w:val="fr-CA"/>
        </w:rPr>
        <w:t>e</w:t>
      </w:r>
      <w:r w:rsidRPr="00F415F5">
        <w:rPr>
          <w:rFonts w:eastAsia="Calibri"/>
          <w:b/>
          <w:lang w:val="fr-CA"/>
        </w:rPr>
        <w:t xml:space="preserve"> réunion du Comité exécutif.</w:t>
      </w:r>
    </w:p>
    <w:p w14:paraId="140179BF" w14:textId="77777777" w:rsidR="0049199D" w:rsidRDefault="0049199D">
      <w:pPr>
        <w:jc w:val="left"/>
        <w:rPr>
          <w:b/>
          <w:lang w:val="fr-CA"/>
        </w:rPr>
      </w:pPr>
      <w:r>
        <w:rPr>
          <w:b/>
          <w:lang w:val="fr-CA"/>
        </w:rPr>
        <w:br w:type="page"/>
      </w:r>
    </w:p>
    <w:p w14:paraId="6FBAA8D2" w14:textId="5BEC518D" w:rsidR="009E1019" w:rsidRDefault="009E1019" w:rsidP="009E1019">
      <w:pPr>
        <w:keepNext/>
        <w:keepLines/>
        <w:rPr>
          <w:b/>
          <w:lang w:val="fr-CA"/>
        </w:rPr>
      </w:pPr>
      <w:r>
        <w:rPr>
          <w:b/>
          <w:lang w:val="fr-CA"/>
        </w:rPr>
        <w:lastRenderedPageBreak/>
        <w:t xml:space="preserve">APPENDICES </w:t>
      </w:r>
    </w:p>
    <w:p w14:paraId="66EB734E" w14:textId="77777777" w:rsidR="009E1019" w:rsidRDefault="009E1019" w:rsidP="009E1019">
      <w:pPr>
        <w:keepNext/>
        <w:keepLines/>
        <w:rPr>
          <w:b/>
          <w:lang w:val="fr-CA"/>
        </w:rPr>
      </w:pPr>
    </w:p>
    <w:p w14:paraId="71B355D1" w14:textId="77777777" w:rsidR="009E1019" w:rsidRDefault="009E1019" w:rsidP="009E1019">
      <w:pPr>
        <w:rPr>
          <w:b/>
          <w:lang w:val="fr-CA"/>
        </w:rPr>
      </w:pPr>
      <w:r>
        <w:rPr>
          <w:b/>
          <w:lang w:val="fr-CA"/>
        </w:rPr>
        <w:t>APPENDICE 1-</w:t>
      </w:r>
      <w:proofErr w:type="gramStart"/>
      <w:r>
        <w:rPr>
          <w:b/>
          <w:lang w:val="fr-CA"/>
        </w:rPr>
        <w:t>A:</w:t>
      </w:r>
      <w:proofErr w:type="gramEnd"/>
      <w:r>
        <w:rPr>
          <w:b/>
          <w:lang w:val="fr-CA"/>
        </w:rPr>
        <w:t xml:space="preserve"> LES SUBSTANCES</w:t>
      </w:r>
    </w:p>
    <w:p w14:paraId="07F03501" w14:textId="77777777" w:rsidR="009E1019" w:rsidRDefault="009E1019" w:rsidP="009E1019">
      <w:pPr>
        <w:rPr>
          <w:lang w:val="fr-CA"/>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900"/>
        <w:gridCol w:w="900"/>
        <w:gridCol w:w="4950"/>
      </w:tblGrid>
      <w:tr w:rsidR="009E1019" w:rsidRPr="0049199D" w14:paraId="4FB4EF16" w14:textId="77777777" w:rsidTr="00876646">
        <w:tc>
          <w:tcPr>
            <w:tcW w:w="2970" w:type="dxa"/>
            <w:vAlign w:val="center"/>
          </w:tcPr>
          <w:p w14:paraId="252E276E" w14:textId="77777777" w:rsidR="009E1019" w:rsidRDefault="009E1019" w:rsidP="00876646">
            <w:pPr>
              <w:jc w:val="center"/>
              <w:rPr>
                <w:b/>
                <w:sz w:val="20"/>
                <w:szCs w:val="20"/>
                <w:lang w:val="fr-CA" w:eastAsia="en-CA"/>
              </w:rPr>
            </w:pPr>
            <w:r>
              <w:rPr>
                <w:b/>
                <w:sz w:val="20"/>
                <w:szCs w:val="20"/>
                <w:lang w:val="fr-CA" w:eastAsia="en-CA"/>
              </w:rPr>
              <w:t>Substances</w:t>
            </w:r>
          </w:p>
        </w:tc>
        <w:tc>
          <w:tcPr>
            <w:tcW w:w="900" w:type="dxa"/>
            <w:vAlign w:val="center"/>
          </w:tcPr>
          <w:p w14:paraId="76AB660C" w14:textId="77777777" w:rsidR="009E1019" w:rsidRDefault="009E1019" w:rsidP="00876646">
            <w:pPr>
              <w:jc w:val="center"/>
              <w:rPr>
                <w:b/>
                <w:sz w:val="20"/>
                <w:szCs w:val="20"/>
                <w:lang w:val="fr-CA" w:eastAsia="en-CA"/>
              </w:rPr>
            </w:pPr>
            <w:r>
              <w:rPr>
                <w:b/>
                <w:sz w:val="20"/>
                <w:szCs w:val="20"/>
                <w:lang w:val="fr-CA" w:eastAsia="en-CA"/>
              </w:rPr>
              <w:t>Annexe</w:t>
            </w:r>
          </w:p>
        </w:tc>
        <w:tc>
          <w:tcPr>
            <w:tcW w:w="900" w:type="dxa"/>
            <w:vAlign w:val="center"/>
          </w:tcPr>
          <w:p w14:paraId="2876D851" w14:textId="77777777" w:rsidR="009E1019" w:rsidRDefault="009E1019" w:rsidP="00876646">
            <w:pPr>
              <w:jc w:val="center"/>
              <w:rPr>
                <w:b/>
                <w:sz w:val="20"/>
                <w:szCs w:val="20"/>
                <w:lang w:val="fr-CA" w:eastAsia="en-CA"/>
              </w:rPr>
            </w:pPr>
            <w:r>
              <w:rPr>
                <w:b/>
                <w:sz w:val="20"/>
                <w:szCs w:val="20"/>
                <w:lang w:val="fr-CA" w:eastAsia="en-CA"/>
              </w:rPr>
              <w:t>Groupe</w:t>
            </w:r>
          </w:p>
        </w:tc>
        <w:tc>
          <w:tcPr>
            <w:tcW w:w="4950" w:type="dxa"/>
            <w:vAlign w:val="center"/>
          </w:tcPr>
          <w:p w14:paraId="72555BF0" w14:textId="77777777" w:rsidR="009E1019" w:rsidRDefault="009E1019" w:rsidP="00876646">
            <w:pPr>
              <w:jc w:val="center"/>
              <w:rPr>
                <w:b/>
                <w:sz w:val="20"/>
                <w:szCs w:val="20"/>
                <w:lang w:val="fr-CA" w:eastAsia="en-CA"/>
              </w:rPr>
            </w:pPr>
            <w:r>
              <w:rPr>
                <w:b/>
                <w:sz w:val="20"/>
                <w:szCs w:val="20"/>
                <w:lang w:val="fr-CA" w:eastAsia="en-CA"/>
              </w:rPr>
              <w:t>Point de départ des réductions globales de consommation (tonnes PAO)</w:t>
            </w:r>
          </w:p>
        </w:tc>
      </w:tr>
      <w:tr w:rsidR="009E1019" w14:paraId="3CEDDB76" w14:textId="77777777" w:rsidTr="00876646">
        <w:trPr>
          <w:trHeight w:val="270"/>
        </w:trPr>
        <w:tc>
          <w:tcPr>
            <w:tcW w:w="2970" w:type="dxa"/>
          </w:tcPr>
          <w:p w14:paraId="6B450438" w14:textId="77777777" w:rsidR="009E1019" w:rsidRDefault="009E1019" w:rsidP="00876646">
            <w:pPr>
              <w:keepNext/>
              <w:rPr>
                <w:sz w:val="20"/>
                <w:szCs w:val="20"/>
                <w:lang w:val="fr-CA"/>
              </w:rPr>
            </w:pPr>
            <w:r>
              <w:rPr>
                <w:sz w:val="20"/>
                <w:szCs w:val="20"/>
                <w:lang w:val="fr-CA"/>
              </w:rPr>
              <w:t>HCFC-22</w:t>
            </w:r>
          </w:p>
        </w:tc>
        <w:tc>
          <w:tcPr>
            <w:tcW w:w="900" w:type="dxa"/>
          </w:tcPr>
          <w:p w14:paraId="51BFC164" w14:textId="77777777" w:rsidR="009E1019" w:rsidRDefault="009E1019" w:rsidP="00876646">
            <w:pPr>
              <w:jc w:val="left"/>
              <w:rPr>
                <w:sz w:val="20"/>
                <w:szCs w:val="20"/>
                <w:lang w:val="fr-CA" w:eastAsia="en-CA"/>
              </w:rPr>
            </w:pPr>
            <w:r>
              <w:rPr>
                <w:sz w:val="20"/>
                <w:szCs w:val="20"/>
                <w:lang w:val="fr-CA" w:eastAsia="en-CA"/>
              </w:rPr>
              <w:t>C</w:t>
            </w:r>
          </w:p>
        </w:tc>
        <w:tc>
          <w:tcPr>
            <w:tcW w:w="900" w:type="dxa"/>
          </w:tcPr>
          <w:p w14:paraId="446B0CA5" w14:textId="77777777" w:rsidR="009E1019" w:rsidRDefault="009E1019" w:rsidP="00876646">
            <w:pPr>
              <w:jc w:val="left"/>
              <w:rPr>
                <w:sz w:val="20"/>
                <w:szCs w:val="20"/>
                <w:lang w:val="fr-CA" w:eastAsia="en-CA"/>
              </w:rPr>
            </w:pPr>
            <w:r>
              <w:rPr>
                <w:sz w:val="20"/>
                <w:szCs w:val="20"/>
                <w:lang w:val="fr-CA" w:eastAsia="en-CA"/>
              </w:rPr>
              <w:t xml:space="preserve">I </w:t>
            </w:r>
          </w:p>
        </w:tc>
        <w:tc>
          <w:tcPr>
            <w:tcW w:w="4950" w:type="dxa"/>
            <w:shd w:val="clear" w:color="auto" w:fill="auto"/>
          </w:tcPr>
          <w:p w14:paraId="59D0DE52" w14:textId="77777777" w:rsidR="009E1019" w:rsidRPr="00283AA6" w:rsidRDefault="009E1019" w:rsidP="00876646">
            <w:pPr>
              <w:jc w:val="center"/>
              <w:rPr>
                <w:rFonts w:eastAsia="Calibri"/>
                <w:sz w:val="20"/>
                <w:szCs w:val="20"/>
              </w:rPr>
            </w:pPr>
            <w:r w:rsidRPr="00283AA6">
              <w:rPr>
                <w:rFonts w:eastAsia="Calibri"/>
                <w:sz w:val="20"/>
                <w:szCs w:val="20"/>
              </w:rPr>
              <w:t>21,02</w:t>
            </w:r>
          </w:p>
        </w:tc>
      </w:tr>
      <w:tr w:rsidR="009E1019" w14:paraId="21120ECA" w14:textId="77777777" w:rsidTr="00876646">
        <w:trPr>
          <w:trHeight w:val="270"/>
        </w:trPr>
        <w:tc>
          <w:tcPr>
            <w:tcW w:w="2970" w:type="dxa"/>
          </w:tcPr>
          <w:p w14:paraId="0C091862" w14:textId="77777777" w:rsidR="009E1019" w:rsidRDefault="009E1019" w:rsidP="00876646">
            <w:pPr>
              <w:keepNext/>
              <w:rPr>
                <w:sz w:val="20"/>
                <w:szCs w:val="20"/>
                <w:lang w:val="fr-CA"/>
              </w:rPr>
            </w:pPr>
            <w:r>
              <w:rPr>
                <w:sz w:val="20"/>
                <w:szCs w:val="20"/>
                <w:lang w:val="fr-CA"/>
              </w:rPr>
              <w:t>HCFC-123</w:t>
            </w:r>
          </w:p>
        </w:tc>
        <w:tc>
          <w:tcPr>
            <w:tcW w:w="900" w:type="dxa"/>
          </w:tcPr>
          <w:p w14:paraId="53F92B43" w14:textId="77777777" w:rsidR="009E1019" w:rsidRDefault="009E1019" w:rsidP="00876646">
            <w:pPr>
              <w:jc w:val="left"/>
              <w:rPr>
                <w:color w:val="000000"/>
                <w:sz w:val="20"/>
                <w:szCs w:val="20"/>
                <w:lang w:val="fr-CA" w:eastAsia="en-CA"/>
              </w:rPr>
            </w:pPr>
            <w:r>
              <w:rPr>
                <w:color w:val="000000"/>
                <w:sz w:val="20"/>
                <w:szCs w:val="20"/>
                <w:lang w:val="fr-CA" w:eastAsia="en-CA"/>
              </w:rPr>
              <w:t xml:space="preserve">C </w:t>
            </w:r>
          </w:p>
        </w:tc>
        <w:tc>
          <w:tcPr>
            <w:tcW w:w="900" w:type="dxa"/>
          </w:tcPr>
          <w:p w14:paraId="18FD8401" w14:textId="77777777" w:rsidR="009E1019" w:rsidRDefault="009E1019" w:rsidP="00876646">
            <w:pPr>
              <w:jc w:val="left"/>
              <w:rPr>
                <w:color w:val="000000"/>
                <w:sz w:val="20"/>
                <w:szCs w:val="20"/>
                <w:lang w:val="fr-CA" w:eastAsia="en-CA"/>
              </w:rPr>
            </w:pPr>
            <w:r>
              <w:rPr>
                <w:color w:val="000000"/>
                <w:sz w:val="20"/>
                <w:szCs w:val="20"/>
                <w:lang w:val="fr-CA" w:eastAsia="en-CA"/>
              </w:rPr>
              <w:t xml:space="preserve">I </w:t>
            </w:r>
          </w:p>
        </w:tc>
        <w:tc>
          <w:tcPr>
            <w:tcW w:w="4950" w:type="dxa"/>
            <w:shd w:val="clear" w:color="auto" w:fill="auto"/>
          </w:tcPr>
          <w:p w14:paraId="50BDEBF6" w14:textId="77777777" w:rsidR="009E1019" w:rsidRPr="00283AA6" w:rsidRDefault="009E1019" w:rsidP="00876646">
            <w:pPr>
              <w:jc w:val="center"/>
              <w:rPr>
                <w:rFonts w:eastAsia="Calibri"/>
                <w:sz w:val="20"/>
                <w:szCs w:val="20"/>
              </w:rPr>
            </w:pPr>
            <w:r w:rsidRPr="00283AA6">
              <w:rPr>
                <w:rFonts w:eastAsia="Calibri"/>
                <w:sz w:val="20"/>
                <w:szCs w:val="20"/>
              </w:rPr>
              <w:t>0,18</w:t>
            </w:r>
          </w:p>
        </w:tc>
      </w:tr>
      <w:tr w:rsidR="009E1019" w14:paraId="50E39055" w14:textId="77777777" w:rsidTr="00876646">
        <w:trPr>
          <w:trHeight w:val="270"/>
        </w:trPr>
        <w:tc>
          <w:tcPr>
            <w:tcW w:w="2970" w:type="dxa"/>
          </w:tcPr>
          <w:p w14:paraId="4CCE2DBB" w14:textId="77777777" w:rsidR="009E1019" w:rsidRDefault="009E1019" w:rsidP="00876646">
            <w:pPr>
              <w:keepNext/>
              <w:rPr>
                <w:sz w:val="20"/>
                <w:szCs w:val="20"/>
                <w:lang w:val="fr-CA"/>
              </w:rPr>
            </w:pPr>
            <w:r>
              <w:rPr>
                <w:sz w:val="20"/>
                <w:szCs w:val="20"/>
                <w:lang w:val="fr-CA"/>
              </w:rPr>
              <w:t>HCFC-124</w:t>
            </w:r>
          </w:p>
        </w:tc>
        <w:tc>
          <w:tcPr>
            <w:tcW w:w="900" w:type="dxa"/>
          </w:tcPr>
          <w:p w14:paraId="1CBD2A50" w14:textId="77777777" w:rsidR="009E1019" w:rsidRDefault="009E1019" w:rsidP="00876646">
            <w:pPr>
              <w:jc w:val="left"/>
              <w:rPr>
                <w:color w:val="000000"/>
                <w:sz w:val="20"/>
                <w:szCs w:val="20"/>
                <w:lang w:val="fr-CA" w:eastAsia="en-CA"/>
              </w:rPr>
            </w:pPr>
            <w:r>
              <w:rPr>
                <w:color w:val="000000"/>
                <w:sz w:val="20"/>
                <w:szCs w:val="20"/>
                <w:lang w:val="fr-CA" w:eastAsia="en-CA"/>
              </w:rPr>
              <w:t>C</w:t>
            </w:r>
          </w:p>
        </w:tc>
        <w:tc>
          <w:tcPr>
            <w:tcW w:w="900" w:type="dxa"/>
          </w:tcPr>
          <w:p w14:paraId="200D0E90" w14:textId="77777777" w:rsidR="009E1019" w:rsidRDefault="009E1019" w:rsidP="00876646">
            <w:pPr>
              <w:jc w:val="left"/>
              <w:rPr>
                <w:color w:val="000000"/>
                <w:sz w:val="20"/>
                <w:szCs w:val="20"/>
                <w:lang w:val="fr-CA" w:eastAsia="en-CA"/>
              </w:rPr>
            </w:pPr>
            <w:r>
              <w:rPr>
                <w:color w:val="000000"/>
                <w:sz w:val="20"/>
                <w:szCs w:val="20"/>
                <w:lang w:val="fr-CA" w:eastAsia="en-CA"/>
              </w:rPr>
              <w:t>I</w:t>
            </w:r>
          </w:p>
        </w:tc>
        <w:tc>
          <w:tcPr>
            <w:tcW w:w="4950" w:type="dxa"/>
            <w:shd w:val="clear" w:color="auto" w:fill="auto"/>
          </w:tcPr>
          <w:p w14:paraId="2FF47970" w14:textId="77777777" w:rsidR="009E1019" w:rsidRPr="00283AA6" w:rsidRDefault="009E1019" w:rsidP="00876646">
            <w:pPr>
              <w:jc w:val="center"/>
              <w:rPr>
                <w:rFonts w:eastAsia="Calibri"/>
                <w:sz w:val="20"/>
                <w:szCs w:val="20"/>
              </w:rPr>
            </w:pPr>
            <w:r w:rsidRPr="00283AA6">
              <w:rPr>
                <w:rFonts w:eastAsia="Calibri"/>
                <w:sz w:val="20"/>
                <w:szCs w:val="20"/>
              </w:rPr>
              <w:t>0,22</w:t>
            </w:r>
          </w:p>
        </w:tc>
      </w:tr>
      <w:tr w:rsidR="009E1019" w14:paraId="01BF49F9" w14:textId="77777777" w:rsidTr="00876646">
        <w:trPr>
          <w:trHeight w:val="270"/>
        </w:trPr>
        <w:tc>
          <w:tcPr>
            <w:tcW w:w="2970" w:type="dxa"/>
          </w:tcPr>
          <w:p w14:paraId="4524F421" w14:textId="77777777" w:rsidR="009E1019" w:rsidRDefault="009E1019" w:rsidP="00876646">
            <w:pPr>
              <w:rPr>
                <w:sz w:val="20"/>
                <w:szCs w:val="20"/>
                <w:lang w:val="fr-CA"/>
              </w:rPr>
            </w:pPr>
            <w:r>
              <w:rPr>
                <w:sz w:val="20"/>
                <w:szCs w:val="20"/>
                <w:lang w:val="fr-CA"/>
              </w:rPr>
              <w:t>HCFC-141b</w:t>
            </w:r>
          </w:p>
        </w:tc>
        <w:tc>
          <w:tcPr>
            <w:tcW w:w="900" w:type="dxa"/>
          </w:tcPr>
          <w:p w14:paraId="35B67B5E" w14:textId="77777777" w:rsidR="009E1019" w:rsidRDefault="009E1019" w:rsidP="00876646">
            <w:pPr>
              <w:jc w:val="left"/>
              <w:rPr>
                <w:color w:val="000000"/>
                <w:sz w:val="20"/>
                <w:szCs w:val="20"/>
                <w:lang w:val="fr-CA" w:eastAsia="en-CA"/>
              </w:rPr>
            </w:pPr>
            <w:r>
              <w:rPr>
                <w:color w:val="000000"/>
                <w:sz w:val="20"/>
                <w:szCs w:val="20"/>
                <w:lang w:val="fr-CA" w:eastAsia="en-CA"/>
              </w:rPr>
              <w:t xml:space="preserve">C </w:t>
            </w:r>
          </w:p>
        </w:tc>
        <w:tc>
          <w:tcPr>
            <w:tcW w:w="900" w:type="dxa"/>
          </w:tcPr>
          <w:p w14:paraId="34A795C6" w14:textId="77777777" w:rsidR="009E1019" w:rsidRDefault="009E1019" w:rsidP="00876646">
            <w:pPr>
              <w:jc w:val="left"/>
              <w:rPr>
                <w:color w:val="000000"/>
                <w:sz w:val="20"/>
                <w:szCs w:val="20"/>
                <w:lang w:val="fr-CA" w:eastAsia="en-CA"/>
              </w:rPr>
            </w:pPr>
            <w:r>
              <w:rPr>
                <w:color w:val="000000"/>
                <w:sz w:val="20"/>
                <w:szCs w:val="20"/>
                <w:lang w:val="fr-CA" w:eastAsia="en-CA"/>
              </w:rPr>
              <w:t xml:space="preserve">I </w:t>
            </w:r>
          </w:p>
        </w:tc>
        <w:tc>
          <w:tcPr>
            <w:tcW w:w="4950" w:type="dxa"/>
            <w:shd w:val="clear" w:color="auto" w:fill="auto"/>
          </w:tcPr>
          <w:p w14:paraId="1C29917E" w14:textId="77777777" w:rsidR="009E1019" w:rsidRPr="00283AA6" w:rsidRDefault="009E1019" w:rsidP="00876646">
            <w:pPr>
              <w:jc w:val="center"/>
              <w:rPr>
                <w:rFonts w:eastAsia="Calibri"/>
                <w:sz w:val="20"/>
                <w:szCs w:val="20"/>
              </w:rPr>
            </w:pPr>
            <w:r w:rsidRPr="00283AA6">
              <w:rPr>
                <w:rFonts w:eastAsia="Calibri"/>
                <w:sz w:val="20"/>
                <w:szCs w:val="20"/>
              </w:rPr>
              <w:t>0,86</w:t>
            </w:r>
          </w:p>
        </w:tc>
      </w:tr>
      <w:tr w:rsidR="009E1019" w14:paraId="172EF1CC" w14:textId="77777777" w:rsidTr="00876646">
        <w:trPr>
          <w:trHeight w:val="270"/>
        </w:trPr>
        <w:tc>
          <w:tcPr>
            <w:tcW w:w="2970" w:type="dxa"/>
          </w:tcPr>
          <w:p w14:paraId="2285759A" w14:textId="77777777" w:rsidR="009E1019" w:rsidRDefault="009E1019" w:rsidP="00876646">
            <w:pPr>
              <w:rPr>
                <w:sz w:val="20"/>
                <w:szCs w:val="20"/>
                <w:lang w:val="fr-CA"/>
              </w:rPr>
            </w:pPr>
            <w:r>
              <w:rPr>
                <w:sz w:val="20"/>
                <w:szCs w:val="20"/>
                <w:lang w:val="fr-CA"/>
              </w:rPr>
              <w:t>HCFC-142b</w:t>
            </w:r>
          </w:p>
        </w:tc>
        <w:tc>
          <w:tcPr>
            <w:tcW w:w="900" w:type="dxa"/>
          </w:tcPr>
          <w:p w14:paraId="74FD6BDD" w14:textId="77777777" w:rsidR="009E1019" w:rsidRDefault="009E1019" w:rsidP="00876646">
            <w:pPr>
              <w:jc w:val="left"/>
              <w:rPr>
                <w:color w:val="000000"/>
                <w:sz w:val="20"/>
                <w:szCs w:val="20"/>
                <w:lang w:val="fr-CA" w:eastAsia="en-CA"/>
              </w:rPr>
            </w:pPr>
            <w:r>
              <w:rPr>
                <w:color w:val="000000"/>
                <w:sz w:val="20"/>
                <w:szCs w:val="20"/>
                <w:lang w:val="fr-CA" w:eastAsia="en-CA"/>
              </w:rPr>
              <w:t>C</w:t>
            </w:r>
          </w:p>
        </w:tc>
        <w:tc>
          <w:tcPr>
            <w:tcW w:w="900" w:type="dxa"/>
          </w:tcPr>
          <w:p w14:paraId="391FE2BD" w14:textId="77777777" w:rsidR="009E1019" w:rsidRDefault="009E1019" w:rsidP="00876646">
            <w:pPr>
              <w:jc w:val="left"/>
              <w:rPr>
                <w:color w:val="000000"/>
                <w:sz w:val="20"/>
                <w:szCs w:val="20"/>
                <w:lang w:val="fr-CA" w:eastAsia="en-CA"/>
              </w:rPr>
            </w:pPr>
            <w:r>
              <w:rPr>
                <w:color w:val="000000"/>
                <w:sz w:val="20"/>
                <w:szCs w:val="20"/>
                <w:lang w:val="fr-CA" w:eastAsia="en-CA"/>
              </w:rPr>
              <w:t>I</w:t>
            </w:r>
          </w:p>
        </w:tc>
        <w:tc>
          <w:tcPr>
            <w:tcW w:w="4950" w:type="dxa"/>
            <w:shd w:val="clear" w:color="auto" w:fill="auto"/>
          </w:tcPr>
          <w:p w14:paraId="174A4467" w14:textId="77777777" w:rsidR="009E1019" w:rsidRPr="00283AA6" w:rsidRDefault="009E1019" w:rsidP="00876646">
            <w:pPr>
              <w:jc w:val="center"/>
              <w:rPr>
                <w:rFonts w:eastAsia="Calibri"/>
                <w:sz w:val="20"/>
                <w:szCs w:val="20"/>
              </w:rPr>
            </w:pPr>
            <w:r w:rsidRPr="00283AA6">
              <w:rPr>
                <w:rFonts w:eastAsia="Calibri"/>
                <w:sz w:val="20"/>
                <w:szCs w:val="20"/>
              </w:rPr>
              <w:t>1,20</w:t>
            </w:r>
          </w:p>
        </w:tc>
      </w:tr>
      <w:tr w:rsidR="009E1019" w14:paraId="7596E66B" w14:textId="77777777" w:rsidTr="00876646">
        <w:trPr>
          <w:trHeight w:val="270"/>
        </w:trPr>
        <w:tc>
          <w:tcPr>
            <w:tcW w:w="2970" w:type="dxa"/>
          </w:tcPr>
          <w:p w14:paraId="7EFED26F" w14:textId="77777777" w:rsidR="009E1019" w:rsidRDefault="009E1019" w:rsidP="00876646">
            <w:pPr>
              <w:rPr>
                <w:sz w:val="20"/>
                <w:szCs w:val="20"/>
                <w:lang w:val="fr-CA"/>
              </w:rPr>
            </w:pPr>
            <w:r>
              <w:rPr>
                <w:sz w:val="20"/>
                <w:szCs w:val="20"/>
                <w:lang w:val="fr-CA"/>
              </w:rPr>
              <w:t>HCFC-225</w:t>
            </w:r>
          </w:p>
        </w:tc>
        <w:tc>
          <w:tcPr>
            <w:tcW w:w="900" w:type="dxa"/>
          </w:tcPr>
          <w:p w14:paraId="10DBD66D" w14:textId="77777777" w:rsidR="009E1019" w:rsidRDefault="009E1019" w:rsidP="00876646">
            <w:pPr>
              <w:jc w:val="left"/>
              <w:rPr>
                <w:color w:val="000000"/>
                <w:sz w:val="20"/>
                <w:szCs w:val="20"/>
                <w:lang w:val="fr-CA" w:eastAsia="en-CA"/>
              </w:rPr>
            </w:pPr>
            <w:r>
              <w:rPr>
                <w:color w:val="000000"/>
                <w:sz w:val="20"/>
                <w:szCs w:val="20"/>
                <w:lang w:val="fr-CA" w:eastAsia="en-CA"/>
              </w:rPr>
              <w:t>C</w:t>
            </w:r>
          </w:p>
        </w:tc>
        <w:tc>
          <w:tcPr>
            <w:tcW w:w="900" w:type="dxa"/>
          </w:tcPr>
          <w:p w14:paraId="5CBDCEDD" w14:textId="77777777" w:rsidR="009E1019" w:rsidRDefault="009E1019" w:rsidP="00876646">
            <w:pPr>
              <w:jc w:val="left"/>
              <w:rPr>
                <w:color w:val="000000"/>
                <w:sz w:val="20"/>
                <w:szCs w:val="20"/>
                <w:lang w:val="fr-CA" w:eastAsia="en-CA"/>
              </w:rPr>
            </w:pPr>
            <w:r>
              <w:rPr>
                <w:color w:val="000000"/>
                <w:sz w:val="20"/>
                <w:szCs w:val="20"/>
                <w:lang w:val="fr-CA" w:eastAsia="en-CA"/>
              </w:rPr>
              <w:t>I</w:t>
            </w:r>
          </w:p>
        </w:tc>
        <w:tc>
          <w:tcPr>
            <w:tcW w:w="4950" w:type="dxa"/>
            <w:shd w:val="clear" w:color="auto" w:fill="auto"/>
          </w:tcPr>
          <w:p w14:paraId="78B5E81F" w14:textId="77777777" w:rsidR="009E1019" w:rsidRPr="00283AA6" w:rsidRDefault="009E1019" w:rsidP="00876646">
            <w:pPr>
              <w:jc w:val="center"/>
              <w:rPr>
                <w:rFonts w:eastAsia="Calibri"/>
                <w:sz w:val="20"/>
                <w:szCs w:val="20"/>
              </w:rPr>
            </w:pPr>
            <w:r w:rsidRPr="00283AA6">
              <w:rPr>
                <w:rFonts w:eastAsia="Calibri"/>
                <w:sz w:val="20"/>
                <w:szCs w:val="20"/>
              </w:rPr>
              <w:t>0,00</w:t>
            </w:r>
          </w:p>
        </w:tc>
      </w:tr>
      <w:tr w:rsidR="009E1019" w14:paraId="22BBC68B" w14:textId="77777777" w:rsidTr="00876646">
        <w:trPr>
          <w:trHeight w:val="270"/>
        </w:trPr>
        <w:tc>
          <w:tcPr>
            <w:tcW w:w="2970" w:type="dxa"/>
          </w:tcPr>
          <w:p w14:paraId="39128C22" w14:textId="77777777" w:rsidR="009E1019" w:rsidRDefault="009E1019" w:rsidP="00876646">
            <w:pPr>
              <w:rPr>
                <w:sz w:val="20"/>
                <w:szCs w:val="20"/>
                <w:lang w:val="fr-CA"/>
              </w:rPr>
            </w:pPr>
            <w:r>
              <w:rPr>
                <w:sz w:val="20"/>
                <w:szCs w:val="20"/>
                <w:lang w:val="fr-CA"/>
              </w:rPr>
              <w:t>Total partiel</w:t>
            </w:r>
          </w:p>
        </w:tc>
        <w:tc>
          <w:tcPr>
            <w:tcW w:w="900" w:type="dxa"/>
          </w:tcPr>
          <w:p w14:paraId="1796D889" w14:textId="77777777" w:rsidR="009E1019" w:rsidRDefault="009E1019" w:rsidP="00876646">
            <w:pPr>
              <w:jc w:val="left"/>
              <w:rPr>
                <w:color w:val="000000"/>
                <w:sz w:val="20"/>
                <w:szCs w:val="20"/>
                <w:lang w:val="fr-CA" w:eastAsia="en-CA"/>
              </w:rPr>
            </w:pPr>
            <w:r>
              <w:rPr>
                <w:color w:val="000000"/>
                <w:sz w:val="20"/>
                <w:szCs w:val="20"/>
                <w:lang w:val="fr-CA" w:eastAsia="en-CA"/>
              </w:rPr>
              <w:t>C</w:t>
            </w:r>
          </w:p>
        </w:tc>
        <w:tc>
          <w:tcPr>
            <w:tcW w:w="900" w:type="dxa"/>
          </w:tcPr>
          <w:p w14:paraId="10FDADA1" w14:textId="77777777" w:rsidR="009E1019" w:rsidRDefault="009E1019" w:rsidP="00876646">
            <w:pPr>
              <w:jc w:val="left"/>
              <w:rPr>
                <w:color w:val="000000"/>
                <w:sz w:val="20"/>
                <w:szCs w:val="20"/>
                <w:lang w:val="fr-CA" w:eastAsia="en-CA"/>
              </w:rPr>
            </w:pPr>
            <w:r>
              <w:rPr>
                <w:color w:val="000000"/>
                <w:sz w:val="20"/>
                <w:szCs w:val="20"/>
                <w:lang w:val="fr-CA" w:eastAsia="en-CA"/>
              </w:rPr>
              <w:t>I</w:t>
            </w:r>
          </w:p>
        </w:tc>
        <w:tc>
          <w:tcPr>
            <w:tcW w:w="4950" w:type="dxa"/>
            <w:shd w:val="clear" w:color="auto" w:fill="auto"/>
          </w:tcPr>
          <w:p w14:paraId="6EFAB341" w14:textId="77777777" w:rsidR="009E1019" w:rsidRPr="00283AA6" w:rsidRDefault="009E1019" w:rsidP="00876646">
            <w:pPr>
              <w:jc w:val="center"/>
              <w:rPr>
                <w:rFonts w:eastAsia="Calibri"/>
                <w:sz w:val="20"/>
                <w:szCs w:val="20"/>
              </w:rPr>
            </w:pPr>
            <w:r w:rsidRPr="00283AA6">
              <w:rPr>
                <w:rFonts w:eastAsia="Calibri"/>
                <w:sz w:val="20"/>
                <w:szCs w:val="20"/>
              </w:rPr>
              <w:t>23,49</w:t>
            </w:r>
          </w:p>
        </w:tc>
      </w:tr>
      <w:tr w:rsidR="009E1019" w:rsidRPr="001C10BC" w14:paraId="4F3A5814" w14:textId="77777777" w:rsidTr="00876646">
        <w:trPr>
          <w:trHeight w:val="270"/>
        </w:trPr>
        <w:tc>
          <w:tcPr>
            <w:tcW w:w="2970" w:type="dxa"/>
          </w:tcPr>
          <w:p w14:paraId="18BC74C7" w14:textId="77777777" w:rsidR="009E1019" w:rsidRDefault="009E1019" w:rsidP="00876646">
            <w:pPr>
              <w:rPr>
                <w:sz w:val="20"/>
                <w:szCs w:val="20"/>
                <w:lang w:val="fr-CA"/>
              </w:rPr>
            </w:pPr>
            <w:r>
              <w:rPr>
                <w:sz w:val="20"/>
                <w:szCs w:val="20"/>
                <w:lang w:val="fr-CA"/>
              </w:rPr>
              <w:t xml:space="preserve">HCFC-141b contenu dans les polyols </w:t>
            </w:r>
            <w:proofErr w:type="spellStart"/>
            <w:r>
              <w:rPr>
                <w:sz w:val="20"/>
                <w:szCs w:val="20"/>
                <w:lang w:val="fr-CA"/>
              </w:rPr>
              <w:t>prémélangés</w:t>
            </w:r>
            <w:proofErr w:type="spellEnd"/>
            <w:r>
              <w:rPr>
                <w:sz w:val="20"/>
                <w:szCs w:val="20"/>
                <w:lang w:val="fr-CA"/>
              </w:rPr>
              <w:t xml:space="preserve"> importés</w:t>
            </w:r>
          </w:p>
        </w:tc>
        <w:tc>
          <w:tcPr>
            <w:tcW w:w="900" w:type="dxa"/>
          </w:tcPr>
          <w:p w14:paraId="10D8A534" w14:textId="77777777" w:rsidR="009E1019" w:rsidRDefault="009E1019" w:rsidP="00876646">
            <w:pPr>
              <w:jc w:val="left"/>
              <w:rPr>
                <w:color w:val="000000"/>
                <w:sz w:val="20"/>
                <w:szCs w:val="20"/>
                <w:lang w:val="fr-CA" w:eastAsia="en-CA"/>
              </w:rPr>
            </w:pPr>
          </w:p>
        </w:tc>
        <w:tc>
          <w:tcPr>
            <w:tcW w:w="900" w:type="dxa"/>
          </w:tcPr>
          <w:p w14:paraId="62466420" w14:textId="77777777" w:rsidR="009E1019" w:rsidRDefault="009E1019" w:rsidP="00876646">
            <w:pPr>
              <w:jc w:val="left"/>
              <w:rPr>
                <w:color w:val="000000"/>
                <w:sz w:val="20"/>
                <w:szCs w:val="20"/>
                <w:lang w:val="fr-CA" w:eastAsia="en-CA"/>
              </w:rPr>
            </w:pPr>
          </w:p>
        </w:tc>
        <w:tc>
          <w:tcPr>
            <w:tcW w:w="4950" w:type="dxa"/>
            <w:shd w:val="clear" w:color="auto" w:fill="auto"/>
          </w:tcPr>
          <w:p w14:paraId="417C0E38" w14:textId="77777777" w:rsidR="009E1019" w:rsidRPr="00283AA6" w:rsidRDefault="009E1019" w:rsidP="00876646">
            <w:pPr>
              <w:jc w:val="center"/>
              <w:rPr>
                <w:rFonts w:eastAsia="Calibri"/>
                <w:sz w:val="20"/>
                <w:szCs w:val="20"/>
              </w:rPr>
            </w:pPr>
            <w:r w:rsidRPr="00283AA6">
              <w:rPr>
                <w:rFonts w:eastAsia="Calibri"/>
                <w:sz w:val="20"/>
                <w:szCs w:val="20"/>
              </w:rPr>
              <w:t>20,67</w:t>
            </w:r>
          </w:p>
        </w:tc>
      </w:tr>
      <w:tr w:rsidR="009E1019" w14:paraId="67E5FFA6" w14:textId="77777777" w:rsidTr="00876646">
        <w:trPr>
          <w:trHeight w:val="270"/>
        </w:trPr>
        <w:tc>
          <w:tcPr>
            <w:tcW w:w="2970" w:type="dxa"/>
          </w:tcPr>
          <w:p w14:paraId="0C51DA06" w14:textId="77777777" w:rsidR="009E1019" w:rsidRDefault="009E1019" w:rsidP="00876646">
            <w:pPr>
              <w:jc w:val="left"/>
              <w:rPr>
                <w:color w:val="000000"/>
                <w:sz w:val="20"/>
                <w:szCs w:val="20"/>
                <w:lang w:val="fr-CA" w:eastAsia="en-CA"/>
              </w:rPr>
            </w:pPr>
            <w:r>
              <w:rPr>
                <w:color w:val="000000"/>
                <w:sz w:val="20"/>
                <w:szCs w:val="20"/>
                <w:lang w:val="fr-CA" w:eastAsia="en-CA"/>
              </w:rPr>
              <w:t>Total</w:t>
            </w:r>
          </w:p>
        </w:tc>
        <w:tc>
          <w:tcPr>
            <w:tcW w:w="900" w:type="dxa"/>
          </w:tcPr>
          <w:p w14:paraId="3B25DB17" w14:textId="77777777" w:rsidR="009E1019" w:rsidRDefault="009E1019" w:rsidP="00876646">
            <w:pPr>
              <w:jc w:val="left"/>
              <w:rPr>
                <w:color w:val="000000"/>
                <w:sz w:val="20"/>
                <w:szCs w:val="20"/>
                <w:lang w:val="fr-CA" w:eastAsia="en-CA"/>
              </w:rPr>
            </w:pPr>
            <w:r>
              <w:rPr>
                <w:color w:val="000000"/>
                <w:sz w:val="20"/>
                <w:szCs w:val="20"/>
                <w:lang w:val="fr-CA" w:eastAsia="en-CA"/>
              </w:rPr>
              <w:t>C</w:t>
            </w:r>
          </w:p>
        </w:tc>
        <w:tc>
          <w:tcPr>
            <w:tcW w:w="900" w:type="dxa"/>
          </w:tcPr>
          <w:p w14:paraId="3652E310" w14:textId="77777777" w:rsidR="009E1019" w:rsidRDefault="009E1019" w:rsidP="00876646">
            <w:pPr>
              <w:jc w:val="left"/>
              <w:rPr>
                <w:color w:val="000000"/>
                <w:sz w:val="20"/>
                <w:szCs w:val="20"/>
                <w:lang w:val="fr-CA" w:eastAsia="en-CA"/>
              </w:rPr>
            </w:pPr>
            <w:r>
              <w:rPr>
                <w:color w:val="000000"/>
                <w:sz w:val="20"/>
                <w:szCs w:val="20"/>
                <w:lang w:val="fr-CA" w:eastAsia="en-CA"/>
              </w:rPr>
              <w:t>I</w:t>
            </w:r>
          </w:p>
        </w:tc>
        <w:tc>
          <w:tcPr>
            <w:tcW w:w="4950" w:type="dxa"/>
            <w:shd w:val="clear" w:color="auto" w:fill="auto"/>
          </w:tcPr>
          <w:p w14:paraId="24DDB142" w14:textId="77777777" w:rsidR="009E1019" w:rsidRPr="00283AA6" w:rsidRDefault="009E1019" w:rsidP="00876646">
            <w:pPr>
              <w:jc w:val="center"/>
              <w:rPr>
                <w:b/>
                <w:sz w:val="20"/>
              </w:rPr>
            </w:pPr>
            <w:r w:rsidRPr="00283AA6">
              <w:rPr>
                <w:b/>
                <w:bCs/>
                <w:sz w:val="20"/>
                <w:szCs w:val="20"/>
              </w:rPr>
              <w:t>44,16</w:t>
            </w:r>
          </w:p>
        </w:tc>
      </w:tr>
    </w:tbl>
    <w:p w14:paraId="7D8D78DD" w14:textId="77777777" w:rsidR="009E1019" w:rsidRDefault="009E1019" w:rsidP="009E1019">
      <w:pPr>
        <w:jc w:val="left"/>
        <w:rPr>
          <w:sz w:val="16"/>
          <w:szCs w:val="16"/>
          <w:lang w:val="fr-CA"/>
        </w:rPr>
      </w:pPr>
    </w:p>
    <w:p w14:paraId="3762B643" w14:textId="77777777" w:rsidR="009E1019" w:rsidRDefault="009E1019" w:rsidP="009E1019">
      <w:pPr>
        <w:keepNext/>
        <w:jc w:val="left"/>
        <w:rPr>
          <w:b/>
          <w:lang w:val="fr-CA"/>
        </w:rPr>
      </w:pPr>
      <w:r>
        <w:rPr>
          <w:b/>
          <w:lang w:val="fr-CA"/>
        </w:rPr>
        <w:t>APPENDICE 2-</w:t>
      </w:r>
      <w:proofErr w:type="gramStart"/>
      <w:r>
        <w:rPr>
          <w:b/>
          <w:lang w:val="fr-CA"/>
        </w:rPr>
        <w:t>A:</w:t>
      </w:r>
      <w:proofErr w:type="gramEnd"/>
      <w:r>
        <w:rPr>
          <w:b/>
          <w:lang w:val="fr-CA"/>
        </w:rPr>
        <w:t xml:space="preserve"> LES OBJECTIFS ET LE FINANCEMENT</w:t>
      </w:r>
    </w:p>
    <w:p w14:paraId="60F70B78" w14:textId="77777777" w:rsidR="009E1019" w:rsidRDefault="009E1019" w:rsidP="009E1019">
      <w:pPr>
        <w:keepNext/>
        <w:jc w:val="left"/>
        <w:rPr>
          <w:b/>
          <w:lang w:val="fr-CA"/>
        </w:rPr>
      </w:pPr>
    </w:p>
    <w:tbl>
      <w:tblPr>
        <w:tblW w:w="9625" w:type="dxa"/>
        <w:jc w:val="center"/>
        <w:tblCellMar>
          <w:right w:w="0" w:type="dxa"/>
        </w:tblCellMar>
        <w:tblLook w:val="04A0" w:firstRow="1" w:lastRow="0" w:firstColumn="1" w:lastColumn="0" w:noHBand="0" w:noVBand="1"/>
      </w:tblPr>
      <w:tblGrid>
        <w:gridCol w:w="549"/>
        <w:gridCol w:w="3496"/>
        <w:gridCol w:w="711"/>
        <w:gridCol w:w="549"/>
        <w:gridCol w:w="670"/>
        <w:gridCol w:w="590"/>
        <w:gridCol w:w="720"/>
        <w:gridCol w:w="544"/>
        <w:gridCol w:w="896"/>
        <w:gridCol w:w="900"/>
      </w:tblGrid>
      <w:tr w:rsidR="009E1019" w:rsidRPr="00D97AB8" w14:paraId="3DC26CE8" w14:textId="77777777" w:rsidTr="00876646">
        <w:trPr>
          <w:trHeight w:val="9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7FE05A" w14:textId="77777777" w:rsidR="009E1019" w:rsidRPr="00D97AB8" w:rsidRDefault="009E1019" w:rsidP="00876646">
            <w:pPr>
              <w:keepNext/>
              <w:keepLines/>
              <w:jc w:val="left"/>
              <w:rPr>
                <w:b/>
                <w:color w:val="000000"/>
                <w:sz w:val="18"/>
              </w:rPr>
            </w:pPr>
            <w:proofErr w:type="spellStart"/>
            <w:r>
              <w:rPr>
                <w:b/>
                <w:color w:val="000000"/>
                <w:sz w:val="18"/>
              </w:rPr>
              <w:t>Ligne</w:t>
            </w:r>
            <w:proofErr w:type="spellEnd"/>
          </w:p>
        </w:tc>
        <w:tc>
          <w:tcPr>
            <w:tcW w:w="3496" w:type="dxa"/>
            <w:tcBorders>
              <w:top w:val="single" w:sz="4" w:space="0" w:color="auto"/>
              <w:left w:val="nil"/>
              <w:bottom w:val="single" w:sz="4" w:space="0" w:color="auto"/>
              <w:right w:val="single" w:sz="4" w:space="0" w:color="auto"/>
            </w:tcBorders>
            <w:shd w:val="clear" w:color="auto" w:fill="auto"/>
            <w:hideMark/>
          </w:tcPr>
          <w:p w14:paraId="44CE836F" w14:textId="77777777" w:rsidR="009E1019" w:rsidRPr="00F231B4" w:rsidRDefault="009E1019" w:rsidP="00876646">
            <w:pPr>
              <w:keepNext/>
              <w:keepLines/>
              <w:jc w:val="center"/>
              <w:rPr>
                <w:b/>
                <w:color w:val="000000"/>
                <w:sz w:val="18"/>
              </w:rPr>
            </w:pPr>
            <w:proofErr w:type="spellStart"/>
            <w:r w:rsidRPr="00F231B4">
              <w:rPr>
                <w:b/>
                <w:color w:val="000000"/>
                <w:sz w:val="18"/>
              </w:rPr>
              <w:t>Rubrique</w:t>
            </w:r>
            <w:proofErr w:type="spellEnd"/>
          </w:p>
        </w:tc>
        <w:tc>
          <w:tcPr>
            <w:tcW w:w="711" w:type="dxa"/>
            <w:tcBorders>
              <w:top w:val="single" w:sz="4" w:space="0" w:color="auto"/>
              <w:left w:val="nil"/>
              <w:bottom w:val="single" w:sz="4" w:space="0" w:color="auto"/>
              <w:right w:val="single" w:sz="4" w:space="0" w:color="auto"/>
            </w:tcBorders>
            <w:shd w:val="clear" w:color="auto" w:fill="auto"/>
            <w:hideMark/>
          </w:tcPr>
          <w:p w14:paraId="41950FA5" w14:textId="77777777" w:rsidR="009E1019" w:rsidRPr="00F231B4" w:rsidRDefault="009E1019" w:rsidP="00876646">
            <w:pPr>
              <w:keepNext/>
              <w:keepLines/>
              <w:jc w:val="center"/>
              <w:rPr>
                <w:b/>
                <w:bCs/>
                <w:color w:val="000000"/>
                <w:sz w:val="18"/>
                <w:szCs w:val="18"/>
                <w:lang w:eastAsia="en-CA"/>
              </w:rPr>
            </w:pPr>
            <w:r w:rsidRPr="00F231B4">
              <w:rPr>
                <w:b/>
                <w:color w:val="000000"/>
                <w:sz w:val="18"/>
              </w:rPr>
              <w:t>2020</w:t>
            </w:r>
          </w:p>
          <w:p w14:paraId="0E85F57A" w14:textId="77777777" w:rsidR="009E1019" w:rsidRPr="00F231B4" w:rsidRDefault="009E1019" w:rsidP="00876646">
            <w:pPr>
              <w:keepNext/>
              <w:keepLines/>
              <w:jc w:val="center"/>
              <w:rPr>
                <w:b/>
                <w:color w:val="000000"/>
                <w:sz w:val="18"/>
              </w:rPr>
            </w:pPr>
          </w:p>
        </w:tc>
        <w:tc>
          <w:tcPr>
            <w:tcW w:w="549" w:type="dxa"/>
            <w:tcBorders>
              <w:top w:val="single" w:sz="4" w:space="0" w:color="auto"/>
              <w:left w:val="nil"/>
              <w:bottom w:val="single" w:sz="4" w:space="0" w:color="auto"/>
              <w:right w:val="single" w:sz="4" w:space="0" w:color="auto"/>
            </w:tcBorders>
            <w:shd w:val="clear" w:color="auto" w:fill="auto"/>
          </w:tcPr>
          <w:p w14:paraId="4426F634"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2021-2023</w:t>
            </w:r>
          </w:p>
        </w:tc>
        <w:tc>
          <w:tcPr>
            <w:tcW w:w="670" w:type="dxa"/>
            <w:tcBorders>
              <w:top w:val="single" w:sz="4" w:space="0" w:color="auto"/>
              <w:left w:val="nil"/>
              <w:bottom w:val="single" w:sz="4" w:space="0" w:color="auto"/>
              <w:right w:val="single" w:sz="4" w:space="0" w:color="auto"/>
            </w:tcBorders>
            <w:shd w:val="clear" w:color="auto" w:fill="auto"/>
            <w:hideMark/>
          </w:tcPr>
          <w:p w14:paraId="25BFFB2A"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2024</w:t>
            </w:r>
          </w:p>
        </w:tc>
        <w:tc>
          <w:tcPr>
            <w:tcW w:w="590" w:type="dxa"/>
            <w:tcBorders>
              <w:top w:val="single" w:sz="4" w:space="0" w:color="auto"/>
              <w:left w:val="nil"/>
              <w:bottom w:val="single" w:sz="4" w:space="0" w:color="auto"/>
              <w:right w:val="single" w:sz="4" w:space="0" w:color="auto"/>
            </w:tcBorders>
            <w:shd w:val="clear" w:color="auto" w:fill="auto"/>
            <w:hideMark/>
          </w:tcPr>
          <w:p w14:paraId="51133EAB"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2025-2026</w:t>
            </w:r>
          </w:p>
        </w:tc>
        <w:tc>
          <w:tcPr>
            <w:tcW w:w="720" w:type="dxa"/>
            <w:tcBorders>
              <w:top w:val="single" w:sz="4" w:space="0" w:color="auto"/>
              <w:left w:val="nil"/>
              <w:bottom w:val="single" w:sz="4" w:space="0" w:color="auto"/>
              <w:right w:val="single" w:sz="4" w:space="0" w:color="auto"/>
            </w:tcBorders>
            <w:shd w:val="clear" w:color="auto" w:fill="auto"/>
            <w:hideMark/>
          </w:tcPr>
          <w:p w14:paraId="6A57F9BD"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2027</w:t>
            </w:r>
          </w:p>
        </w:tc>
        <w:tc>
          <w:tcPr>
            <w:tcW w:w="544" w:type="dxa"/>
            <w:tcBorders>
              <w:top w:val="single" w:sz="4" w:space="0" w:color="auto"/>
              <w:left w:val="nil"/>
              <w:bottom w:val="single" w:sz="4" w:space="0" w:color="auto"/>
              <w:right w:val="single" w:sz="4" w:space="0" w:color="auto"/>
            </w:tcBorders>
            <w:shd w:val="clear" w:color="auto" w:fill="auto"/>
            <w:hideMark/>
          </w:tcPr>
          <w:p w14:paraId="4C14BCC6"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2028-2029</w:t>
            </w:r>
          </w:p>
        </w:tc>
        <w:tc>
          <w:tcPr>
            <w:tcW w:w="896" w:type="dxa"/>
            <w:tcBorders>
              <w:top w:val="single" w:sz="4" w:space="0" w:color="auto"/>
              <w:left w:val="nil"/>
              <w:bottom w:val="single" w:sz="4" w:space="0" w:color="auto"/>
              <w:right w:val="single" w:sz="4" w:space="0" w:color="auto"/>
            </w:tcBorders>
          </w:tcPr>
          <w:p w14:paraId="529ACE19" w14:textId="77777777" w:rsidR="009E1019" w:rsidRPr="00F231B4" w:rsidRDefault="009E1019" w:rsidP="00876646">
            <w:pPr>
              <w:keepNext/>
              <w:keepLines/>
              <w:jc w:val="center"/>
              <w:rPr>
                <w:b/>
                <w:bCs/>
                <w:color w:val="000000"/>
                <w:sz w:val="18"/>
                <w:szCs w:val="18"/>
                <w:lang w:eastAsia="en-CA"/>
              </w:rPr>
            </w:pPr>
            <w:r w:rsidRPr="00F231B4">
              <w:rPr>
                <w:b/>
                <w:bCs/>
                <w:color w:val="000000"/>
                <w:sz w:val="18"/>
                <w:szCs w:val="18"/>
                <w:lang w:eastAsia="en-CA"/>
              </w:rPr>
              <w:t>2030</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7E16A94" w14:textId="77777777" w:rsidR="009E1019" w:rsidRPr="00F231B4" w:rsidRDefault="009E1019" w:rsidP="00876646">
            <w:pPr>
              <w:keepNext/>
              <w:keepLines/>
              <w:jc w:val="center"/>
              <w:rPr>
                <w:b/>
                <w:color w:val="000000"/>
                <w:sz w:val="18"/>
              </w:rPr>
            </w:pPr>
            <w:r w:rsidRPr="00F231B4">
              <w:rPr>
                <w:b/>
                <w:color w:val="000000"/>
                <w:sz w:val="18"/>
              </w:rPr>
              <w:t>Total</w:t>
            </w:r>
          </w:p>
        </w:tc>
      </w:tr>
      <w:tr w:rsidR="009E1019" w:rsidRPr="00621514" w14:paraId="038644FC" w14:textId="77777777" w:rsidTr="00876646">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66D8E283" w14:textId="77777777" w:rsidR="009E1019" w:rsidRPr="00D97AB8" w:rsidRDefault="009E1019" w:rsidP="00876646">
            <w:pPr>
              <w:keepNext/>
              <w:keepLines/>
              <w:rPr>
                <w:color w:val="000000"/>
                <w:sz w:val="18"/>
              </w:rPr>
            </w:pPr>
            <w:r w:rsidRPr="00D97AB8">
              <w:rPr>
                <w:color w:val="000000"/>
                <w:sz w:val="18"/>
              </w:rPr>
              <w:t>1.1</w:t>
            </w:r>
          </w:p>
        </w:tc>
        <w:tc>
          <w:tcPr>
            <w:tcW w:w="3496" w:type="dxa"/>
            <w:tcBorders>
              <w:top w:val="nil"/>
              <w:left w:val="nil"/>
              <w:bottom w:val="single" w:sz="4" w:space="0" w:color="auto"/>
              <w:right w:val="single" w:sz="4" w:space="0" w:color="auto"/>
            </w:tcBorders>
            <w:shd w:val="clear" w:color="auto" w:fill="auto"/>
            <w:hideMark/>
          </w:tcPr>
          <w:p w14:paraId="29769A73" w14:textId="77777777" w:rsidR="009E1019" w:rsidRPr="00F231B4" w:rsidRDefault="009E1019" w:rsidP="00876646">
            <w:pPr>
              <w:keepNext/>
              <w:jc w:val="left"/>
              <w:rPr>
                <w:sz w:val="18"/>
                <w:szCs w:val="20"/>
                <w:lang w:val="fr-CA" w:eastAsia="en-CA"/>
              </w:rPr>
            </w:pPr>
            <w:r w:rsidRPr="00F231B4">
              <w:rPr>
                <w:sz w:val="18"/>
                <w:szCs w:val="20"/>
                <w:lang w:val="fr-CA" w:eastAsia="en-CA"/>
              </w:rPr>
              <w:t>Calendrier de réduction des substances du groupe I de l’annexe C du Protocole de Montréal (tonnes PAO)</w:t>
            </w:r>
          </w:p>
        </w:tc>
        <w:tc>
          <w:tcPr>
            <w:tcW w:w="711" w:type="dxa"/>
            <w:tcBorders>
              <w:top w:val="nil"/>
              <w:left w:val="nil"/>
              <w:bottom w:val="single" w:sz="4" w:space="0" w:color="auto"/>
              <w:right w:val="single" w:sz="4" w:space="0" w:color="auto"/>
            </w:tcBorders>
            <w:shd w:val="clear" w:color="auto" w:fill="FFFFFF" w:themeFill="background1"/>
          </w:tcPr>
          <w:p w14:paraId="461005F8" w14:textId="77777777" w:rsidR="009E1019" w:rsidRPr="00F231B4" w:rsidRDefault="009E1019" w:rsidP="00876646">
            <w:pPr>
              <w:keepNext/>
              <w:keepLines/>
              <w:jc w:val="right"/>
              <w:rPr>
                <w:color w:val="000000"/>
                <w:sz w:val="18"/>
              </w:rPr>
            </w:pPr>
            <w:r w:rsidRPr="00F231B4">
              <w:rPr>
                <w:sz w:val="18"/>
                <w:szCs w:val="18"/>
              </w:rPr>
              <w:t>15,27</w:t>
            </w:r>
          </w:p>
        </w:tc>
        <w:tc>
          <w:tcPr>
            <w:tcW w:w="549" w:type="dxa"/>
            <w:tcBorders>
              <w:top w:val="nil"/>
              <w:left w:val="nil"/>
              <w:bottom w:val="single" w:sz="4" w:space="0" w:color="auto"/>
              <w:right w:val="single" w:sz="4" w:space="0" w:color="auto"/>
            </w:tcBorders>
            <w:shd w:val="clear" w:color="auto" w:fill="FFFFFF" w:themeFill="background1"/>
          </w:tcPr>
          <w:p w14:paraId="6FC1CCEA" w14:textId="77777777" w:rsidR="009E1019" w:rsidRPr="00F231B4" w:rsidRDefault="009E1019" w:rsidP="00876646">
            <w:pPr>
              <w:keepNext/>
              <w:keepLines/>
              <w:jc w:val="right"/>
              <w:rPr>
                <w:color w:val="000000"/>
                <w:sz w:val="18"/>
              </w:rPr>
            </w:pPr>
            <w:r w:rsidRPr="00F231B4">
              <w:rPr>
                <w:sz w:val="18"/>
                <w:szCs w:val="18"/>
              </w:rPr>
              <w:t>15,27</w:t>
            </w:r>
          </w:p>
        </w:tc>
        <w:tc>
          <w:tcPr>
            <w:tcW w:w="670" w:type="dxa"/>
            <w:tcBorders>
              <w:top w:val="nil"/>
              <w:left w:val="nil"/>
              <w:bottom w:val="single" w:sz="4" w:space="0" w:color="auto"/>
              <w:right w:val="single" w:sz="4" w:space="0" w:color="auto"/>
            </w:tcBorders>
            <w:shd w:val="clear" w:color="auto" w:fill="FFFFFF" w:themeFill="background1"/>
          </w:tcPr>
          <w:p w14:paraId="78DF1455" w14:textId="77777777" w:rsidR="009E1019" w:rsidRPr="00F231B4" w:rsidRDefault="009E1019" w:rsidP="00876646">
            <w:pPr>
              <w:keepNext/>
              <w:keepLines/>
              <w:jc w:val="right"/>
              <w:rPr>
                <w:color w:val="000000"/>
                <w:sz w:val="18"/>
              </w:rPr>
            </w:pPr>
            <w:r w:rsidRPr="00F231B4">
              <w:rPr>
                <w:sz w:val="18"/>
                <w:szCs w:val="18"/>
              </w:rPr>
              <w:t>15,27</w:t>
            </w:r>
          </w:p>
        </w:tc>
        <w:tc>
          <w:tcPr>
            <w:tcW w:w="590" w:type="dxa"/>
            <w:tcBorders>
              <w:top w:val="nil"/>
              <w:left w:val="nil"/>
              <w:bottom w:val="single" w:sz="4" w:space="0" w:color="auto"/>
              <w:right w:val="single" w:sz="4" w:space="0" w:color="auto"/>
            </w:tcBorders>
            <w:shd w:val="clear" w:color="auto" w:fill="FFFFFF" w:themeFill="background1"/>
          </w:tcPr>
          <w:p w14:paraId="211BED4D" w14:textId="77777777" w:rsidR="009E1019" w:rsidRPr="00F231B4" w:rsidRDefault="009E1019" w:rsidP="00876646">
            <w:pPr>
              <w:keepNext/>
              <w:keepLines/>
              <w:jc w:val="right"/>
              <w:rPr>
                <w:color w:val="000000"/>
                <w:sz w:val="18"/>
              </w:rPr>
            </w:pPr>
            <w:r w:rsidRPr="00F231B4">
              <w:rPr>
                <w:sz w:val="18"/>
                <w:szCs w:val="18"/>
              </w:rPr>
              <w:t>7,63</w:t>
            </w:r>
          </w:p>
        </w:tc>
        <w:tc>
          <w:tcPr>
            <w:tcW w:w="720" w:type="dxa"/>
            <w:tcBorders>
              <w:top w:val="nil"/>
              <w:left w:val="nil"/>
              <w:bottom w:val="single" w:sz="4" w:space="0" w:color="auto"/>
              <w:right w:val="single" w:sz="4" w:space="0" w:color="auto"/>
            </w:tcBorders>
            <w:shd w:val="clear" w:color="auto" w:fill="FFFFFF" w:themeFill="background1"/>
          </w:tcPr>
          <w:p w14:paraId="476B7684" w14:textId="77777777" w:rsidR="009E1019" w:rsidRPr="00F231B4" w:rsidRDefault="009E1019" w:rsidP="00876646">
            <w:pPr>
              <w:keepNext/>
              <w:keepLines/>
              <w:jc w:val="right"/>
              <w:rPr>
                <w:color w:val="000000"/>
                <w:sz w:val="18"/>
              </w:rPr>
            </w:pPr>
            <w:r w:rsidRPr="00F231B4">
              <w:rPr>
                <w:sz w:val="18"/>
                <w:szCs w:val="18"/>
              </w:rPr>
              <w:t>7,63</w:t>
            </w:r>
          </w:p>
        </w:tc>
        <w:tc>
          <w:tcPr>
            <w:tcW w:w="544" w:type="dxa"/>
            <w:tcBorders>
              <w:top w:val="nil"/>
              <w:left w:val="nil"/>
              <w:bottom w:val="single" w:sz="4" w:space="0" w:color="auto"/>
              <w:right w:val="single" w:sz="4" w:space="0" w:color="auto"/>
            </w:tcBorders>
            <w:shd w:val="clear" w:color="auto" w:fill="FFFFFF" w:themeFill="background1"/>
          </w:tcPr>
          <w:p w14:paraId="00AE941A" w14:textId="77777777" w:rsidR="009E1019" w:rsidRPr="00F231B4" w:rsidRDefault="009E1019" w:rsidP="00876646">
            <w:pPr>
              <w:keepNext/>
              <w:keepLines/>
              <w:jc w:val="right"/>
              <w:rPr>
                <w:color w:val="000000"/>
                <w:sz w:val="18"/>
              </w:rPr>
            </w:pPr>
            <w:r w:rsidRPr="00F231B4">
              <w:rPr>
                <w:sz w:val="18"/>
                <w:szCs w:val="18"/>
              </w:rPr>
              <w:t>7,63</w:t>
            </w:r>
          </w:p>
        </w:tc>
        <w:tc>
          <w:tcPr>
            <w:tcW w:w="896" w:type="dxa"/>
            <w:tcBorders>
              <w:top w:val="single" w:sz="4" w:space="0" w:color="auto"/>
              <w:left w:val="nil"/>
              <w:bottom w:val="single" w:sz="4" w:space="0" w:color="auto"/>
              <w:right w:val="single" w:sz="4" w:space="0" w:color="auto"/>
            </w:tcBorders>
            <w:shd w:val="clear" w:color="auto" w:fill="FFFFFF" w:themeFill="background1"/>
          </w:tcPr>
          <w:p w14:paraId="44745D5F" w14:textId="77777777" w:rsidR="009E1019" w:rsidRPr="00F231B4" w:rsidRDefault="009E1019" w:rsidP="00876646">
            <w:pPr>
              <w:keepNext/>
              <w:keepLines/>
              <w:jc w:val="right"/>
              <w:rPr>
                <w:color w:val="000000"/>
                <w:sz w:val="18"/>
                <w:szCs w:val="18"/>
                <w:lang w:eastAsia="en-CA"/>
              </w:rPr>
            </w:pPr>
            <w:r w:rsidRPr="00F231B4">
              <w:rPr>
                <w:color w:val="000000"/>
                <w:sz w:val="18"/>
                <w:szCs w:val="18"/>
                <w:lang w:eastAsia="en-CA"/>
              </w:rPr>
              <w:t>0</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3F2EDAA2" w14:textId="77777777" w:rsidR="009E1019" w:rsidRPr="00F231B4" w:rsidRDefault="009E1019" w:rsidP="00876646">
            <w:pPr>
              <w:keepNext/>
              <w:keepLines/>
              <w:jc w:val="right"/>
              <w:rPr>
                <w:color w:val="000000"/>
                <w:sz w:val="18"/>
                <w:szCs w:val="18"/>
                <w:lang w:val="fr-CA" w:eastAsia="en-CA"/>
              </w:rPr>
            </w:pPr>
            <w:proofErr w:type="spellStart"/>
            <w:r w:rsidRPr="00F231B4">
              <w:rPr>
                <w:color w:val="000000"/>
                <w:sz w:val="18"/>
                <w:szCs w:val="18"/>
                <w:lang w:val="fr-CA" w:eastAsia="en-CA"/>
              </w:rPr>
              <w:t>s.o</w:t>
            </w:r>
            <w:proofErr w:type="spellEnd"/>
            <w:r w:rsidRPr="00F231B4">
              <w:rPr>
                <w:color w:val="000000"/>
                <w:sz w:val="18"/>
                <w:szCs w:val="18"/>
                <w:lang w:val="fr-CA" w:eastAsia="en-CA"/>
              </w:rPr>
              <w:t>.</w:t>
            </w:r>
          </w:p>
        </w:tc>
      </w:tr>
      <w:tr w:rsidR="009E1019" w:rsidRPr="00621514" w14:paraId="378BF8E0" w14:textId="77777777" w:rsidTr="00876646">
        <w:trPr>
          <w:trHeight w:val="408"/>
          <w:jc w:val="center"/>
        </w:trPr>
        <w:tc>
          <w:tcPr>
            <w:tcW w:w="0" w:type="auto"/>
            <w:tcBorders>
              <w:top w:val="nil"/>
              <w:left w:val="single" w:sz="4" w:space="0" w:color="auto"/>
              <w:bottom w:val="single" w:sz="4" w:space="0" w:color="auto"/>
              <w:right w:val="single" w:sz="4" w:space="0" w:color="auto"/>
            </w:tcBorders>
            <w:shd w:val="clear" w:color="auto" w:fill="auto"/>
            <w:hideMark/>
          </w:tcPr>
          <w:p w14:paraId="511119A3" w14:textId="77777777" w:rsidR="009E1019" w:rsidRPr="00621514" w:rsidRDefault="009E1019" w:rsidP="00876646">
            <w:pPr>
              <w:rPr>
                <w:color w:val="000000"/>
                <w:sz w:val="18"/>
                <w:lang w:val="fr-CA"/>
              </w:rPr>
            </w:pPr>
            <w:r w:rsidRPr="00621514">
              <w:rPr>
                <w:color w:val="000000"/>
                <w:sz w:val="18"/>
                <w:lang w:val="fr-CA"/>
              </w:rPr>
              <w:t>1.2</w:t>
            </w:r>
          </w:p>
        </w:tc>
        <w:tc>
          <w:tcPr>
            <w:tcW w:w="3496" w:type="dxa"/>
            <w:tcBorders>
              <w:top w:val="nil"/>
              <w:left w:val="nil"/>
              <w:bottom w:val="single" w:sz="4" w:space="0" w:color="auto"/>
              <w:right w:val="single" w:sz="4" w:space="0" w:color="auto"/>
            </w:tcBorders>
            <w:shd w:val="clear" w:color="auto" w:fill="auto"/>
            <w:hideMark/>
          </w:tcPr>
          <w:p w14:paraId="181174DC" w14:textId="77777777" w:rsidR="009E1019" w:rsidRPr="00621514" w:rsidRDefault="009E1019" w:rsidP="00876646">
            <w:pPr>
              <w:jc w:val="left"/>
              <w:rPr>
                <w:sz w:val="18"/>
                <w:szCs w:val="20"/>
                <w:lang w:val="fr-CA" w:eastAsia="en-CA"/>
              </w:rPr>
            </w:pPr>
            <w:r w:rsidRPr="00621514">
              <w:rPr>
                <w:sz w:val="18"/>
                <w:szCs w:val="20"/>
                <w:lang w:val="fr-CA" w:eastAsia="en-CA"/>
              </w:rPr>
              <w:t>Consommation totale maximum autorisée des substances du groupe I de l’annexe C (tonnes PAO)</w:t>
            </w:r>
          </w:p>
        </w:tc>
        <w:tc>
          <w:tcPr>
            <w:tcW w:w="711" w:type="dxa"/>
            <w:tcBorders>
              <w:top w:val="nil"/>
              <w:left w:val="nil"/>
              <w:bottom w:val="single" w:sz="4" w:space="0" w:color="auto"/>
              <w:right w:val="single" w:sz="4" w:space="0" w:color="auto"/>
            </w:tcBorders>
            <w:shd w:val="clear" w:color="auto" w:fill="FFFFFF" w:themeFill="background1"/>
          </w:tcPr>
          <w:p w14:paraId="70BCCBF3" w14:textId="77777777" w:rsidR="009E1019" w:rsidRPr="00621514" w:rsidRDefault="009E1019" w:rsidP="00876646">
            <w:pPr>
              <w:jc w:val="right"/>
              <w:rPr>
                <w:color w:val="000000"/>
                <w:sz w:val="18"/>
                <w:lang w:val="fr-CA"/>
              </w:rPr>
            </w:pPr>
            <w:r w:rsidRPr="00621514">
              <w:rPr>
                <w:sz w:val="18"/>
                <w:szCs w:val="18"/>
                <w:lang w:val="fr-CA"/>
              </w:rPr>
              <w:t>15,27</w:t>
            </w:r>
          </w:p>
        </w:tc>
        <w:tc>
          <w:tcPr>
            <w:tcW w:w="549" w:type="dxa"/>
            <w:tcBorders>
              <w:top w:val="nil"/>
              <w:left w:val="nil"/>
              <w:bottom w:val="single" w:sz="4" w:space="0" w:color="auto"/>
              <w:right w:val="single" w:sz="4" w:space="0" w:color="auto"/>
            </w:tcBorders>
            <w:shd w:val="clear" w:color="auto" w:fill="FFFFFF" w:themeFill="background1"/>
          </w:tcPr>
          <w:p w14:paraId="15E913AE" w14:textId="77777777" w:rsidR="009E1019" w:rsidRPr="00621514" w:rsidRDefault="009E1019" w:rsidP="00876646">
            <w:pPr>
              <w:jc w:val="right"/>
              <w:rPr>
                <w:color w:val="000000"/>
                <w:sz w:val="18"/>
                <w:lang w:val="fr-CA"/>
              </w:rPr>
            </w:pPr>
            <w:r w:rsidRPr="00621514">
              <w:rPr>
                <w:sz w:val="18"/>
                <w:szCs w:val="18"/>
                <w:lang w:val="fr-CA"/>
              </w:rPr>
              <w:t>15,27</w:t>
            </w:r>
          </w:p>
        </w:tc>
        <w:tc>
          <w:tcPr>
            <w:tcW w:w="670" w:type="dxa"/>
            <w:tcBorders>
              <w:top w:val="nil"/>
              <w:left w:val="nil"/>
              <w:bottom w:val="single" w:sz="4" w:space="0" w:color="auto"/>
              <w:right w:val="single" w:sz="4" w:space="0" w:color="auto"/>
            </w:tcBorders>
            <w:shd w:val="clear" w:color="auto" w:fill="FFFFFF" w:themeFill="background1"/>
          </w:tcPr>
          <w:p w14:paraId="29A4AAFE" w14:textId="77777777" w:rsidR="009E1019" w:rsidRPr="00621514" w:rsidRDefault="009E1019" w:rsidP="00876646">
            <w:pPr>
              <w:jc w:val="right"/>
              <w:rPr>
                <w:color w:val="000000"/>
                <w:sz w:val="18"/>
                <w:lang w:val="fr-CA"/>
              </w:rPr>
            </w:pPr>
            <w:r w:rsidRPr="00621514">
              <w:rPr>
                <w:sz w:val="18"/>
                <w:szCs w:val="18"/>
                <w:lang w:val="fr-CA"/>
              </w:rPr>
              <w:t>15,27</w:t>
            </w:r>
          </w:p>
        </w:tc>
        <w:tc>
          <w:tcPr>
            <w:tcW w:w="590" w:type="dxa"/>
            <w:tcBorders>
              <w:top w:val="nil"/>
              <w:left w:val="nil"/>
              <w:bottom w:val="single" w:sz="4" w:space="0" w:color="auto"/>
              <w:right w:val="single" w:sz="4" w:space="0" w:color="auto"/>
            </w:tcBorders>
            <w:shd w:val="clear" w:color="auto" w:fill="FFFFFF" w:themeFill="background1"/>
          </w:tcPr>
          <w:p w14:paraId="2D408F44" w14:textId="77777777" w:rsidR="009E1019" w:rsidRPr="00621514" w:rsidRDefault="009E1019" w:rsidP="00876646">
            <w:pPr>
              <w:jc w:val="right"/>
              <w:rPr>
                <w:color w:val="000000"/>
                <w:sz w:val="18"/>
                <w:lang w:val="fr-CA"/>
              </w:rPr>
            </w:pPr>
            <w:r w:rsidRPr="00621514">
              <w:rPr>
                <w:sz w:val="18"/>
                <w:szCs w:val="18"/>
                <w:lang w:val="fr-CA"/>
              </w:rPr>
              <w:t>7,63</w:t>
            </w:r>
          </w:p>
        </w:tc>
        <w:tc>
          <w:tcPr>
            <w:tcW w:w="720" w:type="dxa"/>
            <w:tcBorders>
              <w:top w:val="nil"/>
              <w:left w:val="nil"/>
              <w:bottom w:val="single" w:sz="4" w:space="0" w:color="auto"/>
              <w:right w:val="single" w:sz="4" w:space="0" w:color="auto"/>
            </w:tcBorders>
            <w:shd w:val="clear" w:color="auto" w:fill="FFFFFF" w:themeFill="background1"/>
          </w:tcPr>
          <w:p w14:paraId="20C4F800" w14:textId="77777777" w:rsidR="009E1019" w:rsidRPr="00621514" w:rsidRDefault="009E1019" w:rsidP="00876646">
            <w:pPr>
              <w:jc w:val="right"/>
              <w:rPr>
                <w:color w:val="000000"/>
                <w:sz w:val="18"/>
                <w:lang w:val="fr-CA"/>
              </w:rPr>
            </w:pPr>
            <w:r w:rsidRPr="00621514">
              <w:rPr>
                <w:sz w:val="18"/>
                <w:szCs w:val="18"/>
                <w:lang w:val="fr-CA"/>
              </w:rPr>
              <w:t>7,63</w:t>
            </w:r>
          </w:p>
        </w:tc>
        <w:tc>
          <w:tcPr>
            <w:tcW w:w="544" w:type="dxa"/>
            <w:tcBorders>
              <w:top w:val="nil"/>
              <w:left w:val="nil"/>
              <w:bottom w:val="single" w:sz="4" w:space="0" w:color="auto"/>
              <w:right w:val="single" w:sz="4" w:space="0" w:color="auto"/>
            </w:tcBorders>
            <w:shd w:val="clear" w:color="auto" w:fill="FFFFFF" w:themeFill="background1"/>
          </w:tcPr>
          <w:p w14:paraId="3F6AD8BD" w14:textId="77777777" w:rsidR="009E1019" w:rsidRPr="00621514" w:rsidRDefault="009E1019" w:rsidP="00876646">
            <w:pPr>
              <w:jc w:val="right"/>
              <w:rPr>
                <w:color w:val="000000"/>
                <w:sz w:val="18"/>
              </w:rPr>
            </w:pPr>
            <w:r w:rsidRPr="00621514">
              <w:rPr>
                <w:sz w:val="18"/>
                <w:szCs w:val="18"/>
                <w:lang w:val="fr-CA"/>
              </w:rPr>
              <w:t>7,</w:t>
            </w:r>
            <w:r w:rsidRPr="00621514">
              <w:rPr>
                <w:sz w:val="18"/>
                <w:szCs w:val="18"/>
              </w:rPr>
              <w:t>63</w:t>
            </w:r>
          </w:p>
        </w:tc>
        <w:tc>
          <w:tcPr>
            <w:tcW w:w="896" w:type="dxa"/>
            <w:tcBorders>
              <w:top w:val="single" w:sz="4" w:space="0" w:color="auto"/>
              <w:left w:val="nil"/>
              <w:bottom w:val="single" w:sz="4" w:space="0" w:color="auto"/>
              <w:right w:val="single" w:sz="4" w:space="0" w:color="auto"/>
            </w:tcBorders>
            <w:shd w:val="clear" w:color="auto" w:fill="FFFFFF" w:themeFill="background1"/>
          </w:tcPr>
          <w:p w14:paraId="0109A21B" w14:textId="77777777" w:rsidR="009E1019" w:rsidRPr="00621514" w:rsidRDefault="009E1019" w:rsidP="00876646">
            <w:pPr>
              <w:jc w:val="right"/>
              <w:rPr>
                <w:color w:val="000000"/>
                <w:sz w:val="18"/>
                <w:szCs w:val="18"/>
                <w:lang w:eastAsia="en-CA"/>
              </w:rPr>
            </w:pPr>
            <w:r w:rsidRPr="00621514">
              <w:rPr>
                <w:color w:val="000000"/>
                <w:sz w:val="18"/>
                <w:szCs w:val="18"/>
                <w:lang w:eastAsia="en-CA"/>
              </w:rPr>
              <w:t>0</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699C984F" w14:textId="77777777" w:rsidR="009E1019" w:rsidRPr="00621514" w:rsidRDefault="009E1019" w:rsidP="00876646">
            <w:pPr>
              <w:jc w:val="right"/>
              <w:rPr>
                <w:color w:val="000000"/>
                <w:sz w:val="18"/>
                <w:szCs w:val="18"/>
                <w:lang w:eastAsia="en-CA"/>
              </w:rPr>
            </w:pPr>
            <w:proofErr w:type="spellStart"/>
            <w:r w:rsidRPr="00621514">
              <w:rPr>
                <w:color w:val="000000"/>
                <w:sz w:val="18"/>
                <w:szCs w:val="18"/>
                <w:lang w:eastAsia="en-CA"/>
              </w:rPr>
              <w:t>s.o</w:t>
            </w:r>
            <w:proofErr w:type="spellEnd"/>
            <w:r w:rsidRPr="00621514">
              <w:rPr>
                <w:color w:val="000000"/>
                <w:sz w:val="18"/>
                <w:szCs w:val="18"/>
                <w:lang w:eastAsia="en-CA"/>
              </w:rPr>
              <w:t>.</w:t>
            </w:r>
          </w:p>
        </w:tc>
      </w:tr>
      <w:tr w:rsidR="009E1019" w:rsidRPr="00621514" w14:paraId="354BD22F" w14:textId="77777777" w:rsidTr="00876646">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0FD77714" w14:textId="77777777" w:rsidR="009E1019" w:rsidRPr="00621514" w:rsidRDefault="009E1019" w:rsidP="00876646">
            <w:pPr>
              <w:rPr>
                <w:color w:val="000000"/>
                <w:sz w:val="18"/>
              </w:rPr>
            </w:pPr>
            <w:r w:rsidRPr="00621514">
              <w:rPr>
                <w:color w:val="000000"/>
                <w:sz w:val="18"/>
              </w:rPr>
              <w:t>2.1</w:t>
            </w:r>
          </w:p>
        </w:tc>
        <w:tc>
          <w:tcPr>
            <w:tcW w:w="3496" w:type="dxa"/>
            <w:tcBorders>
              <w:top w:val="nil"/>
              <w:left w:val="nil"/>
              <w:bottom w:val="single" w:sz="4" w:space="0" w:color="auto"/>
              <w:right w:val="single" w:sz="4" w:space="0" w:color="auto"/>
            </w:tcBorders>
            <w:shd w:val="clear" w:color="auto" w:fill="auto"/>
            <w:hideMark/>
          </w:tcPr>
          <w:p w14:paraId="57FFFB9A" w14:textId="77777777" w:rsidR="009E1019" w:rsidRPr="00621514" w:rsidRDefault="009E1019" w:rsidP="00876646">
            <w:pPr>
              <w:jc w:val="left"/>
              <w:rPr>
                <w:sz w:val="18"/>
                <w:szCs w:val="20"/>
                <w:lang w:val="fr-CA" w:eastAsia="en-CA"/>
              </w:rPr>
            </w:pPr>
            <w:r w:rsidRPr="00621514">
              <w:rPr>
                <w:sz w:val="18"/>
                <w:szCs w:val="20"/>
                <w:lang w:val="fr-CA" w:eastAsia="en-CA"/>
              </w:rPr>
              <w:t>Financement convenu pour l’Agence principale (ONUDI) ($US)</w:t>
            </w:r>
          </w:p>
        </w:tc>
        <w:tc>
          <w:tcPr>
            <w:tcW w:w="711" w:type="dxa"/>
            <w:tcBorders>
              <w:top w:val="single" w:sz="4" w:space="0" w:color="auto"/>
              <w:left w:val="nil"/>
              <w:bottom w:val="single" w:sz="4" w:space="0" w:color="auto"/>
              <w:right w:val="single" w:sz="4" w:space="0" w:color="auto"/>
            </w:tcBorders>
            <w:shd w:val="clear" w:color="auto" w:fill="auto"/>
          </w:tcPr>
          <w:p w14:paraId="12642BC6" w14:textId="77777777" w:rsidR="009E1019" w:rsidRPr="00970661" w:rsidRDefault="009E1019" w:rsidP="00876646">
            <w:pPr>
              <w:jc w:val="right"/>
              <w:rPr>
                <w:color w:val="000000"/>
                <w:sz w:val="16"/>
              </w:rPr>
            </w:pPr>
            <w:r w:rsidRPr="00970661">
              <w:rPr>
                <w:color w:val="000000"/>
                <w:sz w:val="16"/>
                <w:szCs w:val="18"/>
              </w:rPr>
              <w:t>292 750</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27F002D4" w14:textId="77777777" w:rsidR="009E1019" w:rsidRPr="00970661" w:rsidRDefault="009E1019" w:rsidP="00876646">
            <w:pPr>
              <w:jc w:val="right"/>
              <w:rPr>
                <w:color w:val="000000"/>
                <w:sz w:val="16"/>
              </w:rPr>
            </w:pPr>
            <w:r w:rsidRPr="00970661">
              <w:rPr>
                <w:color w:val="000000"/>
                <w:sz w:val="16"/>
                <w:szCs w:val="18"/>
                <w:lang w:eastAsia="en-CA"/>
              </w:rPr>
              <w:t>0</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3DA945D3" w14:textId="77777777" w:rsidR="009E1019" w:rsidRPr="00970661" w:rsidRDefault="009E1019" w:rsidP="00876646">
            <w:pPr>
              <w:jc w:val="right"/>
              <w:rPr>
                <w:color w:val="000000"/>
                <w:sz w:val="16"/>
              </w:rPr>
            </w:pPr>
            <w:r w:rsidRPr="00970661">
              <w:rPr>
                <w:color w:val="000000"/>
                <w:sz w:val="16"/>
                <w:szCs w:val="18"/>
              </w:rPr>
              <w:t>407 250</w:t>
            </w: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21E87C15" w14:textId="77777777" w:rsidR="009E1019" w:rsidRPr="00970661" w:rsidRDefault="009E1019" w:rsidP="00876646">
            <w:pPr>
              <w:jc w:val="right"/>
              <w:rPr>
                <w:color w:val="000000"/>
                <w:sz w:val="16"/>
              </w:rPr>
            </w:pPr>
            <w:r w:rsidRPr="00970661">
              <w:rPr>
                <w:color w:val="000000"/>
                <w:sz w:val="16"/>
                <w:szCs w:val="18"/>
                <w:lang w:eastAsia="en-CA"/>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ECEF98" w14:textId="77777777" w:rsidR="009E1019" w:rsidRPr="00970661" w:rsidRDefault="009E1019" w:rsidP="00876646">
            <w:pPr>
              <w:jc w:val="right"/>
              <w:rPr>
                <w:color w:val="000000"/>
                <w:sz w:val="16"/>
              </w:rPr>
            </w:pPr>
            <w:r w:rsidRPr="00970661">
              <w:rPr>
                <w:color w:val="000000"/>
                <w:sz w:val="16"/>
                <w:szCs w:val="18"/>
              </w:rPr>
              <w:t>255 500</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12B07C61" w14:textId="77777777" w:rsidR="009E1019" w:rsidRPr="00970661" w:rsidRDefault="009E1019" w:rsidP="00876646">
            <w:pPr>
              <w:jc w:val="right"/>
              <w:rPr>
                <w:color w:val="000000"/>
                <w:sz w:val="16"/>
              </w:rPr>
            </w:pPr>
            <w:r w:rsidRPr="00970661">
              <w:rPr>
                <w:color w:val="000000"/>
                <w:sz w:val="16"/>
                <w:szCs w:val="18"/>
                <w:lang w:eastAsia="en-CA"/>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7A046EB" w14:textId="77777777" w:rsidR="009E1019" w:rsidRPr="00970661" w:rsidRDefault="009E1019" w:rsidP="00876646">
            <w:pPr>
              <w:ind w:hanging="117"/>
              <w:jc w:val="right"/>
              <w:rPr>
                <w:color w:val="000000"/>
                <w:sz w:val="16"/>
                <w:szCs w:val="18"/>
                <w:lang w:eastAsia="en-CA"/>
              </w:rPr>
            </w:pPr>
            <w:r w:rsidRPr="00970661">
              <w:rPr>
                <w:color w:val="000000"/>
                <w:sz w:val="16"/>
                <w:szCs w:val="18"/>
              </w:rPr>
              <w:t>214 500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CD6941" w14:textId="77777777" w:rsidR="009E1019" w:rsidRPr="00970661" w:rsidRDefault="009E1019" w:rsidP="00876646">
            <w:pPr>
              <w:ind w:right="-16" w:hanging="122"/>
              <w:jc w:val="right"/>
              <w:rPr>
                <w:color w:val="000000"/>
                <w:sz w:val="16"/>
                <w:szCs w:val="18"/>
                <w:lang w:eastAsia="en-CA"/>
              </w:rPr>
            </w:pPr>
            <w:r w:rsidRPr="00970661">
              <w:rPr>
                <w:color w:val="000000"/>
                <w:sz w:val="16"/>
                <w:szCs w:val="18"/>
              </w:rPr>
              <w:t>1 170 000</w:t>
            </w:r>
          </w:p>
        </w:tc>
      </w:tr>
      <w:tr w:rsidR="009E1019" w:rsidRPr="00621514" w14:paraId="2AF233A5" w14:textId="77777777" w:rsidTr="00876646">
        <w:trPr>
          <w:trHeight w:val="56"/>
          <w:jc w:val="center"/>
        </w:trPr>
        <w:tc>
          <w:tcPr>
            <w:tcW w:w="0" w:type="auto"/>
            <w:tcBorders>
              <w:top w:val="nil"/>
              <w:left w:val="single" w:sz="4" w:space="0" w:color="auto"/>
              <w:bottom w:val="single" w:sz="4" w:space="0" w:color="auto"/>
              <w:right w:val="single" w:sz="4" w:space="0" w:color="auto"/>
            </w:tcBorders>
            <w:shd w:val="clear" w:color="auto" w:fill="auto"/>
            <w:hideMark/>
          </w:tcPr>
          <w:p w14:paraId="38CB1A62" w14:textId="77777777" w:rsidR="009E1019" w:rsidRPr="00621514" w:rsidRDefault="009E1019" w:rsidP="00876646">
            <w:pPr>
              <w:rPr>
                <w:color w:val="000000"/>
                <w:sz w:val="18"/>
              </w:rPr>
            </w:pPr>
            <w:r w:rsidRPr="00621514">
              <w:rPr>
                <w:color w:val="000000"/>
                <w:sz w:val="18"/>
              </w:rPr>
              <w:t>2.2</w:t>
            </w:r>
          </w:p>
        </w:tc>
        <w:tc>
          <w:tcPr>
            <w:tcW w:w="3496" w:type="dxa"/>
            <w:tcBorders>
              <w:top w:val="nil"/>
              <w:left w:val="nil"/>
              <w:bottom w:val="single" w:sz="4" w:space="0" w:color="auto"/>
              <w:right w:val="single" w:sz="4" w:space="0" w:color="auto"/>
            </w:tcBorders>
            <w:shd w:val="clear" w:color="auto" w:fill="auto"/>
            <w:hideMark/>
          </w:tcPr>
          <w:p w14:paraId="62BFFC1D" w14:textId="77777777" w:rsidR="009E1019" w:rsidRPr="00621514" w:rsidRDefault="009E1019" w:rsidP="00876646">
            <w:pPr>
              <w:jc w:val="left"/>
              <w:rPr>
                <w:sz w:val="18"/>
                <w:szCs w:val="20"/>
                <w:lang w:val="fr-CA" w:eastAsia="en-CA"/>
              </w:rPr>
            </w:pPr>
            <w:r w:rsidRPr="00621514">
              <w:rPr>
                <w:sz w:val="18"/>
                <w:szCs w:val="20"/>
                <w:lang w:val="fr-CA" w:eastAsia="en-CA"/>
              </w:rPr>
              <w:t>Coûts d’appui pour l’Agence principale ($US)</w:t>
            </w:r>
          </w:p>
        </w:tc>
        <w:tc>
          <w:tcPr>
            <w:tcW w:w="711" w:type="dxa"/>
            <w:tcBorders>
              <w:top w:val="single" w:sz="4" w:space="0" w:color="auto"/>
              <w:left w:val="nil"/>
              <w:bottom w:val="single" w:sz="4" w:space="0" w:color="auto"/>
              <w:right w:val="single" w:sz="4" w:space="0" w:color="auto"/>
            </w:tcBorders>
            <w:shd w:val="clear" w:color="auto" w:fill="auto"/>
          </w:tcPr>
          <w:p w14:paraId="7A37CE8E" w14:textId="77777777" w:rsidR="009E1019" w:rsidRPr="00970661" w:rsidRDefault="009E1019" w:rsidP="00876646">
            <w:pPr>
              <w:jc w:val="right"/>
              <w:rPr>
                <w:color w:val="000000"/>
                <w:sz w:val="16"/>
              </w:rPr>
            </w:pPr>
            <w:r w:rsidRPr="00970661">
              <w:rPr>
                <w:color w:val="000000"/>
                <w:sz w:val="16"/>
                <w:szCs w:val="18"/>
              </w:rPr>
              <w:t>20 493</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49FC1E9D" w14:textId="77777777" w:rsidR="009E1019" w:rsidRPr="00970661" w:rsidRDefault="009E1019" w:rsidP="00876646">
            <w:pPr>
              <w:jc w:val="right"/>
              <w:rPr>
                <w:color w:val="000000"/>
                <w:sz w:val="16"/>
              </w:rPr>
            </w:pPr>
            <w:r w:rsidRPr="00970661">
              <w:rPr>
                <w:color w:val="000000"/>
                <w:sz w:val="16"/>
                <w:szCs w:val="18"/>
                <w:lang w:eastAsia="en-CA"/>
              </w:rPr>
              <w:t>0</w:t>
            </w: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682F3EC8" w14:textId="77777777" w:rsidR="009E1019" w:rsidRPr="00970661" w:rsidRDefault="009E1019" w:rsidP="00876646">
            <w:pPr>
              <w:jc w:val="right"/>
              <w:rPr>
                <w:color w:val="000000"/>
                <w:sz w:val="16"/>
              </w:rPr>
            </w:pPr>
            <w:r w:rsidRPr="00970661">
              <w:rPr>
                <w:color w:val="000000"/>
                <w:sz w:val="16"/>
                <w:szCs w:val="18"/>
              </w:rPr>
              <w:t>28 507</w:t>
            </w:r>
          </w:p>
        </w:tc>
        <w:tc>
          <w:tcPr>
            <w:tcW w:w="590" w:type="dxa"/>
            <w:tcBorders>
              <w:top w:val="single" w:sz="4" w:space="0" w:color="auto"/>
              <w:left w:val="single" w:sz="4" w:space="0" w:color="auto"/>
              <w:bottom w:val="single" w:sz="4" w:space="0" w:color="auto"/>
              <w:right w:val="single" w:sz="4" w:space="0" w:color="auto"/>
            </w:tcBorders>
            <w:shd w:val="clear" w:color="auto" w:fill="auto"/>
          </w:tcPr>
          <w:p w14:paraId="77885F03" w14:textId="77777777" w:rsidR="009E1019" w:rsidRPr="00970661" w:rsidRDefault="009E1019" w:rsidP="00876646">
            <w:pPr>
              <w:jc w:val="right"/>
              <w:rPr>
                <w:color w:val="000000"/>
                <w:sz w:val="16"/>
              </w:rPr>
            </w:pPr>
            <w:r w:rsidRPr="00970661">
              <w:rPr>
                <w:color w:val="000000"/>
                <w:sz w:val="16"/>
                <w:szCs w:val="18"/>
                <w:lang w:eastAsia="en-CA"/>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B1E68F" w14:textId="77777777" w:rsidR="009E1019" w:rsidRPr="00970661" w:rsidRDefault="009E1019" w:rsidP="00876646">
            <w:pPr>
              <w:jc w:val="right"/>
              <w:rPr>
                <w:color w:val="000000"/>
                <w:sz w:val="16"/>
              </w:rPr>
            </w:pPr>
            <w:r w:rsidRPr="00970661">
              <w:rPr>
                <w:color w:val="000000"/>
                <w:sz w:val="16"/>
                <w:szCs w:val="18"/>
              </w:rPr>
              <w:t>17 885</w:t>
            </w:r>
          </w:p>
        </w:tc>
        <w:tc>
          <w:tcPr>
            <w:tcW w:w="544" w:type="dxa"/>
            <w:tcBorders>
              <w:top w:val="single" w:sz="4" w:space="0" w:color="auto"/>
              <w:left w:val="single" w:sz="4" w:space="0" w:color="auto"/>
              <w:bottom w:val="single" w:sz="4" w:space="0" w:color="auto"/>
              <w:right w:val="single" w:sz="4" w:space="0" w:color="auto"/>
            </w:tcBorders>
            <w:shd w:val="clear" w:color="auto" w:fill="auto"/>
          </w:tcPr>
          <w:p w14:paraId="54E6C826" w14:textId="77777777" w:rsidR="009E1019" w:rsidRPr="00970661" w:rsidRDefault="009E1019" w:rsidP="00876646">
            <w:pPr>
              <w:jc w:val="right"/>
              <w:rPr>
                <w:color w:val="000000"/>
                <w:sz w:val="16"/>
              </w:rPr>
            </w:pPr>
            <w:r w:rsidRPr="00970661">
              <w:rPr>
                <w:color w:val="000000"/>
                <w:sz w:val="16"/>
                <w:szCs w:val="18"/>
                <w:lang w:eastAsia="en-CA"/>
              </w:rPr>
              <w:t>0</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4994F98" w14:textId="77777777" w:rsidR="009E1019" w:rsidRPr="00970661" w:rsidRDefault="009E1019" w:rsidP="00876646">
            <w:pPr>
              <w:jc w:val="right"/>
              <w:rPr>
                <w:color w:val="000000"/>
                <w:sz w:val="16"/>
                <w:szCs w:val="18"/>
                <w:lang w:eastAsia="en-CA"/>
              </w:rPr>
            </w:pPr>
            <w:r w:rsidRPr="00970661">
              <w:rPr>
                <w:color w:val="000000"/>
                <w:sz w:val="16"/>
                <w:szCs w:val="18"/>
              </w:rPr>
              <w:t>15 015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F425F" w14:textId="77777777" w:rsidR="009E1019" w:rsidRPr="00970661" w:rsidRDefault="009E1019" w:rsidP="00876646">
            <w:pPr>
              <w:jc w:val="right"/>
              <w:rPr>
                <w:color w:val="000000"/>
                <w:sz w:val="16"/>
                <w:szCs w:val="18"/>
                <w:lang w:eastAsia="en-CA"/>
              </w:rPr>
            </w:pPr>
            <w:r w:rsidRPr="00970661">
              <w:rPr>
                <w:color w:val="000000"/>
                <w:sz w:val="16"/>
                <w:szCs w:val="18"/>
              </w:rPr>
              <w:t>81 900</w:t>
            </w:r>
          </w:p>
        </w:tc>
      </w:tr>
      <w:tr w:rsidR="009E1019" w:rsidRPr="00621514" w14:paraId="37AF8FB6" w14:textId="77777777" w:rsidTr="00876646">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28B4019B" w14:textId="77777777" w:rsidR="009E1019" w:rsidRPr="00621514" w:rsidRDefault="009E1019" w:rsidP="00876646">
            <w:pPr>
              <w:rPr>
                <w:color w:val="000000"/>
                <w:sz w:val="18"/>
              </w:rPr>
            </w:pPr>
            <w:r w:rsidRPr="00621514">
              <w:rPr>
                <w:color w:val="000000"/>
                <w:sz w:val="18"/>
              </w:rPr>
              <w:t>3.1</w:t>
            </w:r>
          </w:p>
        </w:tc>
        <w:tc>
          <w:tcPr>
            <w:tcW w:w="3496" w:type="dxa"/>
            <w:tcBorders>
              <w:top w:val="single" w:sz="4" w:space="0" w:color="auto"/>
              <w:bottom w:val="single" w:sz="4" w:space="0" w:color="auto"/>
              <w:right w:val="single" w:sz="4" w:space="0" w:color="auto"/>
            </w:tcBorders>
          </w:tcPr>
          <w:p w14:paraId="1CAE67C9" w14:textId="77777777" w:rsidR="009E1019" w:rsidRPr="00621514" w:rsidRDefault="009E1019" w:rsidP="00876646">
            <w:pPr>
              <w:jc w:val="left"/>
              <w:rPr>
                <w:sz w:val="18"/>
                <w:szCs w:val="20"/>
                <w:lang w:val="fr-CA" w:eastAsia="en-CA"/>
              </w:rPr>
            </w:pPr>
            <w:r w:rsidRPr="00621514">
              <w:rPr>
                <w:sz w:val="18"/>
                <w:szCs w:val="20"/>
                <w:lang w:val="fr-CA" w:eastAsia="en-CA"/>
              </w:rPr>
              <w:t>Total du financement convenu ($US)</w:t>
            </w:r>
          </w:p>
        </w:tc>
        <w:tc>
          <w:tcPr>
            <w:tcW w:w="711" w:type="dxa"/>
            <w:tcBorders>
              <w:top w:val="single" w:sz="4" w:space="0" w:color="auto"/>
              <w:left w:val="nil"/>
              <w:bottom w:val="single" w:sz="4" w:space="0" w:color="auto"/>
              <w:right w:val="single" w:sz="4" w:space="0" w:color="auto"/>
            </w:tcBorders>
            <w:shd w:val="clear" w:color="auto" w:fill="auto"/>
          </w:tcPr>
          <w:p w14:paraId="69D040A4" w14:textId="77777777" w:rsidR="009E1019" w:rsidRPr="00970661" w:rsidRDefault="009E1019" w:rsidP="00876646">
            <w:pPr>
              <w:jc w:val="right"/>
              <w:rPr>
                <w:color w:val="000000"/>
                <w:sz w:val="16"/>
              </w:rPr>
            </w:pPr>
            <w:r w:rsidRPr="00970661">
              <w:rPr>
                <w:color w:val="000000"/>
                <w:sz w:val="16"/>
                <w:szCs w:val="18"/>
              </w:rPr>
              <w:t>292 750</w:t>
            </w:r>
          </w:p>
        </w:tc>
        <w:tc>
          <w:tcPr>
            <w:tcW w:w="549" w:type="dxa"/>
            <w:tcBorders>
              <w:top w:val="single" w:sz="4" w:space="0" w:color="auto"/>
              <w:left w:val="nil"/>
              <w:bottom w:val="single" w:sz="4" w:space="0" w:color="auto"/>
              <w:right w:val="single" w:sz="4" w:space="0" w:color="auto"/>
            </w:tcBorders>
            <w:shd w:val="clear" w:color="auto" w:fill="auto"/>
          </w:tcPr>
          <w:p w14:paraId="754CBD60" w14:textId="77777777" w:rsidR="009E1019" w:rsidRPr="00970661" w:rsidRDefault="009E1019" w:rsidP="00876646">
            <w:pPr>
              <w:jc w:val="right"/>
              <w:rPr>
                <w:color w:val="000000"/>
                <w:sz w:val="16"/>
              </w:rPr>
            </w:pPr>
            <w:r w:rsidRPr="00970661">
              <w:rPr>
                <w:color w:val="000000"/>
                <w:sz w:val="16"/>
                <w:szCs w:val="18"/>
                <w:lang w:eastAsia="en-CA"/>
              </w:rPr>
              <w:t>0</w:t>
            </w:r>
          </w:p>
        </w:tc>
        <w:tc>
          <w:tcPr>
            <w:tcW w:w="670" w:type="dxa"/>
            <w:tcBorders>
              <w:top w:val="single" w:sz="4" w:space="0" w:color="auto"/>
              <w:left w:val="nil"/>
              <w:bottom w:val="single" w:sz="4" w:space="0" w:color="auto"/>
              <w:right w:val="single" w:sz="4" w:space="0" w:color="auto"/>
            </w:tcBorders>
            <w:shd w:val="clear" w:color="auto" w:fill="auto"/>
          </w:tcPr>
          <w:p w14:paraId="1C09F800" w14:textId="77777777" w:rsidR="009E1019" w:rsidRPr="00970661" w:rsidRDefault="009E1019" w:rsidP="00876646">
            <w:pPr>
              <w:jc w:val="right"/>
              <w:rPr>
                <w:color w:val="000000"/>
                <w:sz w:val="16"/>
              </w:rPr>
            </w:pPr>
            <w:r w:rsidRPr="00970661">
              <w:rPr>
                <w:color w:val="000000"/>
                <w:sz w:val="16"/>
                <w:szCs w:val="18"/>
              </w:rPr>
              <w:t>407 250</w:t>
            </w:r>
          </w:p>
        </w:tc>
        <w:tc>
          <w:tcPr>
            <w:tcW w:w="590" w:type="dxa"/>
            <w:tcBorders>
              <w:top w:val="single" w:sz="4" w:space="0" w:color="auto"/>
              <w:left w:val="nil"/>
              <w:bottom w:val="single" w:sz="4" w:space="0" w:color="auto"/>
              <w:right w:val="single" w:sz="4" w:space="0" w:color="auto"/>
            </w:tcBorders>
            <w:shd w:val="clear" w:color="auto" w:fill="auto"/>
          </w:tcPr>
          <w:p w14:paraId="457BCFAC" w14:textId="77777777" w:rsidR="009E1019" w:rsidRPr="00970661" w:rsidRDefault="009E1019" w:rsidP="00876646">
            <w:pPr>
              <w:jc w:val="right"/>
              <w:rPr>
                <w:color w:val="000000"/>
                <w:sz w:val="16"/>
              </w:rPr>
            </w:pPr>
            <w:r w:rsidRPr="00970661">
              <w:rPr>
                <w:color w:val="000000"/>
                <w:sz w:val="16"/>
                <w:szCs w:val="18"/>
                <w:lang w:eastAsia="en-CA"/>
              </w:rPr>
              <w:t>0</w:t>
            </w:r>
          </w:p>
        </w:tc>
        <w:tc>
          <w:tcPr>
            <w:tcW w:w="720" w:type="dxa"/>
            <w:tcBorders>
              <w:top w:val="single" w:sz="4" w:space="0" w:color="auto"/>
              <w:left w:val="nil"/>
              <w:bottom w:val="single" w:sz="4" w:space="0" w:color="auto"/>
              <w:right w:val="single" w:sz="4" w:space="0" w:color="auto"/>
            </w:tcBorders>
            <w:shd w:val="clear" w:color="auto" w:fill="auto"/>
          </w:tcPr>
          <w:p w14:paraId="39DAD1C0" w14:textId="77777777" w:rsidR="009E1019" w:rsidRPr="00970661" w:rsidRDefault="009E1019" w:rsidP="00876646">
            <w:pPr>
              <w:jc w:val="right"/>
              <w:rPr>
                <w:color w:val="000000"/>
                <w:sz w:val="16"/>
              </w:rPr>
            </w:pPr>
            <w:r w:rsidRPr="00970661">
              <w:rPr>
                <w:color w:val="000000"/>
                <w:sz w:val="16"/>
                <w:szCs w:val="18"/>
              </w:rPr>
              <w:t>255 500</w:t>
            </w:r>
          </w:p>
        </w:tc>
        <w:tc>
          <w:tcPr>
            <w:tcW w:w="544" w:type="dxa"/>
            <w:tcBorders>
              <w:top w:val="single" w:sz="4" w:space="0" w:color="auto"/>
              <w:left w:val="nil"/>
              <w:bottom w:val="single" w:sz="4" w:space="0" w:color="auto"/>
              <w:right w:val="single" w:sz="4" w:space="0" w:color="auto"/>
            </w:tcBorders>
            <w:shd w:val="clear" w:color="auto" w:fill="auto"/>
          </w:tcPr>
          <w:p w14:paraId="1AAD8B8B" w14:textId="77777777" w:rsidR="009E1019" w:rsidRPr="00970661" w:rsidRDefault="009E1019" w:rsidP="00876646">
            <w:pPr>
              <w:jc w:val="right"/>
              <w:rPr>
                <w:color w:val="000000"/>
                <w:sz w:val="16"/>
              </w:rPr>
            </w:pPr>
            <w:r w:rsidRPr="00970661">
              <w:rPr>
                <w:color w:val="000000"/>
                <w:sz w:val="16"/>
                <w:szCs w:val="18"/>
                <w:lang w:eastAsia="en-CA"/>
              </w:rPr>
              <w:t>0</w:t>
            </w:r>
          </w:p>
        </w:tc>
        <w:tc>
          <w:tcPr>
            <w:tcW w:w="896" w:type="dxa"/>
            <w:tcBorders>
              <w:top w:val="single" w:sz="4" w:space="0" w:color="auto"/>
              <w:left w:val="nil"/>
              <w:bottom w:val="single" w:sz="4" w:space="0" w:color="auto"/>
              <w:right w:val="single" w:sz="4" w:space="0" w:color="auto"/>
            </w:tcBorders>
            <w:shd w:val="clear" w:color="auto" w:fill="auto"/>
          </w:tcPr>
          <w:p w14:paraId="0ECF1057" w14:textId="77777777" w:rsidR="009E1019" w:rsidRPr="00970661" w:rsidRDefault="009E1019" w:rsidP="00876646">
            <w:pPr>
              <w:jc w:val="right"/>
              <w:rPr>
                <w:color w:val="000000"/>
                <w:sz w:val="16"/>
                <w:szCs w:val="18"/>
                <w:lang w:eastAsia="en-CA"/>
              </w:rPr>
            </w:pPr>
            <w:r w:rsidRPr="00970661">
              <w:rPr>
                <w:color w:val="000000"/>
                <w:sz w:val="16"/>
                <w:szCs w:val="18"/>
              </w:rPr>
              <w:t>214 500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B29FF7" w14:textId="77777777" w:rsidR="009E1019" w:rsidRPr="00970661" w:rsidRDefault="009E1019" w:rsidP="00876646">
            <w:pPr>
              <w:jc w:val="right"/>
              <w:rPr>
                <w:color w:val="000000"/>
                <w:sz w:val="16"/>
                <w:szCs w:val="18"/>
                <w:lang w:eastAsia="en-CA"/>
              </w:rPr>
            </w:pPr>
            <w:r w:rsidRPr="00970661">
              <w:rPr>
                <w:color w:val="000000"/>
                <w:sz w:val="16"/>
                <w:szCs w:val="18"/>
              </w:rPr>
              <w:t>1 170 000</w:t>
            </w:r>
          </w:p>
        </w:tc>
      </w:tr>
      <w:tr w:rsidR="009E1019" w:rsidRPr="00621514" w14:paraId="62B18D6B" w14:textId="77777777" w:rsidTr="00876646">
        <w:trPr>
          <w:trHeight w:val="62"/>
          <w:jc w:val="center"/>
        </w:trPr>
        <w:tc>
          <w:tcPr>
            <w:tcW w:w="0" w:type="auto"/>
            <w:tcBorders>
              <w:top w:val="nil"/>
              <w:left w:val="single" w:sz="4" w:space="0" w:color="auto"/>
              <w:bottom w:val="single" w:sz="4" w:space="0" w:color="auto"/>
              <w:right w:val="single" w:sz="4" w:space="0" w:color="auto"/>
            </w:tcBorders>
            <w:shd w:val="clear" w:color="auto" w:fill="auto"/>
            <w:hideMark/>
          </w:tcPr>
          <w:p w14:paraId="65290FCF" w14:textId="77777777" w:rsidR="009E1019" w:rsidRPr="00621514" w:rsidRDefault="009E1019" w:rsidP="00876646">
            <w:pPr>
              <w:rPr>
                <w:color w:val="000000"/>
                <w:sz w:val="18"/>
              </w:rPr>
            </w:pPr>
            <w:r w:rsidRPr="00621514">
              <w:rPr>
                <w:color w:val="000000"/>
                <w:sz w:val="18"/>
              </w:rPr>
              <w:t>3.2</w:t>
            </w:r>
          </w:p>
        </w:tc>
        <w:tc>
          <w:tcPr>
            <w:tcW w:w="3496" w:type="dxa"/>
            <w:tcBorders>
              <w:top w:val="single" w:sz="4" w:space="0" w:color="auto"/>
              <w:bottom w:val="single" w:sz="4" w:space="0" w:color="auto"/>
              <w:right w:val="single" w:sz="4" w:space="0" w:color="auto"/>
            </w:tcBorders>
          </w:tcPr>
          <w:p w14:paraId="7350581B" w14:textId="77777777" w:rsidR="009E1019" w:rsidRPr="00621514" w:rsidRDefault="009E1019" w:rsidP="00876646">
            <w:pPr>
              <w:jc w:val="left"/>
              <w:rPr>
                <w:sz w:val="18"/>
                <w:szCs w:val="20"/>
                <w:lang w:val="fr-CA" w:eastAsia="en-CA"/>
              </w:rPr>
            </w:pPr>
            <w:r w:rsidRPr="00621514">
              <w:rPr>
                <w:sz w:val="18"/>
                <w:szCs w:val="20"/>
                <w:lang w:val="fr-CA" w:eastAsia="en-CA"/>
              </w:rPr>
              <w:t>Total des coûts d’appui ($US)</w:t>
            </w:r>
          </w:p>
        </w:tc>
        <w:tc>
          <w:tcPr>
            <w:tcW w:w="711" w:type="dxa"/>
            <w:tcBorders>
              <w:top w:val="single" w:sz="4" w:space="0" w:color="auto"/>
              <w:left w:val="nil"/>
              <w:bottom w:val="single" w:sz="4" w:space="0" w:color="auto"/>
              <w:right w:val="single" w:sz="4" w:space="0" w:color="auto"/>
            </w:tcBorders>
            <w:shd w:val="clear" w:color="auto" w:fill="auto"/>
          </w:tcPr>
          <w:p w14:paraId="6C50F0D4" w14:textId="77777777" w:rsidR="009E1019" w:rsidRPr="00970661" w:rsidRDefault="009E1019" w:rsidP="00876646">
            <w:pPr>
              <w:jc w:val="right"/>
              <w:rPr>
                <w:color w:val="000000"/>
                <w:sz w:val="16"/>
              </w:rPr>
            </w:pPr>
            <w:r w:rsidRPr="00970661">
              <w:rPr>
                <w:color w:val="000000"/>
                <w:sz w:val="16"/>
                <w:szCs w:val="18"/>
              </w:rPr>
              <w:t>20 493</w:t>
            </w:r>
          </w:p>
        </w:tc>
        <w:tc>
          <w:tcPr>
            <w:tcW w:w="549" w:type="dxa"/>
            <w:tcBorders>
              <w:top w:val="single" w:sz="4" w:space="0" w:color="auto"/>
              <w:left w:val="nil"/>
              <w:bottom w:val="single" w:sz="4" w:space="0" w:color="auto"/>
              <w:right w:val="single" w:sz="4" w:space="0" w:color="auto"/>
            </w:tcBorders>
            <w:shd w:val="clear" w:color="auto" w:fill="auto"/>
          </w:tcPr>
          <w:p w14:paraId="7833D9F1" w14:textId="77777777" w:rsidR="009E1019" w:rsidRPr="00970661" w:rsidRDefault="009E1019" w:rsidP="00876646">
            <w:pPr>
              <w:jc w:val="right"/>
              <w:rPr>
                <w:color w:val="000000"/>
                <w:sz w:val="16"/>
              </w:rPr>
            </w:pPr>
            <w:r w:rsidRPr="00970661">
              <w:rPr>
                <w:color w:val="000000"/>
                <w:sz w:val="16"/>
                <w:szCs w:val="18"/>
                <w:lang w:eastAsia="en-CA"/>
              </w:rPr>
              <w:t>0</w:t>
            </w:r>
          </w:p>
        </w:tc>
        <w:tc>
          <w:tcPr>
            <w:tcW w:w="670" w:type="dxa"/>
            <w:tcBorders>
              <w:top w:val="single" w:sz="4" w:space="0" w:color="auto"/>
              <w:left w:val="nil"/>
              <w:bottom w:val="single" w:sz="4" w:space="0" w:color="auto"/>
              <w:right w:val="single" w:sz="4" w:space="0" w:color="auto"/>
            </w:tcBorders>
            <w:shd w:val="clear" w:color="auto" w:fill="auto"/>
          </w:tcPr>
          <w:p w14:paraId="783CE629" w14:textId="77777777" w:rsidR="009E1019" w:rsidRPr="00970661" w:rsidRDefault="009E1019" w:rsidP="00876646">
            <w:pPr>
              <w:jc w:val="right"/>
              <w:rPr>
                <w:color w:val="000000"/>
                <w:sz w:val="16"/>
              </w:rPr>
            </w:pPr>
            <w:r w:rsidRPr="00970661">
              <w:rPr>
                <w:color w:val="000000"/>
                <w:sz w:val="16"/>
                <w:szCs w:val="18"/>
              </w:rPr>
              <w:t>28 507</w:t>
            </w:r>
          </w:p>
        </w:tc>
        <w:tc>
          <w:tcPr>
            <w:tcW w:w="590" w:type="dxa"/>
            <w:tcBorders>
              <w:top w:val="single" w:sz="4" w:space="0" w:color="auto"/>
              <w:left w:val="nil"/>
              <w:bottom w:val="single" w:sz="4" w:space="0" w:color="auto"/>
              <w:right w:val="single" w:sz="4" w:space="0" w:color="auto"/>
            </w:tcBorders>
            <w:shd w:val="clear" w:color="auto" w:fill="auto"/>
          </w:tcPr>
          <w:p w14:paraId="5356BD96" w14:textId="77777777" w:rsidR="009E1019" w:rsidRPr="00970661" w:rsidRDefault="009E1019" w:rsidP="00876646">
            <w:pPr>
              <w:jc w:val="right"/>
              <w:rPr>
                <w:color w:val="000000"/>
                <w:sz w:val="16"/>
              </w:rPr>
            </w:pPr>
            <w:r w:rsidRPr="00970661">
              <w:rPr>
                <w:color w:val="000000"/>
                <w:sz w:val="16"/>
                <w:szCs w:val="18"/>
                <w:lang w:eastAsia="en-CA"/>
              </w:rPr>
              <w:t>0</w:t>
            </w:r>
          </w:p>
        </w:tc>
        <w:tc>
          <w:tcPr>
            <w:tcW w:w="720" w:type="dxa"/>
            <w:tcBorders>
              <w:top w:val="single" w:sz="4" w:space="0" w:color="auto"/>
              <w:left w:val="nil"/>
              <w:bottom w:val="single" w:sz="4" w:space="0" w:color="auto"/>
              <w:right w:val="single" w:sz="4" w:space="0" w:color="auto"/>
            </w:tcBorders>
            <w:shd w:val="clear" w:color="auto" w:fill="auto"/>
          </w:tcPr>
          <w:p w14:paraId="41B405B9" w14:textId="77777777" w:rsidR="009E1019" w:rsidRPr="00970661" w:rsidRDefault="009E1019" w:rsidP="00876646">
            <w:pPr>
              <w:jc w:val="right"/>
              <w:rPr>
                <w:color w:val="000000"/>
                <w:sz w:val="16"/>
              </w:rPr>
            </w:pPr>
            <w:r w:rsidRPr="00970661">
              <w:rPr>
                <w:color w:val="000000"/>
                <w:sz w:val="16"/>
                <w:szCs w:val="18"/>
              </w:rPr>
              <w:t>17 885</w:t>
            </w:r>
          </w:p>
        </w:tc>
        <w:tc>
          <w:tcPr>
            <w:tcW w:w="544" w:type="dxa"/>
            <w:tcBorders>
              <w:top w:val="single" w:sz="4" w:space="0" w:color="auto"/>
              <w:left w:val="nil"/>
              <w:bottom w:val="single" w:sz="4" w:space="0" w:color="auto"/>
              <w:right w:val="single" w:sz="4" w:space="0" w:color="auto"/>
            </w:tcBorders>
            <w:shd w:val="clear" w:color="auto" w:fill="auto"/>
          </w:tcPr>
          <w:p w14:paraId="324C6911" w14:textId="77777777" w:rsidR="009E1019" w:rsidRPr="00970661" w:rsidRDefault="009E1019" w:rsidP="00876646">
            <w:pPr>
              <w:jc w:val="right"/>
              <w:rPr>
                <w:color w:val="000000"/>
                <w:sz w:val="16"/>
              </w:rPr>
            </w:pPr>
            <w:r w:rsidRPr="00970661">
              <w:rPr>
                <w:color w:val="000000"/>
                <w:sz w:val="16"/>
                <w:szCs w:val="18"/>
                <w:lang w:eastAsia="en-CA"/>
              </w:rPr>
              <w:t>0</w:t>
            </w:r>
          </w:p>
        </w:tc>
        <w:tc>
          <w:tcPr>
            <w:tcW w:w="896" w:type="dxa"/>
            <w:tcBorders>
              <w:top w:val="single" w:sz="4" w:space="0" w:color="auto"/>
              <w:left w:val="nil"/>
              <w:bottom w:val="single" w:sz="4" w:space="0" w:color="auto"/>
              <w:right w:val="single" w:sz="4" w:space="0" w:color="auto"/>
            </w:tcBorders>
            <w:shd w:val="clear" w:color="auto" w:fill="auto"/>
          </w:tcPr>
          <w:p w14:paraId="3867895E" w14:textId="77777777" w:rsidR="009E1019" w:rsidRPr="00970661" w:rsidRDefault="009E1019" w:rsidP="00876646">
            <w:pPr>
              <w:jc w:val="right"/>
              <w:rPr>
                <w:color w:val="000000"/>
                <w:sz w:val="16"/>
                <w:szCs w:val="18"/>
                <w:lang w:eastAsia="en-CA"/>
              </w:rPr>
            </w:pPr>
            <w:r w:rsidRPr="00970661">
              <w:rPr>
                <w:color w:val="000000"/>
                <w:sz w:val="16"/>
                <w:szCs w:val="18"/>
              </w:rPr>
              <w:t>15 015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0DACF8" w14:textId="77777777" w:rsidR="009E1019" w:rsidRPr="00970661" w:rsidRDefault="009E1019" w:rsidP="00876646">
            <w:pPr>
              <w:jc w:val="right"/>
              <w:rPr>
                <w:color w:val="000000"/>
                <w:sz w:val="16"/>
                <w:szCs w:val="18"/>
                <w:lang w:eastAsia="en-CA"/>
              </w:rPr>
            </w:pPr>
            <w:r w:rsidRPr="00970661">
              <w:rPr>
                <w:color w:val="000000"/>
                <w:sz w:val="16"/>
                <w:szCs w:val="18"/>
              </w:rPr>
              <w:t>81 900</w:t>
            </w:r>
          </w:p>
        </w:tc>
      </w:tr>
      <w:tr w:rsidR="009E1019" w:rsidRPr="00621514" w14:paraId="78CDA401" w14:textId="77777777" w:rsidTr="00876646">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508B2E4B" w14:textId="77777777" w:rsidR="009E1019" w:rsidRPr="00621514" w:rsidRDefault="009E1019" w:rsidP="00876646">
            <w:pPr>
              <w:rPr>
                <w:color w:val="000000"/>
                <w:sz w:val="18"/>
              </w:rPr>
            </w:pPr>
            <w:r w:rsidRPr="00621514">
              <w:rPr>
                <w:color w:val="000000"/>
                <w:sz w:val="18"/>
              </w:rPr>
              <w:t>3.3</w:t>
            </w:r>
          </w:p>
        </w:tc>
        <w:tc>
          <w:tcPr>
            <w:tcW w:w="3496" w:type="dxa"/>
            <w:tcBorders>
              <w:top w:val="single" w:sz="4" w:space="0" w:color="auto"/>
              <w:bottom w:val="single" w:sz="4" w:space="0" w:color="auto"/>
              <w:right w:val="single" w:sz="4" w:space="0" w:color="auto"/>
            </w:tcBorders>
            <w:hideMark/>
          </w:tcPr>
          <w:p w14:paraId="067BC6B8" w14:textId="77777777" w:rsidR="009E1019" w:rsidRPr="00621514" w:rsidRDefault="009E1019" w:rsidP="00876646">
            <w:pPr>
              <w:jc w:val="left"/>
              <w:rPr>
                <w:sz w:val="18"/>
                <w:szCs w:val="20"/>
                <w:lang w:val="fr-CA" w:eastAsia="en-CA"/>
              </w:rPr>
            </w:pPr>
            <w:r w:rsidRPr="00621514">
              <w:rPr>
                <w:sz w:val="18"/>
                <w:szCs w:val="20"/>
                <w:lang w:val="fr-CA" w:eastAsia="en-CA"/>
              </w:rPr>
              <w:t>Total des coûts convenus ($US)</w:t>
            </w:r>
          </w:p>
        </w:tc>
        <w:tc>
          <w:tcPr>
            <w:tcW w:w="711" w:type="dxa"/>
            <w:tcBorders>
              <w:top w:val="single" w:sz="4" w:space="0" w:color="auto"/>
              <w:left w:val="nil"/>
              <w:bottom w:val="single" w:sz="4" w:space="0" w:color="auto"/>
              <w:right w:val="single" w:sz="4" w:space="0" w:color="auto"/>
            </w:tcBorders>
            <w:shd w:val="clear" w:color="auto" w:fill="auto"/>
          </w:tcPr>
          <w:p w14:paraId="558341A8" w14:textId="77777777" w:rsidR="009E1019" w:rsidRPr="00970661" w:rsidRDefault="009E1019" w:rsidP="00876646">
            <w:pPr>
              <w:jc w:val="right"/>
              <w:rPr>
                <w:color w:val="000000"/>
                <w:sz w:val="16"/>
              </w:rPr>
            </w:pPr>
            <w:r w:rsidRPr="00970661">
              <w:rPr>
                <w:color w:val="000000"/>
                <w:sz w:val="16"/>
                <w:szCs w:val="18"/>
              </w:rPr>
              <w:t>313 243</w:t>
            </w:r>
          </w:p>
        </w:tc>
        <w:tc>
          <w:tcPr>
            <w:tcW w:w="549" w:type="dxa"/>
            <w:tcBorders>
              <w:top w:val="single" w:sz="4" w:space="0" w:color="auto"/>
              <w:left w:val="nil"/>
              <w:bottom w:val="single" w:sz="4" w:space="0" w:color="auto"/>
              <w:right w:val="single" w:sz="4" w:space="0" w:color="auto"/>
            </w:tcBorders>
            <w:shd w:val="clear" w:color="auto" w:fill="auto"/>
          </w:tcPr>
          <w:p w14:paraId="277AA871" w14:textId="77777777" w:rsidR="009E1019" w:rsidRPr="00970661" w:rsidRDefault="009E1019" w:rsidP="00876646">
            <w:pPr>
              <w:jc w:val="right"/>
              <w:rPr>
                <w:color w:val="000000"/>
                <w:sz w:val="16"/>
              </w:rPr>
            </w:pPr>
            <w:r w:rsidRPr="00970661">
              <w:rPr>
                <w:color w:val="000000"/>
                <w:sz w:val="16"/>
                <w:szCs w:val="18"/>
                <w:lang w:eastAsia="en-CA"/>
              </w:rPr>
              <w:t>0</w:t>
            </w:r>
          </w:p>
        </w:tc>
        <w:tc>
          <w:tcPr>
            <w:tcW w:w="670" w:type="dxa"/>
            <w:tcBorders>
              <w:top w:val="single" w:sz="4" w:space="0" w:color="auto"/>
              <w:left w:val="nil"/>
              <w:bottom w:val="single" w:sz="4" w:space="0" w:color="auto"/>
              <w:right w:val="single" w:sz="4" w:space="0" w:color="auto"/>
            </w:tcBorders>
            <w:shd w:val="clear" w:color="auto" w:fill="auto"/>
          </w:tcPr>
          <w:p w14:paraId="279CCBCC" w14:textId="77777777" w:rsidR="009E1019" w:rsidRPr="00970661" w:rsidRDefault="009E1019" w:rsidP="00876646">
            <w:pPr>
              <w:jc w:val="right"/>
              <w:rPr>
                <w:color w:val="000000"/>
                <w:sz w:val="16"/>
              </w:rPr>
            </w:pPr>
            <w:r w:rsidRPr="00970661">
              <w:rPr>
                <w:color w:val="000000"/>
                <w:sz w:val="16"/>
                <w:szCs w:val="18"/>
              </w:rPr>
              <w:t>435 757</w:t>
            </w:r>
          </w:p>
        </w:tc>
        <w:tc>
          <w:tcPr>
            <w:tcW w:w="590" w:type="dxa"/>
            <w:tcBorders>
              <w:top w:val="single" w:sz="4" w:space="0" w:color="auto"/>
              <w:left w:val="nil"/>
              <w:bottom w:val="single" w:sz="4" w:space="0" w:color="auto"/>
              <w:right w:val="single" w:sz="4" w:space="0" w:color="auto"/>
            </w:tcBorders>
            <w:shd w:val="clear" w:color="auto" w:fill="auto"/>
          </w:tcPr>
          <w:p w14:paraId="4543154B" w14:textId="77777777" w:rsidR="009E1019" w:rsidRPr="00970661" w:rsidRDefault="009E1019" w:rsidP="00876646">
            <w:pPr>
              <w:jc w:val="right"/>
              <w:rPr>
                <w:color w:val="000000"/>
                <w:sz w:val="16"/>
              </w:rPr>
            </w:pPr>
            <w:r w:rsidRPr="00970661">
              <w:rPr>
                <w:color w:val="000000"/>
                <w:sz w:val="16"/>
                <w:szCs w:val="18"/>
                <w:lang w:eastAsia="en-CA"/>
              </w:rPr>
              <w:t>0</w:t>
            </w:r>
          </w:p>
        </w:tc>
        <w:tc>
          <w:tcPr>
            <w:tcW w:w="720" w:type="dxa"/>
            <w:tcBorders>
              <w:top w:val="single" w:sz="4" w:space="0" w:color="auto"/>
              <w:left w:val="nil"/>
              <w:bottom w:val="single" w:sz="4" w:space="0" w:color="auto"/>
              <w:right w:val="single" w:sz="4" w:space="0" w:color="auto"/>
            </w:tcBorders>
            <w:shd w:val="clear" w:color="auto" w:fill="auto"/>
          </w:tcPr>
          <w:p w14:paraId="3994C353" w14:textId="77777777" w:rsidR="009E1019" w:rsidRPr="00970661" w:rsidRDefault="009E1019" w:rsidP="00876646">
            <w:pPr>
              <w:jc w:val="right"/>
              <w:rPr>
                <w:color w:val="000000"/>
                <w:sz w:val="16"/>
              </w:rPr>
            </w:pPr>
            <w:r w:rsidRPr="00970661">
              <w:rPr>
                <w:color w:val="000000"/>
                <w:sz w:val="16"/>
                <w:szCs w:val="18"/>
              </w:rPr>
              <w:t>273 385</w:t>
            </w:r>
          </w:p>
        </w:tc>
        <w:tc>
          <w:tcPr>
            <w:tcW w:w="544" w:type="dxa"/>
            <w:tcBorders>
              <w:top w:val="single" w:sz="4" w:space="0" w:color="auto"/>
              <w:left w:val="nil"/>
              <w:bottom w:val="single" w:sz="4" w:space="0" w:color="auto"/>
              <w:right w:val="single" w:sz="4" w:space="0" w:color="auto"/>
            </w:tcBorders>
            <w:shd w:val="clear" w:color="auto" w:fill="auto"/>
          </w:tcPr>
          <w:p w14:paraId="1B162245" w14:textId="77777777" w:rsidR="009E1019" w:rsidRPr="00970661" w:rsidRDefault="009E1019" w:rsidP="00876646">
            <w:pPr>
              <w:jc w:val="right"/>
              <w:rPr>
                <w:color w:val="000000"/>
                <w:sz w:val="16"/>
              </w:rPr>
            </w:pPr>
            <w:r w:rsidRPr="00970661">
              <w:rPr>
                <w:color w:val="000000"/>
                <w:sz w:val="16"/>
                <w:szCs w:val="18"/>
                <w:lang w:eastAsia="en-CA"/>
              </w:rPr>
              <w:t>0</w:t>
            </w:r>
          </w:p>
        </w:tc>
        <w:tc>
          <w:tcPr>
            <w:tcW w:w="896" w:type="dxa"/>
            <w:tcBorders>
              <w:top w:val="single" w:sz="4" w:space="0" w:color="auto"/>
              <w:left w:val="nil"/>
              <w:bottom w:val="single" w:sz="4" w:space="0" w:color="auto"/>
              <w:right w:val="single" w:sz="4" w:space="0" w:color="auto"/>
            </w:tcBorders>
            <w:shd w:val="clear" w:color="auto" w:fill="auto"/>
          </w:tcPr>
          <w:p w14:paraId="3B2D5FBF" w14:textId="77777777" w:rsidR="009E1019" w:rsidRPr="00970661" w:rsidRDefault="009E1019" w:rsidP="00876646">
            <w:pPr>
              <w:jc w:val="right"/>
              <w:rPr>
                <w:color w:val="000000"/>
                <w:sz w:val="16"/>
                <w:szCs w:val="18"/>
                <w:lang w:eastAsia="en-CA"/>
              </w:rPr>
            </w:pPr>
            <w:r w:rsidRPr="00970661">
              <w:rPr>
                <w:color w:val="000000"/>
                <w:sz w:val="16"/>
                <w:szCs w:val="18"/>
              </w:rPr>
              <w:t>229 515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BF0272" w14:textId="77777777" w:rsidR="009E1019" w:rsidRPr="00970661" w:rsidRDefault="009E1019" w:rsidP="00876646">
            <w:pPr>
              <w:jc w:val="right"/>
              <w:rPr>
                <w:color w:val="000000"/>
                <w:sz w:val="16"/>
                <w:szCs w:val="18"/>
                <w:lang w:eastAsia="en-CA"/>
              </w:rPr>
            </w:pPr>
            <w:r w:rsidRPr="00970661">
              <w:rPr>
                <w:color w:val="000000"/>
                <w:sz w:val="16"/>
                <w:szCs w:val="18"/>
              </w:rPr>
              <w:t>1 251 900</w:t>
            </w:r>
          </w:p>
        </w:tc>
      </w:tr>
      <w:tr w:rsidR="009E1019" w:rsidRPr="00621514" w14:paraId="0FF9BFF0" w14:textId="77777777" w:rsidTr="00876646">
        <w:trPr>
          <w:trHeight w:val="53"/>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19BD58" w14:textId="77777777" w:rsidR="009E1019" w:rsidRPr="00621514" w:rsidRDefault="009E1019" w:rsidP="00876646">
            <w:pPr>
              <w:rPr>
                <w:color w:val="000000"/>
                <w:sz w:val="18"/>
              </w:rPr>
            </w:pPr>
            <w:r w:rsidRPr="00621514">
              <w:rPr>
                <w:color w:val="000000"/>
                <w:sz w:val="18"/>
              </w:rPr>
              <w:t>4.1.1</w:t>
            </w:r>
          </w:p>
        </w:tc>
        <w:tc>
          <w:tcPr>
            <w:tcW w:w="8176" w:type="dxa"/>
            <w:gridSpan w:val="8"/>
            <w:tcBorders>
              <w:top w:val="single" w:sz="4" w:space="0" w:color="auto"/>
              <w:left w:val="nil"/>
              <w:bottom w:val="single" w:sz="4" w:space="0" w:color="auto"/>
              <w:right w:val="single" w:sz="4" w:space="0" w:color="auto"/>
            </w:tcBorders>
            <w:shd w:val="clear" w:color="auto" w:fill="auto"/>
            <w:vAlign w:val="center"/>
            <w:hideMark/>
          </w:tcPr>
          <w:p w14:paraId="6A81798F" w14:textId="77777777" w:rsidR="009E1019" w:rsidRPr="00621514" w:rsidRDefault="009E1019" w:rsidP="00876646">
            <w:pPr>
              <w:jc w:val="left"/>
              <w:rPr>
                <w:color w:val="000000"/>
                <w:sz w:val="18"/>
                <w:lang w:val="fr-CA"/>
              </w:rPr>
            </w:pPr>
            <w:r w:rsidRPr="00621514">
              <w:rPr>
                <w:sz w:val="18"/>
                <w:szCs w:val="20"/>
                <w:lang w:val="fr-CA" w:eastAsia="en-CA"/>
              </w:rPr>
              <w:t xml:space="preserve">Élimination totale du </w:t>
            </w:r>
            <w:r w:rsidRPr="00621514">
              <w:rPr>
                <w:color w:val="000000"/>
                <w:sz w:val="18"/>
                <w:szCs w:val="18"/>
                <w:lang w:val="fr-CA" w:eastAsia="en-CA"/>
              </w:rPr>
              <w:t>HCFC-22</w:t>
            </w:r>
            <w:r w:rsidRPr="00621514">
              <w:rPr>
                <w:color w:val="000000"/>
                <w:sz w:val="18"/>
                <w:lang w:val="fr-CA"/>
              </w:rPr>
              <w:t xml:space="preserve"> </w:t>
            </w:r>
            <w:r w:rsidRPr="00621514">
              <w:rPr>
                <w:sz w:val="18"/>
                <w:szCs w:val="20"/>
                <w:lang w:val="fr-CA" w:eastAsia="en-CA"/>
              </w:rPr>
              <w:t xml:space="preserve">convenue aux termes du présent Accord (tonnes PAO)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2163AE" w14:textId="77777777" w:rsidR="009E1019" w:rsidRPr="00970661" w:rsidRDefault="009E1019" w:rsidP="00876646">
            <w:pPr>
              <w:jc w:val="right"/>
              <w:rPr>
                <w:color w:val="000000"/>
                <w:sz w:val="16"/>
              </w:rPr>
            </w:pPr>
            <w:r w:rsidRPr="00970661">
              <w:rPr>
                <w:color w:val="000000"/>
                <w:sz w:val="16"/>
                <w:szCs w:val="18"/>
                <w:lang w:eastAsia="es-CO"/>
              </w:rPr>
              <w:t>13,66</w:t>
            </w:r>
          </w:p>
        </w:tc>
      </w:tr>
      <w:tr w:rsidR="009E1019" w:rsidRPr="00621514" w14:paraId="7B661853" w14:textId="77777777" w:rsidTr="00876646">
        <w:trPr>
          <w:trHeight w:val="116"/>
          <w:jc w:val="center"/>
        </w:trPr>
        <w:tc>
          <w:tcPr>
            <w:tcW w:w="0" w:type="auto"/>
            <w:tcBorders>
              <w:top w:val="nil"/>
              <w:left w:val="single" w:sz="4" w:space="0" w:color="auto"/>
              <w:bottom w:val="single" w:sz="4" w:space="0" w:color="auto"/>
              <w:right w:val="single" w:sz="4" w:space="0" w:color="auto"/>
            </w:tcBorders>
            <w:shd w:val="clear" w:color="auto" w:fill="auto"/>
            <w:hideMark/>
          </w:tcPr>
          <w:p w14:paraId="7B4516BA" w14:textId="77777777" w:rsidR="009E1019" w:rsidRPr="00621514" w:rsidRDefault="009E1019" w:rsidP="00876646">
            <w:pPr>
              <w:rPr>
                <w:color w:val="000000"/>
                <w:sz w:val="18"/>
              </w:rPr>
            </w:pPr>
            <w:r w:rsidRPr="00621514">
              <w:rPr>
                <w:color w:val="000000"/>
                <w:sz w:val="18"/>
              </w:rPr>
              <w:t>4.1.2</w:t>
            </w:r>
          </w:p>
        </w:tc>
        <w:tc>
          <w:tcPr>
            <w:tcW w:w="8176" w:type="dxa"/>
            <w:gridSpan w:val="8"/>
            <w:tcBorders>
              <w:top w:val="single" w:sz="4" w:space="0" w:color="auto"/>
              <w:left w:val="nil"/>
              <w:bottom w:val="single" w:sz="4" w:space="0" w:color="auto"/>
              <w:right w:val="single" w:sz="4" w:space="0" w:color="000000"/>
            </w:tcBorders>
            <w:shd w:val="clear" w:color="auto" w:fill="auto"/>
            <w:vAlign w:val="center"/>
            <w:hideMark/>
          </w:tcPr>
          <w:p w14:paraId="2485D4C9" w14:textId="77777777" w:rsidR="009E1019" w:rsidRPr="00621514" w:rsidRDefault="009E1019" w:rsidP="00876646">
            <w:pPr>
              <w:jc w:val="left"/>
              <w:rPr>
                <w:sz w:val="18"/>
                <w:szCs w:val="20"/>
                <w:lang w:val="fr-CA" w:eastAsia="en-CA"/>
              </w:rPr>
            </w:pPr>
            <w:r w:rsidRPr="00621514">
              <w:rPr>
                <w:sz w:val="18"/>
                <w:szCs w:val="20"/>
                <w:lang w:val="fr-CA" w:eastAsia="en-CA"/>
              </w:rPr>
              <w:t>Élimination du HCFC-22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FFFFFF" w:themeFill="background1"/>
            <w:vAlign w:val="center"/>
          </w:tcPr>
          <w:p w14:paraId="3D40D632" w14:textId="77777777" w:rsidR="009E1019" w:rsidRPr="00970661" w:rsidRDefault="009E1019" w:rsidP="00876646">
            <w:pPr>
              <w:jc w:val="right"/>
              <w:rPr>
                <w:color w:val="000000"/>
                <w:sz w:val="16"/>
              </w:rPr>
            </w:pPr>
            <w:r w:rsidRPr="00970661">
              <w:rPr>
                <w:color w:val="000000"/>
                <w:sz w:val="16"/>
                <w:szCs w:val="18"/>
                <w:lang w:eastAsia="es-CO"/>
              </w:rPr>
              <w:t>7,36</w:t>
            </w:r>
          </w:p>
        </w:tc>
      </w:tr>
      <w:tr w:rsidR="009E1019" w:rsidRPr="00621514" w14:paraId="05E72AD9" w14:textId="77777777" w:rsidTr="00876646">
        <w:trPr>
          <w:trHeight w:val="98"/>
          <w:jc w:val="center"/>
        </w:trPr>
        <w:tc>
          <w:tcPr>
            <w:tcW w:w="0" w:type="auto"/>
            <w:tcBorders>
              <w:top w:val="nil"/>
              <w:left w:val="single" w:sz="4" w:space="0" w:color="auto"/>
              <w:bottom w:val="single" w:sz="4" w:space="0" w:color="auto"/>
              <w:right w:val="single" w:sz="4" w:space="0" w:color="auto"/>
            </w:tcBorders>
            <w:shd w:val="clear" w:color="auto" w:fill="auto"/>
            <w:hideMark/>
          </w:tcPr>
          <w:p w14:paraId="16C01207" w14:textId="77777777" w:rsidR="009E1019" w:rsidRPr="00621514" w:rsidRDefault="009E1019" w:rsidP="00876646">
            <w:pPr>
              <w:rPr>
                <w:color w:val="000000"/>
                <w:sz w:val="18"/>
              </w:rPr>
            </w:pPr>
            <w:r w:rsidRPr="00621514">
              <w:rPr>
                <w:color w:val="000000"/>
                <w:sz w:val="18"/>
              </w:rPr>
              <w:t>4.1.3</w:t>
            </w:r>
          </w:p>
        </w:tc>
        <w:tc>
          <w:tcPr>
            <w:tcW w:w="8176" w:type="dxa"/>
            <w:gridSpan w:val="8"/>
            <w:tcBorders>
              <w:top w:val="single" w:sz="4" w:space="0" w:color="auto"/>
              <w:left w:val="nil"/>
              <w:bottom w:val="single" w:sz="4" w:space="0" w:color="auto"/>
              <w:right w:val="single" w:sz="4" w:space="0" w:color="000000"/>
            </w:tcBorders>
            <w:shd w:val="clear" w:color="auto" w:fill="auto"/>
            <w:vAlign w:val="center"/>
            <w:hideMark/>
          </w:tcPr>
          <w:p w14:paraId="61806358" w14:textId="77777777" w:rsidR="009E1019" w:rsidRPr="00621514" w:rsidRDefault="009E1019" w:rsidP="00876646">
            <w:pPr>
              <w:jc w:val="left"/>
              <w:rPr>
                <w:sz w:val="18"/>
                <w:szCs w:val="20"/>
                <w:lang w:val="fr-CA" w:eastAsia="en-CA"/>
              </w:rPr>
            </w:pPr>
            <w:r w:rsidRPr="00621514">
              <w:rPr>
                <w:sz w:val="18"/>
                <w:szCs w:val="20"/>
                <w:lang w:val="fr-CA" w:eastAsia="en-CA"/>
              </w:rPr>
              <w:t>Consommation restante admissible de HCFC-22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157007C7" w14:textId="77777777" w:rsidR="009E1019" w:rsidRPr="00970661" w:rsidRDefault="009E1019" w:rsidP="00876646">
            <w:pPr>
              <w:jc w:val="right"/>
              <w:rPr>
                <w:color w:val="000000"/>
                <w:sz w:val="16"/>
              </w:rPr>
            </w:pPr>
            <w:r w:rsidRPr="00970661">
              <w:rPr>
                <w:color w:val="000000"/>
                <w:sz w:val="16"/>
                <w:szCs w:val="18"/>
                <w:lang w:eastAsia="en-CA"/>
              </w:rPr>
              <w:t>0</w:t>
            </w:r>
          </w:p>
        </w:tc>
      </w:tr>
      <w:tr w:rsidR="009E1019" w:rsidRPr="00621514" w14:paraId="5F7D06F0" w14:textId="77777777" w:rsidTr="00876646">
        <w:trPr>
          <w:trHeight w:val="89"/>
          <w:jc w:val="center"/>
        </w:trPr>
        <w:tc>
          <w:tcPr>
            <w:tcW w:w="0" w:type="auto"/>
            <w:tcBorders>
              <w:top w:val="nil"/>
              <w:left w:val="single" w:sz="4" w:space="0" w:color="auto"/>
              <w:bottom w:val="single" w:sz="4" w:space="0" w:color="auto"/>
              <w:right w:val="single" w:sz="4" w:space="0" w:color="auto"/>
            </w:tcBorders>
            <w:shd w:val="clear" w:color="auto" w:fill="auto"/>
            <w:hideMark/>
          </w:tcPr>
          <w:p w14:paraId="10637A3C" w14:textId="77777777" w:rsidR="009E1019" w:rsidRPr="00621514" w:rsidRDefault="009E1019" w:rsidP="00876646">
            <w:pPr>
              <w:rPr>
                <w:color w:val="000000"/>
                <w:sz w:val="18"/>
              </w:rPr>
            </w:pPr>
            <w:r w:rsidRPr="00621514">
              <w:rPr>
                <w:color w:val="000000"/>
                <w:sz w:val="18"/>
              </w:rPr>
              <w:t>4.2.1</w:t>
            </w:r>
          </w:p>
        </w:tc>
        <w:tc>
          <w:tcPr>
            <w:tcW w:w="8176" w:type="dxa"/>
            <w:gridSpan w:val="8"/>
            <w:tcBorders>
              <w:top w:val="single" w:sz="4" w:space="0" w:color="auto"/>
              <w:left w:val="nil"/>
              <w:bottom w:val="single" w:sz="4" w:space="0" w:color="auto"/>
              <w:right w:val="single" w:sz="4" w:space="0" w:color="auto"/>
            </w:tcBorders>
            <w:shd w:val="clear" w:color="auto" w:fill="auto"/>
            <w:vAlign w:val="center"/>
            <w:hideMark/>
          </w:tcPr>
          <w:p w14:paraId="53551A80" w14:textId="77777777" w:rsidR="009E1019" w:rsidRPr="00621514" w:rsidRDefault="009E1019" w:rsidP="00876646">
            <w:pPr>
              <w:jc w:val="left"/>
              <w:rPr>
                <w:color w:val="000000"/>
                <w:sz w:val="18"/>
                <w:lang w:val="fr-CA"/>
              </w:rPr>
            </w:pPr>
            <w:r w:rsidRPr="00621514">
              <w:rPr>
                <w:sz w:val="18"/>
                <w:szCs w:val="20"/>
                <w:lang w:val="fr-CA" w:eastAsia="en-CA"/>
              </w:rPr>
              <w:t xml:space="preserve">Élimination totale du </w:t>
            </w:r>
            <w:r w:rsidRPr="00621514">
              <w:rPr>
                <w:color w:val="000000"/>
                <w:sz w:val="18"/>
                <w:szCs w:val="18"/>
                <w:lang w:val="fr-CA" w:eastAsia="en-CA"/>
              </w:rPr>
              <w:t>HCFC-141b</w:t>
            </w:r>
            <w:r w:rsidRPr="00621514">
              <w:rPr>
                <w:color w:val="000000"/>
                <w:sz w:val="18"/>
                <w:lang w:val="fr-CA"/>
              </w:rPr>
              <w:t xml:space="preserve"> </w:t>
            </w:r>
            <w:r w:rsidRPr="00621514">
              <w:rPr>
                <w:sz w:val="18"/>
                <w:szCs w:val="20"/>
                <w:lang w:val="fr-CA" w:eastAsia="en-CA"/>
              </w:rPr>
              <w:t xml:space="preserve">convenue aux termes du présent Accord (tonnes PAO) </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02E67E04" w14:textId="77777777" w:rsidR="009E1019" w:rsidRPr="00970661" w:rsidRDefault="009E1019" w:rsidP="00876646">
            <w:pPr>
              <w:jc w:val="right"/>
              <w:rPr>
                <w:color w:val="000000"/>
                <w:sz w:val="16"/>
              </w:rPr>
            </w:pPr>
            <w:r w:rsidRPr="00970661">
              <w:rPr>
                <w:color w:val="000000"/>
                <w:sz w:val="16"/>
                <w:szCs w:val="18"/>
                <w:lang w:eastAsia="en-CA"/>
              </w:rPr>
              <w:t>0</w:t>
            </w:r>
          </w:p>
        </w:tc>
      </w:tr>
      <w:tr w:rsidR="009E1019" w:rsidRPr="00621514" w14:paraId="26B8E679" w14:textId="77777777" w:rsidTr="00876646">
        <w:trPr>
          <w:trHeight w:val="71"/>
          <w:jc w:val="center"/>
        </w:trPr>
        <w:tc>
          <w:tcPr>
            <w:tcW w:w="0" w:type="auto"/>
            <w:tcBorders>
              <w:top w:val="nil"/>
              <w:left w:val="single" w:sz="4" w:space="0" w:color="auto"/>
              <w:bottom w:val="single" w:sz="4" w:space="0" w:color="auto"/>
              <w:right w:val="single" w:sz="4" w:space="0" w:color="auto"/>
            </w:tcBorders>
            <w:shd w:val="clear" w:color="auto" w:fill="auto"/>
            <w:hideMark/>
          </w:tcPr>
          <w:p w14:paraId="5A801AD3" w14:textId="77777777" w:rsidR="009E1019" w:rsidRPr="00621514" w:rsidRDefault="009E1019" w:rsidP="00876646">
            <w:pPr>
              <w:rPr>
                <w:color w:val="000000"/>
                <w:sz w:val="18"/>
              </w:rPr>
            </w:pPr>
            <w:r w:rsidRPr="00621514">
              <w:rPr>
                <w:color w:val="000000"/>
                <w:sz w:val="18"/>
              </w:rPr>
              <w:t>4.2.2</w:t>
            </w:r>
          </w:p>
        </w:tc>
        <w:tc>
          <w:tcPr>
            <w:tcW w:w="8176" w:type="dxa"/>
            <w:gridSpan w:val="8"/>
            <w:tcBorders>
              <w:top w:val="single" w:sz="4" w:space="0" w:color="auto"/>
              <w:left w:val="nil"/>
              <w:bottom w:val="single" w:sz="4" w:space="0" w:color="auto"/>
              <w:right w:val="single" w:sz="4" w:space="0" w:color="000000"/>
            </w:tcBorders>
            <w:shd w:val="clear" w:color="auto" w:fill="auto"/>
            <w:vAlign w:val="center"/>
            <w:hideMark/>
          </w:tcPr>
          <w:p w14:paraId="7F92083C" w14:textId="77777777" w:rsidR="009E1019" w:rsidRPr="00621514" w:rsidRDefault="009E1019" w:rsidP="00876646">
            <w:pPr>
              <w:jc w:val="left"/>
              <w:rPr>
                <w:sz w:val="18"/>
                <w:szCs w:val="20"/>
                <w:lang w:val="fr-CA" w:eastAsia="en-CA"/>
              </w:rPr>
            </w:pPr>
            <w:r w:rsidRPr="00621514">
              <w:rPr>
                <w:sz w:val="18"/>
                <w:szCs w:val="20"/>
                <w:lang w:val="fr-CA" w:eastAsia="en-CA"/>
              </w:rPr>
              <w:t>Élimination du HCFC-141b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2052E21B" w14:textId="77777777" w:rsidR="009E1019" w:rsidRPr="00970661" w:rsidRDefault="009E1019" w:rsidP="00876646">
            <w:pPr>
              <w:jc w:val="right"/>
              <w:rPr>
                <w:color w:val="000000"/>
                <w:sz w:val="16"/>
              </w:rPr>
            </w:pPr>
            <w:r w:rsidRPr="00970661">
              <w:rPr>
                <w:sz w:val="16"/>
                <w:szCs w:val="18"/>
              </w:rPr>
              <w:t>0,86</w:t>
            </w:r>
          </w:p>
        </w:tc>
      </w:tr>
      <w:tr w:rsidR="009E1019" w:rsidRPr="00621514" w14:paraId="50DE233D"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hideMark/>
          </w:tcPr>
          <w:p w14:paraId="1E6E806F" w14:textId="77777777" w:rsidR="009E1019" w:rsidRPr="00621514" w:rsidRDefault="009E1019" w:rsidP="00876646">
            <w:pPr>
              <w:rPr>
                <w:color w:val="000000"/>
                <w:sz w:val="18"/>
              </w:rPr>
            </w:pPr>
            <w:r w:rsidRPr="00621514">
              <w:rPr>
                <w:color w:val="000000"/>
                <w:sz w:val="18"/>
              </w:rPr>
              <w:t>4.2.3</w:t>
            </w:r>
          </w:p>
        </w:tc>
        <w:tc>
          <w:tcPr>
            <w:tcW w:w="8176" w:type="dxa"/>
            <w:gridSpan w:val="8"/>
            <w:tcBorders>
              <w:top w:val="single" w:sz="4" w:space="0" w:color="auto"/>
              <w:left w:val="nil"/>
              <w:bottom w:val="single" w:sz="4" w:space="0" w:color="auto"/>
              <w:right w:val="single" w:sz="4" w:space="0" w:color="000000"/>
            </w:tcBorders>
            <w:shd w:val="clear" w:color="auto" w:fill="auto"/>
            <w:vAlign w:val="center"/>
            <w:hideMark/>
          </w:tcPr>
          <w:p w14:paraId="1041D8F3" w14:textId="77777777" w:rsidR="009E1019" w:rsidRPr="00621514" w:rsidRDefault="009E1019" w:rsidP="00876646">
            <w:pPr>
              <w:jc w:val="left"/>
              <w:rPr>
                <w:sz w:val="18"/>
                <w:szCs w:val="20"/>
                <w:lang w:val="fr-CA" w:eastAsia="en-CA"/>
              </w:rPr>
            </w:pPr>
            <w:r w:rsidRPr="00621514">
              <w:rPr>
                <w:sz w:val="18"/>
                <w:szCs w:val="20"/>
                <w:lang w:val="fr-CA" w:eastAsia="en-CA"/>
              </w:rPr>
              <w:t>Consommation restante admissible de HCFC-141b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492CA5B6" w14:textId="77777777" w:rsidR="009E1019" w:rsidRPr="00970661" w:rsidRDefault="009E1019" w:rsidP="00876646">
            <w:pPr>
              <w:jc w:val="right"/>
              <w:rPr>
                <w:color w:val="000000"/>
                <w:sz w:val="16"/>
              </w:rPr>
            </w:pPr>
            <w:r w:rsidRPr="00970661">
              <w:rPr>
                <w:color w:val="000000"/>
                <w:sz w:val="16"/>
                <w:szCs w:val="18"/>
                <w:lang w:eastAsia="en-CA"/>
              </w:rPr>
              <w:t>0</w:t>
            </w:r>
          </w:p>
        </w:tc>
      </w:tr>
      <w:tr w:rsidR="009E1019" w:rsidRPr="00621514" w14:paraId="60E2DF9F"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4FAB91E" w14:textId="77777777" w:rsidR="009E1019" w:rsidRPr="00621514" w:rsidRDefault="009E1019" w:rsidP="00876646">
            <w:pPr>
              <w:rPr>
                <w:color w:val="000000"/>
                <w:sz w:val="18"/>
                <w:szCs w:val="18"/>
                <w:lang w:eastAsia="en-CA"/>
              </w:rPr>
            </w:pPr>
            <w:r w:rsidRPr="00621514">
              <w:rPr>
                <w:color w:val="000000"/>
                <w:sz w:val="18"/>
                <w:szCs w:val="18"/>
                <w:lang w:eastAsia="en-CA"/>
              </w:rPr>
              <w:t>4.3.1</w:t>
            </w:r>
          </w:p>
        </w:tc>
        <w:tc>
          <w:tcPr>
            <w:tcW w:w="8176" w:type="dxa"/>
            <w:gridSpan w:val="8"/>
            <w:tcBorders>
              <w:top w:val="single" w:sz="4" w:space="0" w:color="auto"/>
              <w:left w:val="nil"/>
              <w:bottom w:val="single" w:sz="4" w:space="0" w:color="auto"/>
              <w:right w:val="single" w:sz="4" w:space="0" w:color="auto"/>
            </w:tcBorders>
            <w:shd w:val="clear" w:color="auto" w:fill="auto"/>
            <w:vAlign w:val="center"/>
          </w:tcPr>
          <w:p w14:paraId="519CAB8F" w14:textId="77777777" w:rsidR="009E1019" w:rsidRPr="00621514" w:rsidRDefault="009E1019" w:rsidP="00876646">
            <w:pPr>
              <w:jc w:val="left"/>
              <w:rPr>
                <w:color w:val="000000"/>
                <w:sz w:val="18"/>
                <w:lang w:val="fr-CA"/>
              </w:rPr>
            </w:pPr>
            <w:r w:rsidRPr="00621514">
              <w:rPr>
                <w:sz w:val="18"/>
                <w:szCs w:val="20"/>
                <w:lang w:val="fr-CA" w:eastAsia="en-CA"/>
              </w:rPr>
              <w:t xml:space="preserve">Élimination totale du </w:t>
            </w:r>
            <w:r w:rsidRPr="00621514">
              <w:rPr>
                <w:color w:val="000000"/>
                <w:sz w:val="18"/>
                <w:szCs w:val="18"/>
                <w:lang w:val="fr-CA" w:eastAsia="en-CA"/>
              </w:rPr>
              <w:t>HCFC-142b</w:t>
            </w:r>
            <w:r w:rsidRPr="00621514">
              <w:rPr>
                <w:color w:val="000000"/>
                <w:sz w:val="18"/>
                <w:lang w:val="fr-CA"/>
              </w:rPr>
              <w:t xml:space="preserve"> </w:t>
            </w:r>
            <w:r w:rsidRPr="00621514">
              <w:rPr>
                <w:sz w:val="18"/>
                <w:szCs w:val="20"/>
                <w:lang w:val="fr-CA" w:eastAsia="en-CA"/>
              </w:rPr>
              <w:t xml:space="preserve">convenue aux termes du présent Accord (tonnes PAO) </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026E69F0" w14:textId="77777777" w:rsidR="009E1019" w:rsidRPr="00970661" w:rsidRDefault="009E1019" w:rsidP="00876646">
            <w:pPr>
              <w:jc w:val="right"/>
              <w:rPr>
                <w:color w:val="000000"/>
                <w:sz w:val="16"/>
                <w:szCs w:val="18"/>
                <w:lang w:eastAsia="en-CA"/>
              </w:rPr>
            </w:pPr>
            <w:r w:rsidRPr="00970661">
              <w:rPr>
                <w:color w:val="000000"/>
                <w:sz w:val="16"/>
                <w:szCs w:val="18"/>
                <w:lang w:eastAsia="es-CO"/>
              </w:rPr>
              <w:t>1,20</w:t>
            </w:r>
          </w:p>
        </w:tc>
      </w:tr>
      <w:tr w:rsidR="009E1019" w:rsidRPr="00621514" w14:paraId="77944C62"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AA9C2E2" w14:textId="77777777" w:rsidR="009E1019" w:rsidRPr="00621514" w:rsidRDefault="009E1019" w:rsidP="00876646">
            <w:pPr>
              <w:rPr>
                <w:color w:val="000000"/>
                <w:sz w:val="18"/>
                <w:szCs w:val="18"/>
                <w:lang w:eastAsia="en-CA"/>
              </w:rPr>
            </w:pPr>
            <w:r w:rsidRPr="00621514">
              <w:rPr>
                <w:color w:val="000000"/>
                <w:sz w:val="18"/>
                <w:szCs w:val="18"/>
                <w:lang w:eastAsia="en-CA"/>
              </w:rPr>
              <w:t>4.3.2</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5DA64D10" w14:textId="77777777" w:rsidR="009E1019" w:rsidRPr="00621514" w:rsidRDefault="009E1019" w:rsidP="00876646">
            <w:pPr>
              <w:jc w:val="left"/>
              <w:rPr>
                <w:sz w:val="18"/>
                <w:szCs w:val="20"/>
                <w:lang w:val="fr-CA" w:eastAsia="en-CA"/>
              </w:rPr>
            </w:pPr>
            <w:r w:rsidRPr="00621514">
              <w:rPr>
                <w:sz w:val="18"/>
                <w:szCs w:val="20"/>
                <w:lang w:val="fr-CA" w:eastAsia="en-CA"/>
              </w:rPr>
              <w:t>Élimination du HCFC-142b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4FE74D7B" w14:textId="77777777" w:rsidR="009E1019" w:rsidRPr="00970661" w:rsidRDefault="009E1019" w:rsidP="00876646">
            <w:pPr>
              <w:jc w:val="right"/>
              <w:rPr>
                <w:color w:val="000000"/>
                <w:sz w:val="16"/>
                <w:szCs w:val="18"/>
                <w:lang w:eastAsia="en-CA"/>
              </w:rPr>
            </w:pPr>
            <w:r w:rsidRPr="00970661">
              <w:rPr>
                <w:sz w:val="16"/>
                <w:szCs w:val="18"/>
              </w:rPr>
              <w:t>0</w:t>
            </w:r>
          </w:p>
        </w:tc>
      </w:tr>
      <w:tr w:rsidR="009E1019" w:rsidRPr="00621514" w14:paraId="19DB1D7E"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0F43509A" w14:textId="77777777" w:rsidR="009E1019" w:rsidRPr="00621514" w:rsidRDefault="009E1019" w:rsidP="00876646">
            <w:pPr>
              <w:rPr>
                <w:color w:val="000000"/>
                <w:sz w:val="18"/>
                <w:szCs w:val="18"/>
                <w:lang w:eastAsia="en-CA"/>
              </w:rPr>
            </w:pPr>
            <w:r w:rsidRPr="00621514">
              <w:rPr>
                <w:color w:val="000000"/>
                <w:sz w:val="18"/>
                <w:szCs w:val="18"/>
                <w:lang w:eastAsia="en-CA"/>
              </w:rPr>
              <w:t>4.3.3</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2477E74F" w14:textId="77777777" w:rsidR="009E1019" w:rsidRPr="00621514" w:rsidRDefault="009E1019" w:rsidP="00876646">
            <w:pPr>
              <w:jc w:val="left"/>
              <w:rPr>
                <w:sz w:val="18"/>
                <w:szCs w:val="20"/>
                <w:lang w:val="fr-CA" w:eastAsia="en-CA"/>
              </w:rPr>
            </w:pPr>
            <w:r w:rsidRPr="00621514">
              <w:rPr>
                <w:sz w:val="18"/>
                <w:szCs w:val="20"/>
                <w:lang w:val="fr-CA" w:eastAsia="en-CA"/>
              </w:rPr>
              <w:t>Consommation restante admissible de HCFC-142b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26F1807E" w14:textId="77777777" w:rsidR="009E1019" w:rsidRPr="00970661" w:rsidRDefault="009E1019" w:rsidP="00876646">
            <w:pPr>
              <w:jc w:val="right"/>
              <w:rPr>
                <w:color w:val="000000"/>
                <w:sz w:val="16"/>
                <w:szCs w:val="18"/>
                <w:lang w:eastAsia="en-CA"/>
              </w:rPr>
            </w:pPr>
            <w:r w:rsidRPr="00970661">
              <w:rPr>
                <w:color w:val="000000"/>
                <w:sz w:val="16"/>
                <w:szCs w:val="18"/>
                <w:lang w:eastAsia="en-CA"/>
              </w:rPr>
              <w:t>0</w:t>
            </w:r>
          </w:p>
        </w:tc>
      </w:tr>
      <w:tr w:rsidR="009E1019" w:rsidRPr="00621514" w14:paraId="02D9F28B"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06073BB3" w14:textId="77777777" w:rsidR="009E1019" w:rsidRPr="00621514" w:rsidRDefault="009E1019" w:rsidP="00876646">
            <w:pPr>
              <w:rPr>
                <w:color w:val="000000"/>
                <w:sz w:val="18"/>
                <w:szCs w:val="18"/>
                <w:lang w:eastAsia="en-CA"/>
              </w:rPr>
            </w:pPr>
            <w:r w:rsidRPr="00621514">
              <w:rPr>
                <w:color w:val="000000"/>
                <w:sz w:val="18"/>
                <w:szCs w:val="18"/>
                <w:lang w:eastAsia="en-CA"/>
              </w:rPr>
              <w:t>4.4.1</w:t>
            </w:r>
          </w:p>
        </w:tc>
        <w:tc>
          <w:tcPr>
            <w:tcW w:w="8176" w:type="dxa"/>
            <w:gridSpan w:val="8"/>
            <w:tcBorders>
              <w:top w:val="single" w:sz="4" w:space="0" w:color="auto"/>
              <w:left w:val="nil"/>
              <w:bottom w:val="single" w:sz="4" w:space="0" w:color="auto"/>
              <w:right w:val="single" w:sz="4" w:space="0" w:color="auto"/>
            </w:tcBorders>
            <w:shd w:val="clear" w:color="auto" w:fill="auto"/>
            <w:vAlign w:val="center"/>
          </w:tcPr>
          <w:p w14:paraId="5E89FC18" w14:textId="77777777" w:rsidR="009E1019" w:rsidRPr="00621514" w:rsidRDefault="009E1019" w:rsidP="00876646">
            <w:pPr>
              <w:jc w:val="left"/>
              <w:rPr>
                <w:color w:val="000000"/>
                <w:sz w:val="18"/>
                <w:lang w:val="fr-CA"/>
              </w:rPr>
            </w:pPr>
            <w:r w:rsidRPr="00621514">
              <w:rPr>
                <w:sz w:val="18"/>
                <w:szCs w:val="20"/>
                <w:lang w:val="fr-CA" w:eastAsia="en-CA"/>
              </w:rPr>
              <w:t xml:space="preserve">Élimination totale du </w:t>
            </w:r>
            <w:r w:rsidRPr="00621514">
              <w:rPr>
                <w:color w:val="000000"/>
                <w:sz w:val="18"/>
                <w:szCs w:val="18"/>
                <w:lang w:val="fr-CA" w:eastAsia="en-CA"/>
              </w:rPr>
              <w:t>HCFC-123</w:t>
            </w:r>
            <w:r w:rsidRPr="00621514">
              <w:rPr>
                <w:color w:val="000000"/>
                <w:sz w:val="18"/>
                <w:lang w:val="fr-CA"/>
              </w:rPr>
              <w:t xml:space="preserve"> </w:t>
            </w:r>
            <w:r w:rsidRPr="00621514">
              <w:rPr>
                <w:sz w:val="18"/>
                <w:szCs w:val="20"/>
                <w:lang w:val="fr-CA" w:eastAsia="en-CA"/>
              </w:rPr>
              <w:t xml:space="preserve">convenue aux termes du présent Accord (tonnes PAO) </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6E991C27" w14:textId="77777777" w:rsidR="009E1019" w:rsidRPr="00970661" w:rsidRDefault="009E1019" w:rsidP="00876646">
            <w:pPr>
              <w:jc w:val="right"/>
              <w:rPr>
                <w:color w:val="000000"/>
                <w:sz w:val="16"/>
                <w:szCs w:val="18"/>
                <w:lang w:eastAsia="en-CA"/>
              </w:rPr>
            </w:pPr>
            <w:r w:rsidRPr="00970661">
              <w:rPr>
                <w:color w:val="000000"/>
                <w:sz w:val="16"/>
                <w:szCs w:val="18"/>
                <w:lang w:eastAsia="es-CO"/>
              </w:rPr>
              <w:t>0,18</w:t>
            </w:r>
          </w:p>
        </w:tc>
      </w:tr>
      <w:tr w:rsidR="009E1019" w:rsidRPr="00621514" w14:paraId="2CAD87CF"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E3A6109" w14:textId="77777777" w:rsidR="009E1019" w:rsidRPr="00621514" w:rsidRDefault="009E1019" w:rsidP="00876646">
            <w:pPr>
              <w:rPr>
                <w:color w:val="000000"/>
                <w:sz w:val="18"/>
                <w:szCs w:val="18"/>
                <w:lang w:eastAsia="en-CA"/>
              </w:rPr>
            </w:pPr>
            <w:r w:rsidRPr="00621514">
              <w:rPr>
                <w:color w:val="000000"/>
                <w:sz w:val="18"/>
                <w:szCs w:val="18"/>
                <w:lang w:eastAsia="en-CA"/>
              </w:rPr>
              <w:t>4.4.2</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20A98C5C" w14:textId="77777777" w:rsidR="009E1019" w:rsidRPr="00621514" w:rsidRDefault="009E1019" w:rsidP="00876646">
            <w:pPr>
              <w:jc w:val="left"/>
              <w:rPr>
                <w:sz w:val="18"/>
                <w:szCs w:val="20"/>
                <w:lang w:val="fr-CA" w:eastAsia="en-CA"/>
              </w:rPr>
            </w:pPr>
            <w:r w:rsidRPr="00621514">
              <w:rPr>
                <w:sz w:val="18"/>
                <w:szCs w:val="20"/>
                <w:lang w:val="fr-CA" w:eastAsia="en-CA"/>
              </w:rPr>
              <w:t>Élimination du HCFC-123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237A7A2B" w14:textId="77777777" w:rsidR="009E1019" w:rsidRPr="00970661" w:rsidRDefault="009E1019" w:rsidP="00876646">
            <w:pPr>
              <w:jc w:val="right"/>
              <w:rPr>
                <w:color w:val="000000"/>
                <w:sz w:val="16"/>
                <w:szCs w:val="18"/>
                <w:lang w:eastAsia="en-CA"/>
              </w:rPr>
            </w:pPr>
            <w:r w:rsidRPr="00970661">
              <w:rPr>
                <w:sz w:val="16"/>
                <w:szCs w:val="18"/>
              </w:rPr>
              <w:t>0</w:t>
            </w:r>
          </w:p>
        </w:tc>
      </w:tr>
      <w:tr w:rsidR="009E1019" w:rsidRPr="00621514" w14:paraId="72993464"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183FCEEB" w14:textId="77777777" w:rsidR="009E1019" w:rsidRPr="00621514" w:rsidRDefault="009E1019" w:rsidP="00876646">
            <w:pPr>
              <w:rPr>
                <w:color w:val="000000"/>
                <w:sz w:val="18"/>
                <w:szCs w:val="18"/>
                <w:lang w:eastAsia="en-CA"/>
              </w:rPr>
            </w:pPr>
            <w:r w:rsidRPr="00621514">
              <w:rPr>
                <w:color w:val="000000"/>
                <w:sz w:val="18"/>
                <w:szCs w:val="18"/>
                <w:lang w:eastAsia="en-CA"/>
              </w:rPr>
              <w:t>4.4.3</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62F1C21E" w14:textId="77777777" w:rsidR="009E1019" w:rsidRPr="00621514" w:rsidRDefault="009E1019" w:rsidP="00876646">
            <w:pPr>
              <w:jc w:val="left"/>
              <w:rPr>
                <w:sz w:val="18"/>
                <w:szCs w:val="20"/>
                <w:lang w:val="fr-CA" w:eastAsia="en-CA"/>
              </w:rPr>
            </w:pPr>
            <w:r w:rsidRPr="00621514">
              <w:rPr>
                <w:sz w:val="18"/>
                <w:szCs w:val="20"/>
                <w:lang w:val="fr-CA" w:eastAsia="en-CA"/>
              </w:rPr>
              <w:t>Consommation restante admissible de HCFC-123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6FB0F44E" w14:textId="77777777" w:rsidR="009E1019" w:rsidRPr="00970661" w:rsidRDefault="009E1019" w:rsidP="00876646">
            <w:pPr>
              <w:jc w:val="right"/>
              <w:rPr>
                <w:color w:val="000000"/>
                <w:sz w:val="16"/>
                <w:szCs w:val="18"/>
                <w:lang w:eastAsia="en-CA"/>
              </w:rPr>
            </w:pPr>
            <w:r w:rsidRPr="00970661">
              <w:rPr>
                <w:color w:val="000000"/>
                <w:sz w:val="16"/>
                <w:szCs w:val="18"/>
                <w:lang w:eastAsia="en-CA"/>
              </w:rPr>
              <w:t>0</w:t>
            </w:r>
          </w:p>
        </w:tc>
      </w:tr>
      <w:tr w:rsidR="009E1019" w:rsidRPr="00621514" w14:paraId="001EDA4F"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7A7BDB6F" w14:textId="77777777" w:rsidR="009E1019" w:rsidRPr="00621514" w:rsidRDefault="009E1019" w:rsidP="00876646">
            <w:pPr>
              <w:rPr>
                <w:color w:val="000000"/>
                <w:sz w:val="18"/>
                <w:szCs w:val="18"/>
                <w:lang w:eastAsia="en-CA"/>
              </w:rPr>
            </w:pPr>
            <w:r w:rsidRPr="00621514">
              <w:rPr>
                <w:color w:val="000000"/>
                <w:sz w:val="18"/>
                <w:szCs w:val="18"/>
                <w:lang w:eastAsia="en-CA"/>
              </w:rPr>
              <w:t>4.5.1</w:t>
            </w:r>
          </w:p>
        </w:tc>
        <w:tc>
          <w:tcPr>
            <w:tcW w:w="8176" w:type="dxa"/>
            <w:gridSpan w:val="8"/>
            <w:tcBorders>
              <w:top w:val="single" w:sz="4" w:space="0" w:color="auto"/>
              <w:left w:val="nil"/>
              <w:bottom w:val="single" w:sz="4" w:space="0" w:color="auto"/>
              <w:right w:val="single" w:sz="4" w:space="0" w:color="auto"/>
            </w:tcBorders>
            <w:shd w:val="clear" w:color="auto" w:fill="auto"/>
            <w:vAlign w:val="center"/>
          </w:tcPr>
          <w:p w14:paraId="7C9E1BF2" w14:textId="77777777" w:rsidR="009E1019" w:rsidRPr="00621514" w:rsidRDefault="009E1019" w:rsidP="00876646">
            <w:pPr>
              <w:jc w:val="left"/>
              <w:rPr>
                <w:color w:val="000000"/>
                <w:sz w:val="18"/>
                <w:lang w:val="fr-CA"/>
              </w:rPr>
            </w:pPr>
            <w:r w:rsidRPr="00621514">
              <w:rPr>
                <w:sz w:val="18"/>
                <w:szCs w:val="20"/>
                <w:lang w:val="fr-CA" w:eastAsia="en-CA"/>
              </w:rPr>
              <w:t xml:space="preserve">Élimination totale du </w:t>
            </w:r>
            <w:r w:rsidRPr="00621514">
              <w:rPr>
                <w:color w:val="000000"/>
                <w:sz w:val="18"/>
                <w:szCs w:val="18"/>
                <w:lang w:val="fr-CA" w:eastAsia="en-CA"/>
              </w:rPr>
              <w:t>HCFC-124</w:t>
            </w:r>
            <w:r w:rsidRPr="00621514">
              <w:rPr>
                <w:color w:val="000000"/>
                <w:sz w:val="18"/>
                <w:lang w:val="fr-CA"/>
              </w:rPr>
              <w:t xml:space="preserve"> </w:t>
            </w:r>
            <w:r w:rsidRPr="00621514">
              <w:rPr>
                <w:sz w:val="18"/>
                <w:szCs w:val="20"/>
                <w:lang w:val="fr-CA" w:eastAsia="en-CA"/>
              </w:rPr>
              <w:t xml:space="preserve">convenue aux termes du présent Accord (tonnes PAO) </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58A2FF09" w14:textId="77777777" w:rsidR="009E1019" w:rsidRPr="00970661" w:rsidRDefault="009E1019" w:rsidP="00876646">
            <w:pPr>
              <w:jc w:val="right"/>
              <w:rPr>
                <w:color w:val="000000"/>
                <w:sz w:val="16"/>
                <w:szCs w:val="18"/>
                <w:lang w:eastAsia="en-CA"/>
              </w:rPr>
            </w:pPr>
            <w:r w:rsidRPr="00970661">
              <w:rPr>
                <w:color w:val="000000"/>
                <w:sz w:val="16"/>
                <w:szCs w:val="18"/>
                <w:lang w:eastAsia="es-CO"/>
              </w:rPr>
              <w:t>0,22</w:t>
            </w:r>
          </w:p>
        </w:tc>
      </w:tr>
      <w:tr w:rsidR="009E1019" w:rsidRPr="00621514" w14:paraId="087D6365"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3AA9BA9A" w14:textId="77777777" w:rsidR="009E1019" w:rsidRPr="00621514" w:rsidRDefault="009E1019" w:rsidP="00876646">
            <w:pPr>
              <w:rPr>
                <w:color w:val="000000"/>
                <w:sz w:val="18"/>
                <w:szCs w:val="18"/>
                <w:lang w:eastAsia="en-CA"/>
              </w:rPr>
            </w:pPr>
            <w:r w:rsidRPr="00621514">
              <w:rPr>
                <w:color w:val="000000"/>
                <w:sz w:val="18"/>
                <w:szCs w:val="18"/>
                <w:lang w:eastAsia="en-CA"/>
              </w:rPr>
              <w:t>4.5.2</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1C687EBD" w14:textId="77777777" w:rsidR="009E1019" w:rsidRPr="00621514" w:rsidRDefault="009E1019" w:rsidP="00876646">
            <w:pPr>
              <w:jc w:val="left"/>
              <w:rPr>
                <w:sz w:val="18"/>
                <w:szCs w:val="20"/>
                <w:lang w:val="fr-CA" w:eastAsia="en-CA"/>
              </w:rPr>
            </w:pPr>
            <w:r w:rsidRPr="00621514">
              <w:rPr>
                <w:sz w:val="18"/>
                <w:szCs w:val="20"/>
                <w:lang w:val="fr-CA" w:eastAsia="en-CA"/>
              </w:rPr>
              <w:t>Élimination du HCFC-124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6FD2E3E3" w14:textId="77777777" w:rsidR="009E1019" w:rsidRPr="00970661" w:rsidRDefault="009E1019" w:rsidP="00876646">
            <w:pPr>
              <w:jc w:val="right"/>
              <w:rPr>
                <w:color w:val="000000"/>
                <w:sz w:val="16"/>
                <w:szCs w:val="18"/>
                <w:lang w:eastAsia="en-CA"/>
              </w:rPr>
            </w:pPr>
            <w:r w:rsidRPr="00970661">
              <w:rPr>
                <w:sz w:val="16"/>
                <w:szCs w:val="18"/>
              </w:rPr>
              <w:t>0</w:t>
            </w:r>
          </w:p>
        </w:tc>
      </w:tr>
      <w:tr w:rsidR="009E1019" w:rsidRPr="00621514" w14:paraId="7E23CEF3" w14:textId="77777777" w:rsidTr="00876646">
        <w:trPr>
          <w:trHeight w:val="134"/>
          <w:jc w:val="center"/>
        </w:trPr>
        <w:tc>
          <w:tcPr>
            <w:tcW w:w="0" w:type="auto"/>
            <w:tcBorders>
              <w:top w:val="nil"/>
              <w:left w:val="single" w:sz="4" w:space="0" w:color="auto"/>
              <w:bottom w:val="single" w:sz="4" w:space="0" w:color="auto"/>
              <w:right w:val="single" w:sz="4" w:space="0" w:color="auto"/>
            </w:tcBorders>
            <w:shd w:val="clear" w:color="auto" w:fill="auto"/>
          </w:tcPr>
          <w:p w14:paraId="4D5ACAC5" w14:textId="77777777" w:rsidR="009E1019" w:rsidRPr="00621514" w:rsidRDefault="009E1019" w:rsidP="00876646">
            <w:pPr>
              <w:rPr>
                <w:color w:val="000000"/>
                <w:sz w:val="18"/>
                <w:szCs w:val="18"/>
                <w:lang w:eastAsia="en-CA"/>
              </w:rPr>
            </w:pPr>
            <w:r w:rsidRPr="00621514">
              <w:rPr>
                <w:color w:val="000000"/>
                <w:sz w:val="18"/>
                <w:szCs w:val="18"/>
                <w:lang w:eastAsia="en-CA"/>
              </w:rPr>
              <w:t>4.5.3</w:t>
            </w:r>
          </w:p>
        </w:tc>
        <w:tc>
          <w:tcPr>
            <w:tcW w:w="8176" w:type="dxa"/>
            <w:gridSpan w:val="8"/>
            <w:tcBorders>
              <w:top w:val="single" w:sz="4" w:space="0" w:color="auto"/>
              <w:left w:val="nil"/>
              <w:bottom w:val="single" w:sz="4" w:space="0" w:color="auto"/>
              <w:right w:val="single" w:sz="4" w:space="0" w:color="000000"/>
            </w:tcBorders>
            <w:shd w:val="clear" w:color="auto" w:fill="auto"/>
            <w:vAlign w:val="center"/>
          </w:tcPr>
          <w:p w14:paraId="2F21C06F" w14:textId="77777777" w:rsidR="009E1019" w:rsidRPr="00621514" w:rsidRDefault="009E1019" w:rsidP="00876646">
            <w:pPr>
              <w:jc w:val="left"/>
              <w:rPr>
                <w:sz w:val="18"/>
                <w:szCs w:val="20"/>
                <w:lang w:val="fr-CA" w:eastAsia="en-CA"/>
              </w:rPr>
            </w:pPr>
            <w:r w:rsidRPr="00621514">
              <w:rPr>
                <w:sz w:val="18"/>
                <w:szCs w:val="20"/>
                <w:lang w:val="fr-CA" w:eastAsia="en-CA"/>
              </w:rPr>
              <w:t>Consommation restante admissible de HCFC-124 (tonnes PAO)</w:t>
            </w:r>
          </w:p>
        </w:tc>
        <w:tc>
          <w:tcPr>
            <w:tcW w:w="900" w:type="dxa"/>
            <w:tcBorders>
              <w:top w:val="nil"/>
              <w:left w:val="single" w:sz="4" w:space="0" w:color="auto"/>
              <w:bottom w:val="single" w:sz="4" w:space="0" w:color="auto"/>
              <w:right w:val="single" w:sz="4" w:space="0" w:color="auto"/>
            </w:tcBorders>
            <w:shd w:val="clear" w:color="auto" w:fill="FFFFFF" w:themeFill="background1"/>
          </w:tcPr>
          <w:p w14:paraId="3CE02623" w14:textId="77777777" w:rsidR="009E1019" w:rsidRPr="00970661" w:rsidRDefault="009E1019" w:rsidP="00876646">
            <w:pPr>
              <w:jc w:val="right"/>
              <w:rPr>
                <w:color w:val="000000"/>
                <w:sz w:val="16"/>
                <w:szCs w:val="18"/>
                <w:lang w:eastAsia="en-CA"/>
              </w:rPr>
            </w:pPr>
            <w:r w:rsidRPr="00970661">
              <w:rPr>
                <w:color w:val="000000"/>
                <w:sz w:val="16"/>
                <w:szCs w:val="18"/>
                <w:lang w:eastAsia="en-CA"/>
              </w:rPr>
              <w:t>0</w:t>
            </w:r>
          </w:p>
        </w:tc>
      </w:tr>
      <w:tr w:rsidR="009E1019" w:rsidRPr="00621514" w14:paraId="3C84136F" w14:textId="77777777" w:rsidTr="00876646">
        <w:trPr>
          <w:trHeight w:val="53"/>
          <w:jc w:val="center"/>
        </w:trPr>
        <w:tc>
          <w:tcPr>
            <w:tcW w:w="0" w:type="auto"/>
            <w:tcBorders>
              <w:top w:val="nil"/>
              <w:left w:val="single" w:sz="4" w:space="0" w:color="auto"/>
              <w:bottom w:val="single" w:sz="4" w:space="0" w:color="auto"/>
              <w:right w:val="single" w:sz="4" w:space="0" w:color="auto"/>
            </w:tcBorders>
            <w:shd w:val="clear" w:color="auto" w:fill="auto"/>
            <w:hideMark/>
          </w:tcPr>
          <w:p w14:paraId="3EC72FFF" w14:textId="77777777" w:rsidR="009E1019" w:rsidRPr="00621514" w:rsidRDefault="009E1019" w:rsidP="00876646">
            <w:pPr>
              <w:rPr>
                <w:color w:val="000000"/>
                <w:sz w:val="18"/>
              </w:rPr>
            </w:pPr>
            <w:r w:rsidRPr="00621514">
              <w:rPr>
                <w:color w:val="000000"/>
                <w:sz w:val="18"/>
              </w:rPr>
              <w:t>4.</w:t>
            </w:r>
            <w:r w:rsidRPr="00621514">
              <w:rPr>
                <w:color w:val="000000"/>
                <w:sz w:val="18"/>
                <w:szCs w:val="18"/>
                <w:lang w:eastAsia="en-CA"/>
              </w:rPr>
              <w:t>6</w:t>
            </w:r>
            <w:r w:rsidRPr="00621514">
              <w:rPr>
                <w:color w:val="000000"/>
                <w:sz w:val="18"/>
              </w:rPr>
              <w:t>.1</w:t>
            </w:r>
          </w:p>
        </w:tc>
        <w:tc>
          <w:tcPr>
            <w:tcW w:w="8176" w:type="dxa"/>
            <w:gridSpan w:val="8"/>
            <w:tcBorders>
              <w:top w:val="single" w:sz="4" w:space="0" w:color="auto"/>
              <w:left w:val="nil"/>
              <w:bottom w:val="single" w:sz="4" w:space="0" w:color="auto"/>
              <w:right w:val="single" w:sz="4" w:space="0" w:color="auto"/>
            </w:tcBorders>
            <w:shd w:val="clear" w:color="auto" w:fill="auto"/>
            <w:vAlign w:val="center"/>
            <w:hideMark/>
          </w:tcPr>
          <w:p w14:paraId="7A891CE1" w14:textId="77777777" w:rsidR="009E1019" w:rsidRPr="00621514" w:rsidRDefault="009E1019" w:rsidP="00876646">
            <w:pPr>
              <w:jc w:val="left"/>
              <w:rPr>
                <w:color w:val="000000"/>
                <w:sz w:val="18"/>
                <w:lang w:val="fr-CA"/>
              </w:rPr>
            </w:pPr>
            <w:r w:rsidRPr="00621514">
              <w:rPr>
                <w:color w:val="000000"/>
                <w:sz w:val="18"/>
                <w:lang w:val="fr-CA"/>
              </w:rPr>
              <w:t xml:space="preserve">Élimination totale du HCFC-141b contenu dans les polyols </w:t>
            </w:r>
            <w:proofErr w:type="spellStart"/>
            <w:r w:rsidRPr="00621514">
              <w:rPr>
                <w:color w:val="000000"/>
                <w:sz w:val="18"/>
                <w:lang w:val="fr-CA"/>
              </w:rPr>
              <w:t>prémélangés</w:t>
            </w:r>
            <w:proofErr w:type="spellEnd"/>
            <w:r w:rsidRPr="00621514">
              <w:rPr>
                <w:color w:val="000000"/>
                <w:sz w:val="18"/>
                <w:lang w:val="fr-CA"/>
              </w:rPr>
              <w:t xml:space="preserve"> importés convenue aux termes du présent Accord (tonnes PAO)</w:t>
            </w:r>
          </w:p>
        </w:tc>
        <w:tc>
          <w:tcPr>
            <w:tcW w:w="900" w:type="dxa"/>
            <w:tcBorders>
              <w:top w:val="nil"/>
              <w:left w:val="single" w:sz="4" w:space="0" w:color="auto"/>
              <w:bottom w:val="single" w:sz="4" w:space="0" w:color="auto"/>
              <w:right w:val="single" w:sz="4" w:space="0" w:color="auto"/>
            </w:tcBorders>
            <w:shd w:val="clear" w:color="auto" w:fill="auto"/>
          </w:tcPr>
          <w:p w14:paraId="7925DC5F" w14:textId="77777777" w:rsidR="009E1019" w:rsidRPr="00970661" w:rsidRDefault="009E1019" w:rsidP="00876646">
            <w:pPr>
              <w:jc w:val="right"/>
              <w:rPr>
                <w:color w:val="000000"/>
                <w:sz w:val="16"/>
              </w:rPr>
            </w:pPr>
            <w:r w:rsidRPr="00970661">
              <w:rPr>
                <w:color w:val="000000"/>
                <w:sz w:val="16"/>
                <w:szCs w:val="18"/>
                <w:lang w:eastAsia="en-CA"/>
              </w:rPr>
              <w:t>0</w:t>
            </w:r>
          </w:p>
        </w:tc>
      </w:tr>
      <w:tr w:rsidR="009E1019" w:rsidRPr="00621514" w14:paraId="77D89081" w14:textId="77777777" w:rsidTr="00876646">
        <w:trPr>
          <w:trHeight w:val="107"/>
          <w:jc w:val="center"/>
        </w:trPr>
        <w:tc>
          <w:tcPr>
            <w:tcW w:w="0" w:type="auto"/>
            <w:tcBorders>
              <w:top w:val="nil"/>
              <w:left w:val="single" w:sz="4" w:space="0" w:color="auto"/>
              <w:bottom w:val="single" w:sz="4" w:space="0" w:color="auto"/>
              <w:right w:val="single" w:sz="4" w:space="0" w:color="auto"/>
            </w:tcBorders>
            <w:shd w:val="clear" w:color="auto" w:fill="auto"/>
            <w:hideMark/>
          </w:tcPr>
          <w:p w14:paraId="31EA6AF5" w14:textId="77777777" w:rsidR="009E1019" w:rsidRPr="00621514" w:rsidRDefault="009E1019" w:rsidP="00876646">
            <w:pPr>
              <w:rPr>
                <w:color w:val="000000"/>
                <w:sz w:val="18"/>
              </w:rPr>
            </w:pPr>
            <w:r w:rsidRPr="00621514">
              <w:rPr>
                <w:color w:val="000000"/>
                <w:sz w:val="18"/>
              </w:rPr>
              <w:t>4.</w:t>
            </w:r>
            <w:r w:rsidRPr="00621514">
              <w:rPr>
                <w:color w:val="000000"/>
                <w:sz w:val="18"/>
                <w:szCs w:val="18"/>
                <w:lang w:eastAsia="en-CA"/>
              </w:rPr>
              <w:t>6</w:t>
            </w:r>
            <w:r w:rsidRPr="00621514">
              <w:rPr>
                <w:color w:val="000000"/>
                <w:sz w:val="18"/>
              </w:rPr>
              <w:t>.2</w:t>
            </w:r>
          </w:p>
        </w:tc>
        <w:tc>
          <w:tcPr>
            <w:tcW w:w="8176" w:type="dxa"/>
            <w:gridSpan w:val="8"/>
            <w:tcBorders>
              <w:top w:val="single" w:sz="4" w:space="0" w:color="auto"/>
              <w:left w:val="nil"/>
              <w:bottom w:val="single" w:sz="4" w:space="0" w:color="auto"/>
              <w:right w:val="single" w:sz="4" w:space="0" w:color="auto"/>
            </w:tcBorders>
            <w:shd w:val="clear" w:color="auto" w:fill="auto"/>
            <w:vAlign w:val="center"/>
            <w:hideMark/>
          </w:tcPr>
          <w:p w14:paraId="0916067C" w14:textId="77777777" w:rsidR="009E1019" w:rsidRPr="00621514" w:rsidRDefault="009E1019" w:rsidP="00876646">
            <w:pPr>
              <w:jc w:val="left"/>
              <w:rPr>
                <w:color w:val="000000"/>
                <w:sz w:val="18"/>
                <w:lang w:val="fr-CA"/>
              </w:rPr>
            </w:pPr>
            <w:r w:rsidRPr="00621514">
              <w:rPr>
                <w:color w:val="000000"/>
                <w:sz w:val="18"/>
                <w:lang w:val="fr-CA"/>
              </w:rPr>
              <w:t xml:space="preserve">Élimination du HCFC-141b contenu dans les polyols </w:t>
            </w:r>
            <w:proofErr w:type="spellStart"/>
            <w:r w:rsidRPr="00621514">
              <w:rPr>
                <w:color w:val="000000"/>
                <w:sz w:val="18"/>
                <w:lang w:val="fr-CA"/>
              </w:rPr>
              <w:t>prémélangés</w:t>
            </w:r>
            <w:proofErr w:type="spellEnd"/>
            <w:r w:rsidRPr="00621514">
              <w:rPr>
                <w:color w:val="000000"/>
                <w:sz w:val="18"/>
                <w:lang w:val="fr-CA"/>
              </w:rPr>
              <w:t xml:space="preserve"> importés réalisée lors de la phase précédente (tonnes PAO)</w:t>
            </w:r>
          </w:p>
        </w:tc>
        <w:tc>
          <w:tcPr>
            <w:tcW w:w="900" w:type="dxa"/>
            <w:tcBorders>
              <w:top w:val="nil"/>
              <w:left w:val="single" w:sz="4" w:space="0" w:color="auto"/>
              <w:bottom w:val="single" w:sz="4" w:space="0" w:color="auto"/>
              <w:right w:val="single" w:sz="4" w:space="0" w:color="auto"/>
            </w:tcBorders>
            <w:shd w:val="clear" w:color="auto" w:fill="auto"/>
          </w:tcPr>
          <w:p w14:paraId="2D036F7B" w14:textId="77777777" w:rsidR="009E1019" w:rsidRPr="00970661" w:rsidRDefault="009E1019" w:rsidP="00876646">
            <w:pPr>
              <w:jc w:val="right"/>
              <w:rPr>
                <w:color w:val="000000"/>
                <w:sz w:val="16"/>
              </w:rPr>
            </w:pPr>
            <w:r w:rsidRPr="00970661">
              <w:rPr>
                <w:rFonts w:eastAsiaTheme="minorHAnsi"/>
                <w:color w:val="000000"/>
                <w:sz w:val="16"/>
                <w:szCs w:val="18"/>
              </w:rPr>
              <w:t>20,67</w:t>
            </w:r>
          </w:p>
        </w:tc>
      </w:tr>
      <w:tr w:rsidR="009E1019" w:rsidRPr="00D97AB8" w14:paraId="0268EFC0" w14:textId="77777777" w:rsidTr="00876646">
        <w:trPr>
          <w:trHeight w:val="98"/>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2CA85D" w14:textId="77777777" w:rsidR="009E1019" w:rsidRPr="00621514" w:rsidRDefault="009E1019" w:rsidP="00876646">
            <w:pPr>
              <w:rPr>
                <w:color w:val="000000"/>
                <w:sz w:val="18"/>
              </w:rPr>
            </w:pPr>
            <w:r w:rsidRPr="00621514">
              <w:rPr>
                <w:color w:val="000000"/>
                <w:sz w:val="18"/>
              </w:rPr>
              <w:t>4.</w:t>
            </w:r>
            <w:r w:rsidRPr="00621514">
              <w:rPr>
                <w:color w:val="000000"/>
                <w:sz w:val="18"/>
                <w:szCs w:val="18"/>
                <w:lang w:eastAsia="en-CA"/>
              </w:rPr>
              <w:t>6.</w:t>
            </w:r>
            <w:r w:rsidRPr="00621514">
              <w:rPr>
                <w:color w:val="000000"/>
                <w:sz w:val="18"/>
              </w:rPr>
              <w:t>3</w:t>
            </w:r>
          </w:p>
        </w:tc>
        <w:tc>
          <w:tcPr>
            <w:tcW w:w="8176" w:type="dxa"/>
            <w:gridSpan w:val="8"/>
            <w:tcBorders>
              <w:top w:val="single" w:sz="4" w:space="0" w:color="auto"/>
              <w:left w:val="single" w:sz="4" w:space="0" w:color="auto"/>
              <w:bottom w:val="single" w:sz="4" w:space="0" w:color="auto"/>
              <w:right w:val="single" w:sz="4" w:space="0" w:color="auto"/>
            </w:tcBorders>
            <w:shd w:val="clear" w:color="auto" w:fill="auto"/>
            <w:hideMark/>
          </w:tcPr>
          <w:p w14:paraId="2E43C93C" w14:textId="77777777" w:rsidR="009E1019" w:rsidRPr="00621514" w:rsidRDefault="009E1019" w:rsidP="00876646">
            <w:pPr>
              <w:jc w:val="left"/>
              <w:rPr>
                <w:color w:val="000000"/>
                <w:sz w:val="18"/>
                <w:lang w:val="fr-CA"/>
              </w:rPr>
            </w:pPr>
            <w:r w:rsidRPr="00621514">
              <w:rPr>
                <w:color w:val="000000"/>
                <w:sz w:val="18"/>
                <w:lang w:val="fr-CA"/>
              </w:rPr>
              <w:t xml:space="preserve">Consommation restante admissible de HCFC-141b contenu dans les polyols </w:t>
            </w:r>
            <w:proofErr w:type="spellStart"/>
            <w:r w:rsidRPr="00621514">
              <w:rPr>
                <w:color w:val="000000"/>
                <w:sz w:val="18"/>
                <w:lang w:val="fr-CA"/>
              </w:rPr>
              <w:t>prémélangés</w:t>
            </w:r>
            <w:proofErr w:type="spellEnd"/>
            <w:r w:rsidRPr="00621514">
              <w:rPr>
                <w:color w:val="000000"/>
                <w:sz w:val="18"/>
                <w:lang w:val="fr-CA"/>
              </w:rPr>
              <w:t xml:space="preserve"> importés (tonnes PAO)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8BC747" w14:textId="77777777" w:rsidR="009E1019" w:rsidRPr="00970661" w:rsidRDefault="009E1019" w:rsidP="00876646">
            <w:pPr>
              <w:jc w:val="right"/>
              <w:rPr>
                <w:color w:val="000000"/>
                <w:sz w:val="16"/>
              </w:rPr>
            </w:pPr>
            <w:r w:rsidRPr="00970661">
              <w:rPr>
                <w:color w:val="000000"/>
                <w:sz w:val="16"/>
                <w:szCs w:val="18"/>
                <w:lang w:eastAsia="en-CA"/>
              </w:rPr>
              <w:t>0</w:t>
            </w:r>
          </w:p>
        </w:tc>
      </w:tr>
    </w:tbl>
    <w:p w14:paraId="0EC23D18" w14:textId="77777777" w:rsidR="009E1019" w:rsidRDefault="009E1019" w:rsidP="009E1019">
      <w:pPr>
        <w:jc w:val="left"/>
        <w:rPr>
          <w:b/>
          <w:lang w:val="fr-CA"/>
        </w:rPr>
      </w:pPr>
    </w:p>
    <w:p w14:paraId="4CAE78DE" w14:textId="77777777" w:rsidR="009E1019" w:rsidRDefault="009E1019" w:rsidP="009E1019">
      <w:pPr>
        <w:spacing w:after="240"/>
        <w:rPr>
          <w:b/>
          <w:lang w:val="fr-CA"/>
        </w:rPr>
      </w:pPr>
    </w:p>
    <w:p w14:paraId="5C5FC180" w14:textId="77777777" w:rsidR="009E1019" w:rsidRDefault="009E1019" w:rsidP="009E1019">
      <w:pPr>
        <w:keepNext/>
        <w:keepLines/>
        <w:rPr>
          <w:b/>
          <w:lang w:val="fr-CA"/>
        </w:rPr>
      </w:pPr>
      <w:r>
        <w:rPr>
          <w:b/>
          <w:lang w:val="fr-CA"/>
        </w:rPr>
        <w:lastRenderedPageBreak/>
        <w:t>APPENDICE 3-A : CALENDRIER DE FINANCEMENT APPROUVÉ</w:t>
      </w:r>
    </w:p>
    <w:p w14:paraId="608F3812" w14:textId="77777777" w:rsidR="009E1019" w:rsidRDefault="009E1019" w:rsidP="009E1019">
      <w:pPr>
        <w:keepNext/>
        <w:keepLines/>
        <w:rPr>
          <w:lang w:val="fr-CA"/>
        </w:rPr>
      </w:pPr>
    </w:p>
    <w:p w14:paraId="7166EBF1" w14:textId="77777777" w:rsidR="009E1019" w:rsidRDefault="009E1019" w:rsidP="009E1019">
      <w:pPr>
        <w:pStyle w:val="Heading1"/>
        <w:keepNext/>
        <w:keepLines/>
        <w:numPr>
          <w:ilvl w:val="0"/>
          <w:numId w:val="25"/>
        </w:numPr>
        <w:rPr>
          <w:lang w:val="fr-CA"/>
        </w:rPr>
      </w:pPr>
      <w:r>
        <w:rPr>
          <w:lang w:val="fr-CA"/>
        </w:rPr>
        <w:t xml:space="preserve">Le financement des futures tranches sera examiné pour </w:t>
      </w:r>
      <w:r w:rsidRPr="00BA4955">
        <w:rPr>
          <w:lang w:val="fr-CA"/>
        </w:rPr>
        <w:t>approbation lors de la deuxième</w:t>
      </w:r>
      <w:r>
        <w:rPr>
          <w:lang w:val="fr-CA"/>
        </w:rPr>
        <w:t xml:space="preserve"> réunion de l’année spécifiée à l’Appendice 2-A.</w:t>
      </w:r>
    </w:p>
    <w:p w14:paraId="147681DA" w14:textId="77777777" w:rsidR="009E1019" w:rsidRDefault="009E1019" w:rsidP="009E1019">
      <w:pPr>
        <w:rPr>
          <w:b/>
          <w:lang w:val="fr-CA"/>
        </w:rPr>
      </w:pPr>
      <w:r>
        <w:rPr>
          <w:b/>
          <w:lang w:val="fr-CA"/>
        </w:rPr>
        <w:t>APPENDICE 4-A : FORMAT DES RAPPORTS ET DES PLANS DE MISE EN ŒUVRE DE LA TRANCHE</w:t>
      </w:r>
    </w:p>
    <w:p w14:paraId="21604111" w14:textId="77777777" w:rsidR="009E1019" w:rsidRDefault="009E1019" w:rsidP="009E1019">
      <w:pPr>
        <w:rPr>
          <w:lang w:val="fr-CA"/>
        </w:rPr>
      </w:pPr>
    </w:p>
    <w:p w14:paraId="04ACFDD9" w14:textId="77777777" w:rsidR="009E1019" w:rsidRPr="009E1019" w:rsidRDefault="009E1019" w:rsidP="009E1019">
      <w:pPr>
        <w:pStyle w:val="Heading1"/>
        <w:numPr>
          <w:ilvl w:val="0"/>
          <w:numId w:val="50"/>
        </w:numPr>
        <w:rPr>
          <w:lang w:val="fr-CA"/>
        </w:rPr>
      </w:pPr>
      <w:r w:rsidRPr="009E1019">
        <w:rPr>
          <w:lang w:val="fr-CA"/>
        </w:rPr>
        <w:t>La présentation du plan et du rapport de mise en œuvre de la tranche pour chaque demande de tranche comprendra cinq parties :</w:t>
      </w:r>
    </w:p>
    <w:p w14:paraId="7B932B0C" w14:textId="77777777" w:rsidR="009E1019" w:rsidRDefault="009E1019" w:rsidP="009E1019">
      <w:pPr>
        <w:pStyle w:val="Heading2"/>
        <w:rPr>
          <w:lang w:val="fr-CA"/>
        </w:rPr>
      </w:pPr>
      <w:r>
        <w:rPr>
          <w:lang w:val="fr-CA"/>
        </w:rPr>
        <w:t xml:space="preserve">Un rapport narratif, avec des données fournies par tranche, décrivant les progrès réalisés depuis le précédent rapport, reflétant la situation du pays en matière d’élimination des Substances, la façon dont les différentes activités y contribuent et comment elles sont reliées entre elles. Le rapport inclura la quantité de SAO éliminée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changements ; </w:t>
      </w:r>
    </w:p>
    <w:p w14:paraId="57E7548F" w14:textId="77777777" w:rsidR="009E1019" w:rsidRDefault="009E1019" w:rsidP="009E1019">
      <w:pPr>
        <w:pStyle w:val="Heading2"/>
        <w:rPr>
          <w:lang w:val="fr-CA"/>
        </w:rPr>
      </w:pPr>
      <w:r>
        <w:rPr>
          <w:lang w:val="fr-CA"/>
        </w:rPr>
        <w:t>Un rapport de vérification indépendant des résultats du plan et de la consommation des substances mentionnées à l’Appendice 1-A,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 ;</w:t>
      </w:r>
    </w:p>
    <w:p w14:paraId="60A3CCB0" w14:textId="77777777" w:rsidR="009E1019" w:rsidRDefault="009E1019" w:rsidP="009E1019">
      <w:pPr>
        <w:pStyle w:val="Heading2"/>
        <w:rPr>
          <w:lang w:val="fr-CA"/>
        </w:rPr>
      </w:pPr>
      <w:r>
        <w:rPr>
          <w:lang w:val="fr-CA"/>
        </w:rPr>
        <w:t xml:space="preserve">Une description écrite des activités à entreprendre au cours de la période visée par la demande de tranche, soulignant les étapes de la mise en œuvre, la date de leur achèvement et leur interdépendance et tenant compte des expériences acquises et des progrès réalisés dans la mise en œuvre des tranches précédentes ; les données du plan seront fournies par année civile. La description doit aussi faire mention du plan d’ensemble et des progrès réalisés ainsi que des changements éventuels prévus au plan d’ensemble. Elle doit également spécifier et expliquer toutes révisions apportées au plan d’ensemble ayant été jugées nécessaires. Cette description des activités futures peut être soumise en tant que partie du même document que le rapport narratif mentionné au paragraphe b) ci-dessus ; </w:t>
      </w:r>
    </w:p>
    <w:p w14:paraId="06F05482" w14:textId="77777777" w:rsidR="009E1019" w:rsidRDefault="009E1019" w:rsidP="009E1019">
      <w:pPr>
        <w:pStyle w:val="Heading2"/>
        <w:rPr>
          <w:lang w:val="fr-CA"/>
        </w:rPr>
      </w:pPr>
      <w:r>
        <w:rPr>
          <w:lang w:val="fr-CA"/>
        </w:rPr>
        <w:t>Une série d’informations quantitatives pour tous les rapports et les plans annuels de mise en œuvre de la tranche présentées dans une base de données communiquées en ligne ;</w:t>
      </w:r>
    </w:p>
    <w:p w14:paraId="4CE6A72A" w14:textId="77777777" w:rsidR="009E1019" w:rsidRDefault="009E1019" w:rsidP="009E1019">
      <w:pPr>
        <w:pStyle w:val="Heading2"/>
        <w:rPr>
          <w:lang w:val="fr-CA"/>
        </w:rPr>
      </w:pPr>
      <w:r>
        <w:rPr>
          <w:lang w:val="fr-CA"/>
        </w:rPr>
        <w:t>Une synthèse comprenant environ cinq paragraphes, résumant les informations des paragraphes 1 a) à 1 d) ci-dessus.</w:t>
      </w:r>
    </w:p>
    <w:p w14:paraId="47A7C8FA" w14:textId="77777777" w:rsidR="009E1019" w:rsidRDefault="009E1019" w:rsidP="009E1019">
      <w:pPr>
        <w:pStyle w:val="Heading1"/>
        <w:rPr>
          <w:lang w:val="fr-CA"/>
        </w:rPr>
      </w:pPr>
      <w:r>
        <w:rPr>
          <w:lang w:val="fr-CA"/>
        </w:rPr>
        <w:t>Si deux phases du PGEH sont mises en œuvre en parallèle au cours d’une année donnée, les considérations ci-dessous doivent entrer en ligne de compte dans la préparation du rapport et du plan de mise en œuvre :</w:t>
      </w:r>
    </w:p>
    <w:p w14:paraId="0AD60D0B" w14:textId="77777777" w:rsidR="009E1019" w:rsidRDefault="009E1019" w:rsidP="009E1019">
      <w:pPr>
        <w:pStyle w:val="Heading2"/>
        <w:rPr>
          <w:lang w:val="fr-CA"/>
        </w:rPr>
      </w:pPr>
      <w:r>
        <w:rPr>
          <w:lang w:val="fr-CA"/>
        </w:rPr>
        <w:lastRenderedPageBreak/>
        <w:t>Les rapports et plans de mise en œuvre de la tranche dont il est question dans le présent Accord ne porteront que sur les activités et les sommes prévues dans cet Accord ; et</w:t>
      </w:r>
    </w:p>
    <w:p w14:paraId="50BF19E4" w14:textId="77777777" w:rsidR="009E1019" w:rsidRPr="008B1E59" w:rsidRDefault="009E1019" w:rsidP="009E1019">
      <w:pPr>
        <w:pStyle w:val="Heading2"/>
        <w:rPr>
          <w:lang w:val="fr-CA"/>
        </w:rPr>
      </w:pPr>
      <w:r>
        <w:rPr>
          <w:lang w:val="fr-CA"/>
        </w:rPr>
        <w:t>Si les phases mises en œuvre présentent des objectifs de consommation de HCFC différents pour une même année, selon l’Appendice 2-A de chaque accord, l’objectif de consommation de HCFC le plus bas servira de référence aux fins de conformité à ces accords et de base pour les vérifications indépendantes.</w:t>
      </w:r>
    </w:p>
    <w:p w14:paraId="4E5110D3" w14:textId="77777777" w:rsidR="009E1019" w:rsidRDefault="009E1019" w:rsidP="009E1019">
      <w:pPr>
        <w:rPr>
          <w:b/>
          <w:lang w:val="fr-CA"/>
        </w:rPr>
      </w:pPr>
      <w:r>
        <w:rPr>
          <w:b/>
          <w:lang w:val="fr-CA"/>
        </w:rPr>
        <w:t xml:space="preserve">APPENDICE 5-A : INSTITUTIONS DE SUIVI ET LEUR RÔLE </w:t>
      </w:r>
    </w:p>
    <w:p w14:paraId="16FF560E" w14:textId="77777777" w:rsidR="009E1019" w:rsidRDefault="009E1019" w:rsidP="009E1019">
      <w:pPr>
        <w:rPr>
          <w:lang w:val="fr-CA"/>
        </w:rPr>
      </w:pPr>
    </w:p>
    <w:p w14:paraId="5C952409" w14:textId="77777777" w:rsidR="009E1019" w:rsidRPr="009E1019" w:rsidRDefault="009E1019" w:rsidP="009E1019">
      <w:pPr>
        <w:pStyle w:val="Heading1"/>
        <w:keepNext/>
        <w:keepLines/>
        <w:numPr>
          <w:ilvl w:val="0"/>
          <w:numId w:val="49"/>
        </w:numPr>
        <w:rPr>
          <w:lang w:val="fr-CA"/>
        </w:rPr>
      </w:pPr>
      <w:r w:rsidRPr="009E1019">
        <w:rPr>
          <w:lang w:val="fr-CA"/>
        </w:rPr>
        <w:t>Le ministère de la Production, du Commerce étranger, des Investissements et de la Pêche (MPCEIP) est le correspondant national du Protocole de Montréal en Équateur. Les activités de mise en œuvre du Protocole correspondent aux propositions de stratégies de la Direction nationale de l’environnement et de la reconversion technologique du ministère. Cette division coordonne avec les autorités du Plan national pour l’élimination des substances qui appauvrissent la couche d’ozone (SAO).</w:t>
      </w:r>
    </w:p>
    <w:p w14:paraId="60945C03" w14:textId="77777777" w:rsidR="009E1019" w:rsidRPr="00E82D22" w:rsidRDefault="009E1019" w:rsidP="009E1019">
      <w:pPr>
        <w:numPr>
          <w:ilvl w:val="0"/>
          <w:numId w:val="1"/>
        </w:numPr>
        <w:spacing w:after="240"/>
        <w:outlineLvl w:val="0"/>
        <w:rPr>
          <w:lang w:val="fr-CA"/>
        </w:rPr>
      </w:pPr>
      <w:r w:rsidRPr="00E82D22">
        <w:rPr>
          <w:lang w:val="fr-CA"/>
        </w:rPr>
        <w:t>Le projet est mis en œuvre avec le Bureau national de l’ozone créé au sein du MPCEIP et fait partie de la Direction nationale de l’environnement et de la reconversion technologique</w:t>
      </w:r>
      <w:r>
        <w:rPr>
          <w:lang w:val="fr-CA"/>
        </w:rPr>
        <w:t xml:space="preserve">. Il a comme responsabilité </w:t>
      </w:r>
      <w:r w:rsidRPr="00E82D22">
        <w:rPr>
          <w:lang w:val="fr-CA"/>
        </w:rPr>
        <w:t>de :</w:t>
      </w:r>
    </w:p>
    <w:p w14:paraId="369ACAC3" w14:textId="77777777" w:rsidR="009E1019" w:rsidRPr="00E82D22" w:rsidRDefault="009E1019" w:rsidP="009E1019">
      <w:pPr>
        <w:widowControl w:val="0"/>
        <w:numPr>
          <w:ilvl w:val="1"/>
          <w:numId w:val="25"/>
        </w:numPr>
        <w:spacing w:after="240"/>
        <w:outlineLvl w:val="1"/>
        <w:rPr>
          <w:lang w:val="fr-CA"/>
        </w:rPr>
      </w:pPr>
      <w:r w:rsidRPr="00E82D22">
        <w:rPr>
          <w:lang w:val="fr-CA"/>
        </w:rPr>
        <w:t>Coordonner toutes les activités liées à la mise en œuvre du programme de pays portant sur l’élimination des SAO en Équateur</w:t>
      </w:r>
      <w:r>
        <w:rPr>
          <w:lang w:val="fr-CA"/>
        </w:rPr>
        <w:t>,</w:t>
      </w:r>
      <w:r w:rsidRPr="00E82D22">
        <w:rPr>
          <w:lang w:val="fr-CA"/>
        </w:rPr>
        <w:t xml:space="preserve"> avec le correspondant national,</w:t>
      </w:r>
    </w:p>
    <w:p w14:paraId="6B61755A" w14:textId="77777777" w:rsidR="009E1019" w:rsidRPr="00E82D22" w:rsidRDefault="009E1019" w:rsidP="009E1019">
      <w:pPr>
        <w:widowControl w:val="0"/>
        <w:numPr>
          <w:ilvl w:val="1"/>
          <w:numId w:val="25"/>
        </w:numPr>
        <w:spacing w:after="240"/>
        <w:outlineLvl w:val="1"/>
        <w:rPr>
          <w:lang w:val="fr-CA"/>
        </w:rPr>
      </w:pPr>
      <w:r w:rsidRPr="00E82D22">
        <w:rPr>
          <w:lang w:val="fr-CA"/>
        </w:rPr>
        <w:t>Surveiller et réglementer la consommation de substances réglementées au titre du Protocole de Montréal,</w:t>
      </w:r>
    </w:p>
    <w:p w14:paraId="14DFE7B9" w14:textId="77777777" w:rsidR="009E1019" w:rsidRPr="00E82D22" w:rsidRDefault="009E1019" w:rsidP="009E1019">
      <w:pPr>
        <w:widowControl w:val="0"/>
        <w:numPr>
          <w:ilvl w:val="1"/>
          <w:numId w:val="25"/>
        </w:numPr>
        <w:spacing w:after="240"/>
        <w:outlineLvl w:val="1"/>
        <w:rPr>
          <w:lang w:val="fr-CA"/>
        </w:rPr>
      </w:pPr>
      <w:r w:rsidRPr="00E82D22">
        <w:rPr>
          <w:lang w:val="fr-CA"/>
        </w:rPr>
        <w:t>Diffuser les données et les renseignements pertinents à toutes les parties intéressées, afin de leur faire connaître les exigences du Protocole de Montréal,</w:t>
      </w:r>
    </w:p>
    <w:p w14:paraId="6CC95894" w14:textId="77777777" w:rsidR="009E1019" w:rsidRPr="00E82D22" w:rsidRDefault="009E1019" w:rsidP="009E1019">
      <w:pPr>
        <w:widowControl w:val="0"/>
        <w:numPr>
          <w:ilvl w:val="1"/>
          <w:numId w:val="25"/>
        </w:numPr>
        <w:spacing w:after="240"/>
        <w:outlineLvl w:val="1"/>
        <w:rPr>
          <w:lang w:val="fr-CA"/>
        </w:rPr>
      </w:pPr>
      <w:r w:rsidRPr="00E82D22">
        <w:rPr>
          <w:lang w:val="fr-CA"/>
        </w:rPr>
        <w:t>Encourager la sensibilisation aux SAO et aux questions entourant leur remplacement,</w:t>
      </w:r>
    </w:p>
    <w:p w14:paraId="035824B3" w14:textId="77777777" w:rsidR="009E1019" w:rsidRPr="00E82D22" w:rsidRDefault="009E1019" w:rsidP="009E1019">
      <w:pPr>
        <w:widowControl w:val="0"/>
        <w:numPr>
          <w:ilvl w:val="1"/>
          <w:numId w:val="25"/>
        </w:numPr>
        <w:spacing w:after="240"/>
        <w:outlineLvl w:val="1"/>
        <w:rPr>
          <w:lang w:val="fr-CA"/>
        </w:rPr>
      </w:pPr>
      <w:r w:rsidRPr="00E82D22">
        <w:rPr>
          <w:lang w:val="fr-CA"/>
        </w:rPr>
        <w:t>Recevoir, évaluer et remettre des rapports sur des projets supplémentaires qui ne figurent pas dans le programme de pays, pour examen par le Comité exécutif du Fonds multilatéral,</w:t>
      </w:r>
    </w:p>
    <w:p w14:paraId="67848F1D" w14:textId="77777777" w:rsidR="009E1019" w:rsidRPr="00E82D22" w:rsidRDefault="009E1019" w:rsidP="009E1019">
      <w:pPr>
        <w:widowControl w:val="0"/>
        <w:numPr>
          <w:ilvl w:val="1"/>
          <w:numId w:val="25"/>
        </w:numPr>
        <w:spacing w:after="240"/>
        <w:outlineLvl w:val="1"/>
        <w:rPr>
          <w:lang w:val="fr-CA"/>
        </w:rPr>
      </w:pPr>
      <w:r w:rsidRPr="00E82D22">
        <w:rPr>
          <w:lang w:val="fr-CA"/>
        </w:rPr>
        <w:t>Faire rapport au Secrétariat de l’ozone, au Fonds multilatéral et à l’agence d’exécution sur la consommation et l’éliminatio0n des substances réglementées au titre du Protocole de Montréal en Équateur,</w:t>
      </w:r>
    </w:p>
    <w:p w14:paraId="63732C31" w14:textId="77777777" w:rsidR="009E1019" w:rsidRPr="00E82D22" w:rsidRDefault="009E1019" w:rsidP="009E1019">
      <w:pPr>
        <w:widowControl w:val="0"/>
        <w:numPr>
          <w:ilvl w:val="1"/>
          <w:numId w:val="25"/>
        </w:numPr>
        <w:spacing w:after="240"/>
        <w:outlineLvl w:val="1"/>
        <w:rPr>
          <w:lang w:val="fr-CA"/>
        </w:rPr>
      </w:pPr>
      <w:r w:rsidRPr="00E82D22">
        <w:rPr>
          <w:lang w:val="fr-CA"/>
        </w:rPr>
        <w:t>Coordonner et mettre en œuvre les projets portant sur des substances réglementées par le Protocole de Montréal au pays.</w:t>
      </w:r>
    </w:p>
    <w:p w14:paraId="547339C7" w14:textId="707E726F" w:rsidR="009E1019" w:rsidRPr="00E82D22" w:rsidRDefault="009E1019" w:rsidP="009E1019">
      <w:pPr>
        <w:numPr>
          <w:ilvl w:val="0"/>
          <w:numId w:val="1"/>
        </w:numPr>
        <w:spacing w:after="240"/>
        <w:outlineLvl w:val="0"/>
        <w:rPr>
          <w:rFonts w:eastAsia="SimSun"/>
          <w:lang w:val="fr-CA" w:eastAsia="zh-CN"/>
        </w:rPr>
      </w:pPr>
      <w:r>
        <w:rPr>
          <w:rFonts w:eastAsiaTheme="minorHAnsi"/>
          <w:lang w:val="fr-CA"/>
        </w:rPr>
        <w:t>Le M</w:t>
      </w:r>
      <w:r w:rsidRPr="00E82D22">
        <w:rPr>
          <w:rFonts w:eastAsiaTheme="minorHAnsi"/>
          <w:lang w:val="fr-CA"/>
        </w:rPr>
        <w:t xml:space="preserve">PCEIP sera responsable d’assurer le suivi du plan de mise en œuvre de l’élimination, le suivi de la promulgation et l’application des politiques et mesures législatives et des procédures, en appliquant la démarche suivante </w:t>
      </w:r>
      <w:r w:rsidRPr="00E82D22">
        <w:rPr>
          <w:rFonts w:eastAsia="SimSun"/>
          <w:lang w:val="fr-CA" w:eastAsia="zh-CN"/>
        </w:rPr>
        <w:t xml:space="preserve">: </w:t>
      </w:r>
    </w:p>
    <w:p w14:paraId="637C694C"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 xml:space="preserve">Mise en œuvre de toutes les activités des </w:t>
      </w:r>
      <w:r>
        <w:rPr>
          <w:lang w:val="fr-CA" w:eastAsia="es-ES"/>
        </w:rPr>
        <w:t>volets</w:t>
      </w:r>
      <w:r w:rsidRPr="00E82D22">
        <w:rPr>
          <w:lang w:val="fr-CA" w:eastAsia="es-ES"/>
        </w:rPr>
        <w:t xml:space="preserve"> du PGEH, dont l’élaboration détaillée des activités, la vérification de toutes les parties participantes, le recensement et la sélection des bénéficiaires, les contrats de biens et services, l’assistance technique continue aux bénéficiaires du projet, etc.</w:t>
      </w:r>
    </w:p>
    <w:p w14:paraId="36E078EE"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 xml:space="preserve">Le suivi régulier </w:t>
      </w:r>
      <w:r>
        <w:rPr>
          <w:lang w:val="fr-CA" w:eastAsia="es-ES"/>
        </w:rPr>
        <w:t>des tendances et des attitudes d</w:t>
      </w:r>
      <w:r w:rsidRPr="00E82D22">
        <w:rPr>
          <w:lang w:val="fr-CA" w:eastAsia="es-ES"/>
        </w:rPr>
        <w:t>u secteur privé concernant l’utilisation des HCFC et leurs remplaçants potentiels.</w:t>
      </w:r>
    </w:p>
    <w:p w14:paraId="5C8C00A6" w14:textId="77777777" w:rsidR="009E1019" w:rsidRPr="00E82D22" w:rsidRDefault="009E1019" w:rsidP="0049199D">
      <w:pPr>
        <w:keepNext/>
        <w:keepLines/>
        <w:widowControl w:val="0"/>
        <w:numPr>
          <w:ilvl w:val="1"/>
          <w:numId w:val="25"/>
        </w:numPr>
        <w:spacing w:after="240"/>
        <w:outlineLvl w:val="1"/>
        <w:rPr>
          <w:lang w:val="fr-CA" w:eastAsia="es-ES"/>
        </w:rPr>
      </w:pPr>
      <w:r w:rsidRPr="00E82D22">
        <w:rPr>
          <w:lang w:val="fr-CA" w:eastAsia="es-ES"/>
        </w:rPr>
        <w:lastRenderedPageBreak/>
        <w:t>Conception, organisation et mise en œuvre (annuelle) des activités de suivi du projet, dont l’élaboration des instruments de collecte et d’analyse des données.</w:t>
      </w:r>
    </w:p>
    <w:p w14:paraId="0201D75F"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Analyse et communication des résultats du suivi, dont l’élaboration de la mise en œuvre des correctifs et/ou des activités d’assistance technique, et organisation des réunions correspondantes sur l’examen et la gestion du suivi.</w:t>
      </w:r>
    </w:p>
    <w:p w14:paraId="1BAFFCAE"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Élaboration et mise en œuvre des correctifs.</w:t>
      </w:r>
    </w:p>
    <w:p w14:paraId="497D5649"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Mise en œuvre régulière des activités d’assistance technique pour les bénéficiaires du projet.</w:t>
      </w:r>
    </w:p>
    <w:p w14:paraId="68640C67" w14:textId="77777777" w:rsidR="009E1019" w:rsidRPr="00E82D22" w:rsidRDefault="009E1019" w:rsidP="009E1019">
      <w:pPr>
        <w:widowControl w:val="0"/>
        <w:numPr>
          <w:ilvl w:val="1"/>
          <w:numId w:val="25"/>
        </w:numPr>
        <w:spacing w:after="240"/>
        <w:outlineLvl w:val="1"/>
        <w:rPr>
          <w:lang w:val="fr-CA" w:eastAsia="es-ES"/>
        </w:rPr>
      </w:pPr>
      <w:r w:rsidRPr="00E82D22">
        <w:rPr>
          <w:lang w:val="fr-CA" w:eastAsia="es-ES"/>
        </w:rPr>
        <w:t>Préparation des rapports périodiques annuels, des rapports biannuels sur la mise en œuvre du PGEH et du plan biannuel de mise en œuvre</w:t>
      </w:r>
      <w:r>
        <w:rPr>
          <w:lang w:val="fr-CA" w:eastAsia="es-ES"/>
        </w:rPr>
        <w:t>,</w:t>
      </w:r>
      <w:r w:rsidRPr="00E82D22">
        <w:rPr>
          <w:lang w:val="fr-CA" w:eastAsia="es-ES"/>
        </w:rPr>
        <w:t xml:space="preserve"> </w:t>
      </w:r>
      <w:r>
        <w:rPr>
          <w:lang w:val="fr-CA" w:eastAsia="es-ES"/>
        </w:rPr>
        <w:t>destinés au</w:t>
      </w:r>
      <w:r w:rsidRPr="00E82D22">
        <w:rPr>
          <w:lang w:val="fr-CA" w:eastAsia="es-ES"/>
        </w:rPr>
        <w:t xml:space="preserve"> Comité exécutif du Fonds multilatéral en utilisant le modèle convenu. Comprend é</w:t>
      </w:r>
      <w:r>
        <w:rPr>
          <w:lang w:val="fr-CA" w:eastAsia="es-ES"/>
        </w:rPr>
        <w:t>galement la préparation de tout</w:t>
      </w:r>
      <w:r w:rsidRPr="00E82D22">
        <w:rPr>
          <w:lang w:val="fr-CA" w:eastAsia="es-ES"/>
        </w:rPr>
        <w:t xml:space="preserve"> autre rapport nécessaire au bon fonctionnement du PGEH.</w:t>
      </w:r>
    </w:p>
    <w:p w14:paraId="613CBC1C" w14:textId="77777777" w:rsidR="009E1019" w:rsidRPr="00E82D22" w:rsidRDefault="009E1019" w:rsidP="009E1019">
      <w:pPr>
        <w:numPr>
          <w:ilvl w:val="0"/>
          <w:numId w:val="1"/>
        </w:numPr>
        <w:spacing w:after="240"/>
        <w:outlineLvl w:val="0"/>
        <w:rPr>
          <w:rFonts w:eastAsiaTheme="minorHAnsi"/>
          <w:lang w:val="fr-CA"/>
        </w:rPr>
      </w:pPr>
      <w:r w:rsidRPr="00E82D22">
        <w:rPr>
          <w:rFonts w:eastAsiaTheme="minorHAnsi"/>
          <w:lang w:val="fr-CA"/>
        </w:rPr>
        <w:t>Le plan d’élimination sera géré par une équipe dédiée à cette tâche formée d’un coordonnateur désigné par le MPCEIP</w:t>
      </w:r>
      <w:r>
        <w:rPr>
          <w:rFonts w:eastAsiaTheme="minorHAnsi"/>
          <w:lang w:val="fr-CA"/>
        </w:rPr>
        <w:t>, qui profitera de l’appui des représentants et d</w:t>
      </w:r>
      <w:r w:rsidRPr="00E82D22">
        <w:rPr>
          <w:rFonts w:eastAsiaTheme="minorHAnsi"/>
          <w:lang w:val="fr-CA"/>
        </w:rPr>
        <w:t>es experts des agences d’exécution et</w:t>
      </w:r>
      <w:r>
        <w:rPr>
          <w:rFonts w:eastAsiaTheme="minorHAnsi"/>
          <w:lang w:val="fr-CA"/>
        </w:rPr>
        <w:t xml:space="preserve"> de</w:t>
      </w:r>
      <w:r w:rsidRPr="00E82D22">
        <w:rPr>
          <w:rFonts w:eastAsiaTheme="minorHAnsi"/>
          <w:lang w:val="fr-CA"/>
        </w:rPr>
        <w:t xml:space="preserve"> l’infrastructure de soutien nécessaire. Le volet de soutien à la gestion et la mise à jour des instruments légaux du plan d’élimination comprend les activités suivantes :</w:t>
      </w:r>
    </w:p>
    <w:p w14:paraId="72095F34" w14:textId="396CCF9B" w:rsidR="009E1019" w:rsidRPr="00E82D22" w:rsidRDefault="009E1019" w:rsidP="009E1019">
      <w:pPr>
        <w:widowControl w:val="0"/>
        <w:numPr>
          <w:ilvl w:val="1"/>
          <w:numId w:val="25"/>
        </w:numPr>
        <w:spacing w:after="240"/>
        <w:outlineLvl w:val="1"/>
        <w:rPr>
          <w:lang w:val="fr-CA"/>
        </w:rPr>
      </w:pPr>
      <w:r w:rsidRPr="00E82D22">
        <w:rPr>
          <w:lang w:val="fr-CA"/>
        </w:rPr>
        <w:t>Gestion et coordination du plan de mise en œuvre</w:t>
      </w:r>
      <w:r>
        <w:rPr>
          <w:lang w:val="fr-CA"/>
        </w:rPr>
        <w:t xml:space="preserve"> </w:t>
      </w:r>
      <w:r w:rsidRPr="00E82D22">
        <w:rPr>
          <w:lang w:val="fr-CA"/>
        </w:rPr>
        <w:t>;</w:t>
      </w:r>
    </w:p>
    <w:p w14:paraId="6C963058" w14:textId="4B43BFE3" w:rsidR="009E1019" w:rsidRPr="00E82D22" w:rsidRDefault="009E1019" w:rsidP="009E1019">
      <w:pPr>
        <w:widowControl w:val="0"/>
        <w:numPr>
          <w:ilvl w:val="1"/>
          <w:numId w:val="25"/>
        </w:numPr>
        <w:spacing w:after="240"/>
        <w:outlineLvl w:val="1"/>
        <w:rPr>
          <w:lang w:val="fr-CA"/>
        </w:rPr>
      </w:pPr>
      <w:r w:rsidRPr="00E82D22">
        <w:rPr>
          <w:lang w:val="fr-CA"/>
        </w:rPr>
        <w:t xml:space="preserve">Création d’un programme d’élaboration et d’application de politiques, afin que le gouvernement puisse exercer les mandats nécessaires </w:t>
      </w:r>
      <w:r>
        <w:rPr>
          <w:lang w:val="fr-CA"/>
        </w:rPr>
        <w:t xml:space="preserve">au respect des obligations </w:t>
      </w:r>
      <w:r w:rsidRPr="00E82D22">
        <w:rPr>
          <w:lang w:val="fr-CA"/>
        </w:rPr>
        <w:t>en matière de réduction de consommation des SAO</w:t>
      </w:r>
      <w:r>
        <w:rPr>
          <w:lang w:val="fr-CA"/>
        </w:rPr>
        <w:t xml:space="preserve"> par </w:t>
      </w:r>
      <w:r w:rsidRPr="00E82D22">
        <w:rPr>
          <w:lang w:val="fr-CA"/>
        </w:rPr>
        <w:t>l’</w:t>
      </w:r>
      <w:r>
        <w:rPr>
          <w:lang w:val="fr-CA"/>
        </w:rPr>
        <w:t xml:space="preserve">industrie </w:t>
      </w:r>
      <w:r w:rsidRPr="00E82D22">
        <w:rPr>
          <w:lang w:val="fr-CA"/>
        </w:rPr>
        <w:t>;</w:t>
      </w:r>
    </w:p>
    <w:p w14:paraId="58C993E2" w14:textId="4692E8DB" w:rsidR="009E1019" w:rsidRPr="00E82D22" w:rsidRDefault="009E1019" w:rsidP="009E1019">
      <w:pPr>
        <w:widowControl w:val="0"/>
        <w:numPr>
          <w:ilvl w:val="1"/>
          <w:numId w:val="25"/>
        </w:numPr>
        <w:spacing w:after="240"/>
        <w:outlineLvl w:val="1"/>
        <w:rPr>
          <w:lang w:val="fr-CA"/>
        </w:rPr>
      </w:pPr>
      <w:r w:rsidRPr="00E82D22">
        <w:rPr>
          <w:lang w:val="fr-CA"/>
        </w:rPr>
        <w:t>Élaboration et mise en œuvre des activités de formation, de sensibilisation et de renforcement des capacités afin de garantir un haut niveau d’engagement envers les objectifs du plan et les obligations au titre de celui-ci</w:t>
      </w:r>
      <w:r>
        <w:rPr>
          <w:lang w:val="fr-CA"/>
        </w:rPr>
        <w:t xml:space="preserve"> </w:t>
      </w:r>
      <w:r w:rsidRPr="00E82D22">
        <w:rPr>
          <w:lang w:val="fr-CA"/>
        </w:rPr>
        <w:t>;</w:t>
      </w:r>
    </w:p>
    <w:p w14:paraId="483B1EF1" w14:textId="2709945B" w:rsidR="009E1019" w:rsidRPr="00E82D22" w:rsidRDefault="009E1019" w:rsidP="009E1019">
      <w:pPr>
        <w:widowControl w:val="0"/>
        <w:numPr>
          <w:ilvl w:val="1"/>
          <w:numId w:val="25"/>
        </w:numPr>
        <w:spacing w:after="240"/>
        <w:outlineLvl w:val="1"/>
        <w:rPr>
          <w:lang w:val="fr-CA"/>
        </w:rPr>
      </w:pPr>
      <w:r w:rsidRPr="00E82D22">
        <w:rPr>
          <w:lang w:val="fr-CA"/>
        </w:rPr>
        <w:t>Préparation du plan de mise en œuvre annuel, dont la détermination de l’ordre de participation des entreprises aux activités</w:t>
      </w:r>
      <w:r>
        <w:rPr>
          <w:lang w:val="fr-CA"/>
        </w:rPr>
        <w:t xml:space="preserve"> </w:t>
      </w:r>
      <w:r w:rsidRPr="00E82D22">
        <w:rPr>
          <w:lang w:val="fr-CA"/>
        </w:rPr>
        <w:t>;</w:t>
      </w:r>
    </w:p>
    <w:p w14:paraId="1F1ED53A" w14:textId="2B1F4DF7" w:rsidR="009E1019" w:rsidRPr="00E82D22" w:rsidRDefault="009E1019" w:rsidP="009E1019">
      <w:pPr>
        <w:widowControl w:val="0"/>
        <w:numPr>
          <w:ilvl w:val="1"/>
          <w:numId w:val="25"/>
        </w:numPr>
        <w:spacing w:after="240"/>
        <w:outlineLvl w:val="1"/>
        <w:rPr>
          <w:lang w:val="fr-CA"/>
        </w:rPr>
      </w:pPr>
      <w:r w:rsidRPr="00E82D22">
        <w:rPr>
          <w:lang w:val="fr-CA"/>
        </w:rPr>
        <w:t>Mise en place et fonctionnement d’un système de rapports sur l’utilisation des SAO et des substances de remplacement par les utilisateurs</w:t>
      </w:r>
      <w:r>
        <w:rPr>
          <w:lang w:val="fr-CA"/>
        </w:rPr>
        <w:t xml:space="preserve"> </w:t>
      </w:r>
      <w:r w:rsidRPr="00E82D22">
        <w:rPr>
          <w:lang w:val="fr-CA"/>
        </w:rPr>
        <w:t>;</w:t>
      </w:r>
    </w:p>
    <w:p w14:paraId="7CE6C518" w14:textId="6CFCBF9E" w:rsidR="009E1019" w:rsidRPr="00E82D22" w:rsidRDefault="009E1019" w:rsidP="009E1019">
      <w:pPr>
        <w:widowControl w:val="0"/>
        <w:numPr>
          <w:ilvl w:val="1"/>
          <w:numId w:val="25"/>
        </w:numPr>
        <w:spacing w:after="240"/>
        <w:outlineLvl w:val="1"/>
        <w:rPr>
          <w:lang w:val="fr-CA"/>
        </w:rPr>
      </w:pPr>
      <w:r w:rsidRPr="00E82D22">
        <w:rPr>
          <w:lang w:val="fr-CA"/>
        </w:rPr>
        <w:t>Rapport sur les progrès du plan de mise en œuvre pour le décaissement final basé sur l’efficacité</w:t>
      </w:r>
      <w:r>
        <w:rPr>
          <w:lang w:val="fr-CA"/>
        </w:rPr>
        <w:t xml:space="preserve"> ; et</w:t>
      </w:r>
    </w:p>
    <w:p w14:paraId="3C241E4F" w14:textId="77777777" w:rsidR="009E1019" w:rsidRPr="00E82D22" w:rsidRDefault="009E1019" w:rsidP="009E1019">
      <w:pPr>
        <w:widowControl w:val="0"/>
        <w:numPr>
          <w:ilvl w:val="1"/>
          <w:numId w:val="25"/>
        </w:numPr>
        <w:spacing w:after="240"/>
        <w:outlineLvl w:val="1"/>
        <w:rPr>
          <w:lang w:val="fr-CA"/>
        </w:rPr>
      </w:pPr>
      <w:r w:rsidRPr="00E82D22">
        <w:rPr>
          <w:lang w:val="fr-CA"/>
        </w:rPr>
        <w:t>Mise en place et fonctionnement d’un mécanisme décentralisé pour assurer le suivi et évaluer les résultats du plan, en association avec les entités de réglementation environnement</w:t>
      </w:r>
      <w:r>
        <w:rPr>
          <w:lang w:val="fr-CA"/>
        </w:rPr>
        <w:t>ale</w:t>
      </w:r>
      <w:r w:rsidRPr="00E82D22">
        <w:rPr>
          <w:lang w:val="fr-CA"/>
        </w:rPr>
        <w:t xml:space="preserve"> locales, afin de garantir la durabilité.</w:t>
      </w:r>
    </w:p>
    <w:p w14:paraId="50AB8873" w14:textId="77777777" w:rsidR="009E1019" w:rsidRPr="00E82D22" w:rsidRDefault="009E1019" w:rsidP="009E1019">
      <w:pPr>
        <w:pStyle w:val="Heading1"/>
        <w:numPr>
          <w:ilvl w:val="0"/>
          <w:numId w:val="25"/>
        </w:numPr>
        <w:rPr>
          <w:rFonts w:eastAsiaTheme="minorHAnsi"/>
          <w:lang w:val="fr-CA"/>
        </w:rPr>
      </w:pPr>
      <w:r w:rsidRPr="00E82D22">
        <w:rPr>
          <w:rFonts w:eastAsiaTheme="minorHAnsi"/>
          <w:lang w:val="fr-CA"/>
        </w:rPr>
        <w:t>Le pays consent aux évaluations, qui pourraient être effectuées au titre des programmes de travail de suivi et évaluation du Fonds multilatéral ou du programme d’évaluation de n’importe quelle agence participant à cet Accord.</w:t>
      </w:r>
    </w:p>
    <w:p w14:paraId="5F9E961E" w14:textId="77777777" w:rsidR="009E1019" w:rsidRPr="00E91375" w:rsidRDefault="009E1019" w:rsidP="009E1019">
      <w:pPr>
        <w:rPr>
          <w:rFonts w:eastAsiaTheme="minorHAnsi"/>
          <w:lang w:val="fr-CA"/>
        </w:rPr>
      </w:pPr>
    </w:p>
    <w:p w14:paraId="61F1DDC7" w14:textId="77777777" w:rsidR="009E1019" w:rsidRDefault="009E1019" w:rsidP="009E1019">
      <w:pPr>
        <w:keepNext/>
        <w:keepLines/>
        <w:rPr>
          <w:b/>
          <w:lang w:val="fr-CA"/>
        </w:rPr>
      </w:pPr>
      <w:r>
        <w:rPr>
          <w:b/>
          <w:lang w:val="fr-CA"/>
        </w:rPr>
        <w:lastRenderedPageBreak/>
        <w:t xml:space="preserve">APPENDICE 6-A : RÔLE DE L’AGENCE D’EXÉCUTION PRINCIPALE </w:t>
      </w:r>
    </w:p>
    <w:p w14:paraId="16D6162E" w14:textId="77777777" w:rsidR="009E1019" w:rsidRDefault="009E1019" w:rsidP="009E1019">
      <w:pPr>
        <w:keepNext/>
        <w:keepLines/>
        <w:rPr>
          <w:lang w:val="fr-CA"/>
        </w:rPr>
      </w:pPr>
    </w:p>
    <w:p w14:paraId="2E1D91FE" w14:textId="77777777" w:rsidR="009E1019" w:rsidRPr="009E1019" w:rsidRDefault="009E1019" w:rsidP="009E1019">
      <w:pPr>
        <w:pStyle w:val="Heading1"/>
        <w:keepNext/>
        <w:keepLines/>
        <w:numPr>
          <w:ilvl w:val="0"/>
          <w:numId w:val="48"/>
        </w:numPr>
        <w:rPr>
          <w:lang w:val="fr-CA"/>
        </w:rPr>
      </w:pPr>
      <w:r w:rsidRPr="009E1019">
        <w:rPr>
          <w:lang w:val="fr-CA"/>
        </w:rPr>
        <w:t xml:space="preserve">L’Agence principale sera responsable </w:t>
      </w:r>
      <w:r w:rsidRPr="009E1019">
        <w:rPr>
          <w:color w:val="000000"/>
          <w:lang w:val="fr-CA"/>
        </w:rPr>
        <w:t>d’une série d’activités, incluant au moins les activités suivantes :</w:t>
      </w:r>
    </w:p>
    <w:p w14:paraId="3F76885A" w14:textId="77777777" w:rsidR="009E1019" w:rsidRDefault="009E1019" w:rsidP="009E1019">
      <w:pPr>
        <w:pStyle w:val="Heading2"/>
        <w:rPr>
          <w:lang w:val="fr-CA"/>
        </w:rPr>
      </w:pPr>
      <w:r>
        <w:rPr>
          <w:lang w:val="fr-CA"/>
        </w:rPr>
        <w:t>S’assurer du rendement et de la vérification financière conformément au présent Accord et à ses procédures internes et exigences spécifiques définies dans le PGEH du Pays ;</w:t>
      </w:r>
    </w:p>
    <w:p w14:paraId="4159BEAF" w14:textId="77777777" w:rsidR="009E1019" w:rsidRDefault="009E1019" w:rsidP="009E1019">
      <w:pPr>
        <w:pStyle w:val="Heading2"/>
        <w:rPr>
          <w:lang w:val="fr-CA"/>
        </w:rPr>
      </w:pPr>
      <w:r>
        <w:rPr>
          <w:lang w:val="fr-CA"/>
        </w:rPr>
        <w:t>Aider le Pays à préparer les plans de mise en œuvre de la tranche et les rapports ultérieurs conformément à l’Appendice 4-A ;</w:t>
      </w:r>
    </w:p>
    <w:p w14:paraId="2AF51F2F" w14:textId="77777777" w:rsidR="009E1019" w:rsidRDefault="009E1019" w:rsidP="009E1019">
      <w:pPr>
        <w:pStyle w:val="Heading2"/>
        <w:rPr>
          <w:lang w:val="fr-CA"/>
        </w:rPr>
      </w:pPr>
      <w:r>
        <w:rPr>
          <w:lang w:val="fr-CA"/>
        </w:rPr>
        <w:t xml:space="preserve">Remettre au Comité exécutif un rapport de vérification indépendante confirmant que les objectifs ont été atteints et que les activités annuelles correspondantes ont été réalisées conformément au plan de mise en œuvre de la tranche, en accord avec l’Appendice 4-A ; </w:t>
      </w:r>
    </w:p>
    <w:p w14:paraId="18BA1F39" w14:textId="16872111" w:rsidR="009E1019" w:rsidRDefault="009E1019" w:rsidP="009E1019">
      <w:pPr>
        <w:pStyle w:val="Heading2"/>
        <w:keepNext/>
        <w:keepLines/>
        <w:rPr>
          <w:lang w:val="fr-CA"/>
        </w:rPr>
      </w:pPr>
      <w:r>
        <w:rPr>
          <w:lang w:val="fr-CA"/>
        </w:rPr>
        <w:t xml:space="preserve">Veiller à ce que les expériences et progrès transparaissent dans les mises à jour du plan d’ensemble et les plans annuels de mise en </w:t>
      </w:r>
      <w:r w:rsidRPr="009E1019">
        <w:rPr>
          <w:lang w:val="fr-CA"/>
        </w:rPr>
        <w:t xml:space="preserve">œuvre de la tranche future, conformément </w:t>
      </w:r>
      <w:r>
        <w:rPr>
          <w:lang w:val="fr-CA"/>
        </w:rPr>
        <w:t>aux paragraphes 1 c) et 1 d) de l’Appendice 4-A ;</w:t>
      </w:r>
    </w:p>
    <w:p w14:paraId="374C9CAF" w14:textId="77777777" w:rsidR="009E1019" w:rsidRPr="00BA4955" w:rsidRDefault="009E1019" w:rsidP="009E1019">
      <w:pPr>
        <w:pStyle w:val="Heading2"/>
        <w:rPr>
          <w:lang w:val="fr-CA"/>
        </w:rPr>
      </w:pPr>
      <w:r w:rsidRPr="00BA4955">
        <w:rPr>
          <w:lang w:val="fr-CA"/>
        </w:rPr>
        <w:t>Satisfaire aux exigences de rapport pour les rapports et plans de mise en œuvre de la tranche et le plan d’ensemble selon les spécifications de l’Appendice 4-A aux fins de présentation au Comité exécutif ;</w:t>
      </w:r>
    </w:p>
    <w:p w14:paraId="1123AA49" w14:textId="77777777" w:rsidR="009E1019" w:rsidRDefault="009E1019" w:rsidP="009E1019">
      <w:pPr>
        <w:pStyle w:val="Heading2"/>
        <w:rPr>
          <w:lang w:val="fr-CA"/>
        </w:rPr>
      </w:pPr>
      <w:r>
        <w:rPr>
          <w:lang w:val="fr-CA"/>
        </w:rPr>
        <w:t>Dans l’éventualité où la dernière tranche de financement est demandée une année ou plus avant la dernière année pour laquelle un objectif de consommation a été établi, les rapports de mise en œuvre de la tranche annuelle et, s’il y a lieu, les rapports de vérification du stage actuel du Plan doivent être soumis jusqu’à ce que toutes les activités prévues aient été menées à terme et que les objectifs de consommation aient été atteints ;</w:t>
      </w:r>
    </w:p>
    <w:p w14:paraId="20487BA7" w14:textId="77777777" w:rsidR="009E1019" w:rsidRDefault="009E1019" w:rsidP="009E1019">
      <w:pPr>
        <w:pStyle w:val="Heading2"/>
        <w:rPr>
          <w:lang w:val="fr-CA"/>
        </w:rPr>
      </w:pPr>
      <w:r>
        <w:rPr>
          <w:lang w:val="fr-CA"/>
        </w:rPr>
        <w:t>Veiller à ce que des experts techniques indépendants et qualifiés réalisent les examens techniques ;</w:t>
      </w:r>
    </w:p>
    <w:p w14:paraId="17BC73F0" w14:textId="77777777" w:rsidR="009E1019" w:rsidRDefault="009E1019" w:rsidP="009E1019">
      <w:pPr>
        <w:pStyle w:val="Heading2"/>
        <w:rPr>
          <w:lang w:val="fr-CA"/>
        </w:rPr>
      </w:pPr>
      <w:r>
        <w:rPr>
          <w:lang w:val="fr-CA"/>
        </w:rPr>
        <w:t>Exécuter les missions de supervision requises ;</w:t>
      </w:r>
    </w:p>
    <w:p w14:paraId="33B86F7E" w14:textId="77777777" w:rsidR="009E1019" w:rsidRPr="00BA4955" w:rsidRDefault="009E1019" w:rsidP="009E1019">
      <w:pPr>
        <w:pStyle w:val="Heading2"/>
        <w:rPr>
          <w:lang w:val="fr-CA"/>
        </w:rPr>
      </w:pPr>
      <w:r w:rsidRPr="00BA4955">
        <w:rPr>
          <w:lang w:val="fr-CA"/>
        </w:rPr>
        <w:t>S’assurer qu’il existe un mécanisme opérationnel permettant la mise en œuvre efficace et transparente du plan de mise en œuvre de la tranche et la communication de données exactes ;</w:t>
      </w:r>
    </w:p>
    <w:p w14:paraId="4599FC2E" w14:textId="77777777" w:rsidR="009E1019" w:rsidRPr="00BA4955" w:rsidRDefault="009E1019" w:rsidP="009E1019">
      <w:pPr>
        <w:pStyle w:val="Heading2"/>
        <w:rPr>
          <w:lang w:val="fr-CA"/>
        </w:rPr>
      </w:pPr>
      <w:r w:rsidRPr="00BA4955">
        <w:rPr>
          <w:lang w:val="fr-CA"/>
        </w:rPr>
        <w:t xml:space="preserve">En cas de réduction du soutien financier pour non-conformité au paragraphe 11 de l’Accord, déterminer, en consultation avec le Pays, la répartition des réductions aux différents postes budgétaires et au financement de l’Agence principale ; </w:t>
      </w:r>
    </w:p>
    <w:p w14:paraId="3F6C4E86" w14:textId="77777777" w:rsidR="009E1019" w:rsidRPr="00BA4955" w:rsidRDefault="009E1019" w:rsidP="009E1019">
      <w:pPr>
        <w:pStyle w:val="Heading2"/>
        <w:rPr>
          <w:lang w:val="fr-CA"/>
        </w:rPr>
      </w:pPr>
      <w:r w:rsidRPr="00BA4955">
        <w:rPr>
          <w:lang w:val="fr-CA"/>
        </w:rPr>
        <w:t xml:space="preserve">Veiller à ce que les versements effectués au Pays reposent sur l’utilisation des indicateurs ; </w:t>
      </w:r>
    </w:p>
    <w:p w14:paraId="390D2E0A" w14:textId="77777777" w:rsidR="009E1019" w:rsidRPr="00BA4955" w:rsidRDefault="009E1019" w:rsidP="009E1019">
      <w:pPr>
        <w:pStyle w:val="Heading2"/>
        <w:rPr>
          <w:lang w:val="fr-CA"/>
        </w:rPr>
      </w:pPr>
      <w:r w:rsidRPr="00BA4955">
        <w:rPr>
          <w:lang w:val="fr-CA"/>
        </w:rPr>
        <w:t>Fournir si nécessaire une assistance en matière de politique, de gestion et de soutien technique ; et</w:t>
      </w:r>
    </w:p>
    <w:p w14:paraId="49AC1AC9" w14:textId="77777777" w:rsidR="009E1019" w:rsidRDefault="009E1019" w:rsidP="009E1019">
      <w:pPr>
        <w:pStyle w:val="Heading2"/>
        <w:rPr>
          <w:lang w:val="fr-CA"/>
        </w:rPr>
      </w:pPr>
      <w:r w:rsidRPr="00BA4955">
        <w:rPr>
          <w:lang w:val="fr-CA"/>
        </w:rPr>
        <w:t>Décaisser les sommes au pays/aux entreprises participants dans les délais nécessaires pour achever les activités reliées</w:t>
      </w:r>
      <w:r>
        <w:rPr>
          <w:lang w:val="fr-CA"/>
        </w:rPr>
        <w:t xml:space="preserve"> au projet.</w:t>
      </w:r>
    </w:p>
    <w:p w14:paraId="6A8C7319" w14:textId="77777777" w:rsidR="009E1019" w:rsidRPr="008B1E59" w:rsidRDefault="009E1019" w:rsidP="009E1019">
      <w:pPr>
        <w:pStyle w:val="Heading1"/>
        <w:rPr>
          <w:lang w:val="fr-CA"/>
        </w:rPr>
      </w:pPr>
      <w:r>
        <w:rPr>
          <w:lang w:val="fr-CA"/>
        </w:rPr>
        <w:t>Après avoir consulté le Pays et pris en considération les points de vue exprimés, l’Agence principale sélectionnera et chargera une organisation indépendante de réaliser la vérification des résultats du plan de gestion de l’élimination des HCFC et de la consommation des substances mentionnées à l’Appendice 1-A, conformément au paragraphe 5 b) de l’Accord et au paragraphe 1 b) de l’Appendice 4</w:t>
      </w:r>
      <w:r>
        <w:rPr>
          <w:lang w:val="fr-CA"/>
        </w:rPr>
        <w:noBreakHyphen/>
        <w:t>A.</w:t>
      </w:r>
    </w:p>
    <w:p w14:paraId="29287D5F" w14:textId="77777777" w:rsidR="009E1019" w:rsidRDefault="009E1019" w:rsidP="009E1019">
      <w:pPr>
        <w:rPr>
          <w:lang w:val="fr-CA"/>
        </w:rPr>
      </w:pPr>
    </w:p>
    <w:p w14:paraId="115E5F96" w14:textId="3DCDBA7C" w:rsidR="009E1019" w:rsidRDefault="009E1019" w:rsidP="009E1019">
      <w:pPr>
        <w:keepNext/>
        <w:keepLines/>
        <w:rPr>
          <w:b/>
          <w:lang w:val="fr-CA"/>
        </w:rPr>
      </w:pPr>
      <w:r>
        <w:rPr>
          <w:b/>
          <w:lang w:val="fr-CA"/>
        </w:rPr>
        <w:t>APPENDICE 7-A : RÉDUCTIONS DU FINANCEMENT EN CAS DE NON</w:t>
      </w:r>
      <w:r>
        <w:rPr>
          <w:b/>
          <w:lang w:val="fr-CA"/>
        </w:rPr>
        <w:noBreakHyphen/>
        <w:t>CONFORMITÉ</w:t>
      </w:r>
    </w:p>
    <w:p w14:paraId="6C85A833" w14:textId="77777777" w:rsidR="009E1019" w:rsidRDefault="009E1019" w:rsidP="009E1019">
      <w:pPr>
        <w:keepNext/>
        <w:keepLines/>
        <w:rPr>
          <w:lang w:val="fr-CA"/>
        </w:rPr>
      </w:pPr>
    </w:p>
    <w:p w14:paraId="5E929AE5" w14:textId="77777777" w:rsidR="009E1019" w:rsidRPr="009E1019" w:rsidRDefault="009E1019" w:rsidP="009E1019">
      <w:pPr>
        <w:pStyle w:val="Heading1"/>
        <w:keepNext/>
        <w:keepLines/>
        <w:numPr>
          <w:ilvl w:val="0"/>
          <w:numId w:val="47"/>
        </w:numPr>
        <w:rPr>
          <w:lang w:val="fr-CA"/>
        </w:rPr>
      </w:pPr>
      <w:r w:rsidRPr="009E1019">
        <w:rPr>
          <w:lang w:val="fr-CA"/>
        </w:rPr>
        <w:t>Conformément au paragraphe 11 de l’Accord, il pourra être déduit du montant du financement accordé un montant de 180 $US par kg PAO de consommation dépassant la quantité précisée à la ligne 1.2 de l’Appendice 2-A pour chaque année de non-conformité à l’objectif précisé à la ligne 1.2 de l’Appendice 2-A, étant entendu que la réduction maximum du financement ne dépassera pas le niveau de financement de la tranche demandé. Des mesures supplémentaires pourront s’appliquer si la situation de non-conformité atteint deux années consécutives.</w:t>
      </w:r>
    </w:p>
    <w:p w14:paraId="394D3276" w14:textId="77777777" w:rsidR="009E1019" w:rsidRDefault="009E1019" w:rsidP="009E1019">
      <w:pPr>
        <w:pStyle w:val="Heading1"/>
        <w:numPr>
          <w:ilvl w:val="0"/>
          <w:numId w:val="25"/>
        </w:numPr>
        <w:rPr>
          <w:lang w:val="fr-CA"/>
        </w:rPr>
      </w:pPr>
      <w:r>
        <w:rPr>
          <w:lang w:val="fr-CA"/>
        </w:rPr>
        <w:t>Si la pénalité doit être appliquée au cours d’une année où deux accords assortis de pénalités différentes sont en vigueur (mise en œuvre en parallèle de deux phases du PGEH), l’application de la pénalité sera déterminée au cas par cas en tenant compte du secteur en particulier responsable de la non</w:t>
      </w:r>
      <w:r>
        <w:rPr>
          <w:lang w:val="fr-CA"/>
        </w:rPr>
        <w:noBreakHyphen/>
        <w:t>conformité. S’il est impossible de déterminer ce secteur ou que les deux étapes portent sur le même secteur, la pénalité la plus élevée sera appliquée.</w:t>
      </w:r>
    </w:p>
    <w:p w14:paraId="2CC12DCC" w14:textId="7D220EDE" w:rsidR="00F457F9" w:rsidRPr="009E1019" w:rsidRDefault="00F457F9" w:rsidP="0037190F">
      <w:pPr>
        <w:jc w:val="center"/>
        <w:rPr>
          <w:lang w:val="fr-CA"/>
        </w:rPr>
      </w:pPr>
    </w:p>
    <w:p w14:paraId="1EA154EF" w14:textId="77777777" w:rsidR="00F457F9" w:rsidRPr="009E1019" w:rsidRDefault="00F457F9" w:rsidP="0037190F">
      <w:pPr>
        <w:jc w:val="center"/>
        <w:rPr>
          <w:lang w:val="fr-CA"/>
        </w:rPr>
      </w:pPr>
    </w:p>
    <w:p w14:paraId="06DAB184" w14:textId="77777777" w:rsidR="00BF17C8" w:rsidRPr="009E1019" w:rsidRDefault="00BF17C8" w:rsidP="0037190F">
      <w:pPr>
        <w:jc w:val="center"/>
        <w:rPr>
          <w:lang w:val="fr-CA"/>
        </w:rPr>
        <w:sectPr w:rsidR="00BF17C8" w:rsidRPr="009E1019" w:rsidSect="0037190F">
          <w:headerReference w:type="even" r:id="rId33"/>
          <w:headerReference w:type="default" r:id="rId34"/>
          <w:footerReference w:type="default" r:id="rId35"/>
          <w:headerReference w:type="first" r:id="rId36"/>
          <w:footerReference w:type="first" r:id="rId37"/>
          <w:pgSz w:w="12240" w:h="15840" w:code="1"/>
          <w:pgMar w:top="720" w:right="1440" w:bottom="864" w:left="1440" w:header="720" w:footer="475" w:gutter="0"/>
          <w:pgNumType w:start="1"/>
          <w:cols w:space="720"/>
          <w:titlePg/>
        </w:sectPr>
      </w:pPr>
    </w:p>
    <w:p w14:paraId="7DCF1A4B" w14:textId="77777777" w:rsidR="00BF17C8" w:rsidRPr="00756D59" w:rsidRDefault="00BF17C8" w:rsidP="00BF17C8">
      <w:pPr>
        <w:jc w:val="center"/>
        <w:rPr>
          <w:b/>
        </w:rPr>
      </w:pPr>
      <w:r w:rsidRPr="00756D59">
        <w:rPr>
          <w:b/>
        </w:rPr>
        <w:lastRenderedPageBreak/>
        <w:t>Annex VI</w:t>
      </w:r>
      <w:r>
        <w:rPr>
          <w:b/>
        </w:rPr>
        <w:t>I</w:t>
      </w:r>
    </w:p>
    <w:p w14:paraId="0D30AB41" w14:textId="77777777" w:rsidR="00BF17C8" w:rsidRPr="00756D59" w:rsidRDefault="00BF17C8" w:rsidP="00BF17C8">
      <w:pPr>
        <w:jc w:val="center"/>
        <w:rPr>
          <w:b/>
        </w:rPr>
      </w:pPr>
    </w:p>
    <w:p w14:paraId="1F26A7C5" w14:textId="77777777" w:rsidR="00BF17C8" w:rsidRPr="00756D59" w:rsidRDefault="00BF17C8" w:rsidP="00BF17C8">
      <w:pPr>
        <w:jc w:val="center"/>
      </w:pPr>
      <w:r w:rsidRPr="00756D59">
        <w:rPr>
          <w:b/>
        </w:rPr>
        <w:t>REPORT ON HFC-RELATED ACTIVITIES THAT REQUIRE AN EXTENSION OF THEIR COMPLETION DATE</w:t>
      </w:r>
    </w:p>
    <w:p w14:paraId="28FEEB29" w14:textId="77777777" w:rsidR="00BF17C8" w:rsidRPr="00756D59" w:rsidRDefault="00BF17C8" w:rsidP="00BF17C8">
      <w:pPr>
        <w:rPr>
          <w:b/>
        </w:rPr>
      </w:pPr>
    </w:p>
    <w:tbl>
      <w:tblPr>
        <w:tblStyle w:val="TableGrid"/>
        <w:tblW w:w="14314" w:type="dxa"/>
        <w:tblLook w:val="04A0" w:firstRow="1" w:lastRow="0" w:firstColumn="1" w:lastColumn="0" w:noHBand="0" w:noVBand="1"/>
      </w:tblPr>
      <w:tblGrid>
        <w:gridCol w:w="2261"/>
        <w:gridCol w:w="3352"/>
        <w:gridCol w:w="1236"/>
        <w:gridCol w:w="1305"/>
        <w:gridCol w:w="4531"/>
        <w:gridCol w:w="1629"/>
      </w:tblGrid>
      <w:tr w:rsidR="00BF17C8" w:rsidRPr="00756D59" w14:paraId="741C2D18" w14:textId="77777777" w:rsidTr="00876646">
        <w:trPr>
          <w:trHeight w:val="652"/>
          <w:tblHeader/>
        </w:trPr>
        <w:tc>
          <w:tcPr>
            <w:tcW w:w="2261" w:type="dxa"/>
            <w:shd w:val="clear" w:color="auto" w:fill="auto"/>
            <w:tcMar>
              <w:left w:w="58" w:type="dxa"/>
              <w:right w:w="58" w:type="dxa"/>
            </w:tcMar>
            <w:vAlign w:val="center"/>
          </w:tcPr>
          <w:p w14:paraId="56905F62" w14:textId="77777777" w:rsidR="00BF17C8" w:rsidRPr="00756D59" w:rsidRDefault="00BF17C8" w:rsidP="00876646">
            <w:pPr>
              <w:jc w:val="center"/>
              <w:rPr>
                <w:b/>
                <w:bCs/>
                <w:sz w:val="20"/>
                <w:szCs w:val="20"/>
                <w:lang w:eastAsia="en-CA"/>
              </w:rPr>
            </w:pPr>
            <w:r w:rsidRPr="00756D59">
              <w:rPr>
                <w:b/>
                <w:bCs/>
                <w:sz w:val="20"/>
                <w:szCs w:val="20"/>
                <w:lang w:eastAsia="en-CA"/>
              </w:rPr>
              <w:t>AGENCY/Country/Code</w:t>
            </w:r>
          </w:p>
        </w:tc>
        <w:tc>
          <w:tcPr>
            <w:tcW w:w="3352" w:type="dxa"/>
            <w:shd w:val="clear" w:color="auto" w:fill="auto"/>
            <w:tcMar>
              <w:left w:w="58" w:type="dxa"/>
              <w:right w:w="58" w:type="dxa"/>
            </w:tcMar>
            <w:vAlign w:val="center"/>
          </w:tcPr>
          <w:p w14:paraId="7BA8041F" w14:textId="77777777" w:rsidR="00BF17C8" w:rsidRPr="00756D59" w:rsidRDefault="00BF17C8" w:rsidP="00876646">
            <w:pPr>
              <w:jc w:val="center"/>
              <w:rPr>
                <w:b/>
                <w:bCs/>
                <w:sz w:val="20"/>
                <w:szCs w:val="20"/>
                <w:lang w:eastAsia="en-CA"/>
              </w:rPr>
            </w:pPr>
            <w:r w:rsidRPr="00756D59">
              <w:rPr>
                <w:b/>
                <w:bCs/>
                <w:sz w:val="20"/>
                <w:szCs w:val="20"/>
                <w:lang w:eastAsia="en-CA"/>
              </w:rPr>
              <w:t>Project title</w:t>
            </w:r>
          </w:p>
        </w:tc>
        <w:tc>
          <w:tcPr>
            <w:tcW w:w="1236" w:type="dxa"/>
            <w:shd w:val="clear" w:color="auto" w:fill="auto"/>
            <w:tcMar>
              <w:left w:w="58" w:type="dxa"/>
              <w:right w:w="58" w:type="dxa"/>
            </w:tcMar>
            <w:vAlign w:val="center"/>
          </w:tcPr>
          <w:p w14:paraId="77B30B13" w14:textId="77777777" w:rsidR="00BF17C8" w:rsidRPr="00756D59" w:rsidRDefault="00BF17C8" w:rsidP="00876646">
            <w:pPr>
              <w:jc w:val="center"/>
              <w:rPr>
                <w:b/>
                <w:bCs/>
                <w:sz w:val="20"/>
                <w:szCs w:val="20"/>
                <w:lang w:eastAsia="en-CA"/>
              </w:rPr>
            </w:pPr>
            <w:r w:rsidRPr="00756D59">
              <w:rPr>
                <w:b/>
                <w:bCs/>
                <w:sz w:val="20"/>
                <w:szCs w:val="20"/>
                <w:lang w:eastAsia="en-CA"/>
              </w:rPr>
              <w:t>Date approved</w:t>
            </w:r>
          </w:p>
        </w:tc>
        <w:tc>
          <w:tcPr>
            <w:tcW w:w="1305" w:type="dxa"/>
            <w:shd w:val="clear" w:color="auto" w:fill="auto"/>
            <w:tcMar>
              <w:left w:w="58" w:type="dxa"/>
              <w:right w:w="58" w:type="dxa"/>
            </w:tcMar>
            <w:vAlign w:val="center"/>
          </w:tcPr>
          <w:p w14:paraId="2ABCD4CF" w14:textId="77777777" w:rsidR="00BF17C8" w:rsidRPr="00756D59" w:rsidRDefault="00BF17C8" w:rsidP="00876646">
            <w:pPr>
              <w:jc w:val="center"/>
              <w:rPr>
                <w:b/>
                <w:bCs/>
                <w:sz w:val="20"/>
                <w:szCs w:val="20"/>
                <w:lang w:eastAsia="en-CA"/>
              </w:rPr>
            </w:pPr>
            <w:r w:rsidRPr="00756D59">
              <w:rPr>
                <w:b/>
                <w:bCs/>
                <w:sz w:val="20"/>
                <w:szCs w:val="20"/>
                <w:lang w:eastAsia="en-CA"/>
              </w:rPr>
              <w:t>Disbursement rate (%)</w:t>
            </w:r>
          </w:p>
        </w:tc>
        <w:tc>
          <w:tcPr>
            <w:tcW w:w="4531" w:type="dxa"/>
            <w:shd w:val="clear" w:color="auto" w:fill="auto"/>
            <w:tcMar>
              <w:left w:w="58" w:type="dxa"/>
              <w:right w:w="58" w:type="dxa"/>
            </w:tcMar>
            <w:vAlign w:val="center"/>
          </w:tcPr>
          <w:p w14:paraId="293CDB3F" w14:textId="77777777" w:rsidR="00BF17C8" w:rsidRPr="00756D59" w:rsidRDefault="00BF17C8" w:rsidP="00876646">
            <w:pPr>
              <w:jc w:val="center"/>
              <w:rPr>
                <w:b/>
                <w:bCs/>
                <w:sz w:val="20"/>
                <w:szCs w:val="20"/>
                <w:lang w:eastAsia="en-CA"/>
              </w:rPr>
            </w:pPr>
            <w:r w:rsidRPr="00756D59">
              <w:rPr>
                <w:b/>
                <w:bCs/>
                <w:sz w:val="20"/>
                <w:szCs w:val="20"/>
                <w:lang w:eastAsia="en-CA"/>
              </w:rPr>
              <w:t>Activities to be completed by revised completion date</w:t>
            </w:r>
          </w:p>
        </w:tc>
        <w:tc>
          <w:tcPr>
            <w:tcW w:w="1629" w:type="dxa"/>
            <w:shd w:val="clear" w:color="auto" w:fill="auto"/>
            <w:tcMar>
              <w:left w:w="58" w:type="dxa"/>
              <w:right w:w="58" w:type="dxa"/>
            </w:tcMar>
            <w:vAlign w:val="center"/>
          </w:tcPr>
          <w:p w14:paraId="1EB3D5C2" w14:textId="77777777" w:rsidR="00BF17C8" w:rsidRPr="00756D59" w:rsidRDefault="00BF17C8" w:rsidP="00876646">
            <w:pPr>
              <w:jc w:val="center"/>
              <w:rPr>
                <w:b/>
                <w:bCs/>
                <w:sz w:val="20"/>
                <w:szCs w:val="20"/>
                <w:lang w:eastAsia="en-CA"/>
              </w:rPr>
            </w:pPr>
            <w:r w:rsidRPr="00756D59">
              <w:rPr>
                <w:b/>
                <w:bCs/>
                <w:sz w:val="20"/>
                <w:szCs w:val="20"/>
                <w:lang w:eastAsia="en-CA"/>
              </w:rPr>
              <w:t>Proposed revised completion date (month/year)</w:t>
            </w:r>
          </w:p>
        </w:tc>
      </w:tr>
      <w:tr w:rsidR="00BF17C8" w:rsidRPr="00756D59" w14:paraId="333736B0" w14:textId="77777777" w:rsidTr="00876646">
        <w:trPr>
          <w:trHeight w:val="190"/>
        </w:trPr>
        <w:tc>
          <w:tcPr>
            <w:tcW w:w="2261" w:type="dxa"/>
            <w:shd w:val="clear" w:color="auto" w:fill="auto"/>
            <w:tcMar>
              <w:left w:w="58" w:type="dxa"/>
              <w:right w:w="58" w:type="dxa"/>
            </w:tcMar>
          </w:tcPr>
          <w:p w14:paraId="77FAE5B4" w14:textId="77777777" w:rsidR="00BF17C8" w:rsidRPr="00756D59" w:rsidRDefault="00BF17C8" w:rsidP="00876646">
            <w:pPr>
              <w:spacing w:after="60"/>
              <w:rPr>
                <w:lang w:eastAsia="en-CA"/>
              </w:rPr>
            </w:pPr>
            <w:r w:rsidRPr="00756D59">
              <w:rPr>
                <w:b/>
              </w:rPr>
              <w:t>CANADA</w:t>
            </w:r>
          </w:p>
        </w:tc>
        <w:tc>
          <w:tcPr>
            <w:tcW w:w="3352" w:type="dxa"/>
            <w:shd w:val="clear" w:color="auto" w:fill="auto"/>
            <w:tcMar>
              <w:left w:w="58" w:type="dxa"/>
              <w:right w:w="58" w:type="dxa"/>
            </w:tcMar>
          </w:tcPr>
          <w:p w14:paraId="6F4B317C" w14:textId="77777777" w:rsidR="00BF17C8" w:rsidRPr="00756D59" w:rsidRDefault="00BF17C8" w:rsidP="00876646">
            <w:pPr>
              <w:jc w:val="left"/>
              <w:rPr>
                <w:sz w:val="20"/>
                <w:szCs w:val="20"/>
                <w:lang w:eastAsia="en-CA"/>
              </w:rPr>
            </w:pPr>
          </w:p>
        </w:tc>
        <w:tc>
          <w:tcPr>
            <w:tcW w:w="1236" w:type="dxa"/>
            <w:shd w:val="clear" w:color="auto" w:fill="auto"/>
            <w:tcMar>
              <w:left w:w="58" w:type="dxa"/>
              <w:right w:w="58" w:type="dxa"/>
            </w:tcMar>
          </w:tcPr>
          <w:p w14:paraId="32B64F12" w14:textId="77777777" w:rsidR="00BF17C8" w:rsidRPr="00756D59" w:rsidRDefault="00BF17C8" w:rsidP="00876646">
            <w:pPr>
              <w:jc w:val="center"/>
              <w:rPr>
                <w:sz w:val="20"/>
                <w:szCs w:val="20"/>
                <w:lang w:eastAsia="en-CA"/>
              </w:rPr>
            </w:pPr>
          </w:p>
        </w:tc>
        <w:tc>
          <w:tcPr>
            <w:tcW w:w="1305" w:type="dxa"/>
            <w:shd w:val="clear" w:color="auto" w:fill="auto"/>
            <w:tcMar>
              <w:left w:w="58" w:type="dxa"/>
              <w:right w:w="58" w:type="dxa"/>
            </w:tcMar>
          </w:tcPr>
          <w:p w14:paraId="1704241B" w14:textId="77777777" w:rsidR="00BF17C8" w:rsidRPr="00756D59" w:rsidRDefault="00BF17C8" w:rsidP="00876646">
            <w:pPr>
              <w:jc w:val="center"/>
              <w:rPr>
                <w:sz w:val="20"/>
                <w:szCs w:val="20"/>
                <w:lang w:eastAsia="en-CA"/>
              </w:rPr>
            </w:pPr>
          </w:p>
        </w:tc>
        <w:tc>
          <w:tcPr>
            <w:tcW w:w="4531" w:type="dxa"/>
            <w:shd w:val="clear" w:color="auto" w:fill="auto"/>
            <w:tcMar>
              <w:left w:w="58" w:type="dxa"/>
              <w:right w:w="58" w:type="dxa"/>
            </w:tcMar>
          </w:tcPr>
          <w:p w14:paraId="14E9ECFD" w14:textId="77777777" w:rsidR="00BF17C8" w:rsidRPr="00756D59" w:rsidRDefault="00BF17C8" w:rsidP="00876646">
            <w:pPr>
              <w:jc w:val="left"/>
              <w:rPr>
                <w:sz w:val="20"/>
                <w:szCs w:val="20"/>
                <w:lang w:eastAsia="en-CA"/>
              </w:rPr>
            </w:pPr>
          </w:p>
        </w:tc>
        <w:tc>
          <w:tcPr>
            <w:tcW w:w="1629" w:type="dxa"/>
            <w:shd w:val="clear" w:color="auto" w:fill="auto"/>
            <w:tcMar>
              <w:left w:w="58" w:type="dxa"/>
              <w:right w:w="58" w:type="dxa"/>
            </w:tcMar>
          </w:tcPr>
          <w:p w14:paraId="6D355CD5" w14:textId="77777777" w:rsidR="00BF17C8" w:rsidRPr="00756D59" w:rsidRDefault="00BF17C8" w:rsidP="00876646">
            <w:pPr>
              <w:jc w:val="center"/>
              <w:rPr>
                <w:sz w:val="20"/>
                <w:szCs w:val="20"/>
                <w:lang w:eastAsia="en-CA"/>
              </w:rPr>
            </w:pPr>
          </w:p>
        </w:tc>
      </w:tr>
      <w:tr w:rsidR="00BF17C8" w:rsidRPr="00756D59" w14:paraId="0C3D7FE3" w14:textId="77777777" w:rsidTr="00876646">
        <w:trPr>
          <w:trHeight w:val="453"/>
        </w:trPr>
        <w:tc>
          <w:tcPr>
            <w:tcW w:w="2261" w:type="dxa"/>
            <w:shd w:val="clear" w:color="auto" w:fill="auto"/>
            <w:tcMar>
              <w:left w:w="58" w:type="dxa"/>
              <w:right w:w="58" w:type="dxa"/>
            </w:tcMar>
          </w:tcPr>
          <w:p w14:paraId="6839D993" w14:textId="77777777" w:rsidR="00BF17C8" w:rsidRPr="00756D59" w:rsidRDefault="00BF17C8" w:rsidP="00876646">
            <w:pPr>
              <w:jc w:val="left"/>
              <w:rPr>
                <w:sz w:val="20"/>
                <w:szCs w:val="20"/>
                <w:lang w:eastAsia="en-CA"/>
              </w:rPr>
            </w:pPr>
            <w:r w:rsidRPr="00756D59">
              <w:rPr>
                <w:sz w:val="20"/>
                <w:szCs w:val="20"/>
                <w:lang w:eastAsia="en-CA"/>
              </w:rPr>
              <w:t>Bangladesh</w:t>
            </w:r>
          </w:p>
          <w:p w14:paraId="0E5CBBDD" w14:textId="77777777" w:rsidR="00BF17C8" w:rsidRPr="00756D59" w:rsidRDefault="00BF17C8" w:rsidP="00876646">
            <w:pPr>
              <w:jc w:val="left"/>
              <w:rPr>
                <w:sz w:val="20"/>
                <w:szCs w:val="20"/>
                <w:lang w:eastAsia="en-CA"/>
              </w:rPr>
            </w:pPr>
            <w:r w:rsidRPr="00756D59">
              <w:rPr>
                <w:sz w:val="20"/>
                <w:szCs w:val="20"/>
                <w:lang w:eastAsia="en-CA"/>
              </w:rPr>
              <w:t>BGD/SEV/81/TAS/53</w:t>
            </w:r>
          </w:p>
        </w:tc>
        <w:tc>
          <w:tcPr>
            <w:tcW w:w="3352" w:type="dxa"/>
            <w:shd w:val="clear" w:color="auto" w:fill="auto"/>
            <w:tcMar>
              <w:left w:w="58" w:type="dxa"/>
              <w:right w:w="58" w:type="dxa"/>
            </w:tcMar>
          </w:tcPr>
          <w:p w14:paraId="169FD08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0C0E6F5B"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0D2BA05" w14:textId="77777777" w:rsidR="00BF17C8" w:rsidRPr="00756D59" w:rsidRDefault="00BF17C8" w:rsidP="00876646">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4F3721FD" w14:textId="77777777" w:rsidR="00BF17C8" w:rsidRPr="00756D59" w:rsidRDefault="00BF17C8" w:rsidP="00876646">
            <w:pPr>
              <w:jc w:val="left"/>
              <w:rPr>
                <w:sz w:val="20"/>
                <w:szCs w:val="20"/>
                <w:lang w:eastAsia="en-CA"/>
              </w:rPr>
            </w:pPr>
            <w:r w:rsidRPr="00756D59">
              <w:rPr>
                <w:sz w:val="20"/>
                <w:szCs w:val="20"/>
                <w:lang w:eastAsia="en-CA"/>
              </w:rPr>
              <w:t>To complete remaining activities under UNDP component.</w:t>
            </w:r>
          </w:p>
        </w:tc>
        <w:tc>
          <w:tcPr>
            <w:tcW w:w="1629" w:type="dxa"/>
            <w:shd w:val="clear" w:color="auto" w:fill="auto"/>
            <w:tcMar>
              <w:left w:w="58" w:type="dxa"/>
              <w:right w:w="58" w:type="dxa"/>
            </w:tcMar>
          </w:tcPr>
          <w:p w14:paraId="111FCE64" w14:textId="77777777" w:rsidR="00BF17C8" w:rsidRPr="00756D59" w:rsidRDefault="00BF17C8" w:rsidP="00876646">
            <w:pPr>
              <w:jc w:val="center"/>
              <w:rPr>
                <w:sz w:val="20"/>
                <w:szCs w:val="20"/>
                <w:lang w:eastAsia="en-CA"/>
              </w:rPr>
            </w:pPr>
            <w:r w:rsidRPr="00756D59">
              <w:rPr>
                <w:sz w:val="20"/>
                <w:szCs w:val="20"/>
                <w:lang w:eastAsia="en-CA"/>
              </w:rPr>
              <w:t>Jun-22</w:t>
            </w:r>
          </w:p>
        </w:tc>
      </w:tr>
      <w:tr w:rsidR="00BF17C8" w:rsidRPr="00756D59" w14:paraId="7B94D0F2" w14:textId="77777777" w:rsidTr="00876646">
        <w:trPr>
          <w:trHeight w:val="704"/>
        </w:trPr>
        <w:tc>
          <w:tcPr>
            <w:tcW w:w="2261" w:type="dxa"/>
            <w:shd w:val="clear" w:color="auto" w:fill="auto"/>
            <w:tcMar>
              <w:left w:w="58" w:type="dxa"/>
              <w:right w:w="58" w:type="dxa"/>
            </w:tcMar>
          </w:tcPr>
          <w:p w14:paraId="2E5FEBBA" w14:textId="77777777" w:rsidR="00BF17C8" w:rsidRPr="00756D59" w:rsidRDefault="00BF17C8" w:rsidP="00876646">
            <w:pPr>
              <w:jc w:val="left"/>
              <w:rPr>
                <w:sz w:val="20"/>
                <w:szCs w:val="20"/>
                <w:lang w:eastAsia="en-CA"/>
              </w:rPr>
            </w:pPr>
            <w:r w:rsidRPr="00756D59">
              <w:rPr>
                <w:sz w:val="20"/>
                <w:szCs w:val="20"/>
                <w:lang w:eastAsia="en-CA"/>
              </w:rPr>
              <w:t>Cuba</w:t>
            </w:r>
          </w:p>
          <w:p w14:paraId="30E30441" w14:textId="77777777" w:rsidR="00BF17C8" w:rsidRPr="00756D59" w:rsidRDefault="00BF17C8" w:rsidP="00876646">
            <w:pPr>
              <w:jc w:val="left"/>
              <w:rPr>
                <w:sz w:val="20"/>
                <w:szCs w:val="20"/>
                <w:lang w:eastAsia="en-CA"/>
              </w:rPr>
            </w:pPr>
            <w:r w:rsidRPr="00756D59">
              <w:rPr>
                <w:sz w:val="20"/>
                <w:szCs w:val="20"/>
                <w:lang w:eastAsia="en-CA"/>
              </w:rPr>
              <w:t>CUB/SEV/81/TAS/58</w:t>
            </w:r>
          </w:p>
        </w:tc>
        <w:tc>
          <w:tcPr>
            <w:tcW w:w="3352" w:type="dxa"/>
            <w:shd w:val="clear" w:color="auto" w:fill="auto"/>
            <w:tcMar>
              <w:left w:w="58" w:type="dxa"/>
              <w:right w:w="58" w:type="dxa"/>
            </w:tcMar>
          </w:tcPr>
          <w:p w14:paraId="1027089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4481F7BA"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909771B" w14:textId="77777777" w:rsidR="00BF17C8" w:rsidRPr="00756D59" w:rsidRDefault="00BF17C8" w:rsidP="00876646">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0B2B2D2A" w14:textId="77777777" w:rsidR="00BF17C8" w:rsidRPr="00756D59" w:rsidRDefault="00BF17C8" w:rsidP="00876646">
            <w:pPr>
              <w:jc w:val="left"/>
              <w:rPr>
                <w:sz w:val="20"/>
                <w:szCs w:val="20"/>
                <w:lang w:eastAsia="en-CA"/>
              </w:rPr>
            </w:pPr>
            <w:r w:rsidRPr="00756D59">
              <w:rPr>
                <w:sz w:val="20"/>
                <w:szCs w:val="20"/>
                <w:lang w:eastAsia="en-CA"/>
              </w:rPr>
              <w:t>Workshop to present the draft national strategy for phasing down HFCs to stakeholders and distribution of promotional material.</w:t>
            </w:r>
          </w:p>
        </w:tc>
        <w:tc>
          <w:tcPr>
            <w:tcW w:w="1629" w:type="dxa"/>
            <w:shd w:val="clear" w:color="auto" w:fill="auto"/>
            <w:tcMar>
              <w:left w:w="58" w:type="dxa"/>
              <w:right w:w="58" w:type="dxa"/>
            </w:tcMar>
          </w:tcPr>
          <w:p w14:paraId="12705C62"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7EC1614D" w14:textId="77777777" w:rsidTr="00876646">
        <w:trPr>
          <w:trHeight w:val="625"/>
        </w:trPr>
        <w:tc>
          <w:tcPr>
            <w:tcW w:w="2261" w:type="dxa"/>
            <w:shd w:val="clear" w:color="auto" w:fill="auto"/>
            <w:tcMar>
              <w:left w:w="58" w:type="dxa"/>
              <w:right w:w="58" w:type="dxa"/>
            </w:tcMar>
          </w:tcPr>
          <w:p w14:paraId="1720E0B5" w14:textId="77777777" w:rsidR="00BF17C8" w:rsidRPr="00756D59" w:rsidRDefault="00BF17C8" w:rsidP="00876646">
            <w:pPr>
              <w:jc w:val="left"/>
              <w:rPr>
                <w:sz w:val="20"/>
                <w:szCs w:val="20"/>
                <w:lang w:val="es-419" w:eastAsia="en-CA"/>
              </w:rPr>
            </w:pPr>
            <w:r w:rsidRPr="00756D59">
              <w:rPr>
                <w:sz w:val="20"/>
                <w:szCs w:val="20"/>
                <w:lang w:val="es-419" w:eastAsia="en-CA"/>
              </w:rPr>
              <w:t xml:space="preserve">El Salvador </w:t>
            </w:r>
          </w:p>
          <w:p w14:paraId="63593EEB" w14:textId="77777777" w:rsidR="00BF17C8" w:rsidRPr="00756D59" w:rsidRDefault="00BF17C8" w:rsidP="00876646">
            <w:pPr>
              <w:jc w:val="left"/>
              <w:rPr>
                <w:sz w:val="20"/>
                <w:szCs w:val="20"/>
                <w:lang w:val="es-419" w:eastAsia="en-CA"/>
              </w:rPr>
            </w:pPr>
            <w:r w:rsidRPr="00756D59">
              <w:rPr>
                <w:sz w:val="20"/>
                <w:szCs w:val="20"/>
                <w:lang w:val="es-419" w:eastAsia="en-CA"/>
              </w:rPr>
              <w:t>ELS/SEV/81/TAS/38</w:t>
            </w:r>
          </w:p>
        </w:tc>
        <w:tc>
          <w:tcPr>
            <w:tcW w:w="3352" w:type="dxa"/>
            <w:shd w:val="clear" w:color="auto" w:fill="auto"/>
            <w:tcMar>
              <w:left w:w="58" w:type="dxa"/>
              <w:right w:w="58" w:type="dxa"/>
            </w:tcMar>
          </w:tcPr>
          <w:p w14:paraId="71CF9BE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449DDC24"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7133375" w14:textId="77777777" w:rsidR="00BF17C8" w:rsidRPr="00756D59" w:rsidRDefault="00BF17C8" w:rsidP="00876646">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36A9FC4D" w14:textId="77777777" w:rsidR="00BF17C8" w:rsidRPr="00756D59" w:rsidRDefault="00BF17C8" w:rsidP="00876646">
            <w:pPr>
              <w:jc w:val="left"/>
              <w:rPr>
                <w:sz w:val="20"/>
                <w:szCs w:val="20"/>
                <w:lang w:eastAsia="en-CA"/>
              </w:rPr>
            </w:pPr>
            <w:r w:rsidRPr="00756D59">
              <w:rPr>
                <w:sz w:val="20"/>
                <w:szCs w:val="20"/>
                <w:lang w:eastAsia="en-CA"/>
              </w:rPr>
              <w:t>Finalization of the draft national strategy for phasing down HFCs including assessment of the servicing sector needs; and distribution of promotional material.</w:t>
            </w:r>
          </w:p>
        </w:tc>
        <w:tc>
          <w:tcPr>
            <w:tcW w:w="1629" w:type="dxa"/>
            <w:shd w:val="clear" w:color="auto" w:fill="auto"/>
            <w:tcMar>
              <w:left w:w="58" w:type="dxa"/>
              <w:right w:w="58" w:type="dxa"/>
            </w:tcMar>
          </w:tcPr>
          <w:p w14:paraId="3240E5EC"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1A73126C" w14:textId="77777777" w:rsidTr="00876646">
        <w:trPr>
          <w:trHeight w:val="965"/>
        </w:trPr>
        <w:tc>
          <w:tcPr>
            <w:tcW w:w="2261" w:type="dxa"/>
            <w:shd w:val="clear" w:color="auto" w:fill="auto"/>
            <w:tcMar>
              <w:left w:w="58" w:type="dxa"/>
              <w:right w:w="58" w:type="dxa"/>
            </w:tcMar>
          </w:tcPr>
          <w:p w14:paraId="5BBECD9E" w14:textId="77777777" w:rsidR="00BF17C8" w:rsidRPr="00756D59" w:rsidRDefault="00BF17C8" w:rsidP="00876646">
            <w:pPr>
              <w:jc w:val="left"/>
              <w:rPr>
                <w:sz w:val="20"/>
                <w:szCs w:val="20"/>
                <w:lang w:eastAsia="en-CA"/>
              </w:rPr>
            </w:pPr>
            <w:r w:rsidRPr="00756D59">
              <w:rPr>
                <w:sz w:val="20"/>
                <w:szCs w:val="20"/>
                <w:lang w:eastAsia="en-CA"/>
              </w:rPr>
              <w:t xml:space="preserve">Panama </w:t>
            </w:r>
          </w:p>
          <w:p w14:paraId="41E30FF9" w14:textId="77777777" w:rsidR="00BF17C8" w:rsidRPr="00756D59" w:rsidRDefault="00BF17C8" w:rsidP="00876646">
            <w:pPr>
              <w:jc w:val="left"/>
              <w:rPr>
                <w:sz w:val="20"/>
                <w:szCs w:val="20"/>
                <w:lang w:eastAsia="en-CA"/>
              </w:rPr>
            </w:pPr>
            <w:r w:rsidRPr="00756D59">
              <w:rPr>
                <w:sz w:val="20"/>
                <w:szCs w:val="20"/>
                <w:lang w:eastAsia="en-CA"/>
              </w:rPr>
              <w:t>PAN/SEV/81/TAS/47</w:t>
            </w:r>
          </w:p>
        </w:tc>
        <w:tc>
          <w:tcPr>
            <w:tcW w:w="3352" w:type="dxa"/>
            <w:shd w:val="clear" w:color="auto" w:fill="auto"/>
            <w:tcMar>
              <w:left w:w="58" w:type="dxa"/>
              <w:right w:w="58" w:type="dxa"/>
            </w:tcMar>
          </w:tcPr>
          <w:p w14:paraId="3EE89AA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shd w:val="clear" w:color="auto" w:fill="auto"/>
            <w:tcMar>
              <w:left w:w="58" w:type="dxa"/>
              <w:right w:w="58" w:type="dxa"/>
            </w:tcMar>
          </w:tcPr>
          <w:p w14:paraId="7C82A2C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AACAF60" w14:textId="77777777" w:rsidR="00BF17C8" w:rsidRPr="00756D59" w:rsidRDefault="00BF17C8" w:rsidP="00876646">
            <w:pPr>
              <w:jc w:val="center"/>
              <w:rPr>
                <w:sz w:val="20"/>
                <w:szCs w:val="20"/>
                <w:lang w:eastAsia="en-CA"/>
              </w:rPr>
            </w:pPr>
            <w:r w:rsidRPr="00756D59">
              <w:rPr>
                <w:sz w:val="20"/>
                <w:szCs w:val="20"/>
                <w:lang w:eastAsia="en-CA"/>
              </w:rPr>
              <w:t>100</w:t>
            </w:r>
          </w:p>
        </w:tc>
        <w:tc>
          <w:tcPr>
            <w:tcW w:w="4531" w:type="dxa"/>
            <w:shd w:val="clear" w:color="auto" w:fill="auto"/>
            <w:tcMar>
              <w:left w:w="58" w:type="dxa"/>
              <w:right w:w="58" w:type="dxa"/>
            </w:tcMar>
          </w:tcPr>
          <w:p w14:paraId="0DD0B724" w14:textId="77777777" w:rsidR="00BF17C8" w:rsidRPr="00756D59" w:rsidRDefault="00BF17C8" w:rsidP="00876646">
            <w:pPr>
              <w:jc w:val="left"/>
              <w:rPr>
                <w:sz w:val="20"/>
                <w:szCs w:val="20"/>
                <w:lang w:eastAsia="en-CA"/>
              </w:rPr>
            </w:pPr>
            <w:r w:rsidRPr="00756D59">
              <w:rPr>
                <w:sz w:val="20"/>
                <w:szCs w:val="20"/>
                <w:lang w:eastAsia="en-CA"/>
              </w:rPr>
              <w:t xml:space="preserve">Conducting a </w:t>
            </w:r>
            <w:proofErr w:type="spellStart"/>
            <w:r w:rsidRPr="00756D59">
              <w:rPr>
                <w:sz w:val="20"/>
                <w:szCs w:val="20"/>
                <w:lang w:eastAsia="en-CA"/>
              </w:rPr>
              <w:t>multisectoral</w:t>
            </w:r>
            <w:proofErr w:type="spellEnd"/>
            <w:r w:rsidRPr="00756D59">
              <w:rPr>
                <w:sz w:val="20"/>
                <w:szCs w:val="20"/>
                <w:lang w:eastAsia="en-CA"/>
              </w:rPr>
              <w:t xml:space="preserve">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1B0E9B93" w14:textId="77777777" w:rsidR="00BF17C8" w:rsidRPr="00756D59" w:rsidRDefault="00BF17C8" w:rsidP="00876646">
            <w:pPr>
              <w:jc w:val="center"/>
              <w:rPr>
                <w:sz w:val="20"/>
                <w:szCs w:val="20"/>
                <w:lang w:eastAsia="en-CA"/>
              </w:rPr>
            </w:pPr>
            <w:r w:rsidRPr="00756D59">
              <w:rPr>
                <w:sz w:val="20"/>
                <w:szCs w:val="20"/>
                <w:lang w:eastAsia="en-CA"/>
              </w:rPr>
              <w:t>Sep-21</w:t>
            </w:r>
          </w:p>
        </w:tc>
      </w:tr>
      <w:tr w:rsidR="00BF17C8" w:rsidRPr="00756D59" w14:paraId="6BE76D18" w14:textId="77777777" w:rsidTr="00876646">
        <w:trPr>
          <w:trHeight w:val="256"/>
        </w:trPr>
        <w:tc>
          <w:tcPr>
            <w:tcW w:w="2261" w:type="dxa"/>
            <w:tcMar>
              <w:left w:w="58" w:type="dxa"/>
              <w:right w:w="58" w:type="dxa"/>
            </w:tcMar>
          </w:tcPr>
          <w:p w14:paraId="4B967FAB" w14:textId="77777777" w:rsidR="00BF17C8" w:rsidRPr="00756D59" w:rsidRDefault="00BF17C8" w:rsidP="00876646">
            <w:pPr>
              <w:spacing w:after="60"/>
              <w:jc w:val="left"/>
              <w:rPr>
                <w:bCs/>
                <w:lang w:eastAsia="en-CA"/>
              </w:rPr>
            </w:pPr>
            <w:r w:rsidRPr="00756D59">
              <w:rPr>
                <w:b/>
              </w:rPr>
              <w:t>FRANCE</w:t>
            </w:r>
          </w:p>
        </w:tc>
        <w:tc>
          <w:tcPr>
            <w:tcW w:w="3352" w:type="dxa"/>
            <w:tcMar>
              <w:left w:w="58" w:type="dxa"/>
              <w:right w:w="58" w:type="dxa"/>
            </w:tcMar>
          </w:tcPr>
          <w:p w14:paraId="67AC9311" w14:textId="77777777" w:rsidR="00BF17C8" w:rsidRPr="00756D59" w:rsidRDefault="00BF17C8" w:rsidP="00876646">
            <w:pPr>
              <w:jc w:val="left"/>
              <w:rPr>
                <w:bCs/>
                <w:sz w:val="20"/>
                <w:szCs w:val="20"/>
                <w:lang w:eastAsia="en-CA"/>
              </w:rPr>
            </w:pPr>
          </w:p>
        </w:tc>
        <w:tc>
          <w:tcPr>
            <w:tcW w:w="1236" w:type="dxa"/>
            <w:tcMar>
              <w:left w:w="58" w:type="dxa"/>
              <w:right w:w="58" w:type="dxa"/>
            </w:tcMar>
          </w:tcPr>
          <w:p w14:paraId="6292EC1C" w14:textId="77777777" w:rsidR="00BF17C8" w:rsidRPr="00756D59" w:rsidRDefault="00BF17C8" w:rsidP="00876646">
            <w:pPr>
              <w:jc w:val="center"/>
              <w:rPr>
                <w:bCs/>
                <w:sz w:val="20"/>
                <w:szCs w:val="20"/>
                <w:lang w:eastAsia="en-CA"/>
              </w:rPr>
            </w:pPr>
          </w:p>
        </w:tc>
        <w:tc>
          <w:tcPr>
            <w:tcW w:w="1305" w:type="dxa"/>
            <w:shd w:val="clear" w:color="auto" w:fill="auto"/>
            <w:tcMar>
              <w:left w:w="58" w:type="dxa"/>
              <w:right w:w="58" w:type="dxa"/>
            </w:tcMar>
          </w:tcPr>
          <w:p w14:paraId="3978CE75" w14:textId="77777777" w:rsidR="00BF17C8" w:rsidRPr="00756D59" w:rsidRDefault="00BF17C8" w:rsidP="00876646">
            <w:pPr>
              <w:jc w:val="center"/>
              <w:rPr>
                <w:bCs/>
                <w:sz w:val="20"/>
                <w:szCs w:val="20"/>
                <w:lang w:eastAsia="en-CA"/>
              </w:rPr>
            </w:pPr>
          </w:p>
        </w:tc>
        <w:tc>
          <w:tcPr>
            <w:tcW w:w="4531" w:type="dxa"/>
            <w:tcMar>
              <w:left w:w="58" w:type="dxa"/>
              <w:right w:w="58" w:type="dxa"/>
            </w:tcMar>
          </w:tcPr>
          <w:p w14:paraId="6A9521A3" w14:textId="77777777" w:rsidR="00BF17C8" w:rsidRPr="00756D59" w:rsidRDefault="00BF17C8" w:rsidP="00876646">
            <w:pPr>
              <w:jc w:val="left"/>
              <w:rPr>
                <w:bCs/>
                <w:sz w:val="20"/>
                <w:szCs w:val="20"/>
                <w:lang w:eastAsia="en-CA"/>
              </w:rPr>
            </w:pPr>
          </w:p>
        </w:tc>
        <w:tc>
          <w:tcPr>
            <w:tcW w:w="1629" w:type="dxa"/>
            <w:shd w:val="clear" w:color="auto" w:fill="auto"/>
            <w:tcMar>
              <w:left w:w="58" w:type="dxa"/>
              <w:right w:w="58" w:type="dxa"/>
            </w:tcMar>
          </w:tcPr>
          <w:p w14:paraId="763860D3" w14:textId="77777777" w:rsidR="00BF17C8" w:rsidRPr="00756D59" w:rsidRDefault="00BF17C8" w:rsidP="00876646">
            <w:pPr>
              <w:jc w:val="center"/>
              <w:rPr>
                <w:bCs/>
                <w:sz w:val="20"/>
                <w:szCs w:val="20"/>
                <w:lang w:eastAsia="en-CA"/>
              </w:rPr>
            </w:pPr>
          </w:p>
        </w:tc>
      </w:tr>
      <w:tr w:rsidR="00BF17C8" w:rsidRPr="00756D59" w14:paraId="31936A2A" w14:textId="77777777" w:rsidTr="00876646">
        <w:trPr>
          <w:trHeight w:val="1158"/>
        </w:trPr>
        <w:tc>
          <w:tcPr>
            <w:tcW w:w="2261" w:type="dxa"/>
            <w:tcMar>
              <w:left w:w="58" w:type="dxa"/>
              <w:right w:w="58" w:type="dxa"/>
            </w:tcMar>
          </w:tcPr>
          <w:p w14:paraId="28512808" w14:textId="77777777" w:rsidR="00BF17C8" w:rsidRPr="00756D59" w:rsidRDefault="00BF17C8" w:rsidP="00876646">
            <w:pPr>
              <w:jc w:val="left"/>
              <w:rPr>
                <w:bCs/>
                <w:sz w:val="20"/>
                <w:szCs w:val="20"/>
                <w:lang w:eastAsia="en-CA"/>
              </w:rPr>
            </w:pPr>
            <w:r w:rsidRPr="00756D59">
              <w:rPr>
                <w:bCs/>
                <w:sz w:val="20"/>
                <w:szCs w:val="20"/>
                <w:lang w:eastAsia="en-CA"/>
              </w:rPr>
              <w:t>Zimbabwe</w:t>
            </w:r>
          </w:p>
          <w:p w14:paraId="4C798D8D" w14:textId="77777777" w:rsidR="00BF17C8" w:rsidRPr="00756D59" w:rsidRDefault="00BF17C8" w:rsidP="00876646">
            <w:pPr>
              <w:jc w:val="left"/>
              <w:rPr>
                <w:bCs/>
                <w:sz w:val="20"/>
                <w:szCs w:val="20"/>
                <w:lang w:eastAsia="en-CA"/>
              </w:rPr>
            </w:pPr>
            <w:r w:rsidRPr="00756D59">
              <w:rPr>
                <w:bCs/>
                <w:sz w:val="20"/>
                <w:szCs w:val="20"/>
                <w:lang w:eastAsia="en-CA"/>
              </w:rPr>
              <w:t>ZIM/REF/82/INV/56</w:t>
            </w:r>
          </w:p>
        </w:tc>
        <w:tc>
          <w:tcPr>
            <w:tcW w:w="3352" w:type="dxa"/>
            <w:tcMar>
              <w:left w:w="58" w:type="dxa"/>
              <w:right w:w="58" w:type="dxa"/>
            </w:tcMar>
          </w:tcPr>
          <w:p w14:paraId="6E384179" w14:textId="77777777" w:rsidR="00BF17C8" w:rsidRPr="00756D59" w:rsidRDefault="00BF17C8" w:rsidP="00876646">
            <w:pPr>
              <w:jc w:val="left"/>
              <w:rPr>
                <w:bCs/>
                <w:sz w:val="20"/>
                <w:szCs w:val="20"/>
                <w:lang w:eastAsia="en-CA"/>
              </w:rPr>
            </w:pPr>
            <w:r w:rsidRPr="00756D59">
              <w:rPr>
                <w:bCs/>
                <w:sz w:val="20"/>
                <w:szCs w:val="20"/>
                <w:lang w:eastAsia="en-CA"/>
              </w:rPr>
              <w:t>Conversion from HFC-134a to isobutane in the manufacture of domestic refrigerators at Capri (SME Harare)</w:t>
            </w:r>
          </w:p>
        </w:tc>
        <w:tc>
          <w:tcPr>
            <w:tcW w:w="1236" w:type="dxa"/>
            <w:tcMar>
              <w:left w:w="58" w:type="dxa"/>
              <w:right w:w="58" w:type="dxa"/>
            </w:tcMar>
          </w:tcPr>
          <w:p w14:paraId="7F34A455" w14:textId="77777777" w:rsidR="00BF17C8" w:rsidRPr="00756D59" w:rsidRDefault="00BF17C8" w:rsidP="00876646">
            <w:pPr>
              <w:jc w:val="center"/>
              <w:rPr>
                <w:bCs/>
                <w:sz w:val="20"/>
                <w:szCs w:val="20"/>
                <w:lang w:eastAsia="en-CA"/>
              </w:rPr>
            </w:pPr>
            <w:r w:rsidRPr="00756D59">
              <w:rPr>
                <w:bCs/>
                <w:sz w:val="20"/>
                <w:szCs w:val="20"/>
                <w:lang w:eastAsia="en-CA"/>
              </w:rPr>
              <w:t>Dec-18</w:t>
            </w:r>
          </w:p>
        </w:tc>
        <w:tc>
          <w:tcPr>
            <w:tcW w:w="1305" w:type="dxa"/>
            <w:shd w:val="clear" w:color="auto" w:fill="auto"/>
            <w:tcMar>
              <w:left w:w="58" w:type="dxa"/>
              <w:right w:w="58" w:type="dxa"/>
            </w:tcMar>
          </w:tcPr>
          <w:p w14:paraId="219147F1" w14:textId="77777777" w:rsidR="00BF17C8" w:rsidRPr="00756D59" w:rsidRDefault="00BF17C8" w:rsidP="00876646">
            <w:pPr>
              <w:jc w:val="center"/>
              <w:rPr>
                <w:sz w:val="20"/>
                <w:szCs w:val="20"/>
                <w:lang w:eastAsia="en-CA"/>
              </w:rPr>
            </w:pPr>
            <w:r w:rsidRPr="00756D59">
              <w:rPr>
                <w:sz w:val="20"/>
                <w:szCs w:val="20"/>
                <w:lang w:eastAsia="en-CA"/>
              </w:rPr>
              <w:t>0</w:t>
            </w:r>
          </w:p>
        </w:tc>
        <w:tc>
          <w:tcPr>
            <w:tcW w:w="4531" w:type="dxa"/>
            <w:tcMar>
              <w:left w:w="58" w:type="dxa"/>
              <w:right w:w="58" w:type="dxa"/>
            </w:tcMar>
          </w:tcPr>
          <w:p w14:paraId="5D81B427" w14:textId="77777777" w:rsidR="00BF17C8" w:rsidRPr="00756D59" w:rsidRDefault="00BF17C8" w:rsidP="00876646">
            <w:pPr>
              <w:jc w:val="left"/>
              <w:rPr>
                <w:bCs/>
                <w:sz w:val="20"/>
                <w:szCs w:val="20"/>
                <w:lang w:eastAsia="en-CA"/>
              </w:rPr>
            </w:pPr>
            <w:r w:rsidRPr="00756D59">
              <w:rPr>
                <w:bCs/>
                <w:sz w:val="20"/>
                <w:szCs w:val="20"/>
                <w:lang w:eastAsia="en-CA"/>
              </w:rPr>
              <w:t>Finalization of co-financing required for the beneficiary enterprise to implement the project.</w:t>
            </w:r>
            <w:r w:rsidRPr="00756D59">
              <w:rPr>
                <w:sz w:val="20"/>
                <w:szCs w:val="20"/>
              </w:rPr>
              <w:t xml:space="preserve"> </w:t>
            </w:r>
            <w:r w:rsidRPr="00756D59">
              <w:rPr>
                <w:bCs/>
                <w:sz w:val="20"/>
                <w:szCs w:val="20"/>
                <w:lang w:eastAsia="en-CA"/>
              </w:rPr>
              <w:t>With gradual recovery from the COVID</w:t>
            </w:r>
            <w:r w:rsidRPr="00756D59">
              <w:rPr>
                <w:bCs/>
                <w:sz w:val="20"/>
                <w:szCs w:val="20"/>
                <w:lang w:eastAsia="en-CA"/>
              </w:rPr>
              <w:noBreakHyphen/>
              <w:t>19 pandemic thus improvements in the economy, activities are expected to progress faster.</w:t>
            </w:r>
          </w:p>
        </w:tc>
        <w:tc>
          <w:tcPr>
            <w:tcW w:w="1629" w:type="dxa"/>
            <w:shd w:val="clear" w:color="auto" w:fill="auto"/>
            <w:tcMar>
              <w:left w:w="58" w:type="dxa"/>
              <w:right w:w="58" w:type="dxa"/>
            </w:tcMar>
          </w:tcPr>
          <w:p w14:paraId="53E92092" w14:textId="77777777" w:rsidR="00BF17C8" w:rsidRPr="00756D59" w:rsidRDefault="00BF17C8" w:rsidP="00876646">
            <w:pPr>
              <w:jc w:val="center"/>
              <w:rPr>
                <w:bCs/>
                <w:sz w:val="20"/>
                <w:szCs w:val="20"/>
                <w:lang w:eastAsia="en-CA"/>
              </w:rPr>
            </w:pPr>
            <w:r w:rsidRPr="00756D59">
              <w:rPr>
                <w:bCs/>
                <w:sz w:val="20"/>
                <w:szCs w:val="20"/>
                <w:lang w:eastAsia="en-CA"/>
              </w:rPr>
              <w:t>Jun-23</w:t>
            </w:r>
          </w:p>
        </w:tc>
      </w:tr>
      <w:tr w:rsidR="00BF17C8" w:rsidRPr="00756D59" w14:paraId="3669F0BB" w14:textId="77777777" w:rsidTr="00876646">
        <w:trPr>
          <w:trHeight w:val="162"/>
        </w:trPr>
        <w:tc>
          <w:tcPr>
            <w:tcW w:w="2261" w:type="dxa"/>
            <w:tcMar>
              <w:left w:w="58" w:type="dxa"/>
              <w:right w:w="58" w:type="dxa"/>
            </w:tcMar>
          </w:tcPr>
          <w:p w14:paraId="7F5CA106" w14:textId="77777777" w:rsidR="00BF17C8" w:rsidRPr="00756D59" w:rsidRDefault="00BF17C8" w:rsidP="00876646">
            <w:pPr>
              <w:spacing w:after="60"/>
              <w:jc w:val="left"/>
              <w:rPr>
                <w:bCs/>
                <w:lang w:eastAsia="en-CA"/>
              </w:rPr>
            </w:pPr>
            <w:r w:rsidRPr="00756D59">
              <w:rPr>
                <w:b/>
              </w:rPr>
              <w:t>GERMANY</w:t>
            </w:r>
          </w:p>
        </w:tc>
        <w:tc>
          <w:tcPr>
            <w:tcW w:w="3352" w:type="dxa"/>
            <w:tcMar>
              <w:left w:w="58" w:type="dxa"/>
              <w:right w:w="58" w:type="dxa"/>
            </w:tcMar>
          </w:tcPr>
          <w:p w14:paraId="1F9A663B" w14:textId="77777777" w:rsidR="00BF17C8" w:rsidRPr="00756D59" w:rsidRDefault="00BF17C8" w:rsidP="00876646">
            <w:pPr>
              <w:jc w:val="left"/>
              <w:rPr>
                <w:bCs/>
                <w:sz w:val="20"/>
                <w:szCs w:val="20"/>
                <w:lang w:eastAsia="en-CA"/>
              </w:rPr>
            </w:pPr>
          </w:p>
        </w:tc>
        <w:tc>
          <w:tcPr>
            <w:tcW w:w="1236" w:type="dxa"/>
            <w:tcMar>
              <w:left w:w="58" w:type="dxa"/>
              <w:right w:w="58" w:type="dxa"/>
            </w:tcMar>
          </w:tcPr>
          <w:p w14:paraId="0150B370" w14:textId="77777777" w:rsidR="00BF17C8" w:rsidRPr="00756D59" w:rsidRDefault="00BF17C8" w:rsidP="00876646">
            <w:pPr>
              <w:jc w:val="center"/>
              <w:rPr>
                <w:bCs/>
                <w:sz w:val="20"/>
                <w:szCs w:val="20"/>
                <w:lang w:eastAsia="en-CA"/>
              </w:rPr>
            </w:pPr>
          </w:p>
        </w:tc>
        <w:tc>
          <w:tcPr>
            <w:tcW w:w="1305" w:type="dxa"/>
            <w:shd w:val="clear" w:color="auto" w:fill="auto"/>
            <w:tcMar>
              <w:left w:w="58" w:type="dxa"/>
              <w:right w:w="58" w:type="dxa"/>
            </w:tcMar>
          </w:tcPr>
          <w:p w14:paraId="1000868A" w14:textId="77777777" w:rsidR="00BF17C8" w:rsidRPr="00756D59" w:rsidRDefault="00BF17C8" w:rsidP="00876646">
            <w:pPr>
              <w:jc w:val="center"/>
              <w:rPr>
                <w:bCs/>
                <w:sz w:val="20"/>
                <w:szCs w:val="20"/>
                <w:lang w:eastAsia="en-CA"/>
              </w:rPr>
            </w:pPr>
          </w:p>
        </w:tc>
        <w:tc>
          <w:tcPr>
            <w:tcW w:w="4531" w:type="dxa"/>
            <w:tcMar>
              <w:left w:w="58" w:type="dxa"/>
              <w:right w:w="58" w:type="dxa"/>
            </w:tcMar>
          </w:tcPr>
          <w:p w14:paraId="7F360E1C" w14:textId="77777777" w:rsidR="00BF17C8" w:rsidRPr="00756D59" w:rsidRDefault="00BF17C8" w:rsidP="00876646">
            <w:pPr>
              <w:jc w:val="left"/>
              <w:rPr>
                <w:bCs/>
                <w:sz w:val="20"/>
                <w:szCs w:val="20"/>
                <w:lang w:eastAsia="en-CA"/>
              </w:rPr>
            </w:pPr>
          </w:p>
        </w:tc>
        <w:tc>
          <w:tcPr>
            <w:tcW w:w="1629" w:type="dxa"/>
            <w:shd w:val="clear" w:color="auto" w:fill="auto"/>
            <w:tcMar>
              <w:left w:w="58" w:type="dxa"/>
              <w:right w:w="58" w:type="dxa"/>
            </w:tcMar>
          </w:tcPr>
          <w:p w14:paraId="57C8336E" w14:textId="77777777" w:rsidR="00BF17C8" w:rsidRPr="00756D59" w:rsidRDefault="00BF17C8" w:rsidP="00876646">
            <w:pPr>
              <w:jc w:val="center"/>
              <w:rPr>
                <w:bCs/>
                <w:sz w:val="20"/>
                <w:szCs w:val="20"/>
                <w:lang w:eastAsia="en-CA"/>
              </w:rPr>
            </w:pPr>
          </w:p>
        </w:tc>
      </w:tr>
      <w:tr w:rsidR="00BF17C8" w:rsidRPr="00756D59" w14:paraId="5FB75FB9" w14:textId="77777777" w:rsidTr="00876646">
        <w:trPr>
          <w:trHeight w:val="337"/>
        </w:trPr>
        <w:tc>
          <w:tcPr>
            <w:tcW w:w="2261" w:type="dxa"/>
            <w:tcMar>
              <w:left w:w="58" w:type="dxa"/>
              <w:right w:w="58" w:type="dxa"/>
            </w:tcMar>
          </w:tcPr>
          <w:p w14:paraId="194513BF" w14:textId="77777777" w:rsidR="00BF17C8" w:rsidRPr="00756D59" w:rsidRDefault="00BF17C8" w:rsidP="00876646">
            <w:pPr>
              <w:jc w:val="left"/>
              <w:rPr>
                <w:sz w:val="20"/>
                <w:szCs w:val="20"/>
                <w:lang w:eastAsia="en-CA"/>
              </w:rPr>
            </w:pPr>
            <w:r w:rsidRPr="00756D59">
              <w:rPr>
                <w:sz w:val="20"/>
                <w:szCs w:val="20"/>
                <w:lang w:eastAsia="en-CA"/>
              </w:rPr>
              <w:t xml:space="preserve">Liberia </w:t>
            </w:r>
          </w:p>
          <w:p w14:paraId="0A1349C0" w14:textId="77777777" w:rsidR="00BF17C8" w:rsidRPr="00756D59" w:rsidRDefault="00BF17C8" w:rsidP="00876646">
            <w:pPr>
              <w:jc w:val="left"/>
              <w:rPr>
                <w:b/>
                <w:sz w:val="20"/>
                <w:szCs w:val="20"/>
              </w:rPr>
            </w:pPr>
            <w:r w:rsidRPr="00756D59">
              <w:rPr>
                <w:sz w:val="20"/>
                <w:szCs w:val="20"/>
                <w:lang w:eastAsia="en-CA"/>
              </w:rPr>
              <w:t>LIR/SEV/80/TAS/01+</w:t>
            </w:r>
          </w:p>
        </w:tc>
        <w:tc>
          <w:tcPr>
            <w:tcW w:w="3352" w:type="dxa"/>
            <w:tcMar>
              <w:left w:w="58" w:type="dxa"/>
              <w:right w:w="58" w:type="dxa"/>
            </w:tcMar>
          </w:tcPr>
          <w:p w14:paraId="2101098B" w14:textId="77777777" w:rsidR="00BF17C8" w:rsidRPr="00756D59" w:rsidRDefault="00BF17C8" w:rsidP="00876646">
            <w:pPr>
              <w:jc w:val="left"/>
              <w:rPr>
                <w:bCs/>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FD7D537" w14:textId="77777777" w:rsidR="00BF17C8" w:rsidRPr="00756D59" w:rsidRDefault="00BF17C8" w:rsidP="00876646">
            <w:pPr>
              <w:jc w:val="center"/>
              <w:rPr>
                <w:bCs/>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61B6FE7" w14:textId="77777777" w:rsidR="00BF17C8" w:rsidRPr="00756D59" w:rsidRDefault="00BF17C8" w:rsidP="00876646">
            <w:pPr>
              <w:jc w:val="center"/>
              <w:rPr>
                <w:bCs/>
                <w:sz w:val="20"/>
                <w:szCs w:val="20"/>
                <w:lang w:eastAsia="en-CA"/>
              </w:rPr>
            </w:pPr>
            <w:r w:rsidRPr="00756D59">
              <w:rPr>
                <w:sz w:val="20"/>
                <w:szCs w:val="20"/>
                <w:lang w:eastAsia="en-CA"/>
              </w:rPr>
              <w:t>74.8</w:t>
            </w:r>
          </w:p>
        </w:tc>
        <w:tc>
          <w:tcPr>
            <w:tcW w:w="4531" w:type="dxa"/>
            <w:tcMar>
              <w:left w:w="58" w:type="dxa"/>
              <w:right w:w="58" w:type="dxa"/>
            </w:tcMar>
          </w:tcPr>
          <w:p w14:paraId="75A0D159" w14:textId="77777777" w:rsidR="00BF17C8" w:rsidRPr="00756D59" w:rsidRDefault="00BF17C8" w:rsidP="00876646">
            <w:pPr>
              <w:jc w:val="left"/>
              <w:rPr>
                <w:bCs/>
                <w:sz w:val="20"/>
                <w:szCs w:val="20"/>
                <w:lang w:eastAsia="en-CA"/>
              </w:rPr>
            </w:pPr>
            <w:r w:rsidRPr="00756D59">
              <w:rPr>
                <w:sz w:val="20"/>
                <w:szCs w:val="20"/>
                <w:lang w:eastAsia="en-CA"/>
              </w:rPr>
              <w:t>Approval of the amendment to regulations.</w:t>
            </w:r>
          </w:p>
        </w:tc>
        <w:tc>
          <w:tcPr>
            <w:tcW w:w="1629" w:type="dxa"/>
            <w:shd w:val="clear" w:color="auto" w:fill="auto"/>
            <w:tcMar>
              <w:left w:w="58" w:type="dxa"/>
              <w:right w:w="58" w:type="dxa"/>
            </w:tcMar>
          </w:tcPr>
          <w:p w14:paraId="358C3AC5" w14:textId="77777777" w:rsidR="00BF17C8" w:rsidRPr="00756D59" w:rsidRDefault="00BF17C8" w:rsidP="00876646">
            <w:pPr>
              <w:jc w:val="center"/>
              <w:rPr>
                <w:bCs/>
                <w:sz w:val="20"/>
                <w:szCs w:val="20"/>
                <w:lang w:eastAsia="en-CA"/>
              </w:rPr>
            </w:pPr>
            <w:r w:rsidRPr="00756D59">
              <w:rPr>
                <w:sz w:val="20"/>
                <w:szCs w:val="20"/>
                <w:lang w:eastAsia="en-CA"/>
              </w:rPr>
              <w:t>Dec-21</w:t>
            </w:r>
          </w:p>
        </w:tc>
      </w:tr>
      <w:tr w:rsidR="00BF17C8" w:rsidRPr="00756D59" w14:paraId="779FDE69" w14:textId="77777777" w:rsidTr="00876646">
        <w:trPr>
          <w:trHeight w:val="337"/>
        </w:trPr>
        <w:tc>
          <w:tcPr>
            <w:tcW w:w="2261" w:type="dxa"/>
            <w:tcMar>
              <w:left w:w="58" w:type="dxa"/>
              <w:right w:w="58" w:type="dxa"/>
            </w:tcMar>
          </w:tcPr>
          <w:p w14:paraId="18E012FA" w14:textId="77777777" w:rsidR="00BF17C8" w:rsidRPr="00756D59" w:rsidRDefault="00BF17C8" w:rsidP="00876646">
            <w:pPr>
              <w:jc w:val="left"/>
              <w:rPr>
                <w:sz w:val="20"/>
                <w:szCs w:val="20"/>
                <w:lang w:eastAsia="en-CA"/>
              </w:rPr>
            </w:pPr>
            <w:r w:rsidRPr="00756D59">
              <w:rPr>
                <w:sz w:val="20"/>
                <w:szCs w:val="20"/>
                <w:lang w:eastAsia="en-CA"/>
              </w:rPr>
              <w:t>Papua New Guinea</w:t>
            </w:r>
          </w:p>
          <w:p w14:paraId="6744C155" w14:textId="77777777" w:rsidR="00BF17C8" w:rsidRPr="00756D59" w:rsidRDefault="00BF17C8" w:rsidP="00876646">
            <w:pPr>
              <w:jc w:val="left"/>
              <w:rPr>
                <w:sz w:val="20"/>
                <w:szCs w:val="20"/>
                <w:lang w:eastAsia="en-CA"/>
              </w:rPr>
            </w:pPr>
            <w:r w:rsidRPr="00756D59">
              <w:rPr>
                <w:sz w:val="20"/>
                <w:szCs w:val="20"/>
                <w:lang w:eastAsia="en-CA"/>
              </w:rPr>
              <w:t>PNG/SEV/80/TAS/01+</w:t>
            </w:r>
          </w:p>
        </w:tc>
        <w:tc>
          <w:tcPr>
            <w:tcW w:w="3352" w:type="dxa"/>
            <w:tcMar>
              <w:left w:w="58" w:type="dxa"/>
              <w:right w:w="58" w:type="dxa"/>
            </w:tcMar>
          </w:tcPr>
          <w:p w14:paraId="53B9C2C7"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8723186"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FE2A45D" w14:textId="77777777" w:rsidR="00BF17C8" w:rsidRPr="00756D59" w:rsidRDefault="00BF17C8" w:rsidP="00876646">
            <w:pPr>
              <w:jc w:val="center"/>
              <w:rPr>
                <w:sz w:val="20"/>
                <w:szCs w:val="20"/>
                <w:lang w:eastAsia="en-CA"/>
              </w:rPr>
            </w:pPr>
            <w:r w:rsidRPr="00756D59">
              <w:rPr>
                <w:sz w:val="20"/>
                <w:szCs w:val="20"/>
                <w:lang w:eastAsia="en-CA"/>
              </w:rPr>
              <w:t>86.7</w:t>
            </w:r>
          </w:p>
        </w:tc>
        <w:tc>
          <w:tcPr>
            <w:tcW w:w="4531" w:type="dxa"/>
            <w:tcMar>
              <w:left w:w="58" w:type="dxa"/>
              <w:right w:w="58" w:type="dxa"/>
            </w:tcMar>
          </w:tcPr>
          <w:p w14:paraId="64C876F3" w14:textId="77777777" w:rsidR="00BF17C8" w:rsidRPr="00756D59" w:rsidRDefault="00BF17C8" w:rsidP="00876646">
            <w:pPr>
              <w:jc w:val="left"/>
              <w:rPr>
                <w:sz w:val="20"/>
                <w:szCs w:val="20"/>
                <w:lang w:eastAsia="en-CA"/>
              </w:rPr>
            </w:pPr>
            <w:r w:rsidRPr="00756D59">
              <w:rPr>
                <w:sz w:val="20"/>
                <w:szCs w:val="20"/>
                <w:lang w:eastAsia="en-CA"/>
              </w:rPr>
              <w:t>Support for ratification of Kigali Amendment; and finalization of the amendment to ODS regulations including tax on HFCs.</w:t>
            </w:r>
          </w:p>
        </w:tc>
        <w:tc>
          <w:tcPr>
            <w:tcW w:w="1629" w:type="dxa"/>
            <w:shd w:val="clear" w:color="auto" w:fill="auto"/>
            <w:tcMar>
              <w:left w:w="58" w:type="dxa"/>
              <w:right w:w="58" w:type="dxa"/>
            </w:tcMar>
          </w:tcPr>
          <w:p w14:paraId="79882928"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3B6F820A" w14:textId="77777777" w:rsidTr="00876646">
        <w:trPr>
          <w:trHeight w:val="337"/>
        </w:trPr>
        <w:tc>
          <w:tcPr>
            <w:tcW w:w="2261" w:type="dxa"/>
            <w:tcMar>
              <w:left w:w="58" w:type="dxa"/>
              <w:right w:w="58" w:type="dxa"/>
            </w:tcMar>
          </w:tcPr>
          <w:p w14:paraId="4B245E27" w14:textId="77777777" w:rsidR="00BF17C8" w:rsidRPr="00756D59" w:rsidRDefault="00BF17C8" w:rsidP="00876646">
            <w:pPr>
              <w:jc w:val="left"/>
              <w:rPr>
                <w:sz w:val="20"/>
                <w:szCs w:val="20"/>
                <w:lang w:eastAsia="en-CA"/>
              </w:rPr>
            </w:pPr>
            <w:r w:rsidRPr="00756D59">
              <w:rPr>
                <w:sz w:val="20"/>
                <w:szCs w:val="20"/>
                <w:lang w:eastAsia="en-CA"/>
              </w:rPr>
              <w:t xml:space="preserve">Seychelles </w:t>
            </w:r>
          </w:p>
          <w:p w14:paraId="4D3CC952" w14:textId="77777777" w:rsidR="00BF17C8" w:rsidRPr="00756D59" w:rsidRDefault="00BF17C8" w:rsidP="00876646">
            <w:pPr>
              <w:jc w:val="left"/>
              <w:rPr>
                <w:sz w:val="20"/>
                <w:szCs w:val="20"/>
                <w:lang w:eastAsia="en-CA"/>
              </w:rPr>
            </w:pPr>
            <w:r w:rsidRPr="00756D59">
              <w:rPr>
                <w:sz w:val="20"/>
                <w:szCs w:val="20"/>
                <w:lang w:eastAsia="en-CA"/>
              </w:rPr>
              <w:t>SEY/SEV/80/TAS/01+</w:t>
            </w:r>
          </w:p>
        </w:tc>
        <w:tc>
          <w:tcPr>
            <w:tcW w:w="3352" w:type="dxa"/>
            <w:tcMar>
              <w:left w:w="58" w:type="dxa"/>
              <w:right w:w="58" w:type="dxa"/>
            </w:tcMar>
          </w:tcPr>
          <w:p w14:paraId="30042FB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BA88DE0"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C579BE5" w14:textId="77777777" w:rsidR="00BF17C8" w:rsidRPr="00756D59" w:rsidRDefault="00BF17C8" w:rsidP="00876646">
            <w:pPr>
              <w:jc w:val="center"/>
              <w:rPr>
                <w:sz w:val="20"/>
                <w:szCs w:val="20"/>
                <w:lang w:eastAsia="en-CA"/>
              </w:rPr>
            </w:pPr>
            <w:r w:rsidRPr="00756D59">
              <w:rPr>
                <w:sz w:val="20"/>
                <w:szCs w:val="20"/>
                <w:lang w:eastAsia="en-CA"/>
              </w:rPr>
              <w:t>87.5</w:t>
            </w:r>
          </w:p>
        </w:tc>
        <w:tc>
          <w:tcPr>
            <w:tcW w:w="4531" w:type="dxa"/>
            <w:tcMar>
              <w:left w:w="58" w:type="dxa"/>
              <w:right w:w="58" w:type="dxa"/>
            </w:tcMar>
          </w:tcPr>
          <w:p w14:paraId="48049202" w14:textId="77777777" w:rsidR="00BF17C8" w:rsidRPr="00756D59" w:rsidRDefault="00BF17C8" w:rsidP="00876646">
            <w:pPr>
              <w:jc w:val="left"/>
              <w:rPr>
                <w:sz w:val="20"/>
                <w:szCs w:val="20"/>
                <w:lang w:eastAsia="en-CA"/>
              </w:rPr>
            </w:pPr>
            <w:r w:rsidRPr="00756D59">
              <w:rPr>
                <w:sz w:val="20"/>
                <w:szCs w:val="20"/>
                <w:lang w:eastAsia="en-CA"/>
              </w:rPr>
              <w:t>Monitoring compliance with the guidelines for the newly amended regulations through onsite monitoring of commercial and industrial refrigeration equipment.</w:t>
            </w:r>
          </w:p>
        </w:tc>
        <w:tc>
          <w:tcPr>
            <w:tcW w:w="1629" w:type="dxa"/>
            <w:shd w:val="clear" w:color="auto" w:fill="auto"/>
            <w:tcMar>
              <w:left w:w="58" w:type="dxa"/>
              <w:right w:w="58" w:type="dxa"/>
            </w:tcMar>
          </w:tcPr>
          <w:p w14:paraId="72622D44"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6E60A8D1" w14:textId="77777777" w:rsidTr="00876646">
        <w:trPr>
          <w:trHeight w:val="337"/>
        </w:trPr>
        <w:tc>
          <w:tcPr>
            <w:tcW w:w="2261" w:type="dxa"/>
            <w:tcMar>
              <w:left w:w="58" w:type="dxa"/>
              <w:right w:w="58" w:type="dxa"/>
            </w:tcMar>
          </w:tcPr>
          <w:p w14:paraId="3FDC88AF" w14:textId="77777777" w:rsidR="00BF17C8" w:rsidRPr="00756D59" w:rsidRDefault="00BF17C8" w:rsidP="00876646">
            <w:pPr>
              <w:keepNext/>
              <w:jc w:val="left"/>
              <w:rPr>
                <w:lang w:eastAsia="en-CA"/>
              </w:rPr>
            </w:pPr>
            <w:r w:rsidRPr="00756D59">
              <w:rPr>
                <w:b/>
                <w:lang w:eastAsia="en-CA"/>
              </w:rPr>
              <w:lastRenderedPageBreak/>
              <w:t>ITALY</w:t>
            </w:r>
          </w:p>
        </w:tc>
        <w:tc>
          <w:tcPr>
            <w:tcW w:w="3352" w:type="dxa"/>
            <w:tcMar>
              <w:left w:w="58" w:type="dxa"/>
              <w:right w:w="58" w:type="dxa"/>
            </w:tcMar>
          </w:tcPr>
          <w:p w14:paraId="0A746D41" w14:textId="77777777" w:rsidR="00BF17C8" w:rsidRPr="00756D59" w:rsidRDefault="00BF17C8" w:rsidP="00876646">
            <w:pPr>
              <w:keepNext/>
              <w:jc w:val="left"/>
              <w:rPr>
                <w:sz w:val="20"/>
                <w:szCs w:val="20"/>
                <w:lang w:eastAsia="en-CA"/>
              </w:rPr>
            </w:pPr>
          </w:p>
        </w:tc>
        <w:tc>
          <w:tcPr>
            <w:tcW w:w="1236" w:type="dxa"/>
            <w:tcMar>
              <w:left w:w="58" w:type="dxa"/>
              <w:right w:w="58" w:type="dxa"/>
            </w:tcMar>
          </w:tcPr>
          <w:p w14:paraId="2F901BA0" w14:textId="77777777" w:rsidR="00BF17C8" w:rsidRPr="00756D59" w:rsidRDefault="00BF17C8" w:rsidP="00876646">
            <w:pPr>
              <w:keepNext/>
              <w:jc w:val="center"/>
              <w:rPr>
                <w:sz w:val="20"/>
                <w:szCs w:val="20"/>
                <w:lang w:eastAsia="en-CA"/>
              </w:rPr>
            </w:pPr>
          </w:p>
        </w:tc>
        <w:tc>
          <w:tcPr>
            <w:tcW w:w="1305" w:type="dxa"/>
            <w:shd w:val="clear" w:color="auto" w:fill="auto"/>
            <w:tcMar>
              <w:left w:w="58" w:type="dxa"/>
              <w:right w:w="58" w:type="dxa"/>
            </w:tcMar>
          </w:tcPr>
          <w:p w14:paraId="468087C4" w14:textId="77777777" w:rsidR="00BF17C8" w:rsidRPr="00756D59" w:rsidRDefault="00BF17C8" w:rsidP="00876646">
            <w:pPr>
              <w:keepNext/>
              <w:jc w:val="center"/>
              <w:rPr>
                <w:sz w:val="20"/>
                <w:szCs w:val="20"/>
                <w:lang w:eastAsia="en-CA"/>
              </w:rPr>
            </w:pPr>
          </w:p>
        </w:tc>
        <w:tc>
          <w:tcPr>
            <w:tcW w:w="4531" w:type="dxa"/>
            <w:tcMar>
              <w:left w:w="58" w:type="dxa"/>
              <w:right w:w="58" w:type="dxa"/>
            </w:tcMar>
          </w:tcPr>
          <w:p w14:paraId="4BE53E59" w14:textId="77777777" w:rsidR="00BF17C8" w:rsidRPr="00756D59" w:rsidRDefault="00BF17C8" w:rsidP="00876646">
            <w:pPr>
              <w:keepNext/>
              <w:jc w:val="left"/>
              <w:rPr>
                <w:sz w:val="20"/>
                <w:szCs w:val="20"/>
                <w:lang w:eastAsia="en-CA"/>
              </w:rPr>
            </w:pPr>
          </w:p>
        </w:tc>
        <w:tc>
          <w:tcPr>
            <w:tcW w:w="1629" w:type="dxa"/>
            <w:shd w:val="clear" w:color="auto" w:fill="auto"/>
            <w:tcMar>
              <w:left w:w="58" w:type="dxa"/>
              <w:right w:w="58" w:type="dxa"/>
            </w:tcMar>
          </w:tcPr>
          <w:p w14:paraId="3495B57F" w14:textId="77777777" w:rsidR="00BF17C8" w:rsidRPr="00756D59" w:rsidRDefault="00BF17C8" w:rsidP="00876646">
            <w:pPr>
              <w:keepNext/>
              <w:jc w:val="center"/>
              <w:rPr>
                <w:sz w:val="20"/>
                <w:szCs w:val="20"/>
                <w:lang w:eastAsia="en-CA"/>
              </w:rPr>
            </w:pPr>
          </w:p>
        </w:tc>
      </w:tr>
      <w:tr w:rsidR="00BF17C8" w:rsidRPr="00756D59" w14:paraId="275ABA67" w14:textId="77777777" w:rsidTr="00876646">
        <w:trPr>
          <w:trHeight w:val="337"/>
        </w:trPr>
        <w:tc>
          <w:tcPr>
            <w:tcW w:w="2261" w:type="dxa"/>
            <w:tcMar>
              <w:left w:w="58" w:type="dxa"/>
              <w:right w:w="58" w:type="dxa"/>
            </w:tcMar>
          </w:tcPr>
          <w:p w14:paraId="0D395868" w14:textId="77777777" w:rsidR="00BF17C8" w:rsidRPr="00756D59" w:rsidRDefault="00BF17C8" w:rsidP="00876646">
            <w:pPr>
              <w:keepNext/>
              <w:rPr>
                <w:sz w:val="20"/>
                <w:szCs w:val="20"/>
                <w:lang w:eastAsia="en-CA"/>
              </w:rPr>
            </w:pPr>
            <w:r w:rsidRPr="00756D59">
              <w:rPr>
                <w:sz w:val="20"/>
                <w:szCs w:val="20"/>
                <w:lang w:eastAsia="en-CA"/>
              </w:rPr>
              <w:t>Maldives</w:t>
            </w:r>
          </w:p>
          <w:p w14:paraId="6C0158A2" w14:textId="77777777" w:rsidR="00BF17C8" w:rsidRPr="00756D59" w:rsidRDefault="00BF17C8" w:rsidP="00876646">
            <w:pPr>
              <w:keepNext/>
              <w:jc w:val="left"/>
              <w:rPr>
                <w:b/>
                <w:sz w:val="20"/>
                <w:szCs w:val="20"/>
                <w:lang w:eastAsia="en-CA"/>
              </w:rPr>
            </w:pPr>
            <w:r w:rsidRPr="00756D59">
              <w:rPr>
                <w:sz w:val="20"/>
                <w:szCs w:val="20"/>
                <w:lang w:eastAsia="en-CA"/>
              </w:rPr>
              <w:t>MDV/SEV/80/TAS/02+</w:t>
            </w:r>
          </w:p>
        </w:tc>
        <w:tc>
          <w:tcPr>
            <w:tcW w:w="3352" w:type="dxa"/>
            <w:tcMar>
              <w:left w:w="58" w:type="dxa"/>
              <w:right w:w="58" w:type="dxa"/>
            </w:tcMar>
          </w:tcPr>
          <w:p w14:paraId="0AB22A4D" w14:textId="77777777" w:rsidR="00BF17C8" w:rsidRPr="00756D59" w:rsidRDefault="00BF17C8" w:rsidP="00876646">
            <w:pPr>
              <w:keepNext/>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00D91BA" w14:textId="77777777" w:rsidR="00BF17C8" w:rsidRPr="00756D59" w:rsidRDefault="00BF17C8" w:rsidP="00876646">
            <w:pPr>
              <w:keepNext/>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39C90E5" w14:textId="77777777" w:rsidR="00BF17C8" w:rsidRPr="00756D59" w:rsidRDefault="00BF17C8" w:rsidP="00876646">
            <w:pPr>
              <w:keepNext/>
              <w:jc w:val="center"/>
              <w:rPr>
                <w:sz w:val="20"/>
                <w:szCs w:val="20"/>
                <w:lang w:eastAsia="en-CA"/>
              </w:rPr>
            </w:pPr>
            <w:r w:rsidRPr="00756D59">
              <w:rPr>
                <w:sz w:val="20"/>
                <w:szCs w:val="20"/>
                <w:lang w:eastAsia="en-CA"/>
              </w:rPr>
              <w:t>29</w:t>
            </w:r>
          </w:p>
        </w:tc>
        <w:tc>
          <w:tcPr>
            <w:tcW w:w="4531" w:type="dxa"/>
            <w:tcMar>
              <w:left w:w="58" w:type="dxa"/>
              <w:right w:w="58" w:type="dxa"/>
            </w:tcMar>
          </w:tcPr>
          <w:p w14:paraId="386F72A4" w14:textId="77777777" w:rsidR="00BF17C8" w:rsidRPr="00756D59" w:rsidRDefault="00BF17C8" w:rsidP="00876646">
            <w:pPr>
              <w:keepNext/>
              <w:jc w:val="left"/>
              <w:rPr>
                <w:sz w:val="20"/>
                <w:szCs w:val="20"/>
                <w:lang w:eastAsia="en-CA"/>
              </w:rPr>
            </w:pPr>
            <w:r w:rsidRPr="00756D59">
              <w:rPr>
                <w:sz w:val="20"/>
                <w:szCs w:val="20"/>
                <w:lang w:eastAsia="en-CA"/>
              </w:rPr>
              <w:t>Finalization of country assessment report; conducting roundtable workshops and remaining training activities; finalization of the amendment to the draft regulation; and conducting a survey for cold chain database.</w:t>
            </w:r>
          </w:p>
        </w:tc>
        <w:tc>
          <w:tcPr>
            <w:tcW w:w="1629" w:type="dxa"/>
            <w:shd w:val="clear" w:color="auto" w:fill="auto"/>
            <w:tcMar>
              <w:left w:w="58" w:type="dxa"/>
              <w:right w:w="58" w:type="dxa"/>
            </w:tcMar>
          </w:tcPr>
          <w:p w14:paraId="268DC211" w14:textId="77777777" w:rsidR="00BF17C8" w:rsidRPr="00756D59" w:rsidRDefault="00BF17C8" w:rsidP="00876646">
            <w:pPr>
              <w:keepNext/>
              <w:jc w:val="center"/>
              <w:rPr>
                <w:sz w:val="20"/>
                <w:szCs w:val="20"/>
                <w:lang w:eastAsia="en-CA"/>
              </w:rPr>
            </w:pPr>
            <w:r w:rsidRPr="00756D59">
              <w:rPr>
                <w:sz w:val="20"/>
                <w:szCs w:val="20"/>
                <w:lang w:eastAsia="en-CA"/>
              </w:rPr>
              <w:t>Jun-22</w:t>
            </w:r>
          </w:p>
        </w:tc>
      </w:tr>
      <w:tr w:rsidR="00BF17C8" w:rsidRPr="00756D59" w14:paraId="030F1C3B" w14:textId="77777777" w:rsidTr="00876646">
        <w:trPr>
          <w:trHeight w:val="337"/>
        </w:trPr>
        <w:tc>
          <w:tcPr>
            <w:tcW w:w="2261" w:type="dxa"/>
            <w:tcMar>
              <w:left w:w="58" w:type="dxa"/>
              <w:right w:w="58" w:type="dxa"/>
            </w:tcMar>
          </w:tcPr>
          <w:p w14:paraId="5EADCC0C" w14:textId="77777777" w:rsidR="00BF17C8" w:rsidRPr="00756D59" w:rsidRDefault="00BF17C8" w:rsidP="00876646">
            <w:pPr>
              <w:jc w:val="left"/>
              <w:rPr>
                <w:b/>
              </w:rPr>
            </w:pPr>
            <w:r w:rsidRPr="00756D59">
              <w:rPr>
                <w:b/>
              </w:rPr>
              <w:t>UNDP</w:t>
            </w:r>
          </w:p>
        </w:tc>
        <w:tc>
          <w:tcPr>
            <w:tcW w:w="3352" w:type="dxa"/>
            <w:tcMar>
              <w:left w:w="58" w:type="dxa"/>
              <w:right w:w="58" w:type="dxa"/>
            </w:tcMar>
          </w:tcPr>
          <w:p w14:paraId="4C79BEE7" w14:textId="77777777" w:rsidR="00BF17C8" w:rsidRPr="00756D59" w:rsidRDefault="00BF17C8" w:rsidP="00876646">
            <w:pPr>
              <w:jc w:val="left"/>
              <w:rPr>
                <w:sz w:val="20"/>
                <w:szCs w:val="20"/>
                <w:lang w:eastAsia="en-CA"/>
              </w:rPr>
            </w:pPr>
          </w:p>
        </w:tc>
        <w:tc>
          <w:tcPr>
            <w:tcW w:w="1236" w:type="dxa"/>
            <w:tcMar>
              <w:left w:w="58" w:type="dxa"/>
              <w:right w:w="58" w:type="dxa"/>
            </w:tcMar>
          </w:tcPr>
          <w:p w14:paraId="759D75E3" w14:textId="77777777" w:rsidR="00BF17C8" w:rsidRPr="00756D59" w:rsidRDefault="00BF17C8" w:rsidP="00876646">
            <w:pPr>
              <w:jc w:val="center"/>
              <w:rPr>
                <w:sz w:val="20"/>
                <w:szCs w:val="20"/>
                <w:lang w:eastAsia="en-CA"/>
              </w:rPr>
            </w:pPr>
          </w:p>
        </w:tc>
        <w:tc>
          <w:tcPr>
            <w:tcW w:w="1305" w:type="dxa"/>
            <w:shd w:val="clear" w:color="auto" w:fill="auto"/>
            <w:tcMar>
              <w:left w:w="58" w:type="dxa"/>
              <w:right w:w="58" w:type="dxa"/>
            </w:tcMar>
          </w:tcPr>
          <w:p w14:paraId="34C07ABB" w14:textId="77777777" w:rsidR="00BF17C8" w:rsidRPr="00756D59" w:rsidRDefault="00BF17C8" w:rsidP="00876646">
            <w:pPr>
              <w:jc w:val="center"/>
              <w:rPr>
                <w:sz w:val="20"/>
                <w:szCs w:val="20"/>
                <w:lang w:eastAsia="en-CA"/>
              </w:rPr>
            </w:pPr>
          </w:p>
        </w:tc>
        <w:tc>
          <w:tcPr>
            <w:tcW w:w="4531" w:type="dxa"/>
            <w:tcMar>
              <w:left w:w="58" w:type="dxa"/>
              <w:right w:w="58" w:type="dxa"/>
            </w:tcMar>
          </w:tcPr>
          <w:p w14:paraId="573115C0" w14:textId="77777777" w:rsidR="00BF17C8" w:rsidRPr="00756D59" w:rsidRDefault="00BF17C8" w:rsidP="00876646">
            <w:pPr>
              <w:jc w:val="left"/>
              <w:rPr>
                <w:sz w:val="20"/>
                <w:szCs w:val="20"/>
                <w:lang w:eastAsia="en-CA"/>
              </w:rPr>
            </w:pPr>
          </w:p>
        </w:tc>
        <w:tc>
          <w:tcPr>
            <w:tcW w:w="1629" w:type="dxa"/>
            <w:shd w:val="clear" w:color="auto" w:fill="auto"/>
            <w:tcMar>
              <w:left w:w="58" w:type="dxa"/>
              <w:right w:w="58" w:type="dxa"/>
            </w:tcMar>
          </w:tcPr>
          <w:p w14:paraId="111C3AF9" w14:textId="77777777" w:rsidR="00BF17C8" w:rsidRPr="00756D59" w:rsidRDefault="00BF17C8" w:rsidP="00876646">
            <w:pPr>
              <w:jc w:val="center"/>
              <w:rPr>
                <w:sz w:val="20"/>
                <w:szCs w:val="20"/>
                <w:lang w:eastAsia="en-CA"/>
              </w:rPr>
            </w:pPr>
          </w:p>
        </w:tc>
      </w:tr>
      <w:tr w:rsidR="00BF17C8" w:rsidRPr="00756D59" w14:paraId="658444EB" w14:textId="77777777" w:rsidTr="00876646">
        <w:trPr>
          <w:trHeight w:val="337"/>
        </w:trPr>
        <w:tc>
          <w:tcPr>
            <w:tcW w:w="2261" w:type="dxa"/>
            <w:tcMar>
              <w:left w:w="58" w:type="dxa"/>
              <w:right w:w="58" w:type="dxa"/>
            </w:tcMar>
          </w:tcPr>
          <w:p w14:paraId="75BAB8A1" w14:textId="77777777" w:rsidR="00BF17C8" w:rsidRPr="00756D59" w:rsidRDefault="00BF17C8" w:rsidP="00876646">
            <w:pPr>
              <w:jc w:val="left"/>
              <w:rPr>
                <w:sz w:val="20"/>
                <w:szCs w:val="20"/>
                <w:lang w:eastAsia="en-CA"/>
              </w:rPr>
            </w:pPr>
            <w:r w:rsidRPr="00756D59">
              <w:rPr>
                <w:sz w:val="20"/>
                <w:szCs w:val="20"/>
                <w:lang w:eastAsia="en-CA"/>
              </w:rPr>
              <w:t xml:space="preserve">Bangladesh </w:t>
            </w:r>
          </w:p>
          <w:p w14:paraId="1749F759" w14:textId="77777777" w:rsidR="00BF17C8" w:rsidRPr="00756D59" w:rsidRDefault="00BF17C8" w:rsidP="00876646">
            <w:pPr>
              <w:jc w:val="left"/>
              <w:rPr>
                <w:b/>
                <w:sz w:val="20"/>
                <w:szCs w:val="20"/>
              </w:rPr>
            </w:pPr>
            <w:r w:rsidRPr="00756D59">
              <w:rPr>
                <w:sz w:val="20"/>
                <w:szCs w:val="20"/>
                <w:lang w:eastAsia="en-CA"/>
              </w:rPr>
              <w:t>BGD/SEV/81/TAS/52</w:t>
            </w:r>
          </w:p>
        </w:tc>
        <w:tc>
          <w:tcPr>
            <w:tcW w:w="3352" w:type="dxa"/>
            <w:tcMar>
              <w:left w:w="58" w:type="dxa"/>
              <w:right w:w="58" w:type="dxa"/>
            </w:tcMar>
          </w:tcPr>
          <w:p w14:paraId="0BA2C94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F11831C"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DDFB7D7" w14:textId="77777777" w:rsidR="00BF17C8" w:rsidRPr="00756D59" w:rsidRDefault="00BF17C8" w:rsidP="00876646">
            <w:pPr>
              <w:jc w:val="center"/>
              <w:rPr>
                <w:sz w:val="20"/>
                <w:szCs w:val="20"/>
                <w:lang w:eastAsia="en-CA"/>
              </w:rPr>
            </w:pPr>
            <w:r w:rsidRPr="00756D59">
              <w:rPr>
                <w:sz w:val="20"/>
                <w:szCs w:val="20"/>
                <w:lang w:eastAsia="en-CA"/>
              </w:rPr>
              <w:t>23.2</w:t>
            </w:r>
          </w:p>
        </w:tc>
        <w:tc>
          <w:tcPr>
            <w:tcW w:w="4531" w:type="dxa"/>
            <w:tcMar>
              <w:left w:w="58" w:type="dxa"/>
              <w:right w:w="58" w:type="dxa"/>
            </w:tcMar>
          </w:tcPr>
          <w:p w14:paraId="6A9C97E2" w14:textId="77777777" w:rsidR="00BF17C8" w:rsidRPr="00756D59" w:rsidRDefault="00BF17C8" w:rsidP="00876646">
            <w:pPr>
              <w:jc w:val="left"/>
              <w:rPr>
                <w:sz w:val="20"/>
                <w:szCs w:val="20"/>
                <w:lang w:eastAsia="en-CA"/>
              </w:rPr>
            </w:pPr>
            <w:r w:rsidRPr="00756D59">
              <w:rPr>
                <w:sz w:val="20"/>
                <w:szCs w:val="20"/>
                <w:lang w:eastAsia="en-CA"/>
              </w:rPr>
              <w:t>Finalization of consultations after preparation of a national roadmap; and finalization of enabling activities report.</w:t>
            </w:r>
          </w:p>
        </w:tc>
        <w:tc>
          <w:tcPr>
            <w:tcW w:w="1629" w:type="dxa"/>
            <w:shd w:val="clear" w:color="auto" w:fill="auto"/>
            <w:tcMar>
              <w:left w:w="58" w:type="dxa"/>
              <w:right w:w="58" w:type="dxa"/>
            </w:tcMar>
          </w:tcPr>
          <w:p w14:paraId="147B9EB5" w14:textId="77777777" w:rsidR="00BF17C8" w:rsidRPr="00756D59" w:rsidRDefault="00BF17C8" w:rsidP="00876646">
            <w:pPr>
              <w:jc w:val="center"/>
              <w:rPr>
                <w:sz w:val="20"/>
                <w:szCs w:val="20"/>
                <w:lang w:eastAsia="en-CA"/>
              </w:rPr>
            </w:pPr>
            <w:r w:rsidRPr="00756D59">
              <w:rPr>
                <w:sz w:val="20"/>
                <w:szCs w:val="20"/>
                <w:lang w:eastAsia="en-CA"/>
              </w:rPr>
              <w:t>Jun-22</w:t>
            </w:r>
          </w:p>
        </w:tc>
      </w:tr>
      <w:tr w:rsidR="00BF17C8" w:rsidRPr="00756D59" w14:paraId="399E72DD" w14:textId="77777777" w:rsidTr="00876646">
        <w:trPr>
          <w:trHeight w:val="337"/>
        </w:trPr>
        <w:tc>
          <w:tcPr>
            <w:tcW w:w="2261" w:type="dxa"/>
            <w:tcMar>
              <w:left w:w="58" w:type="dxa"/>
              <w:right w:w="58" w:type="dxa"/>
            </w:tcMar>
          </w:tcPr>
          <w:p w14:paraId="1E54C9EF" w14:textId="77777777" w:rsidR="00BF17C8" w:rsidRPr="00756D59" w:rsidRDefault="00BF17C8" w:rsidP="00876646">
            <w:pPr>
              <w:jc w:val="left"/>
              <w:rPr>
                <w:sz w:val="20"/>
                <w:szCs w:val="20"/>
                <w:lang w:eastAsia="en-CA"/>
              </w:rPr>
            </w:pPr>
            <w:r w:rsidRPr="00756D59">
              <w:rPr>
                <w:sz w:val="20"/>
                <w:szCs w:val="20"/>
                <w:lang w:eastAsia="en-CA"/>
              </w:rPr>
              <w:t xml:space="preserve">Chile </w:t>
            </w:r>
          </w:p>
          <w:p w14:paraId="35D39224" w14:textId="77777777" w:rsidR="00BF17C8" w:rsidRPr="00756D59" w:rsidRDefault="00BF17C8" w:rsidP="00876646">
            <w:pPr>
              <w:jc w:val="left"/>
              <w:rPr>
                <w:sz w:val="20"/>
                <w:szCs w:val="20"/>
                <w:lang w:eastAsia="en-CA"/>
              </w:rPr>
            </w:pPr>
            <w:r w:rsidRPr="00756D59">
              <w:rPr>
                <w:sz w:val="20"/>
                <w:szCs w:val="20"/>
                <w:lang w:eastAsia="en-CA"/>
              </w:rPr>
              <w:t>CHI/SEV/80/TAS/03+</w:t>
            </w:r>
          </w:p>
        </w:tc>
        <w:tc>
          <w:tcPr>
            <w:tcW w:w="3352" w:type="dxa"/>
            <w:tcMar>
              <w:left w:w="58" w:type="dxa"/>
              <w:right w:w="58" w:type="dxa"/>
            </w:tcMar>
          </w:tcPr>
          <w:p w14:paraId="109A516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B31026F"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2370A07" w14:textId="77777777" w:rsidR="00BF17C8" w:rsidRPr="00756D59" w:rsidRDefault="00BF17C8" w:rsidP="00876646">
            <w:pPr>
              <w:jc w:val="center"/>
              <w:rPr>
                <w:sz w:val="20"/>
                <w:szCs w:val="20"/>
                <w:lang w:eastAsia="en-CA"/>
              </w:rPr>
            </w:pPr>
            <w:r w:rsidRPr="00756D59">
              <w:rPr>
                <w:sz w:val="20"/>
                <w:szCs w:val="20"/>
                <w:lang w:eastAsia="en-CA"/>
              </w:rPr>
              <w:t>100</w:t>
            </w:r>
          </w:p>
        </w:tc>
        <w:tc>
          <w:tcPr>
            <w:tcW w:w="4531" w:type="dxa"/>
            <w:tcMar>
              <w:left w:w="58" w:type="dxa"/>
              <w:right w:w="58" w:type="dxa"/>
            </w:tcMar>
          </w:tcPr>
          <w:p w14:paraId="4488A71A" w14:textId="77777777" w:rsidR="00BF17C8" w:rsidRPr="00756D59" w:rsidRDefault="00BF17C8" w:rsidP="00876646">
            <w:pPr>
              <w:jc w:val="left"/>
              <w:rPr>
                <w:sz w:val="20"/>
                <w:szCs w:val="20"/>
                <w:lang w:eastAsia="en-CA"/>
              </w:rPr>
            </w:pPr>
            <w:r w:rsidRPr="00756D59">
              <w:rPr>
                <w:sz w:val="20"/>
                <w:szCs w:val="20"/>
                <w:lang w:eastAsia="en-CA"/>
              </w:rPr>
              <w:t xml:space="preserve">Providing support to the customs authorities on the identification and control of HFCs; awareness raising activities; and additional workshops with stakeholders on control measures related to HFCs. </w:t>
            </w:r>
          </w:p>
        </w:tc>
        <w:tc>
          <w:tcPr>
            <w:tcW w:w="1629" w:type="dxa"/>
            <w:shd w:val="clear" w:color="auto" w:fill="auto"/>
            <w:tcMar>
              <w:left w:w="58" w:type="dxa"/>
              <w:right w:w="58" w:type="dxa"/>
            </w:tcMar>
          </w:tcPr>
          <w:p w14:paraId="497F7453" w14:textId="77777777" w:rsidR="00BF17C8" w:rsidRPr="00756D59" w:rsidRDefault="00BF17C8" w:rsidP="00876646">
            <w:pPr>
              <w:jc w:val="center"/>
              <w:rPr>
                <w:sz w:val="20"/>
                <w:szCs w:val="20"/>
                <w:lang w:eastAsia="en-CA"/>
              </w:rPr>
            </w:pPr>
            <w:r w:rsidRPr="00756D59">
              <w:rPr>
                <w:sz w:val="20"/>
                <w:szCs w:val="20"/>
                <w:lang w:eastAsia="en-CA"/>
              </w:rPr>
              <w:t>Jun-22</w:t>
            </w:r>
          </w:p>
        </w:tc>
      </w:tr>
      <w:tr w:rsidR="00BF17C8" w:rsidRPr="00756D59" w14:paraId="06609A07" w14:textId="77777777" w:rsidTr="00876646">
        <w:trPr>
          <w:trHeight w:val="337"/>
        </w:trPr>
        <w:tc>
          <w:tcPr>
            <w:tcW w:w="2261" w:type="dxa"/>
            <w:tcMar>
              <w:left w:w="58" w:type="dxa"/>
              <w:right w:w="58" w:type="dxa"/>
            </w:tcMar>
          </w:tcPr>
          <w:p w14:paraId="0EA9528B" w14:textId="77777777" w:rsidR="00BF17C8" w:rsidRPr="00756D59" w:rsidRDefault="00BF17C8" w:rsidP="00876646">
            <w:pPr>
              <w:jc w:val="left"/>
              <w:rPr>
                <w:sz w:val="20"/>
                <w:szCs w:val="20"/>
                <w:lang w:eastAsia="en-CA"/>
              </w:rPr>
            </w:pPr>
            <w:r w:rsidRPr="00756D59">
              <w:rPr>
                <w:sz w:val="20"/>
                <w:szCs w:val="20"/>
                <w:lang w:eastAsia="en-CA"/>
              </w:rPr>
              <w:t xml:space="preserve">Cuba </w:t>
            </w:r>
          </w:p>
          <w:p w14:paraId="10D05233" w14:textId="77777777" w:rsidR="00BF17C8" w:rsidRPr="00756D59" w:rsidRDefault="00BF17C8" w:rsidP="00876646">
            <w:pPr>
              <w:jc w:val="left"/>
              <w:rPr>
                <w:sz w:val="20"/>
                <w:szCs w:val="20"/>
                <w:lang w:eastAsia="en-CA"/>
              </w:rPr>
            </w:pPr>
            <w:r w:rsidRPr="00756D59">
              <w:rPr>
                <w:sz w:val="20"/>
                <w:szCs w:val="20"/>
                <w:lang w:eastAsia="en-CA"/>
              </w:rPr>
              <w:t>CUB/SEV/81/TAS/57</w:t>
            </w:r>
          </w:p>
        </w:tc>
        <w:tc>
          <w:tcPr>
            <w:tcW w:w="3352" w:type="dxa"/>
            <w:tcMar>
              <w:left w:w="58" w:type="dxa"/>
              <w:right w:w="58" w:type="dxa"/>
            </w:tcMar>
          </w:tcPr>
          <w:p w14:paraId="22EE2EB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683FC0D"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0694E13" w14:textId="77777777" w:rsidR="00BF17C8" w:rsidRPr="00756D59" w:rsidRDefault="00BF17C8" w:rsidP="00876646">
            <w:pPr>
              <w:jc w:val="center"/>
              <w:rPr>
                <w:sz w:val="20"/>
                <w:szCs w:val="20"/>
                <w:lang w:eastAsia="en-CA"/>
              </w:rPr>
            </w:pPr>
            <w:r w:rsidRPr="00756D59">
              <w:rPr>
                <w:sz w:val="20"/>
                <w:szCs w:val="20"/>
                <w:lang w:eastAsia="en-CA"/>
              </w:rPr>
              <w:t>39</w:t>
            </w:r>
          </w:p>
        </w:tc>
        <w:tc>
          <w:tcPr>
            <w:tcW w:w="4531" w:type="dxa"/>
            <w:tcMar>
              <w:left w:w="58" w:type="dxa"/>
              <w:right w:w="58" w:type="dxa"/>
            </w:tcMar>
          </w:tcPr>
          <w:p w14:paraId="52E4F017" w14:textId="77777777" w:rsidR="00BF17C8" w:rsidRPr="00756D59" w:rsidRDefault="00BF17C8" w:rsidP="00876646">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33DB7D3F"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65B2D7BE" w14:textId="77777777" w:rsidTr="00876646">
        <w:trPr>
          <w:trHeight w:val="337"/>
        </w:trPr>
        <w:tc>
          <w:tcPr>
            <w:tcW w:w="2261" w:type="dxa"/>
            <w:tcMar>
              <w:left w:w="58" w:type="dxa"/>
              <w:right w:w="58" w:type="dxa"/>
            </w:tcMar>
          </w:tcPr>
          <w:p w14:paraId="4301C49A" w14:textId="77777777" w:rsidR="00BF17C8" w:rsidRPr="00756D59" w:rsidRDefault="00BF17C8" w:rsidP="00876646">
            <w:pPr>
              <w:jc w:val="left"/>
              <w:rPr>
                <w:sz w:val="20"/>
                <w:szCs w:val="20"/>
                <w:lang w:val="es-419" w:eastAsia="en-CA"/>
              </w:rPr>
            </w:pPr>
            <w:r w:rsidRPr="00756D59">
              <w:rPr>
                <w:sz w:val="20"/>
                <w:szCs w:val="20"/>
                <w:lang w:val="es-419" w:eastAsia="en-CA"/>
              </w:rPr>
              <w:t xml:space="preserve">El Salvador </w:t>
            </w:r>
          </w:p>
          <w:p w14:paraId="35E01B6B" w14:textId="77777777" w:rsidR="00BF17C8" w:rsidRPr="00756D59" w:rsidRDefault="00BF17C8" w:rsidP="00876646">
            <w:pPr>
              <w:jc w:val="left"/>
              <w:rPr>
                <w:sz w:val="20"/>
                <w:szCs w:val="20"/>
                <w:lang w:val="es-419" w:eastAsia="en-CA"/>
              </w:rPr>
            </w:pPr>
            <w:r w:rsidRPr="00756D59">
              <w:rPr>
                <w:sz w:val="20"/>
                <w:szCs w:val="20"/>
                <w:lang w:val="es-419" w:eastAsia="en-CA"/>
              </w:rPr>
              <w:t>ELS/SEV/81/TAS/37</w:t>
            </w:r>
          </w:p>
        </w:tc>
        <w:tc>
          <w:tcPr>
            <w:tcW w:w="3352" w:type="dxa"/>
            <w:tcMar>
              <w:left w:w="58" w:type="dxa"/>
              <w:right w:w="58" w:type="dxa"/>
            </w:tcMar>
          </w:tcPr>
          <w:p w14:paraId="718898A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0564FFC"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474B4B" w14:textId="77777777" w:rsidR="00BF17C8" w:rsidRPr="00756D59" w:rsidRDefault="00BF17C8" w:rsidP="00876646">
            <w:pPr>
              <w:jc w:val="center"/>
              <w:rPr>
                <w:sz w:val="20"/>
                <w:szCs w:val="20"/>
                <w:lang w:eastAsia="en-CA"/>
              </w:rPr>
            </w:pPr>
            <w:r w:rsidRPr="00756D59">
              <w:rPr>
                <w:sz w:val="20"/>
                <w:szCs w:val="20"/>
                <w:lang w:eastAsia="en-CA"/>
              </w:rPr>
              <w:t>57.2</w:t>
            </w:r>
          </w:p>
        </w:tc>
        <w:tc>
          <w:tcPr>
            <w:tcW w:w="4531" w:type="dxa"/>
            <w:tcMar>
              <w:left w:w="58" w:type="dxa"/>
              <w:right w:w="58" w:type="dxa"/>
            </w:tcMar>
          </w:tcPr>
          <w:p w14:paraId="0C20406F" w14:textId="77777777" w:rsidR="00BF17C8" w:rsidRPr="00756D59" w:rsidRDefault="00BF17C8" w:rsidP="00876646">
            <w:pPr>
              <w:jc w:val="left"/>
              <w:rPr>
                <w:sz w:val="20"/>
                <w:szCs w:val="20"/>
                <w:lang w:eastAsia="en-CA"/>
              </w:rPr>
            </w:pPr>
            <w:r w:rsidRPr="00756D59">
              <w:rPr>
                <w:sz w:val="20"/>
                <w:szCs w:val="20"/>
                <w:lang w:eastAsia="en-CA"/>
              </w:rPr>
              <w:t xml:space="preserve">Finalization of the draft national strategy for phasing down HFCs including the assessment of the servicing sector needs and distribution of promotional material. </w:t>
            </w:r>
          </w:p>
        </w:tc>
        <w:tc>
          <w:tcPr>
            <w:tcW w:w="1629" w:type="dxa"/>
            <w:shd w:val="clear" w:color="auto" w:fill="auto"/>
            <w:tcMar>
              <w:left w:w="58" w:type="dxa"/>
              <w:right w:w="58" w:type="dxa"/>
            </w:tcMar>
          </w:tcPr>
          <w:p w14:paraId="4C54A10A"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2456D875" w14:textId="77777777" w:rsidTr="00876646">
        <w:trPr>
          <w:trHeight w:val="337"/>
        </w:trPr>
        <w:tc>
          <w:tcPr>
            <w:tcW w:w="2261" w:type="dxa"/>
            <w:tcMar>
              <w:left w:w="58" w:type="dxa"/>
              <w:right w:w="58" w:type="dxa"/>
            </w:tcMar>
          </w:tcPr>
          <w:p w14:paraId="190B8F6F" w14:textId="77777777" w:rsidR="00BF17C8" w:rsidRPr="00756D59" w:rsidRDefault="00BF17C8" w:rsidP="00876646">
            <w:pPr>
              <w:jc w:val="left"/>
              <w:rPr>
                <w:sz w:val="20"/>
                <w:szCs w:val="20"/>
                <w:lang w:eastAsia="en-CA"/>
              </w:rPr>
            </w:pPr>
            <w:r w:rsidRPr="00756D59">
              <w:rPr>
                <w:sz w:val="20"/>
                <w:szCs w:val="20"/>
                <w:lang w:eastAsia="en-CA"/>
              </w:rPr>
              <w:t xml:space="preserve">Fiji </w:t>
            </w:r>
          </w:p>
          <w:p w14:paraId="6B8A4F04" w14:textId="77777777" w:rsidR="00BF17C8" w:rsidRPr="00756D59" w:rsidRDefault="00BF17C8" w:rsidP="00876646">
            <w:pPr>
              <w:jc w:val="left"/>
              <w:rPr>
                <w:sz w:val="20"/>
                <w:szCs w:val="20"/>
                <w:lang w:eastAsia="en-CA"/>
              </w:rPr>
            </w:pPr>
            <w:r w:rsidRPr="00756D59">
              <w:rPr>
                <w:sz w:val="20"/>
                <w:szCs w:val="20"/>
                <w:lang w:eastAsia="en-CA"/>
              </w:rPr>
              <w:t>FIJ/SEV/80/TAS/01+</w:t>
            </w:r>
          </w:p>
        </w:tc>
        <w:tc>
          <w:tcPr>
            <w:tcW w:w="3352" w:type="dxa"/>
            <w:tcMar>
              <w:left w:w="58" w:type="dxa"/>
              <w:right w:w="58" w:type="dxa"/>
            </w:tcMar>
          </w:tcPr>
          <w:p w14:paraId="34064769"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FEE63D4"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778B04E" w14:textId="77777777" w:rsidR="00BF17C8" w:rsidRPr="00756D59" w:rsidRDefault="00BF17C8" w:rsidP="00876646">
            <w:pPr>
              <w:jc w:val="center"/>
              <w:rPr>
                <w:sz w:val="20"/>
                <w:szCs w:val="20"/>
                <w:lang w:eastAsia="en-CA"/>
              </w:rPr>
            </w:pPr>
            <w:r w:rsidRPr="00756D59">
              <w:rPr>
                <w:sz w:val="20"/>
                <w:szCs w:val="20"/>
                <w:lang w:eastAsia="en-CA"/>
              </w:rPr>
              <w:t>97.8</w:t>
            </w:r>
          </w:p>
        </w:tc>
        <w:tc>
          <w:tcPr>
            <w:tcW w:w="4531" w:type="dxa"/>
            <w:tcMar>
              <w:left w:w="58" w:type="dxa"/>
              <w:right w:w="58" w:type="dxa"/>
            </w:tcMar>
          </w:tcPr>
          <w:p w14:paraId="5C107694" w14:textId="77777777" w:rsidR="00BF17C8" w:rsidRPr="00756D59" w:rsidRDefault="00BF17C8" w:rsidP="00876646">
            <w:pPr>
              <w:jc w:val="left"/>
              <w:rPr>
                <w:sz w:val="20"/>
                <w:szCs w:val="20"/>
                <w:lang w:eastAsia="en-CA"/>
              </w:rPr>
            </w:pPr>
            <w:r w:rsidRPr="00756D59">
              <w:rPr>
                <w:sz w:val="20"/>
                <w:szCs w:val="20"/>
                <w:lang w:eastAsia="en-CA"/>
              </w:rPr>
              <w:t>Organizing final consultation meeting; finalization of market assessment report after consolidation of all information; and finalization of enabling activities report.</w:t>
            </w:r>
          </w:p>
        </w:tc>
        <w:tc>
          <w:tcPr>
            <w:tcW w:w="1629" w:type="dxa"/>
            <w:shd w:val="clear" w:color="auto" w:fill="auto"/>
            <w:tcMar>
              <w:left w:w="58" w:type="dxa"/>
              <w:right w:w="58" w:type="dxa"/>
            </w:tcMar>
          </w:tcPr>
          <w:p w14:paraId="7EA1E839" w14:textId="77777777" w:rsidR="00BF17C8" w:rsidRPr="00756D59" w:rsidRDefault="00BF17C8" w:rsidP="00876646">
            <w:pPr>
              <w:jc w:val="center"/>
              <w:rPr>
                <w:sz w:val="20"/>
                <w:szCs w:val="20"/>
                <w:lang w:eastAsia="en-CA"/>
              </w:rPr>
            </w:pPr>
            <w:r w:rsidRPr="00756D59">
              <w:rPr>
                <w:sz w:val="20"/>
                <w:szCs w:val="20"/>
                <w:lang w:eastAsia="en-CA"/>
              </w:rPr>
              <w:t>Aug-21</w:t>
            </w:r>
          </w:p>
        </w:tc>
      </w:tr>
      <w:tr w:rsidR="00BF17C8" w:rsidRPr="00756D59" w14:paraId="6A851AEB" w14:textId="77777777" w:rsidTr="00876646">
        <w:trPr>
          <w:trHeight w:val="337"/>
        </w:trPr>
        <w:tc>
          <w:tcPr>
            <w:tcW w:w="2261" w:type="dxa"/>
            <w:tcMar>
              <w:left w:w="58" w:type="dxa"/>
              <w:right w:w="58" w:type="dxa"/>
            </w:tcMar>
          </w:tcPr>
          <w:p w14:paraId="32BABCD3" w14:textId="77777777" w:rsidR="00BF17C8" w:rsidRPr="00756D59" w:rsidRDefault="00BF17C8" w:rsidP="00876646">
            <w:pPr>
              <w:jc w:val="left"/>
              <w:rPr>
                <w:sz w:val="20"/>
                <w:szCs w:val="20"/>
                <w:lang w:eastAsia="en-CA"/>
              </w:rPr>
            </w:pPr>
            <w:r w:rsidRPr="00756D59">
              <w:rPr>
                <w:sz w:val="20"/>
                <w:szCs w:val="20"/>
                <w:lang w:eastAsia="en-CA"/>
              </w:rPr>
              <w:t>Iran (Islamic Republic of)</w:t>
            </w:r>
          </w:p>
          <w:p w14:paraId="40EAA698" w14:textId="77777777" w:rsidR="00BF17C8" w:rsidRPr="00756D59" w:rsidRDefault="00BF17C8" w:rsidP="00876646">
            <w:pPr>
              <w:jc w:val="left"/>
              <w:rPr>
                <w:sz w:val="20"/>
                <w:szCs w:val="20"/>
                <w:lang w:eastAsia="en-CA"/>
              </w:rPr>
            </w:pPr>
            <w:r w:rsidRPr="00756D59">
              <w:rPr>
                <w:sz w:val="20"/>
                <w:szCs w:val="20"/>
                <w:lang w:eastAsia="en-CA"/>
              </w:rPr>
              <w:t>IRA/SEV/82/TAS/232</w:t>
            </w:r>
          </w:p>
        </w:tc>
        <w:tc>
          <w:tcPr>
            <w:tcW w:w="3352" w:type="dxa"/>
            <w:tcMar>
              <w:left w:w="58" w:type="dxa"/>
              <w:right w:w="58" w:type="dxa"/>
            </w:tcMar>
          </w:tcPr>
          <w:p w14:paraId="0505FB0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17CCF6E"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3C2E8128" w14:textId="77777777" w:rsidR="00BF17C8" w:rsidRPr="00756D59" w:rsidRDefault="00BF17C8" w:rsidP="00876646">
            <w:pPr>
              <w:jc w:val="center"/>
              <w:rPr>
                <w:sz w:val="20"/>
                <w:szCs w:val="20"/>
                <w:lang w:eastAsia="en-CA"/>
              </w:rPr>
            </w:pPr>
            <w:r w:rsidRPr="00756D59">
              <w:rPr>
                <w:sz w:val="20"/>
                <w:szCs w:val="20"/>
                <w:lang w:eastAsia="en-CA"/>
              </w:rPr>
              <w:t>35.6</w:t>
            </w:r>
          </w:p>
        </w:tc>
        <w:tc>
          <w:tcPr>
            <w:tcW w:w="4531" w:type="dxa"/>
            <w:tcMar>
              <w:left w:w="58" w:type="dxa"/>
              <w:right w:w="58" w:type="dxa"/>
            </w:tcMar>
          </w:tcPr>
          <w:p w14:paraId="5F1DBF56" w14:textId="77777777" w:rsidR="00BF17C8" w:rsidRPr="00756D59" w:rsidRDefault="00BF17C8" w:rsidP="00876646">
            <w:pPr>
              <w:jc w:val="left"/>
              <w:rPr>
                <w:sz w:val="20"/>
                <w:szCs w:val="20"/>
                <w:lang w:eastAsia="en-CA"/>
              </w:rPr>
            </w:pPr>
            <w:r w:rsidRPr="00756D59">
              <w:rPr>
                <w:sz w:val="20"/>
                <w:szCs w:val="20"/>
                <w:lang w:eastAsia="en-CA"/>
              </w:rPr>
              <w:t>Conducting market assessment of the refrigeration servicing sector and use of alternatives; preparation and finalization of national roadmap; final consultation meeting; and finalization of enabling activities report.</w:t>
            </w:r>
          </w:p>
        </w:tc>
        <w:tc>
          <w:tcPr>
            <w:tcW w:w="1629" w:type="dxa"/>
            <w:shd w:val="clear" w:color="auto" w:fill="auto"/>
            <w:tcMar>
              <w:left w:w="58" w:type="dxa"/>
              <w:right w:w="58" w:type="dxa"/>
            </w:tcMar>
          </w:tcPr>
          <w:p w14:paraId="13421DFC" w14:textId="77777777" w:rsidR="00BF17C8" w:rsidRPr="00756D59" w:rsidRDefault="00BF17C8" w:rsidP="00876646">
            <w:pPr>
              <w:jc w:val="center"/>
              <w:rPr>
                <w:sz w:val="20"/>
                <w:szCs w:val="20"/>
                <w:lang w:eastAsia="en-CA"/>
              </w:rPr>
            </w:pPr>
            <w:r w:rsidRPr="00756D59">
              <w:rPr>
                <w:sz w:val="20"/>
                <w:szCs w:val="20"/>
                <w:lang w:eastAsia="en-CA"/>
              </w:rPr>
              <w:t>Mar-22</w:t>
            </w:r>
          </w:p>
        </w:tc>
      </w:tr>
      <w:tr w:rsidR="00BF17C8" w:rsidRPr="00756D59" w14:paraId="6D3EC4EA" w14:textId="77777777" w:rsidTr="00876646">
        <w:trPr>
          <w:trHeight w:val="337"/>
        </w:trPr>
        <w:tc>
          <w:tcPr>
            <w:tcW w:w="2261" w:type="dxa"/>
            <w:tcMar>
              <w:left w:w="58" w:type="dxa"/>
              <w:right w:w="58" w:type="dxa"/>
            </w:tcMar>
          </w:tcPr>
          <w:p w14:paraId="0F66A96D" w14:textId="77777777" w:rsidR="00BF17C8" w:rsidRPr="00756D59" w:rsidRDefault="00BF17C8" w:rsidP="00876646">
            <w:pPr>
              <w:jc w:val="left"/>
              <w:rPr>
                <w:sz w:val="20"/>
                <w:szCs w:val="20"/>
                <w:lang w:eastAsia="en-CA"/>
              </w:rPr>
            </w:pPr>
            <w:r w:rsidRPr="00756D59">
              <w:rPr>
                <w:sz w:val="20"/>
                <w:szCs w:val="20"/>
                <w:lang w:eastAsia="en-CA"/>
              </w:rPr>
              <w:t xml:space="preserve">Panama </w:t>
            </w:r>
          </w:p>
          <w:p w14:paraId="707E7E55" w14:textId="77777777" w:rsidR="00BF17C8" w:rsidRPr="00756D59" w:rsidRDefault="00BF17C8" w:rsidP="00876646">
            <w:pPr>
              <w:jc w:val="left"/>
              <w:rPr>
                <w:sz w:val="20"/>
                <w:szCs w:val="20"/>
                <w:lang w:eastAsia="en-CA"/>
              </w:rPr>
            </w:pPr>
            <w:r w:rsidRPr="00756D59">
              <w:rPr>
                <w:sz w:val="20"/>
                <w:szCs w:val="20"/>
                <w:lang w:eastAsia="en-CA"/>
              </w:rPr>
              <w:t>PAN/SEV/81/TAS/46</w:t>
            </w:r>
          </w:p>
        </w:tc>
        <w:tc>
          <w:tcPr>
            <w:tcW w:w="3352" w:type="dxa"/>
            <w:tcMar>
              <w:left w:w="58" w:type="dxa"/>
              <w:right w:w="58" w:type="dxa"/>
            </w:tcMar>
          </w:tcPr>
          <w:p w14:paraId="3FC1648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939C323"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80015D8" w14:textId="77777777" w:rsidR="00BF17C8" w:rsidRPr="00756D59" w:rsidRDefault="00BF17C8" w:rsidP="00876646">
            <w:pPr>
              <w:jc w:val="center"/>
              <w:rPr>
                <w:sz w:val="20"/>
                <w:szCs w:val="20"/>
                <w:lang w:eastAsia="en-CA"/>
              </w:rPr>
            </w:pPr>
            <w:r w:rsidRPr="00756D59">
              <w:rPr>
                <w:sz w:val="20"/>
                <w:szCs w:val="20"/>
                <w:lang w:eastAsia="en-CA"/>
              </w:rPr>
              <w:t>76.3</w:t>
            </w:r>
          </w:p>
        </w:tc>
        <w:tc>
          <w:tcPr>
            <w:tcW w:w="4531" w:type="dxa"/>
            <w:tcMar>
              <w:left w:w="58" w:type="dxa"/>
              <w:right w:w="58" w:type="dxa"/>
            </w:tcMar>
          </w:tcPr>
          <w:p w14:paraId="7652CA52" w14:textId="77777777" w:rsidR="00BF17C8" w:rsidRPr="00756D59" w:rsidRDefault="00BF17C8" w:rsidP="00876646">
            <w:pPr>
              <w:jc w:val="left"/>
              <w:rPr>
                <w:sz w:val="20"/>
                <w:szCs w:val="20"/>
                <w:lang w:eastAsia="en-CA"/>
              </w:rPr>
            </w:pPr>
            <w:r w:rsidRPr="00756D59">
              <w:rPr>
                <w:sz w:val="20"/>
                <w:szCs w:val="20"/>
                <w:lang w:eastAsia="en-CA"/>
              </w:rPr>
              <w:t xml:space="preserve">Conducting a </w:t>
            </w:r>
            <w:proofErr w:type="spellStart"/>
            <w:r w:rsidRPr="00756D59">
              <w:rPr>
                <w:sz w:val="20"/>
                <w:szCs w:val="20"/>
                <w:lang w:eastAsia="en-CA"/>
              </w:rPr>
              <w:t>multisectoral</w:t>
            </w:r>
            <w:proofErr w:type="spellEnd"/>
            <w:r w:rsidRPr="00756D59">
              <w:rPr>
                <w:sz w:val="20"/>
                <w:szCs w:val="20"/>
                <w:lang w:eastAsia="en-CA"/>
              </w:rPr>
              <w:t xml:space="preserve"> coordination group meeting to present the draft national strategy for phasing down HFCs to stakeholders; and distribution of promotional material.</w:t>
            </w:r>
          </w:p>
        </w:tc>
        <w:tc>
          <w:tcPr>
            <w:tcW w:w="1629" w:type="dxa"/>
            <w:shd w:val="clear" w:color="auto" w:fill="auto"/>
            <w:tcMar>
              <w:left w:w="58" w:type="dxa"/>
              <w:right w:w="58" w:type="dxa"/>
            </w:tcMar>
          </w:tcPr>
          <w:p w14:paraId="6128973C" w14:textId="77777777" w:rsidR="00BF17C8" w:rsidRPr="00756D59" w:rsidRDefault="00BF17C8" w:rsidP="00876646">
            <w:pPr>
              <w:jc w:val="center"/>
              <w:rPr>
                <w:sz w:val="20"/>
                <w:szCs w:val="20"/>
                <w:lang w:eastAsia="en-CA"/>
              </w:rPr>
            </w:pPr>
            <w:r w:rsidRPr="00756D59">
              <w:rPr>
                <w:sz w:val="20"/>
                <w:szCs w:val="20"/>
                <w:lang w:eastAsia="en-CA"/>
              </w:rPr>
              <w:t>Sep-21</w:t>
            </w:r>
          </w:p>
        </w:tc>
      </w:tr>
      <w:tr w:rsidR="00BF17C8" w:rsidRPr="00756D59" w14:paraId="20202ADC" w14:textId="77777777" w:rsidTr="00876646">
        <w:trPr>
          <w:trHeight w:val="337"/>
        </w:trPr>
        <w:tc>
          <w:tcPr>
            <w:tcW w:w="2261" w:type="dxa"/>
            <w:tcMar>
              <w:left w:w="58" w:type="dxa"/>
              <w:right w:w="58" w:type="dxa"/>
            </w:tcMar>
          </w:tcPr>
          <w:p w14:paraId="1C154955" w14:textId="77777777" w:rsidR="00BF17C8" w:rsidRPr="00756D59" w:rsidRDefault="00BF17C8" w:rsidP="00876646">
            <w:pPr>
              <w:jc w:val="left"/>
              <w:rPr>
                <w:sz w:val="20"/>
                <w:szCs w:val="20"/>
                <w:lang w:eastAsia="en-CA"/>
              </w:rPr>
            </w:pPr>
            <w:r w:rsidRPr="00756D59">
              <w:rPr>
                <w:sz w:val="20"/>
                <w:szCs w:val="20"/>
                <w:lang w:eastAsia="en-CA"/>
              </w:rPr>
              <w:t xml:space="preserve">Paraguay </w:t>
            </w:r>
          </w:p>
          <w:p w14:paraId="77AB1353" w14:textId="77777777" w:rsidR="00BF17C8" w:rsidRPr="00756D59" w:rsidRDefault="00BF17C8" w:rsidP="00876646">
            <w:pPr>
              <w:jc w:val="left"/>
              <w:rPr>
                <w:sz w:val="20"/>
                <w:szCs w:val="20"/>
                <w:lang w:eastAsia="en-CA"/>
              </w:rPr>
            </w:pPr>
            <w:r w:rsidRPr="00756D59">
              <w:rPr>
                <w:sz w:val="20"/>
                <w:szCs w:val="20"/>
                <w:lang w:eastAsia="en-CA"/>
              </w:rPr>
              <w:t>PAR/SEV/81/TAS/01+</w:t>
            </w:r>
          </w:p>
        </w:tc>
        <w:tc>
          <w:tcPr>
            <w:tcW w:w="3352" w:type="dxa"/>
            <w:tcMar>
              <w:left w:w="58" w:type="dxa"/>
              <w:right w:w="58" w:type="dxa"/>
            </w:tcMar>
          </w:tcPr>
          <w:p w14:paraId="791141F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61DD4BD"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1772F4C" w14:textId="77777777" w:rsidR="00BF17C8" w:rsidRPr="00756D59" w:rsidRDefault="00BF17C8" w:rsidP="00876646">
            <w:pPr>
              <w:jc w:val="center"/>
              <w:rPr>
                <w:sz w:val="20"/>
                <w:szCs w:val="20"/>
                <w:lang w:eastAsia="en-CA"/>
              </w:rPr>
            </w:pPr>
            <w:r w:rsidRPr="00756D59">
              <w:rPr>
                <w:sz w:val="20"/>
                <w:szCs w:val="20"/>
                <w:lang w:eastAsia="en-CA"/>
              </w:rPr>
              <w:t>100.6</w:t>
            </w:r>
          </w:p>
        </w:tc>
        <w:tc>
          <w:tcPr>
            <w:tcW w:w="4531" w:type="dxa"/>
            <w:tcMar>
              <w:left w:w="58" w:type="dxa"/>
              <w:right w:w="58" w:type="dxa"/>
            </w:tcMar>
          </w:tcPr>
          <w:p w14:paraId="345E723E" w14:textId="77777777" w:rsidR="00BF17C8" w:rsidRPr="00756D59" w:rsidRDefault="00BF17C8" w:rsidP="00876646">
            <w:pPr>
              <w:jc w:val="left"/>
              <w:rPr>
                <w:sz w:val="20"/>
                <w:szCs w:val="20"/>
                <w:lang w:eastAsia="en-CA"/>
              </w:rPr>
            </w:pPr>
            <w:r w:rsidRPr="00756D59">
              <w:rPr>
                <w:sz w:val="20"/>
                <w:szCs w:val="20"/>
                <w:lang w:eastAsia="en-CA"/>
              </w:rPr>
              <w:t>Finalization of the assessment of the RAC sector needs; and information outreach and knowledge sharing with stakeholders in the RAC, foam and firefighting sectors on the alternatives to HFCs.</w:t>
            </w:r>
          </w:p>
        </w:tc>
        <w:tc>
          <w:tcPr>
            <w:tcW w:w="1629" w:type="dxa"/>
            <w:shd w:val="clear" w:color="auto" w:fill="auto"/>
            <w:tcMar>
              <w:left w:w="58" w:type="dxa"/>
              <w:right w:w="58" w:type="dxa"/>
            </w:tcMar>
          </w:tcPr>
          <w:p w14:paraId="26518320"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666D40C6" w14:textId="77777777" w:rsidTr="00876646">
        <w:trPr>
          <w:trHeight w:val="337"/>
        </w:trPr>
        <w:tc>
          <w:tcPr>
            <w:tcW w:w="2261" w:type="dxa"/>
            <w:tcMar>
              <w:left w:w="58" w:type="dxa"/>
              <w:right w:w="58" w:type="dxa"/>
            </w:tcMar>
          </w:tcPr>
          <w:p w14:paraId="0D18F14C" w14:textId="77777777" w:rsidR="00BF17C8" w:rsidRPr="00756D59" w:rsidRDefault="00BF17C8" w:rsidP="00876646">
            <w:pPr>
              <w:jc w:val="left"/>
              <w:rPr>
                <w:sz w:val="20"/>
                <w:szCs w:val="20"/>
                <w:lang w:eastAsia="en-CA"/>
              </w:rPr>
            </w:pPr>
            <w:r w:rsidRPr="00756D59">
              <w:rPr>
                <w:sz w:val="20"/>
                <w:szCs w:val="20"/>
                <w:lang w:eastAsia="en-CA"/>
              </w:rPr>
              <w:lastRenderedPageBreak/>
              <w:t xml:space="preserve">Uruguay </w:t>
            </w:r>
          </w:p>
          <w:p w14:paraId="10EDAD01" w14:textId="77777777" w:rsidR="00BF17C8" w:rsidRPr="00756D59" w:rsidRDefault="00BF17C8" w:rsidP="00876646">
            <w:pPr>
              <w:jc w:val="left"/>
              <w:rPr>
                <w:sz w:val="20"/>
                <w:szCs w:val="20"/>
                <w:lang w:eastAsia="en-CA"/>
              </w:rPr>
            </w:pPr>
            <w:r w:rsidRPr="00756D59">
              <w:rPr>
                <w:sz w:val="20"/>
                <w:szCs w:val="20"/>
                <w:lang w:eastAsia="en-CA"/>
              </w:rPr>
              <w:t>URU/SEV/80/TAS/02+</w:t>
            </w:r>
          </w:p>
        </w:tc>
        <w:tc>
          <w:tcPr>
            <w:tcW w:w="3352" w:type="dxa"/>
            <w:tcMar>
              <w:left w:w="58" w:type="dxa"/>
              <w:right w:w="58" w:type="dxa"/>
            </w:tcMar>
          </w:tcPr>
          <w:p w14:paraId="0912C247"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FB3D923"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19DE829" w14:textId="77777777" w:rsidR="00BF17C8" w:rsidRPr="00756D59" w:rsidRDefault="00BF17C8" w:rsidP="00876646">
            <w:pPr>
              <w:jc w:val="center"/>
              <w:rPr>
                <w:sz w:val="20"/>
                <w:szCs w:val="20"/>
                <w:lang w:eastAsia="en-CA"/>
              </w:rPr>
            </w:pPr>
            <w:r w:rsidRPr="00756D59">
              <w:rPr>
                <w:sz w:val="20"/>
                <w:szCs w:val="20"/>
                <w:lang w:eastAsia="en-CA"/>
              </w:rPr>
              <w:t>78</w:t>
            </w:r>
          </w:p>
        </w:tc>
        <w:tc>
          <w:tcPr>
            <w:tcW w:w="4531" w:type="dxa"/>
            <w:tcMar>
              <w:left w:w="58" w:type="dxa"/>
              <w:right w:w="58" w:type="dxa"/>
            </w:tcMar>
          </w:tcPr>
          <w:p w14:paraId="41E03B92" w14:textId="77777777" w:rsidR="00BF17C8" w:rsidRPr="00756D59" w:rsidRDefault="00BF17C8" w:rsidP="00876646">
            <w:pPr>
              <w:jc w:val="left"/>
              <w:rPr>
                <w:sz w:val="20"/>
                <w:szCs w:val="20"/>
                <w:lang w:eastAsia="en-CA"/>
              </w:rPr>
            </w:pPr>
            <w:r w:rsidRPr="00756D59">
              <w:rPr>
                <w:sz w:val="20"/>
                <w:szCs w:val="20"/>
                <w:lang w:eastAsia="en-CA"/>
              </w:rPr>
              <w:t>Strengthening the control to HFC imports, discussions with stakeholder on the road map for the implementation of the Kigali Amendment and distribution of promotional material.</w:t>
            </w:r>
          </w:p>
        </w:tc>
        <w:tc>
          <w:tcPr>
            <w:tcW w:w="1629" w:type="dxa"/>
            <w:shd w:val="clear" w:color="auto" w:fill="auto"/>
            <w:tcMar>
              <w:left w:w="58" w:type="dxa"/>
              <w:right w:w="58" w:type="dxa"/>
            </w:tcMar>
          </w:tcPr>
          <w:p w14:paraId="525A1F3D"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5781F408" w14:textId="77777777" w:rsidTr="00876646">
        <w:trPr>
          <w:trHeight w:val="337"/>
        </w:trPr>
        <w:tc>
          <w:tcPr>
            <w:tcW w:w="2261" w:type="dxa"/>
            <w:tcMar>
              <w:left w:w="58" w:type="dxa"/>
              <w:right w:w="58" w:type="dxa"/>
            </w:tcMar>
          </w:tcPr>
          <w:p w14:paraId="085ACF10" w14:textId="77777777" w:rsidR="00BF17C8" w:rsidRPr="00756D59" w:rsidRDefault="00BF17C8" w:rsidP="00876646">
            <w:pPr>
              <w:jc w:val="left"/>
              <w:rPr>
                <w:sz w:val="20"/>
                <w:szCs w:val="20"/>
                <w:lang w:eastAsia="en-CA"/>
              </w:rPr>
            </w:pPr>
            <w:r w:rsidRPr="00756D59">
              <w:rPr>
                <w:sz w:val="20"/>
                <w:szCs w:val="20"/>
                <w:lang w:eastAsia="en-CA"/>
              </w:rPr>
              <w:t xml:space="preserve">Zimbabwe </w:t>
            </w:r>
          </w:p>
          <w:p w14:paraId="1EC65834" w14:textId="77777777" w:rsidR="00BF17C8" w:rsidRPr="00756D59" w:rsidRDefault="00BF17C8" w:rsidP="00876646">
            <w:pPr>
              <w:jc w:val="left"/>
              <w:rPr>
                <w:sz w:val="20"/>
                <w:szCs w:val="20"/>
                <w:lang w:eastAsia="en-CA"/>
              </w:rPr>
            </w:pPr>
            <w:r w:rsidRPr="00756D59">
              <w:rPr>
                <w:sz w:val="20"/>
                <w:szCs w:val="20"/>
                <w:lang w:eastAsia="en-CA"/>
              </w:rPr>
              <w:t>ZIM/REF/82/INV/55</w:t>
            </w:r>
          </w:p>
        </w:tc>
        <w:tc>
          <w:tcPr>
            <w:tcW w:w="3352" w:type="dxa"/>
            <w:tcMar>
              <w:left w:w="58" w:type="dxa"/>
              <w:right w:w="58" w:type="dxa"/>
            </w:tcMar>
          </w:tcPr>
          <w:p w14:paraId="3A328FFE" w14:textId="77777777" w:rsidR="00BF17C8" w:rsidRPr="00756D59" w:rsidRDefault="00BF17C8" w:rsidP="00876646">
            <w:pPr>
              <w:jc w:val="left"/>
              <w:rPr>
                <w:sz w:val="20"/>
                <w:szCs w:val="20"/>
                <w:lang w:eastAsia="en-CA"/>
              </w:rPr>
            </w:pPr>
            <w:r w:rsidRPr="00756D59">
              <w:rPr>
                <w:sz w:val="20"/>
                <w:szCs w:val="20"/>
                <w:lang w:eastAsia="en-CA"/>
              </w:rPr>
              <w:t>Conversion from HFC-134a to isobutane in the manufacture of domestic refrigerators at Capri (SME Harare)</w:t>
            </w:r>
          </w:p>
        </w:tc>
        <w:tc>
          <w:tcPr>
            <w:tcW w:w="1236" w:type="dxa"/>
            <w:tcMar>
              <w:left w:w="58" w:type="dxa"/>
              <w:right w:w="58" w:type="dxa"/>
            </w:tcMar>
          </w:tcPr>
          <w:p w14:paraId="40CAD997"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410A5949" w14:textId="77777777" w:rsidR="00BF17C8" w:rsidRPr="00756D59" w:rsidRDefault="00BF17C8" w:rsidP="00876646">
            <w:pPr>
              <w:jc w:val="center"/>
              <w:rPr>
                <w:sz w:val="20"/>
                <w:szCs w:val="20"/>
                <w:lang w:eastAsia="en-CA"/>
              </w:rPr>
            </w:pPr>
            <w:r w:rsidRPr="00756D59">
              <w:rPr>
                <w:sz w:val="20"/>
                <w:szCs w:val="20"/>
                <w:lang w:eastAsia="en-CA"/>
              </w:rPr>
              <w:t>0</w:t>
            </w:r>
          </w:p>
        </w:tc>
        <w:tc>
          <w:tcPr>
            <w:tcW w:w="4531" w:type="dxa"/>
            <w:tcMar>
              <w:left w:w="58" w:type="dxa"/>
              <w:right w:w="58" w:type="dxa"/>
            </w:tcMar>
          </w:tcPr>
          <w:p w14:paraId="451020C8" w14:textId="77777777" w:rsidR="00BF17C8" w:rsidRPr="00756D59" w:rsidRDefault="00BF17C8" w:rsidP="00876646">
            <w:pPr>
              <w:jc w:val="left"/>
              <w:rPr>
                <w:sz w:val="20"/>
                <w:szCs w:val="20"/>
                <w:lang w:eastAsia="en-CA"/>
              </w:rPr>
            </w:pPr>
            <w:r w:rsidRPr="00756D59">
              <w:rPr>
                <w:sz w:val="20"/>
                <w:szCs w:val="20"/>
                <w:lang w:eastAsia="en-CA"/>
              </w:rPr>
              <w:t xml:space="preserve">Additional time needed by the beneficiary enterprise for finalization of co-financing required for implementing the project. </w:t>
            </w:r>
          </w:p>
        </w:tc>
        <w:tc>
          <w:tcPr>
            <w:tcW w:w="1629" w:type="dxa"/>
            <w:shd w:val="clear" w:color="auto" w:fill="auto"/>
            <w:tcMar>
              <w:left w:w="58" w:type="dxa"/>
              <w:right w:w="58" w:type="dxa"/>
            </w:tcMar>
          </w:tcPr>
          <w:p w14:paraId="16C67BA4" w14:textId="77777777" w:rsidR="00BF17C8" w:rsidRPr="00756D59" w:rsidRDefault="00BF17C8" w:rsidP="00876646">
            <w:pPr>
              <w:jc w:val="center"/>
              <w:rPr>
                <w:sz w:val="20"/>
                <w:szCs w:val="20"/>
                <w:lang w:eastAsia="en-CA"/>
              </w:rPr>
            </w:pPr>
            <w:r w:rsidRPr="00756D59">
              <w:rPr>
                <w:sz w:val="20"/>
                <w:szCs w:val="20"/>
                <w:lang w:eastAsia="en-CA"/>
              </w:rPr>
              <w:t>Jun-23</w:t>
            </w:r>
          </w:p>
        </w:tc>
      </w:tr>
      <w:tr w:rsidR="00BF17C8" w:rsidRPr="00756D59" w14:paraId="7CE071C7" w14:textId="77777777" w:rsidTr="00876646">
        <w:trPr>
          <w:trHeight w:val="337"/>
        </w:trPr>
        <w:tc>
          <w:tcPr>
            <w:tcW w:w="2261" w:type="dxa"/>
            <w:tcMar>
              <w:left w:w="58" w:type="dxa"/>
              <w:right w:w="58" w:type="dxa"/>
            </w:tcMar>
          </w:tcPr>
          <w:p w14:paraId="2F7BAC40" w14:textId="77777777" w:rsidR="00BF17C8" w:rsidRPr="00756D59" w:rsidRDefault="00BF17C8" w:rsidP="00876646">
            <w:pPr>
              <w:jc w:val="left"/>
              <w:rPr>
                <w:b/>
              </w:rPr>
            </w:pPr>
            <w:r w:rsidRPr="00756D59">
              <w:rPr>
                <w:b/>
              </w:rPr>
              <w:t>UNEP</w:t>
            </w:r>
          </w:p>
        </w:tc>
        <w:tc>
          <w:tcPr>
            <w:tcW w:w="3352" w:type="dxa"/>
            <w:tcMar>
              <w:left w:w="58" w:type="dxa"/>
              <w:right w:w="58" w:type="dxa"/>
            </w:tcMar>
          </w:tcPr>
          <w:p w14:paraId="368BE8D2" w14:textId="77777777" w:rsidR="00BF17C8" w:rsidRPr="00756D59" w:rsidRDefault="00BF17C8" w:rsidP="00876646">
            <w:pPr>
              <w:jc w:val="left"/>
              <w:rPr>
                <w:sz w:val="20"/>
                <w:szCs w:val="20"/>
                <w:lang w:eastAsia="en-CA"/>
              </w:rPr>
            </w:pPr>
          </w:p>
        </w:tc>
        <w:tc>
          <w:tcPr>
            <w:tcW w:w="1236" w:type="dxa"/>
            <w:tcMar>
              <w:left w:w="58" w:type="dxa"/>
              <w:right w:w="58" w:type="dxa"/>
            </w:tcMar>
          </w:tcPr>
          <w:p w14:paraId="306F8466" w14:textId="77777777" w:rsidR="00BF17C8" w:rsidRPr="00756D59" w:rsidRDefault="00BF17C8" w:rsidP="00876646">
            <w:pPr>
              <w:jc w:val="center"/>
              <w:rPr>
                <w:sz w:val="20"/>
                <w:szCs w:val="20"/>
                <w:lang w:eastAsia="en-CA"/>
              </w:rPr>
            </w:pPr>
          </w:p>
        </w:tc>
        <w:tc>
          <w:tcPr>
            <w:tcW w:w="1305" w:type="dxa"/>
            <w:shd w:val="clear" w:color="auto" w:fill="auto"/>
            <w:tcMar>
              <w:left w:w="58" w:type="dxa"/>
              <w:right w:w="58" w:type="dxa"/>
            </w:tcMar>
          </w:tcPr>
          <w:p w14:paraId="41371B2A" w14:textId="77777777" w:rsidR="00BF17C8" w:rsidRPr="00756D59" w:rsidRDefault="00BF17C8" w:rsidP="00876646">
            <w:pPr>
              <w:jc w:val="center"/>
              <w:rPr>
                <w:sz w:val="20"/>
                <w:szCs w:val="20"/>
                <w:lang w:eastAsia="en-CA"/>
              </w:rPr>
            </w:pPr>
          </w:p>
        </w:tc>
        <w:tc>
          <w:tcPr>
            <w:tcW w:w="4531" w:type="dxa"/>
            <w:tcMar>
              <w:left w:w="58" w:type="dxa"/>
              <w:right w:w="58" w:type="dxa"/>
            </w:tcMar>
          </w:tcPr>
          <w:p w14:paraId="7A19F97D" w14:textId="77777777" w:rsidR="00BF17C8" w:rsidRPr="00756D59" w:rsidRDefault="00BF17C8" w:rsidP="00876646">
            <w:pPr>
              <w:jc w:val="left"/>
              <w:rPr>
                <w:sz w:val="20"/>
                <w:szCs w:val="20"/>
                <w:lang w:eastAsia="en-CA"/>
              </w:rPr>
            </w:pPr>
          </w:p>
        </w:tc>
        <w:tc>
          <w:tcPr>
            <w:tcW w:w="1629" w:type="dxa"/>
            <w:shd w:val="clear" w:color="auto" w:fill="auto"/>
            <w:tcMar>
              <w:left w:w="58" w:type="dxa"/>
              <w:right w:w="58" w:type="dxa"/>
            </w:tcMar>
          </w:tcPr>
          <w:p w14:paraId="51852B71" w14:textId="77777777" w:rsidR="00BF17C8" w:rsidRPr="00756D59" w:rsidRDefault="00BF17C8" w:rsidP="00876646">
            <w:pPr>
              <w:jc w:val="center"/>
              <w:rPr>
                <w:sz w:val="20"/>
                <w:szCs w:val="20"/>
                <w:lang w:eastAsia="en-CA"/>
              </w:rPr>
            </w:pPr>
          </w:p>
        </w:tc>
      </w:tr>
      <w:tr w:rsidR="00BF17C8" w:rsidRPr="00756D59" w14:paraId="0F287871" w14:textId="77777777" w:rsidTr="00876646">
        <w:trPr>
          <w:trHeight w:val="337"/>
        </w:trPr>
        <w:tc>
          <w:tcPr>
            <w:tcW w:w="2261" w:type="dxa"/>
            <w:tcMar>
              <w:left w:w="58" w:type="dxa"/>
              <w:right w:w="58" w:type="dxa"/>
            </w:tcMar>
          </w:tcPr>
          <w:p w14:paraId="4979D66E" w14:textId="77777777" w:rsidR="00BF17C8" w:rsidRPr="00756D59" w:rsidRDefault="00BF17C8" w:rsidP="00876646">
            <w:pPr>
              <w:jc w:val="left"/>
              <w:rPr>
                <w:sz w:val="20"/>
                <w:szCs w:val="20"/>
                <w:lang w:eastAsia="en-CA"/>
              </w:rPr>
            </w:pPr>
            <w:r w:rsidRPr="00756D59">
              <w:rPr>
                <w:bCs/>
                <w:sz w:val="20"/>
                <w:szCs w:val="20"/>
                <w:lang w:eastAsia="en-CA"/>
              </w:rPr>
              <w:t>Afghanistan</w:t>
            </w:r>
            <w:r w:rsidRPr="00756D59">
              <w:rPr>
                <w:sz w:val="20"/>
                <w:szCs w:val="20"/>
                <w:lang w:eastAsia="en-CA"/>
              </w:rPr>
              <w:t xml:space="preserve"> </w:t>
            </w:r>
          </w:p>
          <w:p w14:paraId="62240C9B" w14:textId="77777777" w:rsidR="00BF17C8" w:rsidRPr="00756D59" w:rsidRDefault="00BF17C8" w:rsidP="00876646">
            <w:pPr>
              <w:jc w:val="left"/>
              <w:rPr>
                <w:b/>
                <w:sz w:val="20"/>
                <w:szCs w:val="20"/>
              </w:rPr>
            </w:pPr>
            <w:r w:rsidRPr="00756D59">
              <w:rPr>
                <w:sz w:val="20"/>
                <w:szCs w:val="20"/>
                <w:lang w:eastAsia="en-CA"/>
              </w:rPr>
              <w:t>AFG/SEV/81/TAS/01+</w:t>
            </w:r>
          </w:p>
        </w:tc>
        <w:tc>
          <w:tcPr>
            <w:tcW w:w="3352" w:type="dxa"/>
            <w:tcMar>
              <w:left w:w="58" w:type="dxa"/>
              <w:right w:w="58" w:type="dxa"/>
            </w:tcMar>
          </w:tcPr>
          <w:p w14:paraId="1C047D9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351BC53"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1B2B324" w14:textId="77777777" w:rsidR="00BF17C8" w:rsidRPr="00756D59" w:rsidRDefault="00BF17C8" w:rsidP="00876646">
            <w:pPr>
              <w:jc w:val="center"/>
              <w:rPr>
                <w:sz w:val="20"/>
                <w:szCs w:val="20"/>
                <w:lang w:eastAsia="en-CA"/>
              </w:rPr>
            </w:pPr>
            <w:r w:rsidRPr="00756D59">
              <w:rPr>
                <w:bCs/>
                <w:sz w:val="20"/>
                <w:szCs w:val="20"/>
                <w:lang w:eastAsia="en-CA"/>
              </w:rPr>
              <w:t>80</w:t>
            </w:r>
          </w:p>
        </w:tc>
        <w:tc>
          <w:tcPr>
            <w:tcW w:w="4531" w:type="dxa"/>
            <w:tcMar>
              <w:left w:w="58" w:type="dxa"/>
              <w:right w:w="58" w:type="dxa"/>
            </w:tcMar>
          </w:tcPr>
          <w:p w14:paraId="5F8F30A3" w14:textId="77777777" w:rsidR="00BF17C8" w:rsidRPr="00756D59" w:rsidRDefault="00BF17C8" w:rsidP="00876646">
            <w:pPr>
              <w:jc w:val="left"/>
              <w:rPr>
                <w:sz w:val="20"/>
                <w:szCs w:val="20"/>
                <w:lang w:eastAsia="en-CA"/>
              </w:rPr>
            </w:pPr>
            <w:r w:rsidRPr="00756D59">
              <w:rPr>
                <w:sz w:val="20"/>
                <w:szCs w:val="20"/>
                <w:lang w:eastAsia="en-CA"/>
              </w:rPr>
              <w:t>Roundtable workshops on low</w:t>
            </w:r>
            <w:r w:rsidRPr="00756D59">
              <w:rPr>
                <w:sz w:val="20"/>
                <w:szCs w:val="20"/>
                <w:lang w:eastAsia="en-CA"/>
              </w:rPr>
              <w:noBreakHyphen/>
              <w:t>GWP alternatives for large end users and training for servicing sector; finalization of the amendment to draft regulations; and awareness activities.</w:t>
            </w:r>
          </w:p>
        </w:tc>
        <w:tc>
          <w:tcPr>
            <w:tcW w:w="1629" w:type="dxa"/>
            <w:shd w:val="clear" w:color="auto" w:fill="auto"/>
            <w:tcMar>
              <w:left w:w="58" w:type="dxa"/>
              <w:right w:w="58" w:type="dxa"/>
            </w:tcMar>
          </w:tcPr>
          <w:p w14:paraId="1349BEC6" w14:textId="77777777" w:rsidR="00BF17C8" w:rsidRPr="00756D59" w:rsidRDefault="00BF17C8" w:rsidP="00876646">
            <w:pPr>
              <w:jc w:val="center"/>
              <w:rPr>
                <w:sz w:val="20"/>
                <w:szCs w:val="20"/>
                <w:lang w:eastAsia="en-CA"/>
              </w:rPr>
            </w:pPr>
            <w:r w:rsidRPr="00756D59">
              <w:rPr>
                <w:bCs/>
                <w:sz w:val="20"/>
                <w:szCs w:val="20"/>
                <w:lang w:eastAsia="en-CA"/>
              </w:rPr>
              <w:t>Jun-22</w:t>
            </w:r>
          </w:p>
        </w:tc>
      </w:tr>
      <w:tr w:rsidR="00BF17C8" w:rsidRPr="00756D59" w14:paraId="02E90594" w14:textId="77777777" w:rsidTr="00876646">
        <w:trPr>
          <w:trHeight w:val="337"/>
        </w:trPr>
        <w:tc>
          <w:tcPr>
            <w:tcW w:w="2261" w:type="dxa"/>
            <w:tcMar>
              <w:left w:w="58" w:type="dxa"/>
              <w:right w:w="58" w:type="dxa"/>
            </w:tcMar>
          </w:tcPr>
          <w:p w14:paraId="1EA1379B" w14:textId="77777777" w:rsidR="00BF17C8" w:rsidRPr="00756D59" w:rsidRDefault="00BF17C8" w:rsidP="00876646">
            <w:pPr>
              <w:jc w:val="left"/>
              <w:rPr>
                <w:sz w:val="20"/>
                <w:szCs w:val="20"/>
                <w:lang w:eastAsia="en-CA"/>
              </w:rPr>
            </w:pPr>
            <w:r w:rsidRPr="00756D59">
              <w:rPr>
                <w:bCs/>
                <w:sz w:val="20"/>
                <w:szCs w:val="20"/>
                <w:lang w:eastAsia="en-CA"/>
              </w:rPr>
              <w:t>Angola</w:t>
            </w:r>
            <w:r w:rsidRPr="00756D59">
              <w:rPr>
                <w:sz w:val="20"/>
                <w:szCs w:val="20"/>
                <w:lang w:eastAsia="en-CA"/>
              </w:rPr>
              <w:t xml:space="preserve"> </w:t>
            </w:r>
          </w:p>
          <w:p w14:paraId="29DF03C3" w14:textId="77777777" w:rsidR="00BF17C8" w:rsidRPr="00756D59" w:rsidRDefault="00BF17C8" w:rsidP="00876646">
            <w:pPr>
              <w:jc w:val="left"/>
              <w:rPr>
                <w:b/>
                <w:sz w:val="20"/>
                <w:szCs w:val="20"/>
              </w:rPr>
            </w:pPr>
            <w:r w:rsidRPr="00756D59">
              <w:rPr>
                <w:sz w:val="20"/>
                <w:szCs w:val="20"/>
                <w:lang w:eastAsia="en-CA"/>
              </w:rPr>
              <w:t>ANG/SEV/80/TAS/01+</w:t>
            </w:r>
          </w:p>
        </w:tc>
        <w:tc>
          <w:tcPr>
            <w:tcW w:w="3352" w:type="dxa"/>
            <w:tcMar>
              <w:left w:w="58" w:type="dxa"/>
              <w:right w:w="58" w:type="dxa"/>
            </w:tcMar>
          </w:tcPr>
          <w:p w14:paraId="6BA00A2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5B1A053"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A609899" w14:textId="77777777" w:rsidR="00BF17C8" w:rsidRPr="00756D59" w:rsidRDefault="00BF17C8" w:rsidP="00876646">
            <w:pPr>
              <w:jc w:val="center"/>
              <w:rPr>
                <w:sz w:val="20"/>
                <w:szCs w:val="20"/>
                <w:lang w:eastAsia="en-CA"/>
              </w:rPr>
            </w:pPr>
            <w:r w:rsidRPr="00756D59">
              <w:rPr>
                <w:bCs/>
                <w:sz w:val="20"/>
                <w:szCs w:val="20"/>
                <w:lang w:eastAsia="en-CA"/>
              </w:rPr>
              <w:t>86.7</w:t>
            </w:r>
          </w:p>
        </w:tc>
        <w:tc>
          <w:tcPr>
            <w:tcW w:w="4531" w:type="dxa"/>
            <w:tcMar>
              <w:left w:w="58" w:type="dxa"/>
              <w:right w:w="58" w:type="dxa"/>
            </w:tcMar>
          </w:tcPr>
          <w:p w14:paraId="26CAF695" w14:textId="77777777" w:rsidR="00BF17C8" w:rsidRPr="00756D59" w:rsidRDefault="00BF17C8" w:rsidP="00876646">
            <w:pPr>
              <w:jc w:val="left"/>
              <w:rPr>
                <w:sz w:val="20"/>
                <w:szCs w:val="20"/>
                <w:lang w:eastAsia="en-CA"/>
              </w:rPr>
            </w:pPr>
            <w:r w:rsidRPr="00756D59">
              <w:rPr>
                <w:sz w:val="20"/>
                <w:szCs w:val="20"/>
                <w:lang w:eastAsia="en-CA"/>
              </w:rPr>
              <w:t>Revise the existing National Ozone Depleting Substances legislation; and workshop for technicians on safe handling of HFCs and alternatives.</w:t>
            </w:r>
          </w:p>
        </w:tc>
        <w:tc>
          <w:tcPr>
            <w:tcW w:w="1629" w:type="dxa"/>
            <w:shd w:val="clear" w:color="auto" w:fill="auto"/>
            <w:tcMar>
              <w:left w:w="58" w:type="dxa"/>
              <w:right w:w="58" w:type="dxa"/>
            </w:tcMar>
          </w:tcPr>
          <w:p w14:paraId="5362732A" w14:textId="77777777" w:rsidR="00BF17C8" w:rsidRPr="00756D59" w:rsidRDefault="00BF17C8" w:rsidP="00876646">
            <w:pPr>
              <w:jc w:val="center"/>
              <w:rPr>
                <w:sz w:val="20"/>
                <w:szCs w:val="20"/>
                <w:lang w:eastAsia="en-CA"/>
              </w:rPr>
            </w:pPr>
            <w:r w:rsidRPr="00756D59">
              <w:rPr>
                <w:bCs/>
                <w:sz w:val="20"/>
                <w:szCs w:val="20"/>
                <w:lang w:eastAsia="en-CA"/>
              </w:rPr>
              <w:t>Dec-21</w:t>
            </w:r>
          </w:p>
        </w:tc>
      </w:tr>
      <w:tr w:rsidR="00BF17C8" w:rsidRPr="00756D59" w14:paraId="51E1C41E" w14:textId="77777777" w:rsidTr="00876646">
        <w:trPr>
          <w:trHeight w:val="337"/>
        </w:trPr>
        <w:tc>
          <w:tcPr>
            <w:tcW w:w="2261" w:type="dxa"/>
            <w:tcMar>
              <w:left w:w="58" w:type="dxa"/>
              <w:right w:w="58" w:type="dxa"/>
            </w:tcMar>
          </w:tcPr>
          <w:p w14:paraId="4087A0C9" w14:textId="77777777" w:rsidR="00BF17C8" w:rsidRPr="00756D59" w:rsidRDefault="00BF17C8" w:rsidP="00876646">
            <w:pPr>
              <w:jc w:val="left"/>
              <w:rPr>
                <w:sz w:val="20"/>
                <w:szCs w:val="20"/>
                <w:lang w:eastAsia="en-CA"/>
              </w:rPr>
            </w:pPr>
            <w:r w:rsidRPr="00756D59">
              <w:rPr>
                <w:bCs/>
                <w:sz w:val="20"/>
                <w:szCs w:val="20"/>
                <w:lang w:eastAsia="en-CA"/>
              </w:rPr>
              <w:t>Bahamas</w:t>
            </w:r>
            <w:r w:rsidRPr="00756D59">
              <w:rPr>
                <w:sz w:val="20"/>
                <w:szCs w:val="20"/>
                <w:lang w:eastAsia="en-CA"/>
              </w:rPr>
              <w:t xml:space="preserve"> (the)</w:t>
            </w:r>
          </w:p>
          <w:p w14:paraId="2E300455" w14:textId="77777777" w:rsidR="00BF17C8" w:rsidRPr="00756D59" w:rsidRDefault="00BF17C8" w:rsidP="00876646">
            <w:pPr>
              <w:jc w:val="left"/>
              <w:rPr>
                <w:b/>
                <w:sz w:val="20"/>
                <w:szCs w:val="20"/>
              </w:rPr>
            </w:pPr>
            <w:r w:rsidRPr="00756D59">
              <w:rPr>
                <w:sz w:val="20"/>
                <w:szCs w:val="20"/>
                <w:lang w:eastAsia="en-CA"/>
              </w:rPr>
              <w:t>BHA/SEV/82/TAS/01+</w:t>
            </w:r>
          </w:p>
        </w:tc>
        <w:tc>
          <w:tcPr>
            <w:tcW w:w="3352" w:type="dxa"/>
            <w:tcMar>
              <w:left w:w="58" w:type="dxa"/>
              <w:right w:w="58" w:type="dxa"/>
            </w:tcMar>
          </w:tcPr>
          <w:p w14:paraId="0322FC09"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02B9FDC"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4A0BCC6" w14:textId="77777777" w:rsidR="00BF17C8" w:rsidRPr="00756D59" w:rsidRDefault="00BF17C8" w:rsidP="00876646">
            <w:pPr>
              <w:jc w:val="center"/>
              <w:rPr>
                <w:sz w:val="20"/>
                <w:szCs w:val="20"/>
                <w:lang w:eastAsia="en-CA"/>
              </w:rPr>
            </w:pPr>
            <w:r w:rsidRPr="00756D59">
              <w:rPr>
                <w:bCs/>
                <w:sz w:val="20"/>
                <w:szCs w:val="20"/>
                <w:lang w:eastAsia="en-CA"/>
              </w:rPr>
              <w:t>0</w:t>
            </w:r>
          </w:p>
        </w:tc>
        <w:tc>
          <w:tcPr>
            <w:tcW w:w="4531" w:type="dxa"/>
            <w:tcMar>
              <w:left w:w="58" w:type="dxa"/>
              <w:right w:w="58" w:type="dxa"/>
            </w:tcMar>
          </w:tcPr>
          <w:p w14:paraId="3576E075" w14:textId="77777777" w:rsidR="00BF17C8" w:rsidRPr="00756D59" w:rsidRDefault="00BF17C8" w:rsidP="00876646">
            <w:pPr>
              <w:jc w:val="left"/>
              <w:rPr>
                <w:sz w:val="20"/>
                <w:szCs w:val="20"/>
                <w:lang w:eastAsia="en-CA"/>
              </w:rPr>
            </w:pPr>
            <w:r w:rsidRPr="00756D59">
              <w:rPr>
                <w:sz w:val="20"/>
                <w:szCs w:val="20"/>
                <w:lang w:eastAsia="en-CA"/>
              </w:rPr>
              <w:t>Study relating to handling low</w:t>
            </w:r>
            <w:r w:rsidRPr="00756D59">
              <w:rPr>
                <w:sz w:val="20"/>
                <w:szCs w:val="20"/>
                <w:lang w:eastAsia="en-CA"/>
              </w:rPr>
              <w:noBreakHyphen/>
              <w:t>GWP flammable refrigerants for service sector; and national strategy for supporting the RAC servicing sector in handling HFC phase</w:t>
            </w:r>
            <w:r w:rsidRPr="00756D59">
              <w:rPr>
                <w:sz w:val="20"/>
                <w:szCs w:val="20"/>
                <w:lang w:eastAsia="en-CA"/>
              </w:rPr>
              <w:noBreakHyphen/>
              <w:t>down and staged approach to introducing low-GWP and energy efficiency.</w:t>
            </w:r>
          </w:p>
        </w:tc>
        <w:tc>
          <w:tcPr>
            <w:tcW w:w="1629" w:type="dxa"/>
            <w:shd w:val="clear" w:color="auto" w:fill="auto"/>
            <w:tcMar>
              <w:left w:w="58" w:type="dxa"/>
              <w:right w:w="58" w:type="dxa"/>
            </w:tcMar>
          </w:tcPr>
          <w:p w14:paraId="2C8DAAE4" w14:textId="77777777" w:rsidR="00BF17C8" w:rsidRPr="00756D59" w:rsidRDefault="00BF17C8" w:rsidP="00876646">
            <w:pPr>
              <w:jc w:val="center"/>
              <w:rPr>
                <w:sz w:val="20"/>
                <w:szCs w:val="20"/>
                <w:lang w:eastAsia="en-CA"/>
              </w:rPr>
            </w:pPr>
            <w:r w:rsidRPr="00756D59">
              <w:rPr>
                <w:bCs/>
                <w:sz w:val="20"/>
                <w:szCs w:val="20"/>
                <w:lang w:eastAsia="en-CA"/>
              </w:rPr>
              <w:t>Jun-22</w:t>
            </w:r>
          </w:p>
        </w:tc>
      </w:tr>
      <w:tr w:rsidR="00BF17C8" w:rsidRPr="00756D59" w14:paraId="76C578D7" w14:textId="77777777" w:rsidTr="00876646">
        <w:trPr>
          <w:trHeight w:val="337"/>
        </w:trPr>
        <w:tc>
          <w:tcPr>
            <w:tcW w:w="2261" w:type="dxa"/>
            <w:tcMar>
              <w:left w:w="58" w:type="dxa"/>
              <w:right w:w="58" w:type="dxa"/>
            </w:tcMar>
          </w:tcPr>
          <w:p w14:paraId="5D2DA430" w14:textId="77777777" w:rsidR="00BF17C8" w:rsidRPr="00756D59" w:rsidRDefault="00BF17C8" w:rsidP="00876646">
            <w:pPr>
              <w:jc w:val="left"/>
              <w:rPr>
                <w:sz w:val="20"/>
                <w:szCs w:val="20"/>
                <w:lang w:eastAsia="en-CA"/>
              </w:rPr>
            </w:pPr>
            <w:r w:rsidRPr="00756D59">
              <w:rPr>
                <w:bCs/>
                <w:sz w:val="20"/>
                <w:szCs w:val="20"/>
                <w:lang w:eastAsia="en-CA"/>
              </w:rPr>
              <w:t>Bahrain</w:t>
            </w:r>
            <w:r w:rsidRPr="00756D59">
              <w:rPr>
                <w:sz w:val="20"/>
                <w:szCs w:val="20"/>
                <w:lang w:eastAsia="en-CA"/>
              </w:rPr>
              <w:t xml:space="preserve"> </w:t>
            </w:r>
          </w:p>
          <w:p w14:paraId="3B00B7DB" w14:textId="77777777" w:rsidR="00BF17C8" w:rsidRPr="00756D59" w:rsidRDefault="00BF17C8" w:rsidP="00876646">
            <w:pPr>
              <w:jc w:val="left"/>
              <w:rPr>
                <w:bCs/>
                <w:sz w:val="20"/>
                <w:szCs w:val="20"/>
                <w:lang w:eastAsia="en-CA"/>
              </w:rPr>
            </w:pPr>
            <w:r w:rsidRPr="00756D59">
              <w:rPr>
                <w:sz w:val="20"/>
                <w:szCs w:val="20"/>
                <w:lang w:eastAsia="en-CA"/>
              </w:rPr>
              <w:t>BAH/SEV/81/TAS/34</w:t>
            </w:r>
          </w:p>
        </w:tc>
        <w:tc>
          <w:tcPr>
            <w:tcW w:w="3352" w:type="dxa"/>
            <w:tcMar>
              <w:left w:w="58" w:type="dxa"/>
              <w:right w:w="58" w:type="dxa"/>
            </w:tcMar>
          </w:tcPr>
          <w:p w14:paraId="259A0E0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219B2C2"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EEB927E" w14:textId="77777777" w:rsidR="00BF17C8" w:rsidRPr="00756D59" w:rsidRDefault="00BF17C8" w:rsidP="00876646">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3E5FD9B2"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w:t>
            </w:r>
          </w:p>
        </w:tc>
        <w:tc>
          <w:tcPr>
            <w:tcW w:w="1629" w:type="dxa"/>
            <w:shd w:val="clear" w:color="auto" w:fill="auto"/>
            <w:tcMar>
              <w:left w:w="58" w:type="dxa"/>
              <w:right w:w="58" w:type="dxa"/>
            </w:tcMar>
          </w:tcPr>
          <w:p w14:paraId="7E2F470B"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3A9CF9F5" w14:textId="77777777" w:rsidTr="00876646">
        <w:trPr>
          <w:trHeight w:val="337"/>
        </w:trPr>
        <w:tc>
          <w:tcPr>
            <w:tcW w:w="2261" w:type="dxa"/>
            <w:tcMar>
              <w:left w:w="58" w:type="dxa"/>
              <w:right w:w="58" w:type="dxa"/>
            </w:tcMar>
          </w:tcPr>
          <w:p w14:paraId="10B9B616" w14:textId="77777777" w:rsidR="00BF17C8" w:rsidRPr="00756D59" w:rsidRDefault="00BF17C8" w:rsidP="00876646">
            <w:pPr>
              <w:jc w:val="left"/>
              <w:rPr>
                <w:sz w:val="20"/>
                <w:szCs w:val="20"/>
                <w:lang w:eastAsia="en-CA"/>
              </w:rPr>
            </w:pPr>
            <w:r w:rsidRPr="00756D59">
              <w:rPr>
                <w:bCs/>
                <w:sz w:val="20"/>
                <w:szCs w:val="20"/>
                <w:lang w:eastAsia="en-CA"/>
              </w:rPr>
              <w:t>Bangladesh</w:t>
            </w:r>
            <w:r w:rsidRPr="00756D59">
              <w:rPr>
                <w:sz w:val="20"/>
                <w:szCs w:val="20"/>
                <w:lang w:eastAsia="en-CA"/>
              </w:rPr>
              <w:t xml:space="preserve"> </w:t>
            </w:r>
          </w:p>
          <w:p w14:paraId="3F8B25B6" w14:textId="77777777" w:rsidR="00BF17C8" w:rsidRPr="00756D59" w:rsidRDefault="00BF17C8" w:rsidP="00876646">
            <w:pPr>
              <w:jc w:val="left"/>
              <w:rPr>
                <w:bCs/>
                <w:sz w:val="20"/>
                <w:szCs w:val="20"/>
                <w:lang w:eastAsia="en-CA"/>
              </w:rPr>
            </w:pPr>
            <w:r w:rsidRPr="00756D59">
              <w:rPr>
                <w:sz w:val="20"/>
                <w:szCs w:val="20"/>
                <w:lang w:eastAsia="en-CA"/>
              </w:rPr>
              <w:t>BGD/SEV/81/TAS/54</w:t>
            </w:r>
          </w:p>
        </w:tc>
        <w:tc>
          <w:tcPr>
            <w:tcW w:w="3352" w:type="dxa"/>
            <w:tcMar>
              <w:left w:w="58" w:type="dxa"/>
              <w:right w:w="58" w:type="dxa"/>
            </w:tcMar>
          </w:tcPr>
          <w:p w14:paraId="5832880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599C81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79D0540" w14:textId="77777777" w:rsidR="00BF17C8" w:rsidRPr="00756D59" w:rsidRDefault="00BF17C8" w:rsidP="00876646">
            <w:pPr>
              <w:jc w:val="center"/>
              <w:rPr>
                <w:bCs/>
                <w:sz w:val="20"/>
                <w:szCs w:val="20"/>
                <w:lang w:eastAsia="en-CA"/>
              </w:rPr>
            </w:pPr>
            <w:r w:rsidRPr="00756D59">
              <w:rPr>
                <w:bCs/>
                <w:sz w:val="20"/>
                <w:szCs w:val="20"/>
                <w:lang w:eastAsia="en-CA"/>
              </w:rPr>
              <w:t>12.1</w:t>
            </w:r>
          </w:p>
        </w:tc>
        <w:tc>
          <w:tcPr>
            <w:tcW w:w="4531" w:type="dxa"/>
            <w:tcMar>
              <w:left w:w="58" w:type="dxa"/>
              <w:right w:w="58" w:type="dxa"/>
            </w:tcMar>
          </w:tcPr>
          <w:p w14:paraId="7DDF3041" w14:textId="77777777" w:rsidR="00BF17C8" w:rsidRPr="00756D59" w:rsidRDefault="00BF17C8" w:rsidP="00876646">
            <w:pPr>
              <w:jc w:val="left"/>
              <w:rPr>
                <w:sz w:val="20"/>
                <w:szCs w:val="20"/>
                <w:lang w:eastAsia="en-CA"/>
              </w:rPr>
            </w:pPr>
            <w:r w:rsidRPr="00756D59">
              <w:rPr>
                <w:sz w:val="20"/>
                <w:szCs w:val="20"/>
                <w:lang w:eastAsia="en-CA"/>
              </w:rPr>
              <w:t>Roundtable workshops on low-GWP alternatives for large end users and training for customs officers; finalization of the amendment to draft regulations and awareness activities; and development of knowledge products and information materials</w:t>
            </w:r>
            <w:r w:rsidRPr="00756D59">
              <w:rPr>
                <w:sz w:val="20"/>
                <w:szCs w:val="20"/>
              </w:rPr>
              <w:t xml:space="preserve"> </w:t>
            </w:r>
            <w:r w:rsidRPr="00756D59">
              <w:rPr>
                <w:sz w:val="20"/>
                <w:szCs w:val="20"/>
                <w:lang w:eastAsia="en-CA"/>
              </w:rPr>
              <w:t>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764B1CCE"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70EC28BB" w14:textId="77777777" w:rsidTr="00876646">
        <w:trPr>
          <w:trHeight w:val="337"/>
        </w:trPr>
        <w:tc>
          <w:tcPr>
            <w:tcW w:w="2261" w:type="dxa"/>
            <w:tcMar>
              <w:left w:w="58" w:type="dxa"/>
              <w:right w:w="58" w:type="dxa"/>
            </w:tcMar>
          </w:tcPr>
          <w:p w14:paraId="332DEDDE" w14:textId="77777777" w:rsidR="00BF17C8" w:rsidRPr="00756D59" w:rsidRDefault="00BF17C8" w:rsidP="00876646">
            <w:pPr>
              <w:jc w:val="left"/>
              <w:rPr>
                <w:sz w:val="20"/>
                <w:szCs w:val="20"/>
                <w:lang w:eastAsia="en-CA"/>
              </w:rPr>
            </w:pPr>
            <w:r w:rsidRPr="00756D59">
              <w:rPr>
                <w:bCs/>
                <w:sz w:val="20"/>
                <w:szCs w:val="20"/>
                <w:lang w:eastAsia="en-CA"/>
              </w:rPr>
              <w:t>Benin</w:t>
            </w:r>
            <w:r w:rsidRPr="00756D59">
              <w:rPr>
                <w:sz w:val="20"/>
                <w:szCs w:val="20"/>
                <w:lang w:eastAsia="en-CA"/>
              </w:rPr>
              <w:t xml:space="preserve"> </w:t>
            </w:r>
          </w:p>
          <w:p w14:paraId="040B2A87" w14:textId="77777777" w:rsidR="00BF17C8" w:rsidRPr="00756D59" w:rsidRDefault="00BF17C8" w:rsidP="00876646">
            <w:pPr>
              <w:jc w:val="left"/>
              <w:rPr>
                <w:bCs/>
                <w:sz w:val="20"/>
                <w:szCs w:val="20"/>
                <w:lang w:eastAsia="en-CA"/>
              </w:rPr>
            </w:pPr>
            <w:r w:rsidRPr="00756D59">
              <w:rPr>
                <w:sz w:val="20"/>
                <w:szCs w:val="20"/>
                <w:lang w:eastAsia="en-CA"/>
              </w:rPr>
              <w:t>BEN/SEV/81/TAS/01+</w:t>
            </w:r>
          </w:p>
        </w:tc>
        <w:tc>
          <w:tcPr>
            <w:tcW w:w="3352" w:type="dxa"/>
            <w:tcMar>
              <w:left w:w="58" w:type="dxa"/>
              <w:right w:w="58" w:type="dxa"/>
            </w:tcMar>
          </w:tcPr>
          <w:p w14:paraId="3B6B3E7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C47D7F0"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B33C5F7" w14:textId="77777777" w:rsidR="00BF17C8" w:rsidRPr="00756D59" w:rsidRDefault="00BF17C8" w:rsidP="00876646">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5C3E5BE9" w14:textId="77777777" w:rsidR="00BF17C8" w:rsidRPr="00756D59" w:rsidRDefault="00BF17C8" w:rsidP="00876646">
            <w:pPr>
              <w:jc w:val="left"/>
              <w:rPr>
                <w:sz w:val="20"/>
                <w:szCs w:val="20"/>
                <w:lang w:eastAsia="en-CA"/>
              </w:rPr>
            </w:pPr>
            <w:r w:rsidRPr="00756D59">
              <w:rPr>
                <w:sz w:val="20"/>
                <w:szCs w:val="20"/>
                <w:lang w:eastAsia="en-CA"/>
              </w:rPr>
              <w:t>Assisting customs office for developing country</w:t>
            </w:r>
            <w:r w:rsidRPr="00756D59">
              <w:rPr>
                <w:sz w:val="20"/>
                <w:szCs w:val="20"/>
                <w:lang w:eastAsia="en-CA"/>
              </w:rPr>
              <w:noBreakHyphen/>
              <w:t>specific Harmonized System (HS) codes for HFCs; training needs assessment for servicing sector; and revising the existing National Ozone</w:t>
            </w:r>
            <w:r w:rsidRPr="00756D59">
              <w:rPr>
                <w:sz w:val="20"/>
                <w:szCs w:val="20"/>
                <w:lang w:eastAsia="en-CA"/>
              </w:rPr>
              <w:noBreakHyphen/>
              <w:t>Depleting Substances Legislation (ODS</w:t>
            </w:r>
            <w:r w:rsidRPr="00756D59">
              <w:rPr>
                <w:sz w:val="20"/>
                <w:szCs w:val="20"/>
                <w:lang w:eastAsia="en-CA"/>
              </w:rPr>
              <w:noBreakHyphen/>
              <w:t>based equipment) and drafting the ODS alternative regulation.</w:t>
            </w:r>
          </w:p>
        </w:tc>
        <w:tc>
          <w:tcPr>
            <w:tcW w:w="1629" w:type="dxa"/>
            <w:shd w:val="clear" w:color="auto" w:fill="auto"/>
            <w:tcMar>
              <w:left w:w="58" w:type="dxa"/>
              <w:right w:w="58" w:type="dxa"/>
            </w:tcMar>
          </w:tcPr>
          <w:p w14:paraId="5F58E8E9"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4066858" w14:textId="77777777" w:rsidTr="00876646">
        <w:trPr>
          <w:trHeight w:val="337"/>
        </w:trPr>
        <w:tc>
          <w:tcPr>
            <w:tcW w:w="2261" w:type="dxa"/>
            <w:tcMar>
              <w:left w:w="58" w:type="dxa"/>
              <w:right w:w="58" w:type="dxa"/>
            </w:tcMar>
          </w:tcPr>
          <w:p w14:paraId="2EE371F7" w14:textId="77777777" w:rsidR="00BF17C8" w:rsidRPr="00756D59" w:rsidRDefault="00BF17C8" w:rsidP="00876646">
            <w:pPr>
              <w:jc w:val="left"/>
              <w:rPr>
                <w:sz w:val="20"/>
                <w:szCs w:val="20"/>
                <w:lang w:eastAsia="en-CA"/>
              </w:rPr>
            </w:pPr>
            <w:r w:rsidRPr="00756D59">
              <w:rPr>
                <w:bCs/>
                <w:sz w:val="20"/>
                <w:szCs w:val="20"/>
                <w:lang w:eastAsia="en-CA"/>
              </w:rPr>
              <w:lastRenderedPageBreak/>
              <w:t>Bolivia (</w:t>
            </w:r>
            <w:proofErr w:type="spellStart"/>
            <w:r w:rsidRPr="00756D59">
              <w:rPr>
                <w:bCs/>
                <w:sz w:val="20"/>
                <w:szCs w:val="20"/>
                <w:lang w:eastAsia="en-CA"/>
              </w:rPr>
              <w:t>Plurinational</w:t>
            </w:r>
            <w:proofErr w:type="spellEnd"/>
            <w:r w:rsidRPr="00756D59">
              <w:rPr>
                <w:bCs/>
                <w:sz w:val="20"/>
                <w:szCs w:val="20"/>
                <w:lang w:eastAsia="en-CA"/>
              </w:rPr>
              <w:t xml:space="preserve"> State of)</w:t>
            </w:r>
          </w:p>
          <w:p w14:paraId="6697D716" w14:textId="77777777" w:rsidR="00BF17C8" w:rsidRPr="00756D59" w:rsidRDefault="00BF17C8" w:rsidP="00876646">
            <w:pPr>
              <w:jc w:val="left"/>
              <w:rPr>
                <w:bCs/>
                <w:sz w:val="20"/>
                <w:szCs w:val="20"/>
                <w:lang w:eastAsia="en-CA"/>
              </w:rPr>
            </w:pPr>
            <w:r w:rsidRPr="00756D59">
              <w:rPr>
                <w:sz w:val="20"/>
                <w:szCs w:val="20"/>
                <w:lang w:eastAsia="en-CA"/>
              </w:rPr>
              <w:t>BOL/SEV/82/TAS/01+</w:t>
            </w:r>
          </w:p>
        </w:tc>
        <w:tc>
          <w:tcPr>
            <w:tcW w:w="3352" w:type="dxa"/>
            <w:tcMar>
              <w:left w:w="58" w:type="dxa"/>
              <w:right w:w="58" w:type="dxa"/>
            </w:tcMar>
          </w:tcPr>
          <w:p w14:paraId="6A23565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8B3F7EF"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5B3B6BBB" w14:textId="77777777" w:rsidR="00BF17C8" w:rsidRPr="00756D59" w:rsidRDefault="00BF17C8" w:rsidP="00876646">
            <w:pPr>
              <w:jc w:val="center"/>
              <w:rPr>
                <w:bCs/>
                <w:sz w:val="20"/>
                <w:szCs w:val="20"/>
                <w:lang w:eastAsia="en-CA"/>
              </w:rPr>
            </w:pPr>
            <w:r w:rsidRPr="00756D59">
              <w:rPr>
                <w:bCs/>
                <w:sz w:val="20"/>
                <w:szCs w:val="20"/>
                <w:lang w:eastAsia="en-CA"/>
              </w:rPr>
              <w:t>11.9</w:t>
            </w:r>
          </w:p>
        </w:tc>
        <w:tc>
          <w:tcPr>
            <w:tcW w:w="4531" w:type="dxa"/>
            <w:tcMar>
              <w:left w:w="58" w:type="dxa"/>
              <w:right w:w="58" w:type="dxa"/>
            </w:tcMar>
          </w:tcPr>
          <w:p w14:paraId="11A0D1F5" w14:textId="77777777" w:rsidR="00BF17C8" w:rsidRPr="00756D59" w:rsidRDefault="00BF17C8" w:rsidP="00876646">
            <w:pPr>
              <w:jc w:val="left"/>
              <w:rPr>
                <w:sz w:val="20"/>
                <w:szCs w:val="20"/>
                <w:lang w:eastAsia="en-CA"/>
              </w:rPr>
            </w:pPr>
            <w:r w:rsidRPr="00756D59">
              <w:rPr>
                <w:sz w:val="20"/>
                <w:szCs w:val="20"/>
                <w:lang w:eastAsia="en-CA"/>
              </w:rPr>
              <w:t xml:space="preserve">Training on design, installation and maintenance of energy efficient RAC systems; support to customs authorities in developing HS codes for HFCs; drafting of ministerial resolutions/procedure manual for HFC quotas and HFC import permits; training of technicians on the safe use of flammable refrigerants and training of end users; and market analysis for HFC refrigerants from domestic production; and development of a proposal of the national </w:t>
            </w:r>
            <w:proofErr w:type="spellStart"/>
            <w:r w:rsidRPr="00756D59">
              <w:rPr>
                <w:sz w:val="20"/>
                <w:szCs w:val="20"/>
                <w:lang w:eastAsia="en-CA"/>
              </w:rPr>
              <w:t>labor</w:t>
            </w:r>
            <w:proofErr w:type="spellEnd"/>
            <w:r w:rsidRPr="00756D59">
              <w:rPr>
                <w:sz w:val="20"/>
                <w:szCs w:val="20"/>
                <w:lang w:eastAsia="en-CA"/>
              </w:rPr>
              <w:t xml:space="preserve"> competency standards.</w:t>
            </w:r>
          </w:p>
        </w:tc>
        <w:tc>
          <w:tcPr>
            <w:tcW w:w="1629" w:type="dxa"/>
            <w:shd w:val="clear" w:color="auto" w:fill="auto"/>
            <w:tcMar>
              <w:left w:w="58" w:type="dxa"/>
              <w:right w:w="58" w:type="dxa"/>
            </w:tcMar>
          </w:tcPr>
          <w:p w14:paraId="61A3627E"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2F907D9F" w14:textId="77777777" w:rsidTr="00876646">
        <w:trPr>
          <w:trHeight w:val="337"/>
        </w:trPr>
        <w:tc>
          <w:tcPr>
            <w:tcW w:w="2261" w:type="dxa"/>
            <w:tcMar>
              <w:left w:w="58" w:type="dxa"/>
              <w:right w:w="58" w:type="dxa"/>
            </w:tcMar>
          </w:tcPr>
          <w:p w14:paraId="14DDD961" w14:textId="77777777" w:rsidR="00BF17C8" w:rsidRPr="00756D59" w:rsidRDefault="00BF17C8" w:rsidP="00876646">
            <w:pPr>
              <w:jc w:val="left"/>
              <w:rPr>
                <w:sz w:val="20"/>
                <w:szCs w:val="20"/>
                <w:lang w:eastAsia="en-CA"/>
              </w:rPr>
            </w:pPr>
            <w:r w:rsidRPr="00756D59">
              <w:rPr>
                <w:bCs/>
                <w:sz w:val="20"/>
                <w:szCs w:val="20"/>
                <w:lang w:eastAsia="en-CA"/>
              </w:rPr>
              <w:t>Botswana</w:t>
            </w:r>
            <w:r w:rsidRPr="00756D59">
              <w:rPr>
                <w:sz w:val="20"/>
                <w:szCs w:val="20"/>
                <w:lang w:eastAsia="en-CA"/>
              </w:rPr>
              <w:t xml:space="preserve"> </w:t>
            </w:r>
          </w:p>
          <w:p w14:paraId="1DE916D0" w14:textId="77777777" w:rsidR="00BF17C8" w:rsidRPr="00756D59" w:rsidRDefault="00BF17C8" w:rsidP="00876646">
            <w:pPr>
              <w:jc w:val="left"/>
              <w:rPr>
                <w:bCs/>
                <w:sz w:val="20"/>
                <w:szCs w:val="20"/>
                <w:lang w:eastAsia="en-CA"/>
              </w:rPr>
            </w:pPr>
            <w:r w:rsidRPr="00756D59">
              <w:rPr>
                <w:sz w:val="20"/>
                <w:szCs w:val="20"/>
                <w:lang w:eastAsia="en-CA"/>
              </w:rPr>
              <w:t>BOT/SEV/81/TAS/01+</w:t>
            </w:r>
          </w:p>
        </w:tc>
        <w:tc>
          <w:tcPr>
            <w:tcW w:w="3352" w:type="dxa"/>
            <w:tcMar>
              <w:left w:w="58" w:type="dxa"/>
              <w:right w:w="58" w:type="dxa"/>
            </w:tcMar>
          </w:tcPr>
          <w:p w14:paraId="121CE25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924B11F"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FABD9F7" w14:textId="77777777" w:rsidR="00BF17C8" w:rsidRPr="00756D59" w:rsidRDefault="00BF17C8" w:rsidP="00876646">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4ED59B31" w14:textId="77777777" w:rsidR="00BF17C8" w:rsidRPr="00756D59" w:rsidRDefault="00BF17C8" w:rsidP="00876646">
            <w:pPr>
              <w:jc w:val="left"/>
              <w:rPr>
                <w:sz w:val="20"/>
                <w:szCs w:val="20"/>
                <w:lang w:eastAsia="en-CA"/>
              </w:rPr>
            </w:pPr>
            <w:r w:rsidRPr="00756D59">
              <w:rPr>
                <w:sz w:val="20"/>
                <w:szCs w:val="20"/>
                <w:lang w:eastAsia="en-CA"/>
              </w:rPr>
              <w:t>Training to Customs Department on the monitoring, recording and reporting of imports/exports of HFCs; RAC technology projection and analysis; conducting sensitization workshops to refrigeration technicians on safe use of alternatives of HFCs.</w:t>
            </w:r>
          </w:p>
        </w:tc>
        <w:tc>
          <w:tcPr>
            <w:tcW w:w="1629" w:type="dxa"/>
            <w:shd w:val="clear" w:color="auto" w:fill="auto"/>
            <w:tcMar>
              <w:left w:w="58" w:type="dxa"/>
              <w:right w:w="58" w:type="dxa"/>
            </w:tcMar>
          </w:tcPr>
          <w:p w14:paraId="73AF850F"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7A93B1DF" w14:textId="77777777" w:rsidTr="00876646">
        <w:trPr>
          <w:trHeight w:val="337"/>
        </w:trPr>
        <w:tc>
          <w:tcPr>
            <w:tcW w:w="2261" w:type="dxa"/>
            <w:tcMar>
              <w:left w:w="58" w:type="dxa"/>
              <w:right w:w="58" w:type="dxa"/>
            </w:tcMar>
          </w:tcPr>
          <w:p w14:paraId="55300943" w14:textId="77777777" w:rsidR="00BF17C8" w:rsidRPr="00756D59" w:rsidRDefault="00BF17C8" w:rsidP="00876646">
            <w:pPr>
              <w:jc w:val="left"/>
              <w:rPr>
                <w:sz w:val="20"/>
                <w:szCs w:val="20"/>
                <w:lang w:val="fr-FR" w:eastAsia="en-CA"/>
              </w:rPr>
            </w:pPr>
            <w:r w:rsidRPr="00756D59">
              <w:rPr>
                <w:bCs/>
                <w:sz w:val="20"/>
                <w:szCs w:val="20"/>
                <w:lang w:val="fr-FR" w:eastAsia="en-CA"/>
              </w:rPr>
              <w:t>Brunei Darussalam</w:t>
            </w:r>
            <w:r w:rsidRPr="00756D59">
              <w:rPr>
                <w:sz w:val="20"/>
                <w:szCs w:val="20"/>
                <w:lang w:val="fr-FR" w:eastAsia="en-CA"/>
              </w:rPr>
              <w:t xml:space="preserve"> </w:t>
            </w:r>
          </w:p>
          <w:p w14:paraId="2EE03AA3" w14:textId="77777777" w:rsidR="00BF17C8" w:rsidRPr="00756D59" w:rsidRDefault="00BF17C8" w:rsidP="00876646">
            <w:pPr>
              <w:jc w:val="left"/>
              <w:rPr>
                <w:bCs/>
                <w:sz w:val="20"/>
                <w:szCs w:val="20"/>
                <w:lang w:val="fr-FR" w:eastAsia="en-CA"/>
              </w:rPr>
            </w:pPr>
            <w:r w:rsidRPr="00756D59">
              <w:rPr>
                <w:sz w:val="20"/>
                <w:szCs w:val="20"/>
                <w:lang w:val="fr-FR" w:eastAsia="en-CA"/>
              </w:rPr>
              <w:t>BRU/SEV/82/TAS/01+</w:t>
            </w:r>
          </w:p>
        </w:tc>
        <w:tc>
          <w:tcPr>
            <w:tcW w:w="3352" w:type="dxa"/>
            <w:tcMar>
              <w:left w:w="58" w:type="dxa"/>
              <w:right w:w="58" w:type="dxa"/>
            </w:tcMar>
          </w:tcPr>
          <w:p w14:paraId="6B365D3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A43885"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A18F8E4" w14:textId="77777777" w:rsidR="00BF17C8" w:rsidRPr="00756D59" w:rsidRDefault="00BF17C8" w:rsidP="00876646">
            <w:pPr>
              <w:jc w:val="center"/>
              <w:rPr>
                <w:bCs/>
                <w:sz w:val="20"/>
                <w:szCs w:val="20"/>
                <w:lang w:eastAsia="en-CA"/>
              </w:rPr>
            </w:pPr>
            <w:r w:rsidRPr="00756D59">
              <w:rPr>
                <w:bCs/>
                <w:sz w:val="20"/>
                <w:szCs w:val="20"/>
                <w:lang w:eastAsia="en-CA"/>
              </w:rPr>
              <w:t>17.2</w:t>
            </w:r>
          </w:p>
        </w:tc>
        <w:tc>
          <w:tcPr>
            <w:tcW w:w="4531" w:type="dxa"/>
            <w:tcMar>
              <w:left w:w="58" w:type="dxa"/>
              <w:right w:w="58" w:type="dxa"/>
            </w:tcMar>
          </w:tcPr>
          <w:p w14:paraId="2B1133F9" w14:textId="77777777" w:rsidR="00BF17C8" w:rsidRPr="00756D59" w:rsidRDefault="00BF17C8" w:rsidP="00876646">
            <w:pPr>
              <w:jc w:val="left"/>
              <w:rPr>
                <w:sz w:val="20"/>
                <w:szCs w:val="20"/>
                <w:lang w:eastAsia="en-CA"/>
              </w:rPr>
            </w:pPr>
            <w:r w:rsidRPr="00756D59">
              <w:rPr>
                <w:sz w:val="20"/>
                <w:szCs w:val="20"/>
                <w:lang w:eastAsia="en-CA"/>
              </w:rPr>
              <w:t xml:space="preserve">Consultations on Kigali Amendment ratification; roundtable workshops and trainings; finalization of regulation amendment drafts; support for developing HS codes based on revision in 2022; finalization of stickers for </w:t>
            </w:r>
            <w:proofErr w:type="spellStart"/>
            <w:r w:rsidRPr="00756D59">
              <w:rPr>
                <w:sz w:val="20"/>
                <w:szCs w:val="20"/>
                <w:lang w:eastAsia="en-CA"/>
              </w:rPr>
              <w:t>labeling</w:t>
            </w:r>
            <w:proofErr w:type="spellEnd"/>
            <w:r w:rsidRPr="00756D59">
              <w:rPr>
                <w:sz w:val="20"/>
                <w:szCs w:val="20"/>
                <w:lang w:eastAsia="en-CA"/>
              </w:rPr>
              <w:t xml:space="preserve"> of cylinders; development of knowledge products and information materials; and organizing public awareness programme with the energy office.</w:t>
            </w:r>
          </w:p>
        </w:tc>
        <w:tc>
          <w:tcPr>
            <w:tcW w:w="1629" w:type="dxa"/>
            <w:shd w:val="clear" w:color="auto" w:fill="auto"/>
            <w:tcMar>
              <w:left w:w="58" w:type="dxa"/>
              <w:right w:w="58" w:type="dxa"/>
            </w:tcMar>
          </w:tcPr>
          <w:p w14:paraId="4E0395B9"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620ABC5" w14:textId="77777777" w:rsidTr="00876646">
        <w:trPr>
          <w:trHeight w:val="337"/>
        </w:trPr>
        <w:tc>
          <w:tcPr>
            <w:tcW w:w="2261" w:type="dxa"/>
            <w:tcMar>
              <w:left w:w="58" w:type="dxa"/>
              <w:right w:w="58" w:type="dxa"/>
            </w:tcMar>
          </w:tcPr>
          <w:p w14:paraId="0F1BA5C9" w14:textId="77777777" w:rsidR="00BF17C8" w:rsidRPr="00756D59" w:rsidRDefault="00BF17C8" w:rsidP="00876646">
            <w:pPr>
              <w:jc w:val="left"/>
              <w:rPr>
                <w:sz w:val="20"/>
                <w:szCs w:val="20"/>
                <w:lang w:val="es-419" w:eastAsia="en-CA"/>
              </w:rPr>
            </w:pPr>
            <w:r w:rsidRPr="00756D59">
              <w:rPr>
                <w:bCs/>
                <w:sz w:val="20"/>
                <w:szCs w:val="20"/>
                <w:lang w:val="es-419" w:eastAsia="en-CA"/>
              </w:rPr>
              <w:t>Cabo Verde</w:t>
            </w:r>
            <w:r w:rsidRPr="00756D59">
              <w:rPr>
                <w:sz w:val="20"/>
                <w:szCs w:val="20"/>
                <w:lang w:val="es-419" w:eastAsia="en-CA"/>
              </w:rPr>
              <w:t xml:space="preserve"> </w:t>
            </w:r>
          </w:p>
          <w:p w14:paraId="32B3C78B" w14:textId="77777777" w:rsidR="00BF17C8" w:rsidRPr="00756D59" w:rsidRDefault="00BF17C8" w:rsidP="00876646">
            <w:pPr>
              <w:jc w:val="left"/>
              <w:rPr>
                <w:bCs/>
                <w:sz w:val="20"/>
                <w:szCs w:val="20"/>
                <w:lang w:val="es-419" w:eastAsia="en-CA"/>
              </w:rPr>
            </w:pPr>
            <w:r w:rsidRPr="00756D59">
              <w:rPr>
                <w:sz w:val="20"/>
                <w:szCs w:val="20"/>
                <w:lang w:val="es-419" w:eastAsia="en-CA"/>
              </w:rPr>
              <w:t>CBI/SEV/82/TAS/01+</w:t>
            </w:r>
          </w:p>
        </w:tc>
        <w:tc>
          <w:tcPr>
            <w:tcW w:w="3352" w:type="dxa"/>
            <w:tcMar>
              <w:left w:w="58" w:type="dxa"/>
              <w:right w:w="58" w:type="dxa"/>
            </w:tcMar>
          </w:tcPr>
          <w:p w14:paraId="35FAE9D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5E924AE"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0C313009" w14:textId="77777777" w:rsidR="00BF17C8" w:rsidRPr="00756D59" w:rsidRDefault="00BF17C8" w:rsidP="00876646">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560C7075" w14:textId="77777777" w:rsidR="00BF17C8" w:rsidRPr="00756D59" w:rsidRDefault="00BF17C8" w:rsidP="00876646">
            <w:pPr>
              <w:jc w:val="left"/>
              <w:rPr>
                <w:sz w:val="20"/>
                <w:szCs w:val="20"/>
                <w:lang w:eastAsia="en-CA"/>
              </w:rPr>
            </w:pPr>
            <w:r w:rsidRPr="00756D59">
              <w:rPr>
                <w:sz w:val="20"/>
                <w:szCs w:val="20"/>
                <w:lang w:eastAsia="en-CA"/>
              </w:rPr>
              <w:t>Development of country-specific HS codes for HFCs; sensitization meetings for technicians on safe handling of HFCs and their alternatives; and assisting Customs Office in developing national custom codes for different HFCs and including them into the Customs Tariff for proper monitoring and recording of imports/exports or re-export of individual HFCs.</w:t>
            </w:r>
          </w:p>
        </w:tc>
        <w:tc>
          <w:tcPr>
            <w:tcW w:w="1629" w:type="dxa"/>
            <w:shd w:val="clear" w:color="auto" w:fill="auto"/>
            <w:tcMar>
              <w:left w:w="58" w:type="dxa"/>
              <w:right w:w="58" w:type="dxa"/>
            </w:tcMar>
          </w:tcPr>
          <w:p w14:paraId="36431245" w14:textId="77777777" w:rsidR="00BF17C8" w:rsidRPr="00756D59" w:rsidRDefault="00BF17C8" w:rsidP="00876646">
            <w:pPr>
              <w:jc w:val="center"/>
              <w:rPr>
                <w:bCs/>
                <w:sz w:val="20"/>
                <w:szCs w:val="20"/>
                <w:lang w:eastAsia="en-CA"/>
              </w:rPr>
            </w:pPr>
            <w:r w:rsidRPr="00756D59">
              <w:rPr>
                <w:bCs/>
                <w:sz w:val="20"/>
                <w:szCs w:val="20"/>
                <w:lang w:eastAsia="en-CA"/>
              </w:rPr>
              <w:t>Dec-22</w:t>
            </w:r>
          </w:p>
        </w:tc>
      </w:tr>
      <w:tr w:rsidR="00BF17C8" w:rsidRPr="00756D59" w14:paraId="48150026" w14:textId="77777777" w:rsidTr="00876646">
        <w:trPr>
          <w:trHeight w:val="337"/>
        </w:trPr>
        <w:tc>
          <w:tcPr>
            <w:tcW w:w="2261" w:type="dxa"/>
            <w:tcMar>
              <w:left w:w="58" w:type="dxa"/>
              <w:right w:w="58" w:type="dxa"/>
            </w:tcMar>
          </w:tcPr>
          <w:p w14:paraId="6E6A8213" w14:textId="77777777" w:rsidR="00BF17C8" w:rsidRPr="00756D59" w:rsidRDefault="00BF17C8" w:rsidP="00876646">
            <w:pPr>
              <w:jc w:val="left"/>
              <w:rPr>
                <w:sz w:val="20"/>
                <w:szCs w:val="20"/>
                <w:lang w:eastAsia="en-CA"/>
              </w:rPr>
            </w:pPr>
            <w:r w:rsidRPr="00756D59">
              <w:rPr>
                <w:bCs/>
                <w:sz w:val="20"/>
                <w:szCs w:val="20"/>
                <w:lang w:eastAsia="en-CA"/>
              </w:rPr>
              <w:t>Chad</w:t>
            </w:r>
            <w:r w:rsidRPr="00756D59">
              <w:rPr>
                <w:sz w:val="20"/>
                <w:szCs w:val="20"/>
                <w:lang w:eastAsia="en-CA"/>
              </w:rPr>
              <w:t xml:space="preserve"> </w:t>
            </w:r>
          </w:p>
          <w:p w14:paraId="070D071F" w14:textId="77777777" w:rsidR="00BF17C8" w:rsidRPr="00756D59" w:rsidRDefault="00BF17C8" w:rsidP="00876646">
            <w:pPr>
              <w:jc w:val="left"/>
              <w:rPr>
                <w:bCs/>
                <w:sz w:val="20"/>
                <w:szCs w:val="20"/>
                <w:lang w:eastAsia="en-CA"/>
              </w:rPr>
            </w:pPr>
            <w:r w:rsidRPr="00756D59">
              <w:rPr>
                <w:sz w:val="20"/>
                <w:szCs w:val="20"/>
                <w:lang w:eastAsia="en-CA"/>
              </w:rPr>
              <w:t>CHD/SEV/81/TAS/01+</w:t>
            </w:r>
          </w:p>
        </w:tc>
        <w:tc>
          <w:tcPr>
            <w:tcW w:w="3352" w:type="dxa"/>
            <w:tcMar>
              <w:left w:w="58" w:type="dxa"/>
              <w:right w:w="58" w:type="dxa"/>
            </w:tcMar>
          </w:tcPr>
          <w:p w14:paraId="19D6D94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2592D70"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230FC94" w14:textId="77777777" w:rsidR="00BF17C8" w:rsidRPr="00756D59" w:rsidRDefault="00BF17C8" w:rsidP="00876646">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7C5679E7" w14:textId="77777777" w:rsidR="00BF17C8" w:rsidRPr="00756D59" w:rsidRDefault="00BF17C8" w:rsidP="00876646">
            <w:pPr>
              <w:jc w:val="left"/>
              <w:rPr>
                <w:sz w:val="20"/>
                <w:szCs w:val="20"/>
                <w:lang w:eastAsia="en-CA"/>
              </w:rPr>
            </w:pPr>
            <w:r w:rsidRPr="00756D59">
              <w:rPr>
                <w:sz w:val="20"/>
                <w:szCs w:val="20"/>
                <w:lang w:eastAsia="en-CA"/>
              </w:rPr>
              <w:t>Supporting Customs Department to develop country-specific national HS codes for HFCs for proper monitoring and recording of imports/exports of individual HFCs/alternatives; and hiring national and international consultants for conducting training needs assessment.</w:t>
            </w:r>
          </w:p>
        </w:tc>
        <w:tc>
          <w:tcPr>
            <w:tcW w:w="1629" w:type="dxa"/>
            <w:shd w:val="clear" w:color="auto" w:fill="auto"/>
            <w:tcMar>
              <w:left w:w="58" w:type="dxa"/>
              <w:right w:w="58" w:type="dxa"/>
            </w:tcMar>
          </w:tcPr>
          <w:p w14:paraId="1C8F7F57"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6A676EE2" w14:textId="77777777" w:rsidTr="00876646">
        <w:trPr>
          <w:trHeight w:val="337"/>
        </w:trPr>
        <w:tc>
          <w:tcPr>
            <w:tcW w:w="2261" w:type="dxa"/>
            <w:tcMar>
              <w:left w:w="58" w:type="dxa"/>
              <w:right w:w="58" w:type="dxa"/>
            </w:tcMar>
          </w:tcPr>
          <w:p w14:paraId="68B39FF2" w14:textId="77777777" w:rsidR="00BF17C8" w:rsidRPr="00756D59" w:rsidRDefault="00BF17C8" w:rsidP="00876646">
            <w:pPr>
              <w:jc w:val="left"/>
              <w:rPr>
                <w:sz w:val="20"/>
                <w:szCs w:val="20"/>
                <w:lang w:eastAsia="en-CA"/>
              </w:rPr>
            </w:pPr>
            <w:r w:rsidRPr="00756D59">
              <w:rPr>
                <w:bCs/>
                <w:sz w:val="20"/>
                <w:szCs w:val="20"/>
                <w:lang w:eastAsia="en-CA"/>
              </w:rPr>
              <w:lastRenderedPageBreak/>
              <w:t>Chile</w:t>
            </w:r>
            <w:r w:rsidRPr="00756D59">
              <w:rPr>
                <w:sz w:val="20"/>
                <w:szCs w:val="20"/>
                <w:lang w:eastAsia="en-CA"/>
              </w:rPr>
              <w:t xml:space="preserve"> </w:t>
            </w:r>
          </w:p>
          <w:p w14:paraId="4E0C0791" w14:textId="77777777" w:rsidR="00BF17C8" w:rsidRPr="00756D59" w:rsidRDefault="00BF17C8" w:rsidP="00876646">
            <w:pPr>
              <w:jc w:val="left"/>
              <w:rPr>
                <w:bCs/>
                <w:sz w:val="20"/>
                <w:szCs w:val="20"/>
                <w:lang w:eastAsia="en-CA"/>
              </w:rPr>
            </w:pPr>
            <w:r w:rsidRPr="00756D59">
              <w:rPr>
                <w:sz w:val="20"/>
                <w:szCs w:val="20"/>
                <w:lang w:eastAsia="en-CA"/>
              </w:rPr>
              <w:t>CHI/SEV/80/TAS/01+</w:t>
            </w:r>
          </w:p>
        </w:tc>
        <w:tc>
          <w:tcPr>
            <w:tcW w:w="3352" w:type="dxa"/>
            <w:tcMar>
              <w:left w:w="58" w:type="dxa"/>
              <w:right w:w="58" w:type="dxa"/>
            </w:tcMar>
          </w:tcPr>
          <w:p w14:paraId="3E8B1ACB"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98FC4C5"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1B7CB068" w14:textId="77777777" w:rsidR="00BF17C8" w:rsidRPr="00756D59" w:rsidRDefault="00BF17C8" w:rsidP="00876646">
            <w:pPr>
              <w:jc w:val="center"/>
              <w:rPr>
                <w:bCs/>
                <w:sz w:val="20"/>
                <w:szCs w:val="20"/>
                <w:lang w:eastAsia="en-CA"/>
              </w:rPr>
            </w:pPr>
            <w:r w:rsidRPr="00756D59">
              <w:rPr>
                <w:bCs/>
                <w:sz w:val="20"/>
                <w:szCs w:val="20"/>
                <w:lang w:eastAsia="en-CA"/>
              </w:rPr>
              <w:t>52.1</w:t>
            </w:r>
          </w:p>
        </w:tc>
        <w:tc>
          <w:tcPr>
            <w:tcW w:w="4531" w:type="dxa"/>
            <w:tcMar>
              <w:left w:w="58" w:type="dxa"/>
              <w:right w:w="58" w:type="dxa"/>
            </w:tcMar>
          </w:tcPr>
          <w:p w14:paraId="19883C8E" w14:textId="77777777" w:rsidR="00BF17C8" w:rsidRPr="00756D59" w:rsidRDefault="00BF17C8" w:rsidP="00876646">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1A87E4F6"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0DDFB92F" w14:textId="77777777" w:rsidTr="00876646">
        <w:trPr>
          <w:trHeight w:val="337"/>
        </w:trPr>
        <w:tc>
          <w:tcPr>
            <w:tcW w:w="2261" w:type="dxa"/>
            <w:tcMar>
              <w:left w:w="58" w:type="dxa"/>
              <w:right w:w="58" w:type="dxa"/>
            </w:tcMar>
          </w:tcPr>
          <w:p w14:paraId="1D15B2D0" w14:textId="77777777" w:rsidR="00BF17C8" w:rsidRPr="00756D59" w:rsidRDefault="00BF17C8" w:rsidP="00876646">
            <w:pPr>
              <w:jc w:val="left"/>
              <w:rPr>
                <w:sz w:val="20"/>
                <w:szCs w:val="20"/>
                <w:lang w:eastAsia="en-CA"/>
              </w:rPr>
            </w:pPr>
            <w:r w:rsidRPr="00756D59">
              <w:rPr>
                <w:bCs/>
                <w:sz w:val="20"/>
                <w:szCs w:val="20"/>
                <w:lang w:eastAsia="en-CA"/>
              </w:rPr>
              <w:t>Comoros</w:t>
            </w:r>
            <w:r w:rsidRPr="00756D59">
              <w:rPr>
                <w:sz w:val="20"/>
                <w:szCs w:val="20"/>
                <w:lang w:eastAsia="en-CA"/>
              </w:rPr>
              <w:t xml:space="preserve"> (the)</w:t>
            </w:r>
          </w:p>
          <w:p w14:paraId="64799FD1" w14:textId="77777777" w:rsidR="00BF17C8" w:rsidRPr="00756D59" w:rsidRDefault="00BF17C8" w:rsidP="00876646">
            <w:pPr>
              <w:jc w:val="left"/>
              <w:rPr>
                <w:bCs/>
                <w:sz w:val="20"/>
                <w:szCs w:val="20"/>
                <w:lang w:eastAsia="en-CA"/>
              </w:rPr>
            </w:pPr>
            <w:r w:rsidRPr="00756D59">
              <w:rPr>
                <w:sz w:val="20"/>
                <w:szCs w:val="20"/>
                <w:lang w:eastAsia="en-CA"/>
              </w:rPr>
              <w:t>COI/SEV/81/TAS/01+</w:t>
            </w:r>
          </w:p>
        </w:tc>
        <w:tc>
          <w:tcPr>
            <w:tcW w:w="3352" w:type="dxa"/>
            <w:tcMar>
              <w:left w:w="58" w:type="dxa"/>
              <w:right w:w="58" w:type="dxa"/>
            </w:tcMar>
          </w:tcPr>
          <w:p w14:paraId="28F4EEF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781467C"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579F670" w14:textId="77777777" w:rsidR="00BF17C8" w:rsidRPr="00756D59" w:rsidRDefault="00BF17C8" w:rsidP="00876646">
            <w:pPr>
              <w:jc w:val="center"/>
              <w:rPr>
                <w:bCs/>
                <w:sz w:val="20"/>
                <w:szCs w:val="20"/>
                <w:lang w:eastAsia="en-CA"/>
              </w:rPr>
            </w:pPr>
            <w:r w:rsidRPr="00756D59">
              <w:rPr>
                <w:bCs/>
                <w:sz w:val="20"/>
                <w:szCs w:val="20"/>
                <w:lang w:eastAsia="en-CA"/>
              </w:rPr>
              <w:t>79.6</w:t>
            </w:r>
          </w:p>
        </w:tc>
        <w:tc>
          <w:tcPr>
            <w:tcW w:w="4531" w:type="dxa"/>
            <w:tcMar>
              <w:left w:w="58" w:type="dxa"/>
              <w:right w:w="58" w:type="dxa"/>
            </w:tcMar>
          </w:tcPr>
          <w:p w14:paraId="02EFF60A" w14:textId="77777777" w:rsidR="00BF17C8" w:rsidRPr="00756D59" w:rsidRDefault="00BF17C8" w:rsidP="00876646">
            <w:pPr>
              <w:jc w:val="left"/>
              <w:rPr>
                <w:sz w:val="20"/>
                <w:szCs w:val="20"/>
                <w:lang w:eastAsia="en-CA"/>
              </w:rPr>
            </w:pPr>
            <w:r w:rsidRPr="00756D59">
              <w:rPr>
                <w:sz w:val="20"/>
                <w:szCs w:val="20"/>
                <w:lang w:eastAsia="en-CA"/>
              </w:rPr>
              <w:t>Conduct sensitization meetings for technicians on safe handling of HFCs/alternatives; hiring international consultant for training need assessment; and assisting the Customs Department for developing country-specific HS codes for HFCs to facilitate proper monitoring and recording of imports/exports of individual HFCs/alternatives.</w:t>
            </w:r>
          </w:p>
        </w:tc>
        <w:tc>
          <w:tcPr>
            <w:tcW w:w="1629" w:type="dxa"/>
            <w:shd w:val="clear" w:color="auto" w:fill="auto"/>
            <w:tcMar>
              <w:left w:w="58" w:type="dxa"/>
              <w:right w:w="58" w:type="dxa"/>
            </w:tcMar>
          </w:tcPr>
          <w:p w14:paraId="4ABE9ED2"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D1710FB" w14:textId="77777777" w:rsidTr="00876646">
        <w:trPr>
          <w:trHeight w:val="337"/>
        </w:trPr>
        <w:tc>
          <w:tcPr>
            <w:tcW w:w="2261" w:type="dxa"/>
            <w:tcMar>
              <w:left w:w="58" w:type="dxa"/>
              <w:right w:w="58" w:type="dxa"/>
            </w:tcMar>
          </w:tcPr>
          <w:p w14:paraId="5ACFF0DA" w14:textId="77777777" w:rsidR="00BF17C8" w:rsidRPr="00756D59" w:rsidRDefault="00BF17C8" w:rsidP="00876646">
            <w:pPr>
              <w:jc w:val="left"/>
              <w:rPr>
                <w:sz w:val="20"/>
                <w:szCs w:val="20"/>
                <w:lang w:eastAsia="en-CA"/>
              </w:rPr>
            </w:pPr>
            <w:r w:rsidRPr="00756D59">
              <w:rPr>
                <w:bCs/>
                <w:sz w:val="20"/>
                <w:szCs w:val="20"/>
                <w:lang w:eastAsia="en-CA"/>
              </w:rPr>
              <w:t>Cook Islands</w:t>
            </w:r>
            <w:r w:rsidRPr="00756D59">
              <w:rPr>
                <w:sz w:val="20"/>
                <w:szCs w:val="20"/>
                <w:lang w:eastAsia="en-CA"/>
              </w:rPr>
              <w:t xml:space="preserve"> (the)</w:t>
            </w:r>
          </w:p>
          <w:p w14:paraId="7657BE8C" w14:textId="77777777" w:rsidR="00BF17C8" w:rsidRPr="00756D59" w:rsidRDefault="00BF17C8" w:rsidP="00876646">
            <w:pPr>
              <w:jc w:val="left"/>
              <w:rPr>
                <w:bCs/>
                <w:sz w:val="20"/>
                <w:szCs w:val="20"/>
                <w:lang w:eastAsia="en-CA"/>
              </w:rPr>
            </w:pPr>
            <w:r w:rsidRPr="00756D59">
              <w:rPr>
                <w:sz w:val="20"/>
                <w:szCs w:val="20"/>
                <w:lang w:eastAsia="en-CA"/>
              </w:rPr>
              <w:t>CKI/SEV/82/TAS/01+</w:t>
            </w:r>
          </w:p>
        </w:tc>
        <w:tc>
          <w:tcPr>
            <w:tcW w:w="3352" w:type="dxa"/>
            <w:tcMar>
              <w:left w:w="58" w:type="dxa"/>
              <w:right w:w="58" w:type="dxa"/>
            </w:tcMar>
          </w:tcPr>
          <w:p w14:paraId="1F35FB8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4FEDE20"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09C7665" w14:textId="77777777" w:rsidR="00BF17C8" w:rsidRPr="00756D59" w:rsidRDefault="00BF17C8" w:rsidP="00876646">
            <w:pPr>
              <w:jc w:val="center"/>
              <w:rPr>
                <w:bCs/>
                <w:sz w:val="20"/>
                <w:szCs w:val="20"/>
                <w:lang w:eastAsia="en-CA"/>
              </w:rPr>
            </w:pPr>
            <w:r w:rsidRPr="00756D59">
              <w:rPr>
                <w:bCs/>
                <w:sz w:val="20"/>
                <w:szCs w:val="20"/>
                <w:lang w:eastAsia="en-CA"/>
              </w:rPr>
              <w:t>47.4</w:t>
            </w:r>
          </w:p>
        </w:tc>
        <w:tc>
          <w:tcPr>
            <w:tcW w:w="4531" w:type="dxa"/>
            <w:tcMar>
              <w:left w:w="58" w:type="dxa"/>
              <w:right w:w="58" w:type="dxa"/>
            </w:tcMar>
          </w:tcPr>
          <w:p w14:paraId="3D76FBCD"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trainings for servicing sector; finalization of the amendment to the ozone layer protection regulation for strengthening HFC controls; and development of knowledge products and information materials on Kigali Amendment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18A6ABBC"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041D0731" w14:textId="77777777" w:rsidTr="00876646">
        <w:trPr>
          <w:trHeight w:val="337"/>
        </w:trPr>
        <w:tc>
          <w:tcPr>
            <w:tcW w:w="2261" w:type="dxa"/>
            <w:tcMar>
              <w:left w:w="58" w:type="dxa"/>
              <w:right w:w="58" w:type="dxa"/>
            </w:tcMar>
          </w:tcPr>
          <w:p w14:paraId="08F3442E" w14:textId="77777777" w:rsidR="00BF17C8" w:rsidRPr="00756D59" w:rsidRDefault="00BF17C8" w:rsidP="00876646">
            <w:pPr>
              <w:jc w:val="left"/>
              <w:rPr>
                <w:sz w:val="20"/>
                <w:szCs w:val="20"/>
                <w:lang w:val="fr-FR" w:eastAsia="en-CA"/>
              </w:rPr>
            </w:pPr>
            <w:r w:rsidRPr="00756D59">
              <w:rPr>
                <w:bCs/>
                <w:sz w:val="20"/>
                <w:szCs w:val="20"/>
                <w:lang w:val="fr-FR" w:eastAsia="en-CA"/>
              </w:rPr>
              <w:t>Cote d’Ivoire</w:t>
            </w:r>
            <w:r w:rsidRPr="00756D59">
              <w:rPr>
                <w:sz w:val="20"/>
                <w:szCs w:val="20"/>
                <w:lang w:val="fr-FR" w:eastAsia="en-CA"/>
              </w:rPr>
              <w:t xml:space="preserve"> </w:t>
            </w:r>
          </w:p>
          <w:p w14:paraId="778B47C3" w14:textId="77777777" w:rsidR="00BF17C8" w:rsidRPr="00756D59" w:rsidRDefault="00BF17C8" w:rsidP="00876646">
            <w:pPr>
              <w:jc w:val="left"/>
              <w:rPr>
                <w:bCs/>
                <w:sz w:val="20"/>
                <w:szCs w:val="20"/>
                <w:lang w:val="fr-FR" w:eastAsia="en-CA"/>
              </w:rPr>
            </w:pPr>
            <w:r w:rsidRPr="00756D59">
              <w:rPr>
                <w:sz w:val="20"/>
                <w:szCs w:val="20"/>
                <w:lang w:val="fr-FR" w:eastAsia="en-CA"/>
              </w:rPr>
              <w:t>IVC/SEV/81/TAS/01+</w:t>
            </w:r>
          </w:p>
        </w:tc>
        <w:tc>
          <w:tcPr>
            <w:tcW w:w="3352" w:type="dxa"/>
            <w:tcMar>
              <w:left w:w="58" w:type="dxa"/>
              <w:right w:w="58" w:type="dxa"/>
            </w:tcMar>
          </w:tcPr>
          <w:p w14:paraId="354D06B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7086716"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8679C72" w14:textId="77777777" w:rsidR="00BF17C8" w:rsidRPr="00756D59" w:rsidRDefault="00BF17C8" w:rsidP="00876646">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49E99901" w14:textId="77777777" w:rsidR="00BF17C8" w:rsidRPr="00756D59" w:rsidRDefault="00BF17C8" w:rsidP="00876646">
            <w:pPr>
              <w:jc w:val="left"/>
              <w:rPr>
                <w:sz w:val="20"/>
                <w:szCs w:val="20"/>
                <w:lang w:eastAsia="en-CA"/>
              </w:rPr>
            </w:pPr>
            <w:r w:rsidRPr="00756D59">
              <w:rPr>
                <w:sz w:val="20"/>
                <w:szCs w:val="20"/>
                <w:lang w:eastAsia="en-CA"/>
              </w:rPr>
              <w:t>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 and hiring international consultant for training needs assessment.</w:t>
            </w:r>
          </w:p>
        </w:tc>
        <w:tc>
          <w:tcPr>
            <w:tcW w:w="1629" w:type="dxa"/>
            <w:shd w:val="clear" w:color="auto" w:fill="auto"/>
            <w:tcMar>
              <w:left w:w="58" w:type="dxa"/>
              <w:right w:w="58" w:type="dxa"/>
            </w:tcMar>
          </w:tcPr>
          <w:p w14:paraId="219FA22B"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79663D50" w14:textId="77777777" w:rsidTr="00876646">
        <w:trPr>
          <w:trHeight w:val="337"/>
        </w:trPr>
        <w:tc>
          <w:tcPr>
            <w:tcW w:w="2261" w:type="dxa"/>
            <w:tcMar>
              <w:left w:w="58" w:type="dxa"/>
              <w:right w:w="58" w:type="dxa"/>
            </w:tcMar>
          </w:tcPr>
          <w:p w14:paraId="68A9A5C9" w14:textId="77777777" w:rsidR="00BF17C8" w:rsidRPr="00756D59" w:rsidRDefault="00BF17C8" w:rsidP="00876646">
            <w:pPr>
              <w:jc w:val="left"/>
              <w:rPr>
                <w:sz w:val="20"/>
                <w:szCs w:val="20"/>
                <w:lang w:eastAsia="en-CA"/>
              </w:rPr>
            </w:pPr>
            <w:r w:rsidRPr="00756D59">
              <w:rPr>
                <w:bCs/>
                <w:sz w:val="20"/>
                <w:szCs w:val="20"/>
                <w:lang w:eastAsia="en-CA"/>
              </w:rPr>
              <w:t>Democratic Republic of the Congo (the)</w:t>
            </w:r>
            <w:r w:rsidRPr="00756D59">
              <w:rPr>
                <w:sz w:val="20"/>
                <w:szCs w:val="20"/>
                <w:lang w:eastAsia="en-CA"/>
              </w:rPr>
              <w:t xml:space="preserve"> </w:t>
            </w:r>
          </w:p>
          <w:p w14:paraId="4F49F8B2" w14:textId="77777777" w:rsidR="00BF17C8" w:rsidRPr="00756D59" w:rsidRDefault="00BF17C8" w:rsidP="00876646">
            <w:pPr>
              <w:jc w:val="left"/>
              <w:rPr>
                <w:bCs/>
                <w:sz w:val="20"/>
                <w:szCs w:val="20"/>
                <w:lang w:eastAsia="en-CA"/>
              </w:rPr>
            </w:pPr>
            <w:r w:rsidRPr="00756D59">
              <w:rPr>
                <w:sz w:val="20"/>
                <w:szCs w:val="20"/>
                <w:lang w:eastAsia="en-CA"/>
              </w:rPr>
              <w:t>DRC/SEV/81/TAS/01+</w:t>
            </w:r>
          </w:p>
        </w:tc>
        <w:tc>
          <w:tcPr>
            <w:tcW w:w="3352" w:type="dxa"/>
            <w:tcMar>
              <w:left w:w="58" w:type="dxa"/>
              <w:right w:w="58" w:type="dxa"/>
            </w:tcMar>
          </w:tcPr>
          <w:p w14:paraId="63D694F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A1E7CF6"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EACB50C" w14:textId="77777777" w:rsidR="00BF17C8" w:rsidRPr="00756D59" w:rsidRDefault="00BF17C8" w:rsidP="00876646">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02AA525F" w14:textId="77777777" w:rsidR="00BF17C8" w:rsidRPr="00756D59" w:rsidRDefault="00BF17C8" w:rsidP="00876646">
            <w:pPr>
              <w:jc w:val="left"/>
              <w:rPr>
                <w:sz w:val="20"/>
                <w:szCs w:val="20"/>
                <w:lang w:eastAsia="en-CA"/>
              </w:rPr>
            </w:pPr>
            <w:r w:rsidRPr="00756D59">
              <w:rPr>
                <w:sz w:val="20"/>
                <w:szCs w:val="20"/>
                <w:lang w:eastAsia="en-CA"/>
              </w:rPr>
              <w:t>Drafting the law on ratification of the Kigali Amendment with the justification; analysis of the ozone and climate policy/legislation and drafting the amendments to the existing legislation to allow for ratification of the Kigali Amendment; conducting training needs assessment for the servicing sector and preparing an assessment report; and finalizing the package on the ratification of Kigali Amendment and advancing the ratification process.</w:t>
            </w:r>
          </w:p>
        </w:tc>
        <w:tc>
          <w:tcPr>
            <w:tcW w:w="1629" w:type="dxa"/>
            <w:shd w:val="clear" w:color="auto" w:fill="auto"/>
            <w:tcMar>
              <w:left w:w="58" w:type="dxa"/>
              <w:right w:w="58" w:type="dxa"/>
            </w:tcMar>
          </w:tcPr>
          <w:p w14:paraId="5B26C527"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CE37F98" w14:textId="77777777" w:rsidTr="00876646">
        <w:trPr>
          <w:trHeight w:val="337"/>
        </w:trPr>
        <w:tc>
          <w:tcPr>
            <w:tcW w:w="2261" w:type="dxa"/>
            <w:tcMar>
              <w:left w:w="58" w:type="dxa"/>
              <w:right w:w="58" w:type="dxa"/>
            </w:tcMar>
          </w:tcPr>
          <w:p w14:paraId="624B163A" w14:textId="77777777" w:rsidR="00BF17C8" w:rsidRPr="00756D59" w:rsidRDefault="00BF17C8" w:rsidP="00876646">
            <w:pPr>
              <w:jc w:val="left"/>
              <w:rPr>
                <w:sz w:val="20"/>
                <w:szCs w:val="20"/>
                <w:lang w:eastAsia="en-CA"/>
              </w:rPr>
            </w:pPr>
            <w:r w:rsidRPr="00756D59">
              <w:rPr>
                <w:bCs/>
                <w:sz w:val="20"/>
                <w:szCs w:val="20"/>
                <w:lang w:eastAsia="en-CA"/>
              </w:rPr>
              <w:t>Djibouti</w:t>
            </w:r>
            <w:r w:rsidRPr="00756D59">
              <w:rPr>
                <w:sz w:val="20"/>
                <w:szCs w:val="20"/>
                <w:lang w:eastAsia="en-CA"/>
              </w:rPr>
              <w:t xml:space="preserve"> </w:t>
            </w:r>
          </w:p>
          <w:p w14:paraId="75A0AC1F" w14:textId="77777777" w:rsidR="00BF17C8" w:rsidRPr="00756D59" w:rsidRDefault="00BF17C8" w:rsidP="00876646">
            <w:pPr>
              <w:jc w:val="left"/>
              <w:rPr>
                <w:bCs/>
                <w:sz w:val="20"/>
                <w:szCs w:val="20"/>
                <w:lang w:eastAsia="en-CA"/>
              </w:rPr>
            </w:pPr>
            <w:r w:rsidRPr="00756D59">
              <w:rPr>
                <w:sz w:val="20"/>
                <w:szCs w:val="20"/>
                <w:lang w:eastAsia="en-CA"/>
              </w:rPr>
              <w:t>DJI/SEV/81/TAS/01+</w:t>
            </w:r>
          </w:p>
        </w:tc>
        <w:tc>
          <w:tcPr>
            <w:tcW w:w="3352" w:type="dxa"/>
            <w:tcMar>
              <w:left w:w="58" w:type="dxa"/>
              <w:right w:w="58" w:type="dxa"/>
            </w:tcMar>
          </w:tcPr>
          <w:p w14:paraId="2FF82789"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E11796D"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F6C2F73" w14:textId="77777777" w:rsidR="00BF17C8" w:rsidRPr="00756D59" w:rsidRDefault="00BF17C8" w:rsidP="00876646">
            <w:pPr>
              <w:jc w:val="center"/>
              <w:rPr>
                <w:bCs/>
                <w:sz w:val="20"/>
                <w:szCs w:val="20"/>
                <w:lang w:eastAsia="en-CA"/>
              </w:rPr>
            </w:pPr>
            <w:r w:rsidRPr="00756D59">
              <w:rPr>
                <w:bCs/>
                <w:sz w:val="20"/>
                <w:szCs w:val="20"/>
                <w:lang w:eastAsia="en-CA"/>
              </w:rPr>
              <w:t>40</w:t>
            </w:r>
          </w:p>
        </w:tc>
        <w:tc>
          <w:tcPr>
            <w:tcW w:w="4531" w:type="dxa"/>
            <w:tcMar>
              <w:left w:w="58" w:type="dxa"/>
              <w:right w:w="58" w:type="dxa"/>
            </w:tcMar>
          </w:tcPr>
          <w:p w14:paraId="54653B59" w14:textId="77777777" w:rsidR="00BF17C8" w:rsidRPr="00756D59" w:rsidRDefault="00BF17C8" w:rsidP="00876646">
            <w:pPr>
              <w:jc w:val="left"/>
              <w:rPr>
                <w:sz w:val="20"/>
                <w:szCs w:val="20"/>
                <w:lang w:eastAsia="en-CA"/>
              </w:rPr>
            </w:pPr>
            <w:r w:rsidRPr="00756D59">
              <w:rPr>
                <w:sz w:val="20"/>
                <w:szCs w:val="20"/>
                <w:lang w:eastAsia="en-CA"/>
              </w:rPr>
              <w:t>Finalizing the package on the ratification of the Kigali Amendment and advancing the ratification process; undertaking the training needs assessment for the servicing sector and preparing an assessment report; and conducting sensitization meetings for technicians on safe handling of HFCs and their alternatives.</w:t>
            </w:r>
          </w:p>
        </w:tc>
        <w:tc>
          <w:tcPr>
            <w:tcW w:w="1629" w:type="dxa"/>
            <w:shd w:val="clear" w:color="auto" w:fill="auto"/>
            <w:tcMar>
              <w:left w:w="58" w:type="dxa"/>
              <w:right w:w="58" w:type="dxa"/>
            </w:tcMar>
          </w:tcPr>
          <w:p w14:paraId="4AA2A6BD"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7A3D92D" w14:textId="77777777" w:rsidTr="00876646">
        <w:trPr>
          <w:trHeight w:val="337"/>
        </w:trPr>
        <w:tc>
          <w:tcPr>
            <w:tcW w:w="2261" w:type="dxa"/>
            <w:tcMar>
              <w:left w:w="58" w:type="dxa"/>
              <w:right w:w="58" w:type="dxa"/>
            </w:tcMar>
          </w:tcPr>
          <w:p w14:paraId="1EA2C961" w14:textId="77777777" w:rsidR="00BF17C8" w:rsidRPr="00756D59" w:rsidRDefault="00BF17C8" w:rsidP="00876646">
            <w:pPr>
              <w:jc w:val="left"/>
              <w:rPr>
                <w:sz w:val="20"/>
                <w:szCs w:val="20"/>
                <w:lang w:eastAsia="en-CA"/>
              </w:rPr>
            </w:pPr>
            <w:r w:rsidRPr="00756D59">
              <w:rPr>
                <w:bCs/>
                <w:sz w:val="20"/>
                <w:szCs w:val="20"/>
                <w:lang w:eastAsia="en-CA"/>
              </w:rPr>
              <w:lastRenderedPageBreak/>
              <w:t>Dominica</w:t>
            </w:r>
            <w:r w:rsidRPr="00756D59">
              <w:rPr>
                <w:sz w:val="20"/>
                <w:szCs w:val="20"/>
                <w:lang w:eastAsia="en-CA"/>
              </w:rPr>
              <w:t xml:space="preserve"> </w:t>
            </w:r>
          </w:p>
          <w:p w14:paraId="66145BF0" w14:textId="77777777" w:rsidR="00BF17C8" w:rsidRPr="00756D59" w:rsidRDefault="00BF17C8" w:rsidP="00876646">
            <w:pPr>
              <w:jc w:val="left"/>
              <w:rPr>
                <w:bCs/>
                <w:sz w:val="20"/>
                <w:szCs w:val="20"/>
                <w:lang w:eastAsia="en-CA"/>
              </w:rPr>
            </w:pPr>
            <w:r w:rsidRPr="00756D59">
              <w:rPr>
                <w:sz w:val="20"/>
                <w:szCs w:val="20"/>
                <w:lang w:eastAsia="en-CA"/>
              </w:rPr>
              <w:t>DMI/SEV/80/TAS/01+</w:t>
            </w:r>
          </w:p>
        </w:tc>
        <w:tc>
          <w:tcPr>
            <w:tcW w:w="3352" w:type="dxa"/>
            <w:tcMar>
              <w:left w:w="58" w:type="dxa"/>
              <w:right w:w="58" w:type="dxa"/>
            </w:tcMar>
          </w:tcPr>
          <w:p w14:paraId="3617EDE4"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F0E064A"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8142324"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6795093F" w14:textId="77777777" w:rsidR="00BF17C8" w:rsidRPr="00756D59" w:rsidRDefault="00BF17C8" w:rsidP="00876646">
            <w:pPr>
              <w:jc w:val="left"/>
              <w:rPr>
                <w:sz w:val="20"/>
                <w:szCs w:val="20"/>
                <w:lang w:eastAsia="en-CA"/>
              </w:rPr>
            </w:pPr>
            <w:r w:rsidRPr="00756D59">
              <w:rPr>
                <w:sz w:val="20"/>
                <w:szCs w:val="20"/>
                <w:lang w:eastAsia="en-CA"/>
              </w:rPr>
              <w:t>Analysis of ozone and climate legislation to support the Kigali Amendment; policy paper on Kigali Amendment ratification; stakeholder consultations meetings and awareness raising on HFC phase-down and energy efficiency; training needs assessment for the RAC service sector; mapping of HFCs available on the local market; technical assistance on HFC data collection; RAC technology trends projection; symposium on Kigali Amendment ratification impacts, seminar on the transition to low-GWP alternatives; training for technicians on management of alternatives; consultations on the revision/review of the ODS licensing and quota systems; developing country-specific HS codes for HFCs; and knowledge, attitude, and practices study of the RAC service sector, national strategy on staged approach to introducing low</w:t>
            </w:r>
            <w:r w:rsidRPr="00756D59">
              <w:rPr>
                <w:sz w:val="20"/>
                <w:szCs w:val="20"/>
                <w:lang w:eastAsia="en-CA"/>
              </w:rPr>
              <w:noBreakHyphen/>
              <w:t>GWP and energy efficient alternatives and support the RAC service sector in adopting new alternatives.</w:t>
            </w:r>
          </w:p>
        </w:tc>
        <w:tc>
          <w:tcPr>
            <w:tcW w:w="1629" w:type="dxa"/>
            <w:shd w:val="clear" w:color="auto" w:fill="auto"/>
            <w:tcMar>
              <w:left w:w="58" w:type="dxa"/>
              <w:right w:w="58" w:type="dxa"/>
            </w:tcMar>
          </w:tcPr>
          <w:p w14:paraId="5B90A8AD"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3BE3D03" w14:textId="77777777" w:rsidTr="00876646">
        <w:trPr>
          <w:trHeight w:val="337"/>
        </w:trPr>
        <w:tc>
          <w:tcPr>
            <w:tcW w:w="2261" w:type="dxa"/>
            <w:tcMar>
              <w:left w:w="58" w:type="dxa"/>
              <w:right w:w="58" w:type="dxa"/>
            </w:tcMar>
          </w:tcPr>
          <w:p w14:paraId="43CF7581" w14:textId="77777777" w:rsidR="00BF17C8" w:rsidRPr="00756D59" w:rsidRDefault="00BF17C8" w:rsidP="00876646">
            <w:pPr>
              <w:jc w:val="left"/>
              <w:rPr>
                <w:sz w:val="20"/>
                <w:szCs w:val="20"/>
                <w:lang w:eastAsia="en-CA"/>
              </w:rPr>
            </w:pPr>
            <w:r w:rsidRPr="00756D59">
              <w:rPr>
                <w:bCs/>
                <w:sz w:val="20"/>
                <w:szCs w:val="20"/>
                <w:lang w:eastAsia="en-CA"/>
              </w:rPr>
              <w:t>Dominican Republic</w:t>
            </w:r>
            <w:r w:rsidRPr="00756D59">
              <w:rPr>
                <w:sz w:val="20"/>
                <w:szCs w:val="20"/>
                <w:lang w:eastAsia="en-CA"/>
              </w:rPr>
              <w:t xml:space="preserve"> (the)</w:t>
            </w:r>
          </w:p>
          <w:p w14:paraId="08DBADC2" w14:textId="77777777" w:rsidR="00BF17C8" w:rsidRPr="00756D59" w:rsidRDefault="00BF17C8" w:rsidP="00876646">
            <w:pPr>
              <w:jc w:val="left"/>
              <w:rPr>
                <w:bCs/>
                <w:sz w:val="20"/>
                <w:szCs w:val="20"/>
                <w:lang w:eastAsia="en-CA"/>
              </w:rPr>
            </w:pPr>
            <w:r w:rsidRPr="00756D59">
              <w:rPr>
                <w:sz w:val="20"/>
                <w:szCs w:val="20"/>
                <w:lang w:eastAsia="en-CA"/>
              </w:rPr>
              <w:t>DOM/SEV/80/TAS/02+</w:t>
            </w:r>
          </w:p>
        </w:tc>
        <w:tc>
          <w:tcPr>
            <w:tcW w:w="3352" w:type="dxa"/>
            <w:tcMar>
              <w:left w:w="58" w:type="dxa"/>
              <w:right w:w="58" w:type="dxa"/>
            </w:tcMar>
          </w:tcPr>
          <w:p w14:paraId="6EA5A16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32EA40B"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F5824EC" w14:textId="77777777" w:rsidR="00BF17C8" w:rsidRPr="00756D59" w:rsidRDefault="00BF17C8" w:rsidP="00876646">
            <w:pPr>
              <w:jc w:val="center"/>
              <w:rPr>
                <w:bCs/>
                <w:sz w:val="20"/>
                <w:szCs w:val="20"/>
                <w:lang w:eastAsia="en-CA"/>
              </w:rPr>
            </w:pPr>
            <w:r w:rsidRPr="00756D59">
              <w:rPr>
                <w:bCs/>
                <w:sz w:val="20"/>
                <w:szCs w:val="20"/>
                <w:lang w:eastAsia="en-CA"/>
              </w:rPr>
              <w:t>84.3</w:t>
            </w:r>
          </w:p>
        </w:tc>
        <w:tc>
          <w:tcPr>
            <w:tcW w:w="4531" w:type="dxa"/>
            <w:tcMar>
              <w:left w:w="58" w:type="dxa"/>
              <w:right w:w="58" w:type="dxa"/>
            </w:tcMar>
          </w:tcPr>
          <w:p w14:paraId="438D2CEE" w14:textId="77777777" w:rsidR="00BF17C8" w:rsidRPr="00756D59" w:rsidRDefault="00BF17C8" w:rsidP="00876646">
            <w:pPr>
              <w:jc w:val="left"/>
              <w:rPr>
                <w:sz w:val="20"/>
                <w:szCs w:val="20"/>
                <w:lang w:eastAsia="en-CA"/>
              </w:rPr>
            </w:pPr>
            <w:r w:rsidRPr="00756D59">
              <w:rPr>
                <w:sz w:val="20"/>
                <w:szCs w:val="20"/>
                <w:lang w:eastAsia="en-CA"/>
              </w:rPr>
              <w:t>Targeted public awareness and outreach campaigns on alternative low-/zero-GWP refrigerants, energy efficiency, servicing procedures and certification of technicians.</w:t>
            </w:r>
          </w:p>
        </w:tc>
        <w:tc>
          <w:tcPr>
            <w:tcW w:w="1629" w:type="dxa"/>
            <w:shd w:val="clear" w:color="auto" w:fill="auto"/>
            <w:tcMar>
              <w:left w:w="58" w:type="dxa"/>
              <w:right w:w="58" w:type="dxa"/>
            </w:tcMar>
          </w:tcPr>
          <w:p w14:paraId="1A016CF9"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145F256F" w14:textId="77777777" w:rsidTr="00876646">
        <w:trPr>
          <w:trHeight w:val="337"/>
        </w:trPr>
        <w:tc>
          <w:tcPr>
            <w:tcW w:w="2261" w:type="dxa"/>
            <w:tcMar>
              <w:left w:w="58" w:type="dxa"/>
              <w:right w:w="58" w:type="dxa"/>
            </w:tcMar>
          </w:tcPr>
          <w:p w14:paraId="74376A89" w14:textId="77777777" w:rsidR="00BF17C8" w:rsidRPr="00756D59" w:rsidRDefault="00BF17C8" w:rsidP="00876646">
            <w:pPr>
              <w:jc w:val="left"/>
              <w:rPr>
                <w:sz w:val="20"/>
                <w:szCs w:val="20"/>
                <w:lang w:eastAsia="en-CA"/>
              </w:rPr>
            </w:pPr>
            <w:r w:rsidRPr="00756D59">
              <w:rPr>
                <w:bCs/>
                <w:sz w:val="20"/>
                <w:szCs w:val="20"/>
                <w:lang w:eastAsia="en-CA"/>
              </w:rPr>
              <w:t>Ecuador</w:t>
            </w:r>
            <w:r w:rsidRPr="00756D59">
              <w:rPr>
                <w:sz w:val="20"/>
                <w:szCs w:val="20"/>
                <w:lang w:eastAsia="en-CA"/>
              </w:rPr>
              <w:t xml:space="preserve"> </w:t>
            </w:r>
          </w:p>
          <w:p w14:paraId="0CFF10CB" w14:textId="77777777" w:rsidR="00BF17C8" w:rsidRPr="00756D59" w:rsidRDefault="00BF17C8" w:rsidP="00876646">
            <w:pPr>
              <w:jc w:val="left"/>
              <w:rPr>
                <w:bCs/>
                <w:sz w:val="20"/>
                <w:szCs w:val="20"/>
                <w:lang w:eastAsia="en-CA"/>
              </w:rPr>
            </w:pPr>
            <w:r w:rsidRPr="00756D59">
              <w:rPr>
                <w:sz w:val="20"/>
                <w:szCs w:val="20"/>
                <w:lang w:eastAsia="en-CA"/>
              </w:rPr>
              <w:t>ECU/SEV/80/TAS/02+</w:t>
            </w:r>
          </w:p>
        </w:tc>
        <w:tc>
          <w:tcPr>
            <w:tcW w:w="3352" w:type="dxa"/>
            <w:tcMar>
              <w:left w:w="58" w:type="dxa"/>
              <w:right w:w="58" w:type="dxa"/>
            </w:tcMar>
          </w:tcPr>
          <w:p w14:paraId="3033FB8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5449A2B"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3DB4BB2" w14:textId="77777777" w:rsidR="00BF17C8" w:rsidRPr="00756D59" w:rsidRDefault="00BF17C8" w:rsidP="00876646">
            <w:pPr>
              <w:jc w:val="center"/>
              <w:rPr>
                <w:bCs/>
                <w:sz w:val="20"/>
                <w:szCs w:val="20"/>
                <w:lang w:eastAsia="en-CA"/>
              </w:rPr>
            </w:pPr>
            <w:r w:rsidRPr="00756D59">
              <w:rPr>
                <w:bCs/>
                <w:sz w:val="20"/>
                <w:szCs w:val="20"/>
                <w:lang w:eastAsia="en-CA"/>
              </w:rPr>
              <w:t>56.5</w:t>
            </w:r>
          </w:p>
        </w:tc>
        <w:tc>
          <w:tcPr>
            <w:tcW w:w="4531" w:type="dxa"/>
            <w:tcMar>
              <w:left w:w="58" w:type="dxa"/>
              <w:right w:w="58" w:type="dxa"/>
            </w:tcMar>
          </w:tcPr>
          <w:p w14:paraId="4EF3D0F7" w14:textId="77777777" w:rsidR="00BF17C8" w:rsidRPr="00756D59" w:rsidRDefault="00BF17C8" w:rsidP="00876646">
            <w:pPr>
              <w:jc w:val="left"/>
              <w:rPr>
                <w:sz w:val="20"/>
                <w:szCs w:val="20"/>
                <w:lang w:eastAsia="en-CA"/>
              </w:rPr>
            </w:pPr>
            <w:r w:rsidRPr="00756D59">
              <w:rPr>
                <w:sz w:val="20"/>
                <w:szCs w:val="20"/>
                <w:lang w:eastAsia="en-CA"/>
              </w:rPr>
              <w:t>Training of end-users in RAC applications and manufacturing industries on alternatives.</w:t>
            </w:r>
          </w:p>
        </w:tc>
        <w:tc>
          <w:tcPr>
            <w:tcW w:w="1629" w:type="dxa"/>
            <w:shd w:val="clear" w:color="auto" w:fill="auto"/>
            <w:tcMar>
              <w:left w:w="58" w:type="dxa"/>
              <w:right w:w="58" w:type="dxa"/>
            </w:tcMar>
          </w:tcPr>
          <w:p w14:paraId="7AA483BF"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10C6B56D" w14:textId="77777777" w:rsidTr="00876646">
        <w:trPr>
          <w:trHeight w:val="337"/>
        </w:trPr>
        <w:tc>
          <w:tcPr>
            <w:tcW w:w="2261" w:type="dxa"/>
            <w:tcMar>
              <w:left w:w="58" w:type="dxa"/>
              <w:right w:w="58" w:type="dxa"/>
            </w:tcMar>
          </w:tcPr>
          <w:p w14:paraId="212BCE4C" w14:textId="77777777" w:rsidR="00BF17C8" w:rsidRPr="00756D59" w:rsidRDefault="00BF17C8" w:rsidP="00876646">
            <w:pPr>
              <w:jc w:val="left"/>
              <w:rPr>
                <w:sz w:val="20"/>
                <w:szCs w:val="20"/>
                <w:lang w:eastAsia="en-CA"/>
              </w:rPr>
            </w:pPr>
            <w:r w:rsidRPr="00756D59">
              <w:rPr>
                <w:bCs/>
                <w:sz w:val="20"/>
                <w:szCs w:val="20"/>
                <w:lang w:eastAsia="en-CA"/>
              </w:rPr>
              <w:t>Egypt</w:t>
            </w:r>
            <w:r w:rsidRPr="00756D59">
              <w:rPr>
                <w:sz w:val="20"/>
                <w:szCs w:val="20"/>
                <w:lang w:eastAsia="en-CA"/>
              </w:rPr>
              <w:t xml:space="preserve"> </w:t>
            </w:r>
          </w:p>
          <w:p w14:paraId="2895EB37" w14:textId="77777777" w:rsidR="00BF17C8" w:rsidRPr="00756D59" w:rsidRDefault="00BF17C8" w:rsidP="00876646">
            <w:pPr>
              <w:jc w:val="left"/>
              <w:rPr>
                <w:bCs/>
                <w:sz w:val="20"/>
                <w:szCs w:val="20"/>
                <w:lang w:eastAsia="en-CA"/>
              </w:rPr>
            </w:pPr>
            <w:r w:rsidRPr="00756D59">
              <w:rPr>
                <w:sz w:val="20"/>
                <w:szCs w:val="20"/>
                <w:lang w:eastAsia="en-CA"/>
              </w:rPr>
              <w:t>EGY/SEV/81/TAS/03+</w:t>
            </w:r>
          </w:p>
        </w:tc>
        <w:tc>
          <w:tcPr>
            <w:tcW w:w="3352" w:type="dxa"/>
            <w:tcMar>
              <w:left w:w="58" w:type="dxa"/>
              <w:right w:w="58" w:type="dxa"/>
            </w:tcMar>
          </w:tcPr>
          <w:p w14:paraId="1A6D59E6"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01E99E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10237F5" w14:textId="77777777" w:rsidR="00BF17C8" w:rsidRPr="00756D59" w:rsidRDefault="00BF17C8" w:rsidP="00876646">
            <w:pPr>
              <w:jc w:val="center"/>
              <w:rPr>
                <w:bCs/>
                <w:sz w:val="20"/>
                <w:szCs w:val="20"/>
                <w:lang w:eastAsia="en-CA"/>
              </w:rPr>
            </w:pPr>
            <w:r w:rsidRPr="00756D59">
              <w:rPr>
                <w:bCs/>
                <w:sz w:val="20"/>
                <w:szCs w:val="20"/>
                <w:lang w:eastAsia="en-CA"/>
              </w:rPr>
              <w:t>34.5</w:t>
            </w:r>
          </w:p>
        </w:tc>
        <w:tc>
          <w:tcPr>
            <w:tcW w:w="4531" w:type="dxa"/>
            <w:tcMar>
              <w:left w:w="58" w:type="dxa"/>
              <w:right w:w="58" w:type="dxa"/>
            </w:tcMar>
          </w:tcPr>
          <w:p w14:paraId="2D29AF83" w14:textId="77777777" w:rsidR="00BF17C8" w:rsidRPr="00756D59" w:rsidRDefault="00BF17C8" w:rsidP="00876646">
            <w:pPr>
              <w:jc w:val="left"/>
              <w:rPr>
                <w:sz w:val="20"/>
                <w:szCs w:val="20"/>
                <w:lang w:eastAsia="en-CA"/>
              </w:rPr>
            </w:pPr>
            <w:r w:rsidRPr="00756D59">
              <w:rPr>
                <w:sz w:val="20"/>
                <w:szCs w:val="20"/>
                <w:lang w:eastAsia="en-CA"/>
              </w:rPr>
              <w:t>Analysis of existing ozone and climate policy/legislation; and drafting the amendments in the existing legislation to allow for ratification of the Kigali Amendment; preparing the package on the ratification of the Kigali Amendment; and undertaking the training needs assessment for the servicing sector and preparing an assessment report.</w:t>
            </w:r>
          </w:p>
        </w:tc>
        <w:tc>
          <w:tcPr>
            <w:tcW w:w="1629" w:type="dxa"/>
            <w:shd w:val="clear" w:color="auto" w:fill="auto"/>
            <w:tcMar>
              <w:left w:w="58" w:type="dxa"/>
              <w:right w:w="58" w:type="dxa"/>
            </w:tcMar>
          </w:tcPr>
          <w:p w14:paraId="333EF195"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26280D4D" w14:textId="77777777" w:rsidTr="00876646">
        <w:trPr>
          <w:trHeight w:val="337"/>
        </w:trPr>
        <w:tc>
          <w:tcPr>
            <w:tcW w:w="2261" w:type="dxa"/>
            <w:tcMar>
              <w:left w:w="58" w:type="dxa"/>
              <w:right w:w="58" w:type="dxa"/>
            </w:tcMar>
          </w:tcPr>
          <w:p w14:paraId="322AD756" w14:textId="77777777" w:rsidR="00BF17C8" w:rsidRPr="00756D59" w:rsidRDefault="00BF17C8" w:rsidP="00876646">
            <w:pPr>
              <w:jc w:val="left"/>
              <w:rPr>
                <w:sz w:val="20"/>
                <w:szCs w:val="20"/>
                <w:lang w:eastAsia="en-CA"/>
              </w:rPr>
            </w:pPr>
            <w:r w:rsidRPr="00756D59">
              <w:rPr>
                <w:bCs/>
                <w:sz w:val="20"/>
                <w:szCs w:val="20"/>
                <w:lang w:eastAsia="en-CA"/>
              </w:rPr>
              <w:t>Equatorial Guinea</w:t>
            </w:r>
            <w:r w:rsidRPr="00756D59">
              <w:rPr>
                <w:sz w:val="20"/>
                <w:szCs w:val="20"/>
                <w:lang w:eastAsia="en-CA"/>
              </w:rPr>
              <w:t xml:space="preserve"> </w:t>
            </w:r>
          </w:p>
          <w:p w14:paraId="3093D5AF" w14:textId="77777777" w:rsidR="00BF17C8" w:rsidRPr="00756D59" w:rsidRDefault="00BF17C8" w:rsidP="00876646">
            <w:pPr>
              <w:jc w:val="left"/>
              <w:rPr>
                <w:bCs/>
                <w:sz w:val="20"/>
                <w:szCs w:val="20"/>
                <w:lang w:eastAsia="en-CA"/>
              </w:rPr>
            </w:pPr>
            <w:r w:rsidRPr="00756D59">
              <w:rPr>
                <w:sz w:val="20"/>
                <w:szCs w:val="20"/>
                <w:lang w:eastAsia="en-CA"/>
              </w:rPr>
              <w:t>EQG/SEV/81/TAS/01+</w:t>
            </w:r>
          </w:p>
        </w:tc>
        <w:tc>
          <w:tcPr>
            <w:tcW w:w="3352" w:type="dxa"/>
            <w:tcMar>
              <w:left w:w="58" w:type="dxa"/>
              <w:right w:w="58" w:type="dxa"/>
            </w:tcMar>
          </w:tcPr>
          <w:p w14:paraId="32797371"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84E79DC"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5A5D585" w14:textId="77777777" w:rsidR="00BF17C8" w:rsidRPr="00756D59" w:rsidRDefault="00BF17C8" w:rsidP="00876646">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75FD3F08" w14:textId="77777777" w:rsidR="00BF17C8" w:rsidRPr="00756D59" w:rsidRDefault="00BF17C8" w:rsidP="00876646">
            <w:pPr>
              <w:jc w:val="left"/>
              <w:rPr>
                <w:sz w:val="20"/>
                <w:szCs w:val="20"/>
                <w:lang w:eastAsia="en-CA"/>
              </w:rPr>
            </w:pPr>
            <w:r w:rsidRPr="00756D59">
              <w:rPr>
                <w:sz w:val="20"/>
                <w:szCs w:val="20"/>
                <w:lang w:eastAsia="en-CA"/>
              </w:rPr>
              <w:t xml:space="preserve">Drafting law on ratification of the Kigali Amendment with the justification; finalizing the package on the ratification of Kigali Amendment and advancing the ratification process; and assisting the customs </w:t>
            </w:r>
            <w:r w:rsidRPr="00756D59">
              <w:rPr>
                <w:sz w:val="20"/>
                <w:szCs w:val="20"/>
                <w:lang w:eastAsia="en-CA"/>
              </w:rPr>
              <w:lastRenderedPageBreak/>
              <w:t>department to develop country</w:t>
            </w:r>
            <w:r w:rsidRPr="00756D59">
              <w:rPr>
                <w:sz w:val="20"/>
                <w:szCs w:val="20"/>
                <w:lang w:eastAsia="en-CA"/>
              </w:rPr>
              <w:noBreakHyphen/>
              <w:t>specific national HS codes for HFCs.</w:t>
            </w:r>
          </w:p>
        </w:tc>
        <w:tc>
          <w:tcPr>
            <w:tcW w:w="1629" w:type="dxa"/>
            <w:shd w:val="clear" w:color="auto" w:fill="auto"/>
            <w:tcMar>
              <w:left w:w="58" w:type="dxa"/>
              <w:right w:w="58" w:type="dxa"/>
            </w:tcMar>
          </w:tcPr>
          <w:p w14:paraId="0F680F85"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0A145C50" w14:textId="77777777" w:rsidTr="00876646">
        <w:trPr>
          <w:trHeight w:val="337"/>
        </w:trPr>
        <w:tc>
          <w:tcPr>
            <w:tcW w:w="2261" w:type="dxa"/>
            <w:tcMar>
              <w:left w:w="58" w:type="dxa"/>
              <w:right w:w="58" w:type="dxa"/>
            </w:tcMar>
          </w:tcPr>
          <w:p w14:paraId="69930E59" w14:textId="77777777" w:rsidR="00BF17C8" w:rsidRPr="00756D59" w:rsidRDefault="00BF17C8" w:rsidP="00876646">
            <w:pPr>
              <w:jc w:val="left"/>
              <w:rPr>
                <w:sz w:val="20"/>
                <w:szCs w:val="20"/>
                <w:lang w:eastAsia="en-CA"/>
              </w:rPr>
            </w:pPr>
            <w:r w:rsidRPr="00756D59">
              <w:rPr>
                <w:bCs/>
                <w:sz w:val="20"/>
                <w:szCs w:val="20"/>
                <w:lang w:eastAsia="en-CA"/>
              </w:rPr>
              <w:lastRenderedPageBreak/>
              <w:t>Eritrea</w:t>
            </w:r>
            <w:r w:rsidRPr="00756D59">
              <w:rPr>
                <w:sz w:val="20"/>
                <w:szCs w:val="20"/>
                <w:lang w:eastAsia="en-CA"/>
              </w:rPr>
              <w:t xml:space="preserve"> </w:t>
            </w:r>
          </w:p>
          <w:p w14:paraId="499A6232" w14:textId="77777777" w:rsidR="00BF17C8" w:rsidRPr="00756D59" w:rsidRDefault="00BF17C8" w:rsidP="00876646">
            <w:pPr>
              <w:jc w:val="left"/>
              <w:rPr>
                <w:bCs/>
                <w:sz w:val="20"/>
                <w:szCs w:val="20"/>
                <w:lang w:eastAsia="en-CA"/>
              </w:rPr>
            </w:pPr>
            <w:r w:rsidRPr="00756D59">
              <w:rPr>
                <w:sz w:val="20"/>
                <w:szCs w:val="20"/>
                <w:lang w:eastAsia="en-CA"/>
              </w:rPr>
              <w:t>ERI/SEV/80/TAS/01+</w:t>
            </w:r>
          </w:p>
        </w:tc>
        <w:tc>
          <w:tcPr>
            <w:tcW w:w="3352" w:type="dxa"/>
            <w:tcMar>
              <w:left w:w="58" w:type="dxa"/>
              <w:right w:w="58" w:type="dxa"/>
            </w:tcMar>
          </w:tcPr>
          <w:p w14:paraId="42B5E74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776D487"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4C4264C" w14:textId="77777777" w:rsidR="00BF17C8" w:rsidRPr="00756D59" w:rsidRDefault="00BF17C8" w:rsidP="00876646">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73FDF09F" w14:textId="77777777" w:rsidR="00BF17C8" w:rsidRPr="00756D59" w:rsidRDefault="00BF17C8" w:rsidP="00876646">
            <w:pPr>
              <w:jc w:val="left"/>
              <w:rPr>
                <w:sz w:val="20"/>
                <w:szCs w:val="20"/>
                <w:lang w:eastAsia="en-CA"/>
              </w:rPr>
            </w:pPr>
            <w:r w:rsidRPr="00756D59">
              <w:rPr>
                <w:sz w:val="20"/>
                <w:szCs w:val="20"/>
                <w:lang w:eastAsia="en-CA"/>
              </w:rPr>
              <w:t>Reviewing the current licensing system to regulate controlled substances and products; undertaking the training needs assessment for the servicing sector and preparing an assessment report; and sensitizing the public on the phase</w:t>
            </w:r>
            <w:r w:rsidRPr="00756D59">
              <w:rPr>
                <w:sz w:val="20"/>
                <w:szCs w:val="20"/>
                <w:lang w:eastAsia="en-CA"/>
              </w:rPr>
              <w:noBreakHyphen/>
              <w:t>down of HFCs and the Kigali Amendment.</w:t>
            </w:r>
          </w:p>
        </w:tc>
        <w:tc>
          <w:tcPr>
            <w:tcW w:w="1629" w:type="dxa"/>
            <w:shd w:val="clear" w:color="auto" w:fill="auto"/>
            <w:tcMar>
              <w:left w:w="58" w:type="dxa"/>
              <w:right w:w="58" w:type="dxa"/>
            </w:tcMar>
          </w:tcPr>
          <w:p w14:paraId="7004FABF"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0F431A79" w14:textId="77777777" w:rsidTr="00876646">
        <w:trPr>
          <w:trHeight w:val="337"/>
        </w:trPr>
        <w:tc>
          <w:tcPr>
            <w:tcW w:w="2261" w:type="dxa"/>
            <w:tcMar>
              <w:left w:w="58" w:type="dxa"/>
              <w:right w:w="58" w:type="dxa"/>
            </w:tcMar>
          </w:tcPr>
          <w:p w14:paraId="4A262455" w14:textId="77777777" w:rsidR="00BF17C8" w:rsidRPr="00756D59" w:rsidRDefault="00BF17C8" w:rsidP="00876646">
            <w:pPr>
              <w:jc w:val="left"/>
              <w:rPr>
                <w:sz w:val="20"/>
                <w:szCs w:val="20"/>
                <w:lang w:eastAsia="en-CA"/>
              </w:rPr>
            </w:pPr>
            <w:r w:rsidRPr="00756D59">
              <w:rPr>
                <w:bCs/>
                <w:sz w:val="20"/>
                <w:szCs w:val="20"/>
                <w:lang w:eastAsia="en-CA"/>
              </w:rPr>
              <w:t>Eswatini</w:t>
            </w:r>
            <w:r w:rsidRPr="00756D59">
              <w:rPr>
                <w:sz w:val="20"/>
                <w:szCs w:val="20"/>
                <w:lang w:eastAsia="en-CA"/>
              </w:rPr>
              <w:t xml:space="preserve"> </w:t>
            </w:r>
          </w:p>
          <w:p w14:paraId="344C9E5B" w14:textId="77777777" w:rsidR="00BF17C8" w:rsidRPr="00756D59" w:rsidRDefault="00BF17C8" w:rsidP="00876646">
            <w:pPr>
              <w:jc w:val="left"/>
              <w:rPr>
                <w:bCs/>
                <w:sz w:val="20"/>
                <w:szCs w:val="20"/>
                <w:lang w:eastAsia="en-CA"/>
              </w:rPr>
            </w:pPr>
            <w:r w:rsidRPr="00756D59">
              <w:rPr>
                <w:sz w:val="20"/>
                <w:szCs w:val="20"/>
                <w:lang w:eastAsia="en-CA"/>
              </w:rPr>
              <w:t>SWA/SEV/81/TAS/01+</w:t>
            </w:r>
          </w:p>
        </w:tc>
        <w:tc>
          <w:tcPr>
            <w:tcW w:w="3352" w:type="dxa"/>
            <w:tcMar>
              <w:left w:w="58" w:type="dxa"/>
              <w:right w:w="58" w:type="dxa"/>
            </w:tcMar>
          </w:tcPr>
          <w:p w14:paraId="7A63DBD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3F62F62"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6849FBC" w14:textId="77777777" w:rsidR="00BF17C8" w:rsidRPr="00756D59" w:rsidRDefault="00BF17C8" w:rsidP="00876646">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58F0E708" w14:textId="77777777" w:rsidR="00BF17C8" w:rsidRPr="00756D59" w:rsidRDefault="00BF17C8" w:rsidP="00876646">
            <w:pPr>
              <w:jc w:val="left"/>
              <w:rPr>
                <w:sz w:val="20"/>
                <w:szCs w:val="20"/>
                <w:lang w:eastAsia="en-CA"/>
              </w:rPr>
            </w:pPr>
            <w:r w:rsidRPr="00756D59">
              <w:rPr>
                <w:sz w:val="20"/>
                <w:szCs w:val="20"/>
                <w:lang w:eastAsia="en-CA"/>
              </w:rPr>
              <w:t>Assessment of market profile of alternative technologies and development of strategies to promote availability and quick adoption of low</w:t>
            </w:r>
            <w:r w:rsidRPr="00756D59">
              <w:rPr>
                <w:sz w:val="20"/>
                <w:szCs w:val="20"/>
                <w:lang w:eastAsia="en-CA"/>
              </w:rPr>
              <w:noBreakHyphen/>
              <w:t>GWP technologies; and conducting workshops for technicians on safe handling of HFCs and their alternatives.</w:t>
            </w:r>
          </w:p>
        </w:tc>
        <w:tc>
          <w:tcPr>
            <w:tcW w:w="1629" w:type="dxa"/>
            <w:shd w:val="clear" w:color="auto" w:fill="auto"/>
            <w:tcMar>
              <w:left w:w="58" w:type="dxa"/>
              <w:right w:w="58" w:type="dxa"/>
            </w:tcMar>
          </w:tcPr>
          <w:p w14:paraId="2CDC01F0"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3F7A2CF6" w14:textId="77777777" w:rsidTr="00876646">
        <w:trPr>
          <w:trHeight w:val="337"/>
        </w:trPr>
        <w:tc>
          <w:tcPr>
            <w:tcW w:w="2261" w:type="dxa"/>
            <w:tcMar>
              <w:left w:w="58" w:type="dxa"/>
              <w:right w:w="58" w:type="dxa"/>
            </w:tcMar>
          </w:tcPr>
          <w:p w14:paraId="1C5B55F9" w14:textId="77777777" w:rsidR="00BF17C8" w:rsidRPr="00756D59" w:rsidRDefault="00BF17C8" w:rsidP="00876646">
            <w:pPr>
              <w:jc w:val="left"/>
              <w:rPr>
                <w:sz w:val="20"/>
                <w:szCs w:val="20"/>
                <w:lang w:eastAsia="en-CA"/>
              </w:rPr>
            </w:pPr>
            <w:r w:rsidRPr="00756D59">
              <w:rPr>
                <w:bCs/>
                <w:sz w:val="20"/>
                <w:szCs w:val="20"/>
                <w:lang w:eastAsia="en-CA"/>
              </w:rPr>
              <w:t>Ethiopia</w:t>
            </w:r>
            <w:r w:rsidRPr="00756D59">
              <w:rPr>
                <w:sz w:val="20"/>
                <w:szCs w:val="20"/>
                <w:lang w:eastAsia="en-CA"/>
              </w:rPr>
              <w:t xml:space="preserve"> </w:t>
            </w:r>
          </w:p>
          <w:p w14:paraId="76FDE5E7" w14:textId="77777777" w:rsidR="00BF17C8" w:rsidRPr="00756D59" w:rsidRDefault="00BF17C8" w:rsidP="00876646">
            <w:pPr>
              <w:jc w:val="left"/>
              <w:rPr>
                <w:bCs/>
                <w:sz w:val="20"/>
                <w:szCs w:val="20"/>
                <w:lang w:eastAsia="en-CA"/>
              </w:rPr>
            </w:pPr>
            <w:r w:rsidRPr="00756D59">
              <w:rPr>
                <w:sz w:val="20"/>
                <w:szCs w:val="20"/>
                <w:lang w:eastAsia="en-CA"/>
              </w:rPr>
              <w:t>ETH/SEV/81/TAS/01+</w:t>
            </w:r>
          </w:p>
        </w:tc>
        <w:tc>
          <w:tcPr>
            <w:tcW w:w="3352" w:type="dxa"/>
            <w:tcMar>
              <w:left w:w="58" w:type="dxa"/>
              <w:right w:w="58" w:type="dxa"/>
            </w:tcMar>
          </w:tcPr>
          <w:p w14:paraId="0569D4D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816202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3DD5EC7" w14:textId="77777777" w:rsidR="00BF17C8" w:rsidRPr="00756D59" w:rsidRDefault="00BF17C8" w:rsidP="00876646">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2E89B882" w14:textId="77777777" w:rsidR="00BF17C8" w:rsidRPr="00756D59" w:rsidRDefault="00BF17C8" w:rsidP="00876646">
            <w:pPr>
              <w:jc w:val="left"/>
              <w:rPr>
                <w:sz w:val="20"/>
                <w:szCs w:val="20"/>
                <w:lang w:eastAsia="en-CA"/>
              </w:rPr>
            </w:pPr>
            <w:r w:rsidRPr="00756D59">
              <w:rPr>
                <w:sz w:val="20"/>
                <w:szCs w:val="20"/>
                <w:lang w:eastAsia="en-CA"/>
              </w:rPr>
              <w:t>Organization of informative workshops and a survey to identify barriers for introduction of low</w:t>
            </w:r>
            <w:r w:rsidRPr="00756D59">
              <w:rPr>
                <w:sz w:val="20"/>
                <w:szCs w:val="20"/>
                <w:lang w:eastAsia="en-CA"/>
              </w:rPr>
              <w:noBreakHyphen/>
              <w:t>GWP alternatives on the servicing sector; assisting national customs authorities in establishing national custom codes for HFCs; and sensitizing consumers on low</w:t>
            </w:r>
            <w:r w:rsidRPr="00756D59">
              <w:rPr>
                <w:sz w:val="20"/>
                <w:szCs w:val="20"/>
                <w:lang w:eastAsia="en-CA"/>
              </w:rPr>
              <w:noBreakHyphen/>
              <w:t>GWP technologies.</w:t>
            </w:r>
          </w:p>
        </w:tc>
        <w:tc>
          <w:tcPr>
            <w:tcW w:w="1629" w:type="dxa"/>
            <w:shd w:val="clear" w:color="auto" w:fill="auto"/>
            <w:tcMar>
              <w:left w:w="58" w:type="dxa"/>
              <w:right w:w="58" w:type="dxa"/>
            </w:tcMar>
          </w:tcPr>
          <w:p w14:paraId="74782040"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44D4559" w14:textId="77777777" w:rsidTr="00876646">
        <w:trPr>
          <w:trHeight w:val="337"/>
        </w:trPr>
        <w:tc>
          <w:tcPr>
            <w:tcW w:w="2261" w:type="dxa"/>
            <w:tcMar>
              <w:left w:w="58" w:type="dxa"/>
              <w:right w:w="58" w:type="dxa"/>
            </w:tcMar>
          </w:tcPr>
          <w:p w14:paraId="4D1BC0FE" w14:textId="77777777" w:rsidR="00BF17C8" w:rsidRPr="00756D59" w:rsidRDefault="00BF17C8" w:rsidP="00876646">
            <w:pPr>
              <w:jc w:val="left"/>
              <w:rPr>
                <w:sz w:val="20"/>
                <w:szCs w:val="20"/>
                <w:lang w:eastAsia="en-CA"/>
              </w:rPr>
            </w:pPr>
            <w:r w:rsidRPr="00756D59">
              <w:rPr>
                <w:bCs/>
                <w:sz w:val="20"/>
                <w:szCs w:val="20"/>
                <w:lang w:eastAsia="en-CA"/>
              </w:rPr>
              <w:t>Gabon</w:t>
            </w:r>
            <w:r w:rsidRPr="00756D59">
              <w:rPr>
                <w:sz w:val="20"/>
                <w:szCs w:val="20"/>
                <w:lang w:eastAsia="en-CA"/>
              </w:rPr>
              <w:t xml:space="preserve"> </w:t>
            </w:r>
          </w:p>
          <w:p w14:paraId="3CC7B221" w14:textId="77777777" w:rsidR="00BF17C8" w:rsidRPr="00756D59" w:rsidRDefault="00BF17C8" w:rsidP="00876646">
            <w:pPr>
              <w:jc w:val="left"/>
              <w:rPr>
                <w:bCs/>
                <w:sz w:val="20"/>
                <w:szCs w:val="20"/>
                <w:lang w:eastAsia="en-CA"/>
              </w:rPr>
            </w:pPr>
            <w:r w:rsidRPr="00756D59">
              <w:rPr>
                <w:sz w:val="20"/>
                <w:szCs w:val="20"/>
                <w:lang w:eastAsia="en-CA"/>
              </w:rPr>
              <w:t>GAB/SEV/80/TAS/01+</w:t>
            </w:r>
          </w:p>
        </w:tc>
        <w:tc>
          <w:tcPr>
            <w:tcW w:w="3352" w:type="dxa"/>
            <w:tcMar>
              <w:left w:w="58" w:type="dxa"/>
              <w:right w:w="58" w:type="dxa"/>
            </w:tcMar>
          </w:tcPr>
          <w:p w14:paraId="54097E5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B41C8F3"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5C6BBDC" w14:textId="77777777" w:rsidR="00BF17C8" w:rsidRPr="00756D59" w:rsidRDefault="00BF17C8" w:rsidP="00876646">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6421DFDB" w14:textId="77777777" w:rsidR="00BF17C8" w:rsidRPr="00756D59" w:rsidRDefault="00BF17C8" w:rsidP="00876646">
            <w:pPr>
              <w:jc w:val="left"/>
              <w:rPr>
                <w:sz w:val="20"/>
                <w:szCs w:val="20"/>
                <w:lang w:eastAsia="en-CA"/>
              </w:rPr>
            </w:pPr>
            <w:r w:rsidRPr="00756D59">
              <w:rPr>
                <w:sz w:val="20"/>
                <w:szCs w:val="20"/>
                <w:lang w:eastAsia="en-CA"/>
              </w:rPr>
              <w:t>Sensitization meetings for technicians on safe handling of HFCs and their alternatives; assisting customs office in developing national custom codes for different HFCs and including them into the Customs Tariff; and conducting sensitization meetings for technicians on safe handling of HFCs and their alternatives.</w:t>
            </w:r>
          </w:p>
        </w:tc>
        <w:tc>
          <w:tcPr>
            <w:tcW w:w="1629" w:type="dxa"/>
            <w:shd w:val="clear" w:color="auto" w:fill="auto"/>
            <w:tcMar>
              <w:left w:w="58" w:type="dxa"/>
              <w:right w:w="58" w:type="dxa"/>
            </w:tcMar>
          </w:tcPr>
          <w:p w14:paraId="0295B4FF"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4C557479" w14:textId="77777777" w:rsidTr="00876646">
        <w:trPr>
          <w:trHeight w:val="337"/>
        </w:trPr>
        <w:tc>
          <w:tcPr>
            <w:tcW w:w="2261" w:type="dxa"/>
            <w:tcMar>
              <w:left w:w="58" w:type="dxa"/>
              <w:right w:w="58" w:type="dxa"/>
            </w:tcMar>
          </w:tcPr>
          <w:p w14:paraId="636A2F57" w14:textId="77777777" w:rsidR="00BF17C8" w:rsidRPr="00756D59" w:rsidRDefault="00BF17C8" w:rsidP="00876646">
            <w:pPr>
              <w:jc w:val="left"/>
              <w:rPr>
                <w:sz w:val="20"/>
                <w:szCs w:val="20"/>
                <w:lang w:eastAsia="en-CA"/>
              </w:rPr>
            </w:pPr>
            <w:r w:rsidRPr="00756D59">
              <w:rPr>
                <w:bCs/>
                <w:sz w:val="20"/>
                <w:szCs w:val="20"/>
                <w:lang w:eastAsia="en-CA"/>
              </w:rPr>
              <w:t>Georgia</w:t>
            </w:r>
            <w:r w:rsidRPr="00756D59">
              <w:rPr>
                <w:sz w:val="20"/>
                <w:szCs w:val="20"/>
                <w:lang w:eastAsia="en-CA"/>
              </w:rPr>
              <w:t xml:space="preserve"> </w:t>
            </w:r>
          </w:p>
          <w:p w14:paraId="7BA6FC6F" w14:textId="77777777" w:rsidR="00BF17C8" w:rsidRPr="00756D59" w:rsidRDefault="00BF17C8" w:rsidP="00876646">
            <w:pPr>
              <w:jc w:val="left"/>
              <w:rPr>
                <w:bCs/>
                <w:sz w:val="20"/>
                <w:szCs w:val="20"/>
                <w:lang w:eastAsia="en-CA"/>
              </w:rPr>
            </w:pPr>
            <w:r w:rsidRPr="00756D59">
              <w:rPr>
                <w:sz w:val="20"/>
                <w:szCs w:val="20"/>
                <w:lang w:eastAsia="en-CA"/>
              </w:rPr>
              <w:t>GEO/SEV/81/TAS/01+</w:t>
            </w:r>
          </w:p>
        </w:tc>
        <w:tc>
          <w:tcPr>
            <w:tcW w:w="3352" w:type="dxa"/>
            <w:tcMar>
              <w:left w:w="58" w:type="dxa"/>
              <w:right w:w="58" w:type="dxa"/>
            </w:tcMar>
          </w:tcPr>
          <w:p w14:paraId="502F3AB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EED4DC9"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0CDEBCA" w14:textId="77777777" w:rsidR="00BF17C8" w:rsidRPr="00756D59" w:rsidRDefault="00BF17C8" w:rsidP="00876646">
            <w:pPr>
              <w:jc w:val="center"/>
              <w:rPr>
                <w:bCs/>
                <w:sz w:val="20"/>
                <w:szCs w:val="20"/>
                <w:lang w:eastAsia="en-CA"/>
              </w:rPr>
            </w:pPr>
            <w:r w:rsidRPr="00756D59">
              <w:rPr>
                <w:bCs/>
                <w:sz w:val="20"/>
                <w:szCs w:val="20"/>
                <w:lang w:eastAsia="en-CA"/>
              </w:rPr>
              <w:t>38.4</w:t>
            </w:r>
          </w:p>
        </w:tc>
        <w:tc>
          <w:tcPr>
            <w:tcW w:w="4531" w:type="dxa"/>
            <w:tcMar>
              <w:left w:w="58" w:type="dxa"/>
              <w:right w:w="58" w:type="dxa"/>
            </w:tcMar>
          </w:tcPr>
          <w:p w14:paraId="66DB8111" w14:textId="77777777" w:rsidR="00BF17C8" w:rsidRPr="00756D59" w:rsidRDefault="00BF17C8" w:rsidP="00876646">
            <w:pPr>
              <w:jc w:val="left"/>
              <w:rPr>
                <w:sz w:val="20"/>
                <w:szCs w:val="20"/>
                <w:lang w:eastAsia="en-CA"/>
              </w:rPr>
            </w:pPr>
            <w:r w:rsidRPr="00756D59">
              <w:rPr>
                <w:sz w:val="20"/>
                <w:szCs w:val="20"/>
                <w:lang w:eastAsia="en-CA"/>
              </w:rPr>
              <w:t>Supporting the adoption of legal acts related to the control of HFCs and the establishment of the HFC licensing system by Parliament, and ratification of the Kigali Amendment; and international training of trainers on the safe use of alternative technologies.</w:t>
            </w:r>
          </w:p>
        </w:tc>
        <w:tc>
          <w:tcPr>
            <w:tcW w:w="1629" w:type="dxa"/>
            <w:shd w:val="clear" w:color="auto" w:fill="auto"/>
            <w:tcMar>
              <w:left w:w="58" w:type="dxa"/>
              <w:right w:w="58" w:type="dxa"/>
            </w:tcMar>
          </w:tcPr>
          <w:p w14:paraId="0DF35D78"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67F16172" w14:textId="77777777" w:rsidTr="00876646">
        <w:trPr>
          <w:trHeight w:val="337"/>
        </w:trPr>
        <w:tc>
          <w:tcPr>
            <w:tcW w:w="2261" w:type="dxa"/>
            <w:tcMar>
              <w:left w:w="58" w:type="dxa"/>
              <w:right w:w="58" w:type="dxa"/>
            </w:tcMar>
          </w:tcPr>
          <w:p w14:paraId="0562226C" w14:textId="77777777" w:rsidR="00BF17C8" w:rsidRPr="00756D59" w:rsidRDefault="00BF17C8" w:rsidP="00876646">
            <w:pPr>
              <w:jc w:val="left"/>
              <w:rPr>
                <w:sz w:val="20"/>
                <w:szCs w:val="20"/>
                <w:lang w:eastAsia="en-CA"/>
              </w:rPr>
            </w:pPr>
            <w:r w:rsidRPr="00756D59">
              <w:rPr>
                <w:bCs/>
                <w:sz w:val="20"/>
                <w:szCs w:val="20"/>
                <w:lang w:eastAsia="en-CA"/>
              </w:rPr>
              <w:t>Guinea-Bissau</w:t>
            </w:r>
            <w:r w:rsidRPr="00756D59">
              <w:rPr>
                <w:sz w:val="20"/>
                <w:szCs w:val="20"/>
                <w:lang w:eastAsia="en-CA"/>
              </w:rPr>
              <w:t xml:space="preserve"> </w:t>
            </w:r>
          </w:p>
          <w:p w14:paraId="20CF4242" w14:textId="77777777" w:rsidR="00BF17C8" w:rsidRPr="00756D59" w:rsidRDefault="00BF17C8" w:rsidP="00876646">
            <w:pPr>
              <w:jc w:val="left"/>
              <w:rPr>
                <w:bCs/>
                <w:sz w:val="20"/>
                <w:szCs w:val="20"/>
                <w:lang w:eastAsia="en-CA"/>
              </w:rPr>
            </w:pPr>
            <w:r w:rsidRPr="00756D59">
              <w:rPr>
                <w:sz w:val="20"/>
                <w:szCs w:val="20"/>
                <w:lang w:eastAsia="en-CA"/>
              </w:rPr>
              <w:t>GBS/SEV/81/TAS/01+</w:t>
            </w:r>
          </w:p>
        </w:tc>
        <w:tc>
          <w:tcPr>
            <w:tcW w:w="3352" w:type="dxa"/>
            <w:tcMar>
              <w:left w:w="58" w:type="dxa"/>
              <w:right w:w="58" w:type="dxa"/>
            </w:tcMar>
          </w:tcPr>
          <w:p w14:paraId="4A2D9A3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28231A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7B8CA28" w14:textId="77777777" w:rsidR="00BF17C8" w:rsidRPr="00756D59" w:rsidRDefault="00BF17C8" w:rsidP="00876646">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37305A97" w14:textId="77777777" w:rsidR="00BF17C8" w:rsidRPr="00756D59" w:rsidRDefault="00BF17C8" w:rsidP="00876646">
            <w:pPr>
              <w:jc w:val="left"/>
              <w:rPr>
                <w:sz w:val="20"/>
                <w:szCs w:val="20"/>
                <w:lang w:eastAsia="en-CA"/>
              </w:rPr>
            </w:pPr>
            <w:r w:rsidRPr="00756D59">
              <w:rPr>
                <w:sz w:val="20"/>
                <w:szCs w:val="20"/>
                <w:lang w:eastAsia="en-CA"/>
              </w:rPr>
              <w:t xml:space="preserve">Development of country-specific national HS codes for HFCs; sensitization meetings for technicians on safe handling of HFCs and their alternatives; assisting customs office in developing national custom codes for different HFCs and including them into the </w:t>
            </w:r>
            <w:r w:rsidRPr="00756D59">
              <w:rPr>
                <w:sz w:val="20"/>
                <w:szCs w:val="20"/>
                <w:lang w:eastAsia="en-CA"/>
              </w:rPr>
              <w:lastRenderedPageBreak/>
              <w:t xml:space="preserve">Customs Tariff; and undertaking a training need assessment for the servicing sector. </w:t>
            </w:r>
          </w:p>
        </w:tc>
        <w:tc>
          <w:tcPr>
            <w:tcW w:w="1629" w:type="dxa"/>
            <w:shd w:val="clear" w:color="auto" w:fill="auto"/>
            <w:tcMar>
              <w:left w:w="58" w:type="dxa"/>
              <w:right w:w="58" w:type="dxa"/>
            </w:tcMar>
          </w:tcPr>
          <w:p w14:paraId="55102893"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33ED61BE" w14:textId="77777777" w:rsidTr="00876646">
        <w:trPr>
          <w:trHeight w:val="337"/>
        </w:trPr>
        <w:tc>
          <w:tcPr>
            <w:tcW w:w="2261" w:type="dxa"/>
            <w:tcMar>
              <w:left w:w="58" w:type="dxa"/>
              <w:right w:w="58" w:type="dxa"/>
            </w:tcMar>
          </w:tcPr>
          <w:p w14:paraId="32344EA5" w14:textId="77777777" w:rsidR="00BF17C8" w:rsidRPr="00756D59" w:rsidRDefault="00BF17C8" w:rsidP="00876646">
            <w:pPr>
              <w:jc w:val="left"/>
              <w:rPr>
                <w:sz w:val="20"/>
                <w:szCs w:val="20"/>
                <w:lang w:eastAsia="en-CA"/>
              </w:rPr>
            </w:pPr>
            <w:r w:rsidRPr="00756D59">
              <w:rPr>
                <w:bCs/>
                <w:sz w:val="20"/>
                <w:szCs w:val="20"/>
                <w:lang w:eastAsia="en-CA"/>
              </w:rPr>
              <w:lastRenderedPageBreak/>
              <w:t>Guyana</w:t>
            </w:r>
            <w:r w:rsidRPr="00756D59">
              <w:rPr>
                <w:sz w:val="20"/>
                <w:szCs w:val="20"/>
                <w:lang w:eastAsia="en-CA"/>
              </w:rPr>
              <w:t xml:space="preserve"> </w:t>
            </w:r>
          </w:p>
          <w:p w14:paraId="1BB9EFED" w14:textId="77777777" w:rsidR="00BF17C8" w:rsidRPr="00756D59" w:rsidRDefault="00BF17C8" w:rsidP="00876646">
            <w:pPr>
              <w:jc w:val="left"/>
              <w:rPr>
                <w:bCs/>
                <w:sz w:val="20"/>
                <w:szCs w:val="20"/>
                <w:lang w:eastAsia="en-CA"/>
              </w:rPr>
            </w:pPr>
            <w:r w:rsidRPr="00756D59">
              <w:rPr>
                <w:sz w:val="20"/>
                <w:szCs w:val="20"/>
                <w:lang w:eastAsia="en-CA"/>
              </w:rPr>
              <w:t>GUY/SEV/81/TAS/01+</w:t>
            </w:r>
          </w:p>
        </w:tc>
        <w:tc>
          <w:tcPr>
            <w:tcW w:w="3352" w:type="dxa"/>
            <w:tcMar>
              <w:left w:w="58" w:type="dxa"/>
              <w:right w:w="58" w:type="dxa"/>
            </w:tcMar>
          </w:tcPr>
          <w:p w14:paraId="473624B9"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32BADF2"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DBCBD22"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CB09F3E" w14:textId="77777777" w:rsidR="00BF17C8" w:rsidRPr="00756D59" w:rsidRDefault="00BF17C8" w:rsidP="00876646">
            <w:pPr>
              <w:jc w:val="left"/>
              <w:rPr>
                <w:sz w:val="20"/>
                <w:szCs w:val="20"/>
                <w:lang w:eastAsia="en-CA"/>
              </w:rPr>
            </w:pPr>
            <w:r w:rsidRPr="00756D59">
              <w:rPr>
                <w:sz w:val="20"/>
                <w:szCs w:val="20"/>
                <w:lang w:eastAsia="en-CA"/>
              </w:rPr>
              <w:t>Analysis of ozone and climate legislation to support the Kigali Amendment; developing policy paper on Kigali Amendment ratification; stakeholder consultations meetings and awareness raising on HFC phase-down and energy efficiency; undertaking training needs assessment for the RAC service sector; mapping of HFCs available on the local market; technical assistance on HFC data collection; RAC technology projection; symposium on impacts of the Kigali Amendment ratification and seminar on the transition to low</w:t>
            </w:r>
            <w:r w:rsidRPr="00756D59">
              <w:rPr>
                <w:sz w:val="20"/>
                <w:szCs w:val="20"/>
                <w:lang w:eastAsia="en-CA"/>
              </w:rPr>
              <w:noBreakHyphen/>
              <w:t>GWP alternatives; developing country</w:t>
            </w:r>
            <w:r w:rsidRPr="00756D59">
              <w:rPr>
                <w:sz w:val="20"/>
                <w:szCs w:val="20"/>
                <w:lang w:eastAsia="en-CA"/>
              </w:rPr>
              <w:noBreakHyphen/>
              <w:t>specific HS codes for HFCs; and knowledge, attitude, and practices study of the RAC service sector, national strategies on a staged approach to introducing low</w:t>
            </w:r>
            <w:r w:rsidRPr="00756D59">
              <w:rPr>
                <w:sz w:val="20"/>
                <w:szCs w:val="20"/>
                <w:lang w:eastAsia="en-CA"/>
              </w:rPr>
              <w:noBreakHyphen/>
              <w:t>GWP energy efficient alternatives and support to RAC service sector on transition from HFCs to alternatives.</w:t>
            </w:r>
          </w:p>
        </w:tc>
        <w:tc>
          <w:tcPr>
            <w:tcW w:w="1629" w:type="dxa"/>
            <w:shd w:val="clear" w:color="auto" w:fill="auto"/>
            <w:tcMar>
              <w:left w:w="58" w:type="dxa"/>
              <w:right w:w="58" w:type="dxa"/>
            </w:tcMar>
          </w:tcPr>
          <w:p w14:paraId="6ED9C87D"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2A5A295" w14:textId="77777777" w:rsidTr="00876646">
        <w:trPr>
          <w:trHeight w:val="337"/>
        </w:trPr>
        <w:tc>
          <w:tcPr>
            <w:tcW w:w="2261" w:type="dxa"/>
            <w:tcMar>
              <w:left w:w="58" w:type="dxa"/>
              <w:right w:w="58" w:type="dxa"/>
            </w:tcMar>
          </w:tcPr>
          <w:p w14:paraId="34CB7317" w14:textId="77777777" w:rsidR="00BF17C8" w:rsidRPr="00756D59" w:rsidRDefault="00BF17C8" w:rsidP="00876646">
            <w:pPr>
              <w:jc w:val="left"/>
              <w:rPr>
                <w:sz w:val="20"/>
                <w:szCs w:val="20"/>
                <w:lang w:eastAsia="en-CA"/>
              </w:rPr>
            </w:pPr>
            <w:r w:rsidRPr="00756D59">
              <w:rPr>
                <w:bCs/>
                <w:sz w:val="20"/>
                <w:szCs w:val="20"/>
                <w:lang w:eastAsia="en-CA"/>
              </w:rPr>
              <w:t>Honduras</w:t>
            </w:r>
            <w:r w:rsidRPr="00756D59">
              <w:rPr>
                <w:sz w:val="20"/>
                <w:szCs w:val="20"/>
                <w:lang w:eastAsia="en-CA"/>
              </w:rPr>
              <w:t xml:space="preserve"> </w:t>
            </w:r>
          </w:p>
          <w:p w14:paraId="7C0B149D" w14:textId="77777777" w:rsidR="00BF17C8" w:rsidRPr="00756D59" w:rsidRDefault="00BF17C8" w:rsidP="00876646">
            <w:pPr>
              <w:jc w:val="left"/>
              <w:rPr>
                <w:bCs/>
                <w:sz w:val="20"/>
                <w:szCs w:val="20"/>
                <w:lang w:eastAsia="en-CA"/>
              </w:rPr>
            </w:pPr>
            <w:r w:rsidRPr="00756D59">
              <w:rPr>
                <w:sz w:val="20"/>
                <w:szCs w:val="20"/>
                <w:lang w:eastAsia="en-CA"/>
              </w:rPr>
              <w:t>HON/SEV/81/TAS/01+</w:t>
            </w:r>
          </w:p>
        </w:tc>
        <w:tc>
          <w:tcPr>
            <w:tcW w:w="3352" w:type="dxa"/>
            <w:tcMar>
              <w:left w:w="58" w:type="dxa"/>
              <w:right w:w="58" w:type="dxa"/>
            </w:tcMar>
          </w:tcPr>
          <w:p w14:paraId="5022D461"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33A652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2467F4D" w14:textId="77777777" w:rsidR="00BF17C8" w:rsidRPr="00756D59" w:rsidRDefault="00BF17C8" w:rsidP="00876646">
            <w:pPr>
              <w:jc w:val="center"/>
              <w:rPr>
                <w:bCs/>
                <w:sz w:val="20"/>
                <w:szCs w:val="20"/>
                <w:lang w:eastAsia="en-CA"/>
              </w:rPr>
            </w:pPr>
            <w:r w:rsidRPr="00756D59">
              <w:rPr>
                <w:bCs/>
                <w:sz w:val="20"/>
                <w:szCs w:val="20"/>
                <w:lang w:eastAsia="en-CA"/>
              </w:rPr>
              <w:t>36.8</w:t>
            </w:r>
          </w:p>
        </w:tc>
        <w:tc>
          <w:tcPr>
            <w:tcW w:w="4531" w:type="dxa"/>
            <w:tcMar>
              <w:left w:w="58" w:type="dxa"/>
              <w:right w:w="58" w:type="dxa"/>
            </w:tcMar>
          </w:tcPr>
          <w:p w14:paraId="758E7E6B" w14:textId="77777777" w:rsidR="00BF17C8" w:rsidRPr="00756D59" w:rsidRDefault="00BF17C8" w:rsidP="00876646">
            <w:pPr>
              <w:jc w:val="left"/>
              <w:rPr>
                <w:sz w:val="20"/>
                <w:szCs w:val="20"/>
                <w:lang w:eastAsia="en-CA"/>
              </w:rPr>
            </w:pPr>
            <w:r w:rsidRPr="00756D59">
              <w:rPr>
                <w:sz w:val="20"/>
                <w:szCs w:val="20"/>
                <w:lang w:eastAsia="en-CA"/>
              </w:rPr>
              <w:t>Assessing the existing technical barriers and gaps for the adoption of alternatives to HFCs in the RAC, polyurethane foam, fire-fighting sectors, mobile air-conditioning and refrigerated transport; analysis of the available zero</w:t>
            </w:r>
            <w:r w:rsidRPr="00756D59">
              <w:rPr>
                <w:sz w:val="20"/>
                <w:szCs w:val="20"/>
                <w:lang w:eastAsia="en-CA"/>
              </w:rPr>
              <w:noBreakHyphen/>
              <w:t>/low</w:t>
            </w:r>
            <w:r w:rsidRPr="00756D59">
              <w:rPr>
                <w:sz w:val="20"/>
                <w:szCs w:val="20"/>
                <w:lang w:eastAsia="en-CA"/>
              </w:rPr>
              <w:noBreakHyphen/>
              <w:t>GWP energy efficient alternatives and its environmental/socio-economic impacts; and preparing technical reports on the specific requirements of each alternative technology for the main sectors to facilitate consultations and adoption by stakeholders.</w:t>
            </w:r>
          </w:p>
        </w:tc>
        <w:tc>
          <w:tcPr>
            <w:tcW w:w="1629" w:type="dxa"/>
            <w:shd w:val="clear" w:color="auto" w:fill="auto"/>
            <w:tcMar>
              <w:left w:w="58" w:type="dxa"/>
              <w:right w:w="58" w:type="dxa"/>
            </w:tcMar>
          </w:tcPr>
          <w:p w14:paraId="7694B9B7"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5D2BD7BD" w14:textId="77777777" w:rsidTr="00876646">
        <w:trPr>
          <w:trHeight w:val="337"/>
        </w:trPr>
        <w:tc>
          <w:tcPr>
            <w:tcW w:w="2261" w:type="dxa"/>
            <w:tcMar>
              <w:left w:w="58" w:type="dxa"/>
              <w:right w:w="58" w:type="dxa"/>
            </w:tcMar>
          </w:tcPr>
          <w:p w14:paraId="675B06C4" w14:textId="77777777" w:rsidR="00BF17C8" w:rsidRPr="00756D59" w:rsidRDefault="00BF17C8" w:rsidP="00876646">
            <w:pPr>
              <w:jc w:val="left"/>
              <w:rPr>
                <w:sz w:val="20"/>
                <w:szCs w:val="20"/>
                <w:lang w:eastAsia="en-CA"/>
              </w:rPr>
            </w:pPr>
            <w:r w:rsidRPr="00756D59">
              <w:rPr>
                <w:bCs/>
                <w:sz w:val="20"/>
                <w:szCs w:val="20"/>
                <w:lang w:eastAsia="en-CA"/>
              </w:rPr>
              <w:t>Iran</w:t>
            </w:r>
            <w:r w:rsidRPr="00756D59">
              <w:rPr>
                <w:sz w:val="20"/>
                <w:szCs w:val="20"/>
                <w:lang w:eastAsia="en-CA"/>
              </w:rPr>
              <w:t xml:space="preserve"> (Islamic Republic of)</w:t>
            </w:r>
          </w:p>
          <w:p w14:paraId="2A1F88D6" w14:textId="77777777" w:rsidR="00BF17C8" w:rsidRPr="00756D59" w:rsidRDefault="00BF17C8" w:rsidP="00876646">
            <w:pPr>
              <w:jc w:val="left"/>
              <w:rPr>
                <w:bCs/>
                <w:sz w:val="20"/>
                <w:szCs w:val="20"/>
                <w:lang w:eastAsia="en-CA"/>
              </w:rPr>
            </w:pPr>
            <w:r w:rsidRPr="00756D59">
              <w:rPr>
                <w:sz w:val="20"/>
                <w:szCs w:val="20"/>
                <w:lang w:eastAsia="en-CA"/>
              </w:rPr>
              <w:t>IRA/SEV/82/TAS/233</w:t>
            </w:r>
          </w:p>
        </w:tc>
        <w:tc>
          <w:tcPr>
            <w:tcW w:w="3352" w:type="dxa"/>
            <w:tcMar>
              <w:left w:w="58" w:type="dxa"/>
              <w:right w:w="58" w:type="dxa"/>
            </w:tcMar>
          </w:tcPr>
          <w:p w14:paraId="16D1485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5D12032"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72CD2243" w14:textId="77777777" w:rsidR="00BF17C8" w:rsidRPr="00756D59" w:rsidRDefault="00BF17C8" w:rsidP="00876646">
            <w:pPr>
              <w:jc w:val="center"/>
              <w:rPr>
                <w:bCs/>
                <w:sz w:val="20"/>
                <w:szCs w:val="20"/>
                <w:lang w:eastAsia="en-CA"/>
              </w:rPr>
            </w:pPr>
            <w:r w:rsidRPr="00756D59">
              <w:rPr>
                <w:bCs/>
                <w:sz w:val="20"/>
                <w:szCs w:val="20"/>
                <w:lang w:eastAsia="en-CA"/>
              </w:rPr>
              <w:t>30.2</w:t>
            </w:r>
          </w:p>
        </w:tc>
        <w:tc>
          <w:tcPr>
            <w:tcW w:w="4531" w:type="dxa"/>
            <w:tcMar>
              <w:left w:w="58" w:type="dxa"/>
              <w:right w:w="58" w:type="dxa"/>
            </w:tcMar>
          </w:tcPr>
          <w:p w14:paraId="42A8472C" w14:textId="77777777" w:rsidR="00BF17C8" w:rsidRPr="00756D59" w:rsidRDefault="00BF17C8" w:rsidP="00876646">
            <w:pPr>
              <w:jc w:val="left"/>
              <w:rPr>
                <w:sz w:val="20"/>
                <w:szCs w:val="20"/>
                <w:lang w:eastAsia="en-CA"/>
              </w:rPr>
            </w:pPr>
            <w:r w:rsidRPr="00756D59">
              <w:rPr>
                <w:sz w:val="20"/>
                <w:szCs w:val="20"/>
                <w:lang w:eastAsia="en-CA"/>
              </w:rPr>
              <w:t>Finalization of the amendment to the draft regulation; development of knowledge products and information materials on Kigali Amendment and safe-handling of low</w:t>
            </w:r>
            <w:r w:rsidRPr="00756D59">
              <w:rPr>
                <w:sz w:val="20"/>
                <w:szCs w:val="20"/>
                <w:lang w:eastAsia="en-CA"/>
              </w:rPr>
              <w:noBreakHyphen/>
              <w:t>GWP technologies for large end users, servicing sector, importers and consumers; and roundtable discussions on low</w:t>
            </w:r>
            <w:r w:rsidRPr="00756D59">
              <w:rPr>
                <w:sz w:val="20"/>
                <w:szCs w:val="20"/>
                <w:lang w:eastAsia="en-CA"/>
              </w:rPr>
              <w:noBreakHyphen/>
              <w:t>GWP alternatives.</w:t>
            </w:r>
          </w:p>
        </w:tc>
        <w:tc>
          <w:tcPr>
            <w:tcW w:w="1629" w:type="dxa"/>
            <w:shd w:val="clear" w:color="auto" w:fill="auto"/>
            <w:tcMar>
              <w:left w:w="58" w:type="dxa"/>
              <w:right w:w="58" w:type="dxa"/>
            </w:tcMar>
          </w:tcPr>
          <w:p w14:paraId="4CBF2CF0" w14:textId="77777777" w:rsidR="00BF17C8" w:rsidRPr="00756D59" w:rsidRDefault="00BF17C8" w:rsidP="00876646">
            <w:pPr>
              <w:jc w:val="center"/>
              <w:rPr>
                <w:bCs/>
                <w:sz w:val="20"/>
                <w:szCs w:val="20"/>
                <w:lang w:eastAsia="en-CA"/>
              </w:rPr>
            </w:pPr>
            <w:r w:rsidRPr="00756D59">
              <w:rPr>
                <w:bCs/>
                <w:sz w:val="20"/>
                <w:szCs w:val="20"/>
                <w:lang w:eastAsia="en-CA"/>
              </w:rPr>
              <w:t>Mar-22</w:t>
            </w:r>
          </w:p>
        </w:tc>
      </w:tr>
      <w:tr w:rsidR="00BF17C8" w:rsidRPr="00756D59" w14:paraId="37E7FAEB" w14:textId="77777777" w:rsidTr="00876646">
        <w:trPr>
          <w:trHeight w:val="337"/>
        </w:trPr>
        <w:tc>
          <w:tcPr>
            <w:tcW w:w="2261" w:type="dxa"/>
            <w:tcMar>
              <w:left w:w="58" w:type="dxa"/>
              <w:right w:w="58" w:type="dxa"/>
            </w:tcMar>
          </w:tcPr>
          <w:p w14:paraId="760064B8" w14:textId="77777777" w:rsidR="00BF17C8" w:rsidRPr="00756D59" w:rsidRDefault="00BF17C8" w:rsidP="00876646">
            <w:pPr>
              <w:jc w:val="left"/>
              <w:rPr>
                <w:sz w:val="20"/>
                <w:szCs w:val="20"/>
                <w:lang w:eastAsia="en-CA"/>
              </w:rPr>
            </w:pPr>
            <w:r w:rsidRPr="00756D59">
              <w:rPr>
                <w:bCs/>
                <w:sz w:val="20"/>
                <w:szCs w:val="20"/>
                <w:lang w:eastAsia="en-CA"/>
              </w:rPr>
              <w:t>Iraq</w:t>
            </w:r>
            <w:r w:rsidRPr="00756D59">
              <w:rPr>
                <w:sz w:val="20"/>
                <w:szCs w:val="20"/>
                <w:lang w:eastAsia="en-CA"/>
              </w:rPr>
              <w:t xml:space="preserve"> </w:t>
            </w:r>
          </w:p>
          <w:p w14:paraId="0824D8BD" w14:textId="77777777" w:rsidR="00BF17C8" w:rsidRPr="00756D59" w:rsidRDefault="00BF17C8" w:rsidP="00876646">
            <w:pPr>
              <w:jc w:val="left"/>
              <w:rPr>
                <w:bCs/>
                <w:sz w:val="20"/>
                <w:szCs w:val="20"/>
                <w:lang w:eastAsia="en-CA"/>
              </w:rPr>
            </w:pPr>
            <w:r w:rsidRPr="00756D59">
              <w:rPr>
                <w:sz w:val="20"/>
                <w:szCs w:val="20"/>
                <w:lang w:eastAsia="en-CA"/>
              </w:rPr>
              <w:t>IRQ/SEV/81/TAS/26</w:t>
            </w:r>
          </w:p>
        </w:tc>
        <w:tc>
          <w:tcPr>
            <w:tcW w:w="3352" w:type="dxa"/>
            <w:tcMar>
              <w:left w:w="58" w:type="dxa"/>
              <w:right w:w="58" w:type="dxa"/>
            </w:tcMar>
          </w:tcPr>
          <w:p w14:paraId="089B81B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0CCD02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C5B481B" w14:textId="77777777" w:rsidR="00BF17C8" w:rsidRPr="00756D59" w:rsidRDefault="00BF17C8" w:rsidP="00876646">
            <w:pPr>
              <w:jc w:val="center"/>
              <w:rPr>
                <w:bCs/>
                <w:sz w:val="20"/>
                <w:szCs w:val="20"/>
                <w:lang w:eastAsia="en-CA"/>
              </w:rPr>
            </w:pPr>
            <w:r w:rsidRPr="00756D59">
              <w:rPr>
                <w:bCs/>
                <w:sz w:val="20"/>
                <w:szCs w:val="20"/>
                <w:lang w:eastAsia="en-CA"/>
              </w:rPr>
              <w:t>30.1</w:t>
            </w:r>
          </w:p>
        </w:tc>
        <w:tc>
          <w:tcPr>
            <w:tcW w:w="4531" w:type="dxa"/>
            <w:tcMar>
              <w:left w:w="58" w:type="dxa"/>
              <w:right w:w="58" w:type="dxa"/>
            </w:tcMar>
          </w:tcPr>
          <w:p w14:paraId="34EA1404" w14:textId="77777777" w:rsidR="00BF17C8" w:rsidRPr="00756D59" w:rsidRDefault="00BF17C8" w:rsidP="00876646">
            <w:pPr>
              <w:jc w:val="left"/>
              <w:rPr>
                <w:sz w:val="20"/>
                <w:szCs w:val="20"/>
                <w:lang w:eastAsia="en-CA"/>
              </w:rPr>
            </w:pPr>
            <w:r w:rsidRPr="00756D59">
              <w:rPr>
                <w:sz w:val="20"/>
                <w:szCs w:val="20"/>
                <w:lang w:eastAsia="en-CA"/>
              </w:rPr>
              <w:t xml:space="preserve">Drafting required ratification instrument; updating the HFC licensing system along with related capacity </w:t>
            </w:r>
            <w:r w:rsidRPr="00756D59">
              <w:rPr>
                <w:sz w:val="20"/>
                <w:szCs w:val="20"/>
                <w:lang w:eastAsia="en-CA"/>
              </w:rPr>
              <w:lastRenderedPageBreak/>
              <w:t>building; and the finalization of country assessment report.</w:t>
            </w:r>
          </w:p>
        </w:tc>
        <w:tc>
          <w:tcPr>
            <w:tcW w:w="1629" w:type="dxa"/>
            <w:shd w:val="clear" w:color="auto" w:fill="auto"/>
            <w:tcMar>
              <w:left w:w="58" w:type="dxa"/>
              <w:right w:w="58" w:type="dxa"/>
            </w:tcMar>
          </w:tcPr>
          <w:p w14:paraId="130EBFFD" w14:textId="77777777" w:rsidR="00BF17C8" w:rsidRPr="00756D59" w:rsidRDefault="00BF17C8" w:rsidP="00876646">
            <w:pPr>
              <w:jc w:val="center"/>
              <w:rPr>
                <w:bCs/>
                <w:sz w:val="20"/>
                <w:szCs w:val="20"/>
                <w:lang w:eastAsia="en-CA"/>
              </w:rPr>
            </w:pPr>
            <w:r w:rsidRPr="00756D59">
              <w:rPr>
                <w:bCs/>
                <w:sz w:val="20"/>
                <w:szCs w:val="20"/>
                <w:lang w:eastAsia="en-CA"/>
              </w:rPr>
              <w:lastRenderedPageBreak/>
              <w:t>Dec-21</w:t>
            </w:r>
          </w:p>
        </w:tc>
      </w:tr>
      <w:tr w:rsidR="00BF17C8" w:rsidRPr="00756D59" w14:paraId="04340373" w14:textId="77777777" w:rsidTr="00876646">
        <w:trPr>
          <w:trHeight w:val="337"/>
        </w:trPr>
        <w:tc>
          <w:tcPr>
            <w:tcW w:w="2261" w:type="dxa"/>
            <w:tcMar>
              <w:left w:w="58" w:type="dxa"/>
              <w:right w:w="58" w:type="dxa"/>
            </w:tcMar>
          </w:tcPr>
          <w:p w14:paraId="5991D114" w14:textId="77777777" w:rsidR="00BF17C8" w:rsidRPr="00756D59" w:rsidRDefault="00BF17C8" w:rsidP="00876646">
            <w:pPr>
              <w:jc w:val="left"/>
              <w:rPr>
                <w:sz w:val="20"/>
                <w:szCs w:val="20"/>
                <w:lang w:eastAsia="en-CA"/>
              </w:rPr>
            </w:pPr>
            <w:r w:rsidRPr="00756D59">
              <w:rPr>
                <w:bCs/>
                <w:sz w:val="20"/>
                <w:szCs w:val="20"/>
                <w:lang w:eastAsia="en-CA"/>
              </w:rPr>
              <w:lastRenderedPageBreak/>
              <w:t>Kenya</w:t>
            </w:r>
            <w:r w:rsidRPr="00756D59">
              <w:rPr>
                <w:sz w:val="20"/>
                <w:szCs w:val="20"/>
                <w:lang w:eastAsia="en-CA"/>
              </w:rPr>
              <w:t xml:space="preserve"> </w:t>
            </w:r>
          </w:p>
          <w:p w14:paraId="4A0EBF96" w14:textId="77777777" w:rsidR="00BF17C8" w:rsidRPr="00756D59" w:rsidRDefault="00BF17C8" w:rsidP="00876646">
            <w:pPr>
              <w:jc w:val="left"/>
              <w:rPr>
                <w:bCs/>
                <w:sz w:val="20"/>
                <w:szCs w:val="20"/>
                <w:lang w:eastAsia="en-CA"/>
              </w:rPr>
            </w:pPr>
            <w:r w:rsidRPr="00756D59">
              <w:rPr>
                <w:sz w:val="20"/>
                <w:szCs w:val="20"/>
                <w:lang w:eastAsia="en-CA"/>
              </w:rPr>
              <w:t>KEN/SEV/81/TAS/01+</w:t>
            </w:r>
          </w:p>
        </w:tc>
        <w:tc>
          <w:tcPr>
            <w:tcW w:w="3352" w:type="dxa"/>
            <w:tcMar>
              <w:left w:w="58" w:type="dxa"/>
              <w:right w:w="58" w:type="dxa"/>
            </w:tcMar>
          </w:tcPr>
          <w:p w14:paraId="32D8B6B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EE70A96"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08DF07D" w14:textId="77777777" w:rsidR="00BF17C8" w:rsidRPr="00756D59" w:rsidRDefault="00BF17C8" w:rsidP="00876646">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204FB6A4" w14:textId="77777777" w:rsidR="00BF17C8" w:rsidRPr="00756D59" w:rsidRDefault="00BF17C8" w:rsidP="00876646">
            <w:pPr>
              <w:jc w:val="left"/>
              <w:rPr>
                <w:sz w:val="20"/>
                <w:szCs w:val="20"/>
                <w:lang w:eastAsia="en-CA"/>
              </w:rPr>
            </w:pPr>
            <w:r w:rsidRPr="00756D59">
              <w:rPr>
                <w:sz w:val="20"/>
                <w:szCs w:val="20"/>
                <w:lang w:eastAsia="en-CA"/>
              </w:rPr>
              <w:t>Conducting sensitization meetings/workshops for technicians on safe handling of HFCs and their alternatives; sensitizing the public on the phase</w:t>
            </w:r>
            <w:r w:rsidRPr="00756D59">
              <w:rPr>
                <w:sz w:val="20"/>
                <w:szCs w:val="20"/>
                <w:lang w:eastAsia="en-CA"/>
              </w:rPr>
              <w:noBreakHyphen/>
              <w:t>down of HFCs and the Kigali Amendment; and organization of informative workshops and surveys to identify barriers for introduction of low-GWP alternatives for the servicing sector.</w:t>
            </w:r>
          </w:p>
        </w:tc>
        <w:tc>
          <w:tcPr>
            <w:tcW w:w="1629" w:type="dxa"/>
            <w:shd w:val="clear" w:color="auto" w:fill="auto"/>
            <w:tcMar>
              <w:left w:w="58" w:type="dxa"/>
              <w:right w:w="58" w:type="dxa"/>
            </w:tcMar>
          </w:tcPr>
          <w:p w14:paraId="2D1E7324"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77A25E3" w14:textId="77777777" w:rsidTr="00876646">
        <w:trPr>
          <w:trHeight w:val="337"/>
        </w:trPr>
        <w:tc>
          <w:tcPr>
            <w:tcW w:w="2261" w:type="dxa"/>
            <w:tcMar>
              <w:left w:w="58" w:type="dxa"/>
              <w:right w:w="58" w:type="dxa"/>
            </w:tcMar>
          </w:tcPr>
          <w:p w14:paraId="5A74FE4F" w14:textId="77777777" w:rsidR="00BF17C8" w:rsidRPr="00756D59" w:rsidRDefault="00BF17C8" w:rsidP="00876646">
            <w:pPr>
              <w:jc w:val="left"/>
              <w:rPr>
                <w:sz w:val="20"/>
                <w:szCs w:val="20"/>
                <w:lang w:eastAsia="en-CA"/>
              </w:rPr>
            </w:pPr>
            <w:r w:rsidRPr="00756D59">
              <w:rPr>
                <w:bCs/>
                <w:sz w:val="20"/>
                <w:szCs w:val="20"/>
                <w:lang w:eastAsia="en-CA"/>
              </w:rPr>
              <w:t>Kiribati</w:t>
            </w:r>
            <w:r w:rsidRPr="00756D59">
              <w:rPr>
                <w:sz w:val="20"/>
                <w:szCs w:val="20"/>
                <w:lang w:eastAsia="en-CA"/>
              </w:rPr>
              <w:t xml:space="preserve"> </w:t>
            </w:r>
          </w:p>
          <w:p w14:paraId="554D0AFE" w14:textId="77777777" w:rsidR="00BF17C8" w:rsidRPr="00756D59" w:rsidRDefault="00BF17C8" w:rsidP="00876646">
            <w:pPr>
              <w:jc w:val="left"/>
              <w:rPr>
                <w:bCs/>
                <w:sz w:val="20"/>
                <w:szCs w:val="20"/>
                <w:lang w:eastAsia="en-CA"/>
              </w:rPr>
            </w:pPr>
            <w:r w:rsidRPr="00756D59">
              <w:rPr>
                <w:sz w:val="20"/>
                <w:szCs w:val="20"/>
                <w:lang w:eastAsia="en-CA"/>
              </w:rPr>
              <w:t>KIR/SEV/81/TAS/01+</w:t>
            </w:r>
          </w:p>
        </w:tc>
        <w:tc>
          <w:tcPr>
            <w:tcW w:w="3352" w:type="dxa"/>
            <w:tcMar>
              <w:left w:w="58" w:type="dxa"/>
              <w:right w:w="58" w:type="dxa"/>
            </w:tcMar>
          </w:tcPr>
          <w:p w14:paraId="07AB9A81"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D52ED60"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16963A6" w14:textId="77777777" w:rsidR="00BF17C8" w:rsidRPr="00756D59" w:rsidRDefault="00BF17C8" w:rsidP="00876646">
            <w:pPr>
              <w:jc w:val="center"/>
              <w:rPr>
                <w:bCs/>
                <w:sz w:val="20"/>
                <w:szCs w:val="20"/>
                <w:lang w:eastAsia="en-CA"/>
              </w:rPr>
            </w:pPr>
            <w:r w:rsidRPr="00756D59">
              <w:rPr>
                <w:bCs/>
                <w:sz w:val="20"/>
                <w:szCs w:val="20"/>
                <w:lang w:eastAsia="en-CA"/>
              </w:rPr>
              <w:t>50.3</w:t>
            </w:r>
          </w:p>
        </w:tc>
        <w:tc>
          <w:tcPr>
            <w:tcW w:w="4531" w:type="dxa"/>
            <w:tcMar>
              <w:left w:w="58" w:type="dxa"/>
              <w:right w:w="58" w:type="dxa"/>
            </w:tcMar>
          </w:tcPr>
          <w:p w14:paraId="5320C719"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trainings for servicing sector; finalization of draft regulation amendment; and development of knowledge products and information materials on Kigali Amendment and safe 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2B82E439"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02879139" w14:textId="77777777" w:rsidTr="00876646">
        <w:trPr>
          <w:trHeight w:val="337"/>
        </w:trPr>
        <w:tc>
          <w:tcPr>
            <w:tcW w:w="2261" w:type="dxa"/>
            <w:tcMar>
              <w:left w:w="58" w:type="dxa"/>
              <w:right w:w="58" w:type="dxa"/>
            </w:tcMar>
          </w:tcPr>
          <w:p w14:paraId="040C64BD" w14:textId="77777777" w:rsidR="00BF17C8" w:rsidRPr="00756D59" w:rsidRDefault="00BF17C8" w:rsidP="00876646">
            <w:pPr>
              <w:jc w:val="left"/>
              <w:rPr>
                <w:sz w:val="20"/>
                <w:szCs w:val="20"/>
                <w:lang w:eastAsia="en-CA"/>
              </w:rPr>
            </w:pPr>
            <w:r w:rsidRPr="00756D59">
              <w:rPr>
                <w:bCs/>
                <w:sz w:val="20"/>
                <w:szCs w:val="20"/>
                <w:lang w:eastAsia="en-CA"/>
              </w:rPr>
              <w:t>Kuwait</w:t>
            </w:r>
            <w:r w:rsidRPr="00756D59">
              <w:rPr>
                <w:sz w:val="20"/>
                <w:szCs w:val="20"/>
                <w:lang w:eastAsia="en-CA"/>
              </w:rPr>
              <w:t xml:space="preserve"> </w:t>
            </w:r>
          </w:p>
          <w:p w14:paraId="6A815005" w14:textId="77777777" w:rsidR="00BF17C8" w:rsidRPr="00756D59" w:rsidRDefault="00BF17C8" w:rsidP="00876646">
            <w:pPr>
              <w:jc w:val="left"/>
              <w:rPr>
                <w:bCs/>
                <w:sz w:val="20"/>
                <w:szCs w:val="20"/>
                <w:lang w:eastAsia="en-CA"/>
              </w:rPr>
            </w:pPr>
            <w:r w:rsidRPr="00756D59">
              <w:rPr>
                <w:sz w:val="20"/>
                <w:szCs w:val="20"/>
                <w:lang w:eastAsia="en-CA"/>
              </w:rPr>
              <w:t>KUW/SEV/81/TAS/33</w:t>
            </w:r>
          </w:p>
        </w:tc>
        <w:tc>
          <w:tcPr>
            <w:tcW w:w="3352" w:type="dxa"/>
            <w:tcMar>
              <w:left w:w="58" w:type="dxa"/>
              <w:right w:w="58" w:type="dxa"/>
            </w:tcMar>
          </w:tcPr>
          <w:p w14:paraId="7DE7B3D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CEB521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BA0B10" w14:textId="77777777" w:rsidR="00BF17C8" w:rsidRPr="00756D59" w:rsidRDefault="00BF17C8" w:rsidP="00876646">
            <w:pPr>
              <w:jc w:val="center"/>
              <w:rPr>
                <w:bCs/>
                <w:sz w:val="20"/>
                <w:szCs w:val="20"/>
                <w:lang w:eastAsia="en-CA"/>
              </w:rPr>
            </w:pPr>
            <w:r w:rsidRPr="00756D59">
              <w:rPr>
                <w:bCs/>
                <w:sz w:val="20"/>
                <w:szCs w:val="20"/>
                <w:lang w:eastAsia="en-CA"/>
              </w:rPr>
              <w:t>3.9</w:t>
            </w:r>
          </w:p>
        </w:tc>
        <w:tc>
          <w:tcPr>
            <w:tcW w:w="4531" w:type="dxa"/>
            <w:tcMar>
              <w:left w:w="58" w:type="dxa"/>
              <w:right w:w="58" w:type="dxa"/>
            </w:tcMar>
          </w:tcPr>
          <w:p w14:paraId="3E472733" w14:textId="77777777" w:rsidR="00BF17C8" w:rsidRPr="00756D59" w:rsidRDefault="00BF17C8" w:rsidP="00876646">
            <w:pPr>
              <w:jc w:val="left"/>
              <w:rPr>
                <w:sz w:val="20"/>
                <w:szCs w:val="20"/>
                <w:lang w:eastAsia="en-CA"/>
              </w:rPr>
            </w:pPr>
            <w:r w:rsidRPr="00756D59">
              <w:rPr>
                <w:sz w:val="20"/>
                <w:szCs w:val="20"/>
                <w:lang w:eastAsia="en-CA"/>
              </w:rPr>
              <w:t>Drafting required ratification instrument; updating the HFC licensing system along with related capacity building activities; capacity building and training for ODS alternatives, building national registry and information system to register all controlled substances and products and building database for different uses and users; and final country assessment report.</w:t>
            </w:r>
          </w:p>
        </w:tc>
        <w:tc>
          <w:tcPr>
            <w:tcW w:w="1629" w:type="dxa"/>
            <w:shd w:val="clear" w:color="auto" w:fill="auto"/>
            <w:tcMar>
              <w:left w:w="58" w:type="dxa"/>
              <w:right w:w="58" w:type="dxa"/>
            </w:tcMar>
          </w:tcPr>
          <w:p w14:paraId="4AB7A6D2"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0159CB90" w14:textId="77777777" w:rsidTr="00876646">
        <w:trPr>
          <w:trHeight w:val="337"/>
        </w:trPr>
        <w:tc>
          <w:tcPr>
            <w:tcW w:w="2261" w:type="dxa"/>
            <w:tcMar>
              <w:left w:w="58" w:type="dxa"/>
              <w:right w:w="58" w:type="dxa"/>
            </w:tcMar>
          </w:tcPr>
          <w:p w14:paraId="25DADD66" w14:textId="77777777" w:rsidR="00BF17C8" w:rsidRPr="00756D59" w:rsidRDefault="00BF17C8" w:rsidP="00876646">
            <w:pPr>
              <w:jc w:val="left"/>
              <w:rPr>
                <w:sz w:val="20"/>
                <w:szCs w:val="20"/>
                <w:lang w:eastAsia="en-CA"/>
              </w:rPr>
            </w:pPr>
            <w:r w:rsidRPr="00756D59">
              <w:rPr>
                <w:bCs/>
                <w:sz w:val="20"/>
                <w:szCs w:val="20"/>
                <w:lang w:eastAsia="en-CA"/>
              </w:rPr>
              <w:t>Lao People’s Democratic Republic (the)</w:t>
            </w:r>
          </w:p>
          <w:p w14:paraId="586C538B" w14:textId="77777777" w:rsidR="00BF17C8" w:rsidRPr="00756D59" w:rsidRDefault="00BF17C8" w:rsidP="00876646">
            <w:pPr>
              <w:jc w:val="left"/>
              <w:rPr>
                <w:bCs/>
                <w:sz w:val="20"/>
                <w:szCs w:val="20"/>
                <w:lang w:eastAsia="en-CA"/>
              </w:rPr>
            </w:pPr>
            <w:r w:rsidRPr="00756D59">
              <w:rPr>
                <w:sz w:val="20"/>
                <w:szCs w:val="20"/>
                <w:lang w:eastAsia="en-CA"/>
              </w:rPr>
              <w:t>LAO/SEV/81/TAS/01+</w:t>
            </w:r>
          </w:p>
        </w:tc>
        <w:tc>
          <w:tcPr>
            <w:tcW w:w="3352" w:type="dxa"/>
            <w:tcMar>
              <w:left w:w="58" w:type="dxa"/>
              <w:right w:w="58" w:type="dxa"/>
            </w:tcMar>
          </w:tcPr>
          <w:p w14:paraId="4ECDE2E6"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B865E8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CE4699B" w14:textId="77777777" w:rsidR="00BF17C8" w:rsidRPr="00756D59" w:rsidRDefault="00BF17C8" w:rsidP="00876646">
            <w:pPr>
              <w:jc w:val="center"/>
              <w:rPr>
                <w:bCs/>
                <w:sz w:val="20"/>
                <w:szCs w:val="20"/>
                <w:lang w:eastAsia="en-CA"/>
              </w:rPr>
            </w:pPr>
            <w:r w:rsidRPr="00756D59">
              <w:rPr>
                <w:bCs/>
                <w:sz w:val="20"/>
                <w:szCs w:val="20"/>
                <w:lang w:eastAsia="en-CA"/>
              </w:rPr>
              <w:t>29.3</w:t>
            </w:r>
          </w:p>
        </w:tc>
        <w:tc>
          <w:tcPr>
            <w:tcW w:w="4531" w:type="dxa"/>
            <w:tcMar>
              <w:left w:w="58" w:type="dxa"/>
              <w:right w:w="58" w:type="dxa"/>
            </w:tcMar>
          </w:tcPr>
          <w:p w14:paraId="61B44AFB"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trainings; finalization of draft regulation amendment; development of knowledge products and information materials; consultations with energy office, importers and traders; and public event with energy office.</w:t>
            </w:r>
          </w:p>
        </w:tc>
        <w:tc>
          <w:tcPr>
            <w:tcW w:w="1629" w:type="dxa"/>
            <w:shd w:val="clear" w:color="auto" w:fill="auto"/>
            <w:tcMar>
              <w:left w:w="58" w:type="dxa"/>
              <w:right w:w="58" w:type="dxa"/>
            </w:tcMar>
          </w:tcPr>
          <w:p w14:paraId="5CAD59C5"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413395B" w14:textId="77777777" w:rsidTr="00876646">
        <w:trPr>
          <w:trHeight w:val="337"/>
        </w:trPr>
        <w:tc>
          <w:tcPr>
            <w:tcW w:w="2261" w:type="dxa"/>
            <w:tcMar>
              <w:left w:w="58" w:type="dxa"/>
              <w:right w:w="58" w:type="dxa"/>
            </w:tcMar>
          </w:tcPr>
          <w:p w14:paraId="6CE3037D" w14:textId="77777777" w:rsidR="00BF17C8" w:rsidRPr="00756D59" w:rsidRDefault="00BF17C8" w:rsidP="00876646">
            <w:pPr>
              <w:jc w:val="left"/>
              <w:rPr>
                <w:sz w:val="20"/>
                <w:szCs w:val="20"/>
                <w:lang w:eastAsia="en-CA"/>
              </w:rPr>
            </w:pPr>
            <w:r w:rsidRPr="00756D59">
              <w:rPr>
                <w:bCs/>
                <w:sz w:val="20"/>
                <w:szCs w:val="20"/>
                <w:lang w:eastAsia="en-CA"/>
              </w:rPr>
              <w:t>Madagascar</w:t>
            </w:r>
            <w:r w:rsidRPr="00756D59">
              <w:rPr>
                <w:sz w:val="20"/>
                <w:szCs w:val="20"/>
                <w:lang w:eastAsia="en-CA"/>
              </w:rPr>
              <w:t xml:space="preserve"> </w:t>
            </w:r>
          </w:p>
          <w:p w14:paraId="5C09CABF" w14:textId="77777777" w:rsidR="00BF17C8" w:rsidRPr="00756D59" w:rsidRDefault="00BF17C8" w:rsidP="00876646">
            <w:pPr>
              <w:jc w:val="left"/>
              <w:rPr>
                <w:bCs/>
                <w:sz w:val="20"/>
                <w:szCs w:val="20"/>
                <w:lang w:eastAsia="en-CA"/>
              </w:rPr>
            </w:pPr>
            <w:r w:rsidRPr="00756D59">
              <w:rPr>
                <w:sz w:val="20"/>
                <w:szCs w:val="20"/>
                <w:lang w:eastAsia="en-CA"/>
              </w:rPr>
              <w:t>MAG/SEV/81/TAS/01+</w:t>
            </w:r>
          </w:p>
        </w:tc>
        <w:tc>
          <w:tcPr>
            <w:tcW w:w="3352" w:type="dxa"/>
            <w:tcMar>
              <w:left w:w="58" w:type="dxa"/>
              <w:right w:w="58" w:type="dxa"/>
            </w:tcMar>
          </w:tcPr>
          <w:p w14:paraId="7EB3DBD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50510B5"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E5ECEB0" w14:textId="77777777" w:rsidR="00BF17C8" w:rsidRPr="00756D59" w:rsidRDefault="00BF17C8" w:rsidP="00876646">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562C1518" w14:textId="77777777" w:rsidR="00BF17C8" w:rsidRPr="00756D59" w:rsidRDefault="00BF17C8" w:rsidP="00876646">
            <w:pPr>
              <w:jc w:val="left"/>
              <w:rPr>
                <w:sz w:val="20"/>
                <w:szCs w:val="20"/>
                <w:lang w:eastAsia="en-CA"/>
              </w:rPr>
            </w:pPr>
            <w:r w:rsidRPr="00756D59">
              <w:rPr>
                <w:sz w:val="20"/>
                <w:szCs w:val="20"/>
                <w:lang w:eastAsia="en-CA"/>
              </w:rPr>
              <w:t xml:space="preserve">Finalization of the package on the ratification of the Kigali Amendment and advancing the ratification process; drafting the law on ratification of the Kigali Amendment with the justification document, as required by the national legislative process; and undertaking the training needs assessment for the servicing sector and preparing an assessment report </w:t>
            </w:r>
            <w:r w:rsidRPr="00756D59">
              <w:rPr>
                <w:sz w:val="20"/>
                <w:szCs w:val="20"/>
                <w:lang w:eastAsia="en-CA"/>
              </w:rPr>
              <w:lastRenderedPageBreak/>
              <w:t xml:space="preserve">that will be used for further planning of the activities related to use of HFCs and low-GWP alternatives. </w:t>
            </w:r>
          </w:p>
        </w:tc>
        <w:tc>
          <w:tcPr>
            <w:tcW w:w="1629" w:type="dxa"/>
            <w:shd w:val="clear" w:color="auto" w:fill="auto"/>
            <w:tcMar>
              <w:left w:w="58" w:type="dxa"/>
              <w:right w:w="58" w:type="dxa"/>
            </w:tcMar>
          </w:tcPr>
          <w:p w14:paraId="74322DC8"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061557E6" w14:textId="77777777" w:rsidTr="00876646">
        <w:trPr>
          <w:trHeight w:val="337"/>
        </w:trPr>
        <w:tc>
          <w:tcPr>
            <w:tcW w:w="2261" w:type="dxa"/>
            <w:tcMar>
              <w:left w:w="58" w:type="dxa"/>
              <w:right w:w="58" w:type="dxa"/>
            </w:tcMar>
          </w:tcPr>
          <w:p w14:paraId="308C40E2" w14:textId="77777777" w:rsidR="00BF17C8" w:rsidRPr="00756D59" w:rsidRDefault="00BF17C8" w:rsidP="00876646">
            <w:pPr>
              <w:jc w:val="left"/>
              <w:rPr>
                <w:sz w:val="20"/>
                <w:szCs w:val="20"/>
                <w:lang w:eastAsia="en-CA"/>
              </w:rPr>
            </w:pPr>
            <w:r w:rsidRPr="00756D59">
              <w:rPr>
                <w:bCs/>
                <w:sz w:val="20"/>
                <w:szCs w:val="20"/>
                <w:lang w:eastAsia="en-CA"/>
              </w:rPr>
              <w:lastRenderedPageBreak/>
              <w:t>Malawi</w:t>
            </w:r>
            <w:r w:rsidRPr="00756D59">
              <w:rPr>
                <w:sz w:val="20"/>
                <w:szCs w:val="20"/>
                <w:lang w:eastAsia="en-CA"/>
              </w:rPr>
              <w:t xml:space="preserve"> </w:t>
            </w:r>
          </w:p>
          <w:p w14:paraId="0FA1FC5D" w14:textId="77777777" w:rsidR="00BF17C8" w:rsidRPr="00756D59" w:rsidRDefault="00BF17C8" w:rsidP="00876646">
            <w:pPr>
              <w:jc w:val="left"/>
              <w:rPr>
                <w:bCs/>
                <w:sz w:val="20"/>
                <w:szCs w:val="20"/>
                <w:lang w:eastAsia="en-CA"/>
              </w:rPr>
            </w:pPr>
            <w:r w:rsidRPr="00756D59">
              <w:rPr>
                <w:sz w:val="20"/>
                <w:szCs w:val="20"/>
                <w:lang w:eastAsia="en-CA"/>
              </w:rPr>
              <w:t>MLW/SEV/81/TAS/01+</w:t>
            </w:r>
          </w:p>
        </w:tc>
        <w:tc>
          <w:tcPr>
            <w:tcW w:w="3352" w:type="dxa"/>
            <w:tcMar>
              <w:left w:w="58" w:type="dxa"/>
              <w:right w:w="58" w:type="dxa"/>
            </w:tcMar>
          </w:tcPr>
          <w:p w14:paraId="545B4297"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C168DA5"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44D746" w14:textId="77777777" w:rsidR="00BF17C8" w:rsidRPr="00756D59" w:rsidRDefault="00BF17C8" w:rsidP="00876646">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24035439" w14:textId="77777777" w:rsidR="00BF17C8" w:rsidRPr="00756D59" w:rsidRDefault="00BF17C8" w:rsidP="00876646">
            <w:pPr>
              <w:jc w:val="left"/>
              <w:rPr>
                <w:sz w:val="20"/>
                <w:szCs w:val="20"/>
                <w:lang w:eastAsia="en-CA"/>
              </w:rPr>
            </w:pPr>
            <w:r w:rsidRPr="00756D59">
              <w:rPr>
                <w:sz w:val="20"/>
                <w:szCs w:val="20"/>
                <w:lang w:eastAsia="en-CA"/>
              </w:rPr>
              <w:t>Conducting consultations with enforcement agencies on monitoring and controlling imports and exports of HFCs and HFC</w:t>
            </w:r>
            <w:r w:rsidRPr="00756D59">
              <w:rPr>
                <w:sz w:val="20"/>
                <w:szCs w:val="20"/>
                <w:lang w:eastAsia="en-CA"/>
              </w:rPr>
              <w:noBreakHyphen/>
              <w:t>based products; developing electronic registry for HFCs and their alternatives; and assisting customs office in developing national custom codes for different HFCs and including them into the Customs Tariff.</w:t>
            </w:r>
          </w:p>
        </w:tc>
        <w:tc>
          <w:tcPr>
            <w:tcW w:w="1629" w:type="dxa"/>
            <w:shd w:val="clear" w:color="auto" w:fill="auto"/>
            <w:tcMar>
              <w:left w:w="58" w:type="dxa"/>
              <w:right w:w="58" w:type="dxa"/>
            </w:tcMar>
          </w:tcPr>
          <w:p w14:paraId="2EC2E699"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37B99DB" w14:textId="77777777" w:rsidTr="00876646">
        <w:trPr>
          <w:trHeight w:val="337"/>
        </w:trPr>
        <w:tc>
          <w:tcPr>
            <w:tcW w:w="2261" w:type="dxa"/>
            <w:tcMar>
              <w:left w:w="58" w:type="dxa"/>
              <w:right w:w="58" w:type="dxa"/>
            </w:tcMar>
          </w:tcPr>
          <w:p w14:paraId="7BD9BDA3" w14:textId="77777777" w:rsidR="00BF17C8" w:rsidRPr="00756D59" w:rsidRDefault="00BF17C8" w:rsidP="00876646">
            <w:pPr>
              <w:jc w:val="left"/>
              <w:rPr>
                <w:sz w:val="20"/>
                <w:szCs w:val="20"/>
                <w:lang w:eastAsia="en-CA"/>
              </w:rPr>
            </w:pPr>
            <w:r w:rsidRPr="00756D59">
              <w:rPr>
                <w:bCs/>
                <w:sz w:val="20"/>
                <w:szCs w:val="20"/>
                <w:lang w:eastAsia="en-CA"/>
              </w:rPr>
              <w:t>Maldives</w:t>
            </w:r>
            <w:r w:rsidRPr="00756D59">
              <w:rPr>
                <w:sz w:val="20"/>
                <w:szCs w:val="20"/>
                <w:lang w:eastAsia="en-CA"/>
              </w:rPr>
              <w:t xml:space="preserve"> </w:t>
            </w:r>
          </w:p>
          <w:p w14:paraId="6B4D010F" w14:textId="77777777" w:rsidR="00BF17C8" w:rsidRPr="00756D59" w:rsidRDefault="00BF17C8" w:rsidP="00876646">
            <w:pPr>
              <w:jc w:val="left"/>
              <w:rPr>
                <w:bCs/>
                <w:sz w:val="20"/>
                <w:szCs w:val="20"/>
                <w:lang w:eastAsia="en-CA"/>
              </w:rPr>
            </w:pPr>
            <w:r w:rsidRPr="00756D59">
              <w:rPr>
                <w:sz w:val="20"/>
                <w:szCs w:val="20"/>
                <w:lang w:eastAsia="en-CA"/>
              </w:rPr>
              <w:t>MDV/SEV/80/TAS/01+</w:t>
            </w:r>
          </w:p>
        </w:tc>
        <w:tc>
          <w:tcPr>
            <w:tcW w:w="3352" w:type="dxa"/>
            <w:tcMar>
              <w:left w:w="58" w:type="dxa"/>
              <w:right w:w="58" w:type="dxa"/>
            </w:tcMar>
          </w:tcPr>
          <w:p w14:paraId="042E9D8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B5F02DE"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6FDAD8D" w14:textId="77777777" w:rsidR="00BF17C8" w:rsidRPr="00756D59" w:rsidRDefault="00BF17C8" w:rsidP="00876646">
            <w:pPr>
              <w:jc w:val="center"/>
              <w:rPr>
                <w:bCs/>
                <w:sz w:val="20"/>
                <w:szCs w:val="20"/>
                <w:lang w:eastAsia="en-CA"/>
              </w:rPr>
            </w:pPr>
            <w:r w:rsidRPr="00756D59">
              <w:rPr>
                <w:bCs/>
                <w:sz w:val="20"/>
                <w:szCs w:val="20"/>
                <w:lang w:eastAsia="en-CA"/>
              </w:rPr>
              <w:t>95</w:t>
            </w:r>
          </w:p>
        </w:tc>
        <w:tc>
          <w:tcPr>
            <w:tcW w:w="4531" w:type="dxa"/>
            <w:tcMar>
              <w:left w:w="58" w:type="dxa"/>
              <w:right w:w="58" w:type="dxa"/>
            </w:tcMar>
          </w:tcPr>
          <w:p w14:paraId="5CF7EF2F"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 drafting regulation amendment; and survey for cold chain database.</w:t>
            </w:r>
          </w:p>
        </w:tc>
        <w:tc>
          <w:tcPr>
            <w:tcW w:w="1629" w:type="dxa"/>
            <w:shd w:val="clear" w:color="auto" w:fill="auto"/>
            <w:tcMar>
              <w:left w:w="58" w:type="dxa"/>
              <w:right w:w="58" w:type="dxa"/>
            </w:tcMar>
          </w:tcPr>
          <w:p w14:paraId="2E9FCCAB"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0B8790F7" w14:textId="77777777" w:rsidTr="00876646">
        <w:trPr>
          <w:trHeight w:val="337"/>
        </w:trPr>
        <w:tc>
          <w:tcPr>
            <w:tcW w:w="2261" w:type="dxa"/>
            <w:tcMar>
              <w:left w:w="58" w:type="dxa"/>
              <w:right w:w="58" w:type="dxa"/>
            </w:tcMar>
          </w:tcPr>
          <w:p w14:paraId="77CA4950" w14:textId="77777777" w:rsidR="00BF17C8" w:rsidRPr="00756D59" w:rsidRDefault="00BF17C8" w:rsidP="00876646">
            <w:pPr>
              <w:jc w:val="left"/>
              <w:rPr>
                <w:sz w:val="20"/>
                <w:szCs w:val="20"/>
                <w:lang w:eastAsia="en-CA"/>
              </w:rPr>
            </w:pPr>
            <w:r w:rsidRPr="00756D59">
              <w:rPr>
                <w:bCs/>
                <w:sz w:val="20"/>
                <w:szCs w:val="20"/>
                <w:lang w:eastAsia="en-CA"/>
              </w:rPr>
              <w:t>Mali</w:t>
            </w:r>
            <w:r w:rsidRPr="00756D59">
              <w:rPr>
                <w:sz w:val="20"/>
                <w:szCs w:val="20"/>
                <w:lang w:eastAsia="en-CA"/>
              </w:rPr>
              <w:t xml:space="preserve"> </w:t>
            </w:r>
          </w:p>
          <w:p w14:paraId="266B6B57" w14:textId="77777777" w:rsidR="00BF17C8" w:rsidRPr="00756D59" w:rsidRDefault="00BF17C8" w:rsidP="00876646">
            <w:pPr>
              <w:jc w:val="left"/>
              <w:rPr>
                <w:bCs/>
                <w:sz w:val="20"/>
                <w:szCs w:val="20"/>
                <w:lang w:eastAsia="en-CA"/>
              </w:rPr>
            </w:pPr>
            <w:r w:rsidRPr="00756D59">
              <w:rPr>
                <w:sz w:val="20"/>
                <w:szCs w:val="20"/>
                <w:lang w:eastAsia="en-CA"/>
              </w:rPr>
              <w:t>MLI/SEV/81/TAS/01+</w:t>
            </w:r>
          </w:p>
        </w:tc>
        <w:tc>
          <w:tcPr>
            <w:tcW w:w="3352" w:type="dxa"/>
            <w:tcMar>
              <w:left w:w="58" w:type="dxa"/>
              <w:right w:w="58" w:type="dxa"/>
            </w:tcMar>
          </w:tcPr>
          <w:p w14:paraId="0201A407"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3FE5598"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F2672C7" w14:textId="77777777" w:rsidR="00BF17C8" w:rsidRPr="00756D59" w:rsidRDefault="00BF17C8" w:rsidP="00876646">
            <w:pPr>
              <w:jc w:val="center"/>
              <w:rPr>
                <w:bCs/>
                <w:sz w:val="20"/>
                <w:szCs w:val="20"/>
                <w:lang w:eastAsia="en-CA"/>
              </w:rPr>
            </w:pPr>
            <w:r w:rsidRPr="00756D59">
              <w:rPr>
                <w:bCs/>
                <w:sz w:val="20"/>
                <w:szCs w:val="20"/>
                <w:lang w:eastAsia="en-CA"/>
              </w:rPr>
              <w:t>66.5</w:t>
            </w:r>
          </w:p>
        </w:tc>
        <w:tc>
          <w:tcPr>
            <w:tcW w:w="4531" w:type="dxa"/>
            <w:tcMar>
              <w:left w:w="58" w:type="dxa"/>
              <w:right w:w="58" w:type="dxa"/>
            </w:tcMar>
          </w:tcPr>
          <w:p w14:paraId="210DFC82" w14:textId="77777777" w:rsidR="00BF17C8" w:rsidRPr="00756D59" w:rsidRDefault="00BF17C8" w:rsidP="00876646">
            <w:pPr>
              <w:jc w:val="left"/>
              <w:rPr>
                <w:sz w:val="20"/>
                <w:szCs w:val="20"/>
                <w:lang w:eastAsia="en-CA"/>
              </w:rPr>
            </w:pPr>
            <w:r w:rsidRPr="00756D59">
              <w:rPr>
                <w:sz w:val="20"/>
                <w:szCs w:val="20"/>
                <w:lang w:eastAsia="en-CA"/>
              </w:rPr>
              <w:t xml:space="preserve">Development of country-specific HS codes for HFCs; undertaking training need assessment for servicing sector; and assisting customs office in developing national custom codes for different HFCs and including them in the Customs Tariff to ensure proper monitoring and recording of imports/exports or re-export of individual HFCs. </w:t>
            </w:r>
          </w:p>
        </w:tc>
        <w:tc>
          <w:tcPr>
            <w:tcW w:w="1629" w:type="dxa"/>
            <w:shd w:val="clear" w:color="auto" w:fill="auto"/>
            <w:tcMar>
              <w:left w:w="58" w:type="dxa"/>
              <w:right w:w="58" w:type="dxa"/>
            </w:tcMar>
          </w:tcPr>
          <w:p w14:paraId="309CD441"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307D4F41" w14:textId="77777777" w:rsidTr="00876646">
        <w:trPr>
          <w:trHeight w:val="337"/>
        </w:trPr>
        <w:tc>
          <w:tcPr>
            <w:tcW w:w="2261" w:type="dxa"/>
            <w:tcMar>
              <w:left w:w="58" w:type="dxa"/>
              <w:right w:w="58" w:type="dxa"/>
            </w:tcMar>
          </w:tcPr>
          <w:p w14:paraId="6AD114EA" w14:textId="77777777" w:rsidR="00BF17C8" w:rsidRPr="00756D59" w:rsidRDefault="00BF17C8" w:rsidP="00876646">
            <w:pPr>
              <w:jc w:val="left"/>
              <w:rPr>
                <w:sz w:val="20"/>
                <w:szCs w:val="20"/>
                <w:lang w:eastAsia="en-CA"/>
              </w:rPr>
            </w:pPr>
            <w:r w:rsidRPr="00756D59">
              <w:rPr>
                <w:bCs/>
                <w:sz w:val="20"/>
                <w:szCs w:val="20"/>
                <w:lang w:eastAsia="en-CA"/>
              </w:rPr>
              <w:t>Marshall Islands (the)</w:t>
            </w:r>
            <w:r w:rsidRPr="00756D59">
              <w:rPr>
                <w:sz w:val="20"/>
                <w:szCs w:val="20"/>
                <w:lang w:eastAsia="en-CA"/>
              </w:rPr>
              <w:t xml:space="preserve"> </w:t>
            </w:r>
          </w:p>
          <w:p w14:paraId="721C5642" w14:textId="77777777" w:rsidR="00BF17C8" w:rsidRPr="00756D59" w:rsidRDefault="00BF17C8" w:rsidP="00876646">
            <w:pPr>
              <w:jc w:val="left"/>
              <w:rPr>
                <w:bCs/>
                <w:sz w:val="20"/>
                <w:szCs w:val="20"/>
                <w:lang w:eastAsia="en-CA"/>
              </w:rPr>
            </w:pPr>
            <w:r w:rsidRPr="00756D59">
              <w:rPr>
                <w:sz w:val="20"/>
                <w:szCs w:val="20"/>
                <w:lang w:eastAsia="en-CA"/>
              </w:rPr>
              <w:t>MAS/SEV/81/TAS/01+</w:t>
            </w:r>
          </w:p>
        </w:tc>
        <w:tc>
          <w:tcPr>
            <w:tcW w:w="3352" w:type="dxa"/>
            <w:tcMar>
              <w:left w:w="58" w:type="dxa"/>
              <w:right w:w="58" w:type="dxa"/>
            </w:tcMar>
          </w:tcPr>
          <w:p w14:paraId="4426088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222FCB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344C242" w14:textId="77777777" w:rsidR="00BF17C8" w:rsidRPr="00756D59" w:rsidRDefault="00BF17C8" w:rsidP="00876646">
            <w:pPr>
              <w:jc w:val="center"/>
              <w:rPr>
                <w:bCs/>
                <w:sz w:val="20"/>
                <w:szCs w:val="20"/>
                <w:lang w:eastAsia="en-CA"/>
              </w:rPr>
            </w:pPr>
            <w:r w:rsidRPr="00756D59">
              <w:rPr>
                <w:bCs/>
                <w:sz w:val="20"/>
                <w:szCs w:val="20"/>
                <w:lang w:eastAsia="en-CA"/>
              </w:rPr>
              <w:t>27.4</w:t>
            </w:r>
          </w:p>
        </w:tc>
        <w:tc>
          <w:tcPr>
            <w:tcW w:w="4531" w:type="dxa"/>
            <w:tcMar>
              <w:left w:w="58" w:type="dxa"/>
              <w:right w:w="58" w:type="dxa"/>
            </w:tcMar>
          </w:tcPr>
          <w:p w14:paraId="4FDD1B0B"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trainings; finalization of regulation amendment drafting; and development of knowledge products and information materials.</w:t>
            </w:r>
          </w:p>
        </w:tc>
        <w:tc>
          <w:tcPr>
            <w:tcW w:w="1629" w:type="dxa"/>
            <w:shd w:val="clear" w:color="auto" w:fill="auto"/>
            <w:tcMar>
              <w:left w:w="58" w:type="dxa"/>
              <w:right w:w="58" w:type="dxa"/>
            </w:tcMar>
          </w:tcPr>
          <w:p w14:paraId="70636742"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749B031" w14:textId="77777777" w:rsidTr="00876646">
        <w:trPr>
          <w:trHeight w:val="337"/>
        </w:trPr>
        <w:tc>
          <w:tcPr>
            <w:tcW w:w="2261" w:type="dxa"/>
            <w:tcMar>
              <w:left w:w="58" w:type="dxa"/>
              <w:right w:w="58" w:type="dxa"/>
            </w:tcMar>
          </w:tcPr>
          <w:p w14:paraId="52564941" w14:textId="77777777" w:rsidR="00BF17C8" w:rsidRPr="00756D59" w:rsidRDefault="00BF17C8" w:rsidP="00876646">
            <w:pPr>
              <w:jc w:val="left"/>
              <w:rPr>
                <w:sz w:val="20"/>
                <w:szCs w:val="20"/>
                <w:lang w:eastAsia="en-CA"/>
              </w:rPr>
            </w:pPr>
            <w:r w:rsidRPr="00756D59">
              <w:rPr>
                <w:bCs/>
                <w:sz w:val="20"/>
                <w:szCs w:val="20"/>
                <w:lang w:eastAsia="en-CA"/>
              </w:rPr>
              <w:t>Mauritania</w:t>
            </w:r>
            <w:r w:rsidRPr="00756D59">
              <w:rPr>
                <w:sz w:val="20"/>
                <w:szCs w:val="20"/>
                <w:lang w:eastAsia="en-CA"/>
              </w:rPr>
              <w:t xml:space="preserve"> </w:t>
            </w:r>
          </w:p>
          <w:p w14:paraId="534517E1" w14:textId="77777777" w:rsidR="00BF17C8" w:rsidRPr="00756D59" w:rsidRDefault="00BF17C8" w:rsidP="00876646">
            <w:pPr>
              <w:jc w:val="left"/>
              <w:rPr>
                <w:bCs/>
                <w:sz w:val="20"/>
                <w:szCs w:val="20"/>
                <w:lang w:eastAsia="en-CA"/>
              </w:rPr>
            </w:pPr>
            <w:r w:rsidRPr="00756D59">
              <w:rPr>
                <w:sz w:val="20"/>
                <w:szCs w:val="20"/>
                <w:lang w:eastAsia="en-CA"/>
              </w:rPr>
              <w:t>MAU/SEV/81/TAS/01+</w:t>
            </w:r>
          </w:p>
        </w:tc>
        <w:tc>
          <w:tcPr>
            <w:tcW w:w="3352" w:type="dxa"/>
            <w:tcMar>
              <w:left w:w="58" w:type="dxa"/>
              <w:right w:w="58" w:type="dxa"/>
            </w:tcMar>
          </w:tcPr>
          <w:p w14:paraId="1CB207B4"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4DE4C9E"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F2E4D80" w14:textId="77777777" w:rsidR="00BF17C8" w:rsidRPr="00756D59" w:rsidRDefault="00BF17C8" w:rsidP="00876646">
            <w:pPr>
              <w:jc w:val="center"/>
              <w:rPr>
                <w:bCs/>
                <w:sz w:val="20"/>
                <w:szCs w:val="20"/>
                <w:lang w:eastAsia="en-CA"/>
              </w:rPr>
            </w:pPr>
            <w:r w:rsidRPr="00756D59">
              <w:rPr>
                <w:bCs/>
                <w:sz w:val="20"/>
                <w:szCs w:val="20"/>
                <w:lang w:eastAsia="en-CA"/>
              </w:rPr>
              <w:t>56.7</w:t>
            </w:r>
          </w:p>
        </w:tc>
        <w:tc>
          <w:tcPr>
            <w:tcW w:w="4531" w:type="dxa"/>
            <w:tcMar>
              <w:left w:w="58" w:type="dxa"/>
              <w:right w:w="58" w:type="dxa"/>
            </w:tcMar>
          </w:tcPr>
          <w:p w14:paraId="7E5FE3F7" w14:textId="77777777" w:rsidR="00BF17C8" w:rsidRPr="00756D59" w:rsidRDefault="00BF17C8" w:rsidP="00876646">
            <w:pPr>
              <w:jc w:val="left"/>
              <w:rPr>
                <w:sz w:val="20"/>
                <w:szCs w:val="20"/>
                <w:lang w:eastAsia="en-CA"/>
              </w:rPr>
            </w:pPr>
            <w:r w:rsidRPr="00756D59">
              <w:rPr>
                <w:sz w:val="20"/>
                <w:szCs w:val="20"/>
                <w:lang w:eastAsia="en-CA"/>
              </w:rPr>
              <w:t xml:space="preserve">Training needs assessment for the servicing sector and preparing an assessment report; development of country-specific national HS codes for HFCs; sensitisation meetings for technicians on safe handling of HFCs and their alternatives; assisting customs office in developing national custom codes for different HFCs and including them into the Customs Tariff.     </w:t>
            </w:r>
          </w:p>
        </w:tc>
        <w:tc>
          <w:tcPr>
            <w:tcW w:w="1629" w:type="dxa"/>
            <w:shd w:val="clear" w:color="auto" w:fill="auto"/>
            <w:tcMar>
              <w:left w:w="58" w:type="dxa"/>
              <w:right w:w="58" w:type="dxa"/>
            </w:tcMar>
          </w:tcPr>
          <w:p w14:paraId="3FB96AF9"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271479E" w14:textId="77777777" w:rsidTr="00876646">
        <w:trPr>
          <w:trHeight w:val="337"/>
        </w:trPr>
        <w:tc>
          <w:tcPr>
            <w:tcW w:w="2261" w:type="dxa"/>
            <w:tcMar>
              <w:left w:w="58" w:type="dxa"/>
              <w:right w:w="58" w:type="dxa"/>
            </w:tcMar>
          </w:tcPr>
          <w:p w14:paraId="70F92A8E" w14:textId="77777777" w:rsidR="00BF17C8" w:rsidRPr="00756D59" w:rsidRDefault="00BF17C8" w:rsidP="00876646">
            <w:pPr>
              <w:jc w:val="left"/>
              <w:rPr>
                <w:sz w:val="20"/>
                <w:szCs w:val="20"/>
                <w:lang w:eastAsia="en-CA"/>
              </w:rPr>
            </w:pPr>
            <w:r w:rsidRPr="00756D59">
              <w:rPr>
                <w:bCs/>
                <w:sz w:val="20"/>
                <w:szCs w:val="20"/>
                <w:lang w:eastAsia="en-CA"/>
              </w:rPr>
              <w:t>Mauritius</w:t>
            </w:r>
            <w:r w:rsidRPr="00756D59">
              <w:rPr>
                <w:sz w:val="20"/>
                <w:szCs w:val="20"/>
                <w:lang w:eastAsia="en-CA"/>
              </w:rPr>
              <w:t xml:space="preserve"> </w:t>
            </w:r>
          </w:p>
          <w:p w14:paraId="21E272DD" w14:textId="77777777" w:rsidR="00BF17C8" w:rsidRPr="00756D59" w:rsidRDefault="00BF17C8" w:rsidP="00876646">
            <w:pPr>
              <w:jc w:val="left"/>
              <w:rPr>
                <w:bCs/>
                <w:sz w:val="20"/>
                <w:szCs w:val="20"/>
                <w:lang w:eastAsia="en-CA"/>
              </w:rPr>
            </w:pPr>
            <w:r w:rsidRPr="00756D59">
              <w:rPr>
                <w:sz w:val="20"/>
                <w:szCs w:val="20"/>
                <w:lang w:eastAsia="en-CA"/>
              </w:rPr>
              <w:t>MAR/SEV/82/TAS/28</w:t>
            </w:r>
          </w:p>
        </w:tc>
        <w:tc>
          <w:tcPr>
            <w:tcW w:w="3352" w:type="dxa"/>
            <w:tcMar>
              <w:left w:w="58" w:type="dxa"/>
              <w:right w:w="58" w:type="dxa"/>
            </w:tcMar>
          </w:tcPr>
          <w:p w14:paraId="075D43B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FFB2BCE"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01CC4865" w14:textId="77777777" w:rsidR="00BF17C8" w:rsidRPr="00756D59" w:rsidRDefault="00BF17C8" w:rsidP="00876646">
            <w:pPr>
              <w:jc w:val="center"/>
              <w:rPr>
                <w:bCs/>
                <w:sz w:val="20"/>
                <w:szCs w:val="20"/>
                <w:lang w:eastAsia="en-CA"/>
              </w:rPr>
            </w:pPr>
            <w:r w:rsidRPr="00756D59">
              <w:rPr>
                <w:bCs/>
                <w:sz w:val="20"/>
                <w:szCs w:val="20"/>
                <w:lang w:eastAsia="en-CA"/>
              </w:rPr>
              <w:t>90</w:t>
            </w:r>
          </w:p>
        </w:tc>
        <w:tc>
          <w:tcPr>
            <w:tcW w:w="4531" w:type="dxa"/>
            <w:tcMar>
              <w:left w:w="58" w:type="dxa"/>
              <w:right w:w="58" w:type="dxa"/>
            </w:tcMar>
          </w:tcPr>
          <w:p w14:paraId="1501F3E8" w14:textId="77777777" w:rsidR="00BF17C8" w:rsidRPr="00756D59" w:rsidRDefault="00BF17C8" w:rsidP="00876646">
            <w:pPr>
              <w:jc w:val="left"/>
              <w:rPr>
                <w:sz w:val="20"/>
                <w:szCs w:val="20"/>
                <w:lang w:eastAsia="en-CA"/>
              </w:rPr>
            </w:pPr>
            <w:r w:rsidRPr="00756D59">
              <w:rPr>
                <w:sz w:val="20"/>
                <w:szCs w:val="20"/>
                <w:lang w:eastAsia="en-CA"/>
              </w:rPr>
              <w:t>Conduct stakeholder consultative meetings on enabling policies and strategies for quick adoption of low</w:t>
            </w:r>
            <w:r w:rsidRPr="00756D59">
              <w:rPr>
                <w:sz w:val="20"/>
                <w:szCs w:val="20"/>
                <w:lang w:eastAsia="en-CA"/>
              </w:rPr>
              <w:noBreakHyphen/>
              <w:t xml:space="preserve">GWP HFC alternative technologies; and assisting customs office in developing national custom codes for different HFCs and including them into the Customs Tariff. </w:t>
            </w:r>
          </w:p>
        </w:tc>
        <w:tc>
          <w:tcPr>
            <w:tcW w:w="1629" w:type="dxa"/>
            <w:shd w:val="clear" w:color="auto" w:fill="auto"/>
            <w:tcMar>
              <w:left w:w="58" w:type="dxa"/>
              <w:right w:w="58" w:type="dxa"/>
            </w:tcMar>
          </w:tcPr>
          <w:p w14:paraId="06F6BB04"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22C4D91" w14:textId="77777777" w:rsidTr="00876646">
        <w:trPr>
          <w:trHeight w:val="337"/>
        </w:trPr>
        <w:tc>
          <w:tcPr>
            <w:tcW w:w="2261" w:type="dxa"/>
            <w:tcMar>
              <w:left w:w="58" w:type="dxa"/>
              <w:right w:w="58" w:type="dxa"/>
            </w:tcMar>
          </w:tcPr>
          <w:p w14:paraId="0ED556F6" w14:textId="77777777" w:rsidR="00BF17C8" w:rsidRPr="00756D59" w:rsidRDefault="00BF17C8" w:rsidP="00876646">
            <w:pPr>
              <w:jc w:val="left"/>
              <w:rPr>
                <w:sz w:val="20"/>
                <w:szCs w:val="20"/>
                <w:lang w:eastAsia="en-CA"/>
              </w:rPr>
            </w:pPr>
            <w:r w:rsidRPr="00756D59">
              <w:rPr>
                <w:bCs/>
                <w:sz w:val="20"/>
                <w:szCs w:val="20"/>
                <w:lang w:eastAsia="en-CA"/>
              </w:rPr>
              <w:lastRenderedPageBreak/>
              <w:t>Mexico</w:t>
            </w:r>
            <w:r w:rsidRPr="00756D59">
              <w:rPr>
                <w:sz w:val="20"/>
                <w:szCs w:val="20"/>
                <w:lang w:eastAsia="en-CA"/>
              </w:rPr>
              <w:t xml:space="preserve"> </w:t>
            </w:r>
          </w:p>
          <w:p w14:paraId="2975D7B0" w14:textId="77777777" w:rsidR="00BF17C8" w:rsidRPr="00756D59" w:rsidRDefault="00BF17C8" w:rsidP="00876646">
            <w:pPr>
              <w:jc w:val="left"/>
              <w:rPr>
                <w:bCs/>
                <w:sz w:val="20"/>
                <w:szCs w:val="20"/>
                <w:lang w:eastAsia="en-CA"/>
              </w:rPr>
            </w:pPr>
            <w:r w:rsidRPr="00756D59">
              <w:rPr>
                <w:sz w:val="20"/>
                <w:szCs w:val="20"/>
                <w:lang w:eastAsia="en-CA"/>
              </w:rPr>
              <w:t>MEX/SEV/80/TAS/01+</w:t>
            </w:r>
          </w:p>
        </w:tc>
        <w:tc>
          <w:tcPr>
            <w:tcW w:w="3352" w:type="dxa"/>
            <w:tcMar>
              <w:left w:w="58" w:type="dxa"/>
              <w:right w:w="58" w:type="dxa"/>
            </w:tcMar>
          </w:tcPr>
          <w:p w14:paraId="28E036E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CA63B91"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047FDBF" w14:textId="77777777" w:rsidR="00BF17C8" w:rsidRPr="00756D59" w:rsidRDefault="00BF17C8" w:rsidP="00876646">
            <w:pPr>
              <w:jc w:val="center"/>
              <w:rPr>
                <w:bCs/>
                <w:sz w:val="20"/>
                <w:szCs w:val="20"/>
                <w:lang w:eastAsia="en-CA"/>
              </w:rPr>
            </w:pPr>
            <w:r w:rsidRPr="00756D59">
              <w:rPr>
                <w:bCs/>
                <w:sz w:val="20"/>
                <w:szCs w:val="20"/>
                <w:lang w:eastAsia="en-CA"/>
              </w:rPr>
              <w:t>33</w:t>
            </w:r>
          </w:p>
        </w:tc>
        <w:tc>
          <w:tcPr>
            <w:tcW w:w="4531" w:type="dxa"/>
            <w:tcMar>
              <w:left w:w="58" w:type="dxa"/>
              <w:right w:w="58" w:type="dxa"/>
            </w:tcMar>
          </w:tcPr>
          <w:p w14:paraId="74DE5A95" w14:textId="77777777" w:rsidR="00BF17C8" w:rsidRPr="00756D59" w:rsidRDefault="00BF17C8" w:rsidP="00876646">
            <w:pPr>
              <w:jc w:val="left"/>
              <w:rPr>
                <w:sz w:val="20"/>
                <w:szCs w:val="20"/>
                <w:lang w:eastAsia="en-CA"/>
              </w:rPr>
            </w:pPr>
            <w:r w:rsidRPr="00756D59">
              <w:rPr>
                <w:sz w:val="20"/>
                <w:szCs w:val="20"/>
                <w:lang w:eastAsia="en-CA"/>
              </w:rPr>
              <w:t>Specialized training in HFC controls for customs officers.</w:t>
            </w:r>
          </w:p>
        </w:tc>
        <w:tc>
          <w:tcPr>
            <w:tcW w:w="1629" w:type="dxa"/>
            <w:shd w:val="clear" w:color="auto" w:fill="auto"/>
            <w:tcMar>
              <w:left w:w="58" w:type="dxa"/>
              <w:right w:w="58" w:type="dxa"/>
            </w:tcMar>
          </w:tcPr>
          <w:p w14:paraId="1145E9F0"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699DFFC7" w14:textId="77777777" w:rsidTr="00876646">
        <w:trPr>
          <w:trHeight w:val="337"/>
        </w:trPr>
        <w:tc>
          <w:tcPr>
            <w:tcW w:w="2261" w:type="dxa"/>
            <w:tcMar>
              <w:left w:w="58" w:type="dxa"/>
              <w:right w:w="58" w:type="dxa"/>
            </w:tcMar>
          </w:tcPr>
          <w:p w14:paraId="38A8820D" w14:textId="77777777" w:rsidR="00BF17C8" w:rsidRPr="00756D59" w:rsidRDefault="00BF17C8" w:rsidP="00876646">
            <w:pPr>
              <w:jc w:val="left"/>
              <w:rPr>
                <w:sz w:val="20"/>
                <w:szCs w:val="20"/>
                <w:lang w:eastAsia="en-CA"/>
              </w:rPr>
            </w:pPr>
            <w:r w:rsidRPr="00756D59">
              <w:rPr>
                <w:bCs/>
                <w:sz w:val="20"/>
                <w:szCs w:val="20"/>
                <w:lang w:eastAsia="en-CA"/>
              </w:rPr>
              <w:t>Mozambique</w:t>
            </w:r>
            <w:r w:rsidRPr="00756D59">
              <w:rPr>
                <w:sz w:val="20"/>
                <w:szCs w:val="20"/>
                <w:lang w:eastAsia="en-CA"/>
              </w:rPr>
              <w:t xml:space="preserve"> </w:t>
            </w:r>
          </w:p>
          <w:p w14:paraId="3392066A" w14:textId="77777777" w:rsidR="00BF17C8" w:rsidRPr="00756D59" w:rsidRDefault="00BF17C8" w:rsidP="00876646">
            <w:pPr>
              <w:jc w:val="left"/>
              <w:rPr>
                <w:bCs/>
                <w:sz w:val="20"/>
                <w:szCs w:val="20"/>
                <w:lang w:eastAsia="en-CA"/>
              </w:rPr>
            </w:pPr>
            <w:r w:rsidRPr="00756D59">
              <w:rPr>
                <w:sz w:val="20"/>
                <w:szCs w:val="20"/>
                <w:lang w:eastAsia="en-CA"/>
              </w:rPr>
              <w:t>MOZ/SEV/81/TAS/01+</w:t>
            </w:r>
          </w:p>
        </w:tc>
        <w:tc>
          <w:tcPr>
            <w:tcW w:w="3352" w:type="dxa"/>
            <w:tcMar>
              <w:left w:w="58" w:type="dxa"/>
              <w:right w:w="58" w:type="dxa"/>
            </w:tcMar>
          </w:tcPr>
          <w:p w14:paraId="040CD43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B373027"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F3F3C03" w14:textId="77777777" w:rsidR="00BF17C8" w:rsidRPr="00756D59" w:rsidRDefault="00BF17C8" w:rsidP="00876646">
            <w:pPr>
              <w:jc w:val="center"/>
              <w:rPr>
                <w:bCs/>
                <w:sz w:val="20"/>
                <w:szCs w:val="20"/>
                <w:lang w:eastAsia="en-CA"/>
              </w:rPr>
            </w:pPr>
            <w:r w:rsidRPr="00756D59">
              <w:rPr>
                <w:bCs/>
                <w:sz w:val="20"/>
                <w:szCs w:val="20"/>
                <w:lang w:eastAsia="en-CA"/>
              </w:rPr>
              <w:t>86.7</w:t>
            </w:r>
          </w:p>
        </w:tc>
        <w:tc>
          <w:tcPr>
            <w:tcW w:w="4531" w:type="dxa"/>
            <w:tcMar>
              <w:left w:w="58" w:type="dxa"/>
              <w:right w:w="58" w:type="dxa"/>
            </w:tcMar>
          </w:tcPr>
          <w:p w14:paraId="07EDEBAD" w14:textId="77777777" w:rsidR="00BF17C8" w:rsidRPr="00756D59" w:rsidRDefault="00BF17C8" w:rsidP="00876646">
            <w:pPr>
              <w:jc w:val="left"/>
              <w:rPr>
                <w:sz w:val="20"/>
                <w:szCs w:val="20"/>
                <w:lang w:eastAsia="en-CA"/>
              </w:rPr>
            </w:pPr>
            <w:r w:rsidRPr="00756D59">
              <w:rPr>
                <w:sz w:val="20"/>
                <w:szCs w:val="20"/>
                <w:lang w:eastAsia="en-CA"/>
              </w:rPr>
              <w:t>Undertaking the training needs assessment for the servicing sector and preparing an assessment report; revising the existing national ozone</w:t>
            </w:r>
            <w:r w:rsidRPr="00756D59">
              <w:rPr>
                <w:sz w:val="20"/>
                <w:szCs w:val="20"/>
                <w:lang w:eastAsia="en-CA"/>
              </w:rPr>
              <w:noBreakHyphen/>
              <w:t>depleting substances legislation for HFC and alternatives; and conducting sensitization meetings for technicians on safe handling of HFCs and their alternatives.</w:t>
            </w:r>
          </w:p>
        </w:tc>
        <w:tc>
          <w:tcPr>
            <w:tcW w:w="1629" w:type="dxa"/>
            <w:shd w:val="clear" w:color="auto" w:fill="auto"/>
            <w:tcMar>
              <w:left w:w="58" w:type="dxa"/>
              <w:right w:w="58" w:type="dxa"/>
            </w:tcMar>
          </w:tcPr>
          <w:p w14:paraId="4D77023F"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5985B1A6" w14:textId="77777777" w:rsidTr="00876646">
        <w:trPr>
          <w:trHeight w:val="337"/>
        </w:trPr>
        <w:tc>
          <w:tcPr>
            <w:tcW w:w="2261" w:type="dxa"/>
            <w:tcMar>
              <w:left w:w="58" w:type="dxa"/>
              <w:right w:w="58" w:type="dxa"/>
            </w:tcMar>
          </w:tcPr>
          <w:p w14:paraId="6D6A6DC6" w14:textId="77777777" w:rsidR="00BF17C8" w:rsidRPr="00756D59" w:rsidRDefault="00BF17C8" w:rsidP="00876646">
            <w:pPr>
              <w:jc w:val="left"/>
              <w:rPr>
                <w:sz w:val="20"/>
                <w:szCs w:val="20"/>
                <w:lang w:eastAsia="en-CA"/>
              </w:rPr>
            </w:pPr>
            <w:r w:rsidRPr="00756D59">
              <w:rPr>
                <w:bCs/>
                <w:sz w:val="20"/>
                <w:szCs w:val="20"/>
                <w:lang w:eastAsia="en-CA"/>
              </w:rPr>
              <w:t>Myanmar</w:t>
            </w:r>
            <w:r w:rsidRPr="00756D59">
              <w:rPr>
                <w:sz w:val="20"/>
                <w:szCs w:val="20"/>
                <w:lang w:eastAsia="en-CA"/>
              </w:rPr>
              <w:t xml:space="preserve"> </w:t>
            </w:r>
          </w:p>
          <w:p w14:paraId="27024822" w14:textId="77777777" w:rsidR="00BF17C8" w:rsidRPr="00756D59" w:rsidRDefault="00BF17C8" w:rsidP="00876646">
            <w:pPr>
              <w:jc w:val="left"/>
              <w:rPr>
                <w:bCs/>
                <w:sz w:val="20"/>
                <w:szCs w:val="20"/>
                <w:lang w:eastAsia="en-CA"/>
              </w:rPr>
            </w:pPr>
            <w:r w:rsidRPr="00756D59">
              <w:rPr>
                <w:sz w:val="20"/>
                <w:szCs w:val="20"/>
                <w:lang w:eastAsia="en-CA"/>
              </w:rPr>
              <w:t>MYA/SEV/81/TAS/01+</w:t>
            </w:r>
          </w:p>
        </w:tc>
        <w:tc>
          <w:tcPr>
            <w:tcW w:w="3352" w:type="dxa"/>
            <w:tcMar>
              <w:left w:w="58" w:type="dxa"/>
              <w:right w:w="58" w:type="dxa"/>
            </w:tcMar>
          </w:tcPr>
          <w:p w14:paraId="1D95F5E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D085A12"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4741743" w14:textId="77777777" w:rsidR="00BF17C8" w:rsidRPr="00756D59" w:rsidRDefault="00BF17C8" w:rsidP="00876646">
            <w:pPr>
              <w:jc w:val="center"/>
              <w:rPr>
                <w:bCs/>
                <w:sz w:val="20"/>
                <w:szCs w:val="20"/>
                <w:lang w:eastAsia="en-CA"/>
              </w:rPr>
            </w:pPr>
            <w:r w:rsidRPr="00756D59">
              <w:rPr>
                <w:bCs/>
                <w:sz w:val="20"/>
                <w:szCs w:val="20"/>
                <w:lang w:eastAsia="en-CA"/>
              </w:rPr>
              <w:t>27.5</w:t>
            </w:r>
          </w:p>
        </w:tc>
        <w:tc>
          <w:tcPr>
            <w:tcW w:w="4531" w:type="dxa"/>
            <w:tcMar>
              <w:left w:w="58" w:type="dxa"/>
              <w:right w:w="58" w:type="dxa"/>
            </w:tcMar>
          </w:tcPr>
          <w:p w14:paraId="54AD646B" w14:textId="77777777" w:rsidR="00BF17C8" w:rsidRPr="00756D59" w:rsidRDefault="00BF17C8" w:rsidP="00876646">
            <w:pPr>
              <w:jc w:val="left"/>
              <w:rPr>
                <w:sz w:val="20"/>
                <w:szCs w:val="20"/>
                <w:lang w:eastAsia="en-CA"/>
              </w:rPr>
            </w:pPr>
            <w:r w:rsidRPr="00756D59">
              <w:rPr>
                <w:sz w:val="20"/>
                <w:szCs w:val="20"/>
                <w:lang w:eastAsia="en-CA"/>
              </w:rPr>
              <w:t>Finalization of country assessment report, roundtable workshops and trainings; drafting regulation amendment; development of knowledge products and information materials; and HS code revision 2022.</w:t>
            </w:r>
          </w:p>
        </w:tc>
        <w:tc>
          <w:tcPr>
            <w:tcW w:w="1629" w:type="dxa"/>
            <w:shd w:val="clear" w:color="auto" w:fill="auto"/>
            <w:tcMar>
              <w:left w:w="58" w:type="dxa"/>
              <w:right w:w="58" w:type="dxa"/>
            </w:tcMar>
          </w:tcPr>
          <w:p w14:paraId="1AF2391C"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0AAAAAC2" w14:textId="77777777" w:rsidTr="00876646">
        <w:trPr>
          <w:trHeight w:val="337"/>
        </w:trPr>
        <w:tc>
          <w:tcPr>
            <w:tcW w:w="2261" w:type="dxa"/>
            <w:tcMar>
              <w:left w:w="58" w:type="dxa"/>
              <w:right w:w="58" w:type="dxa"/>
            </w:tcMar>
          </w:tcPr>
          <w:p w14:paraId="78FD1C45" w14:textId="77777777" w:rsidR="00BF17C8" w:rsidRPr="00756D59" w:rsidRDefault="00BF17C8" w:rsidP="00876646">
            <w:pPr>
              <w:jc w:val="left"/>
              <w:rPr>
                <w:sz w:val="20"/>
                <w:szCs w:val="20"/>
                <w:lang w:eastAsia="en-CA"/>
              </w:rPr>
            </w:pPr>
            <w:r w:rsidRPr="00756D59">
              <w:rPr>
                <w:bCs/>
                <w:sz w:val="20"/>
                <w:szCs w:val="20"/>
                <w:lang w:eastAsia="en-CA"/>
              </w:rPr>
              <w:t>Nepal</w:t>
            </w:r>
            <w:r w:rsidRPr="00756D59">
              <w:rPr>
                <w:sz w:val="20"/>
                <w:szCs w:val="20"/>
                <w:lang w:eastAsia="en-CA"/>
              </w:rPr>
              <w:t xml:space="preserve"> </w:t>
            </w:r>
          </w:p>
          <w:p w14:paraId="213283A5" w14:textId="77777777" w:rsidR="00BF17C8" w:rsidRPr="00756D59" w:rsidRDefault="00BF17C8" w:rsidP="00876646">
            <w:pPr>
              <w:jc w:val="left"/>
              <w:rPr>
                <w:bCs/>
                <w:sz w:val="20"/>
                <w:szCs w:val="20"/>
                <w:lang w:eastAsia="en-CA"/>
              </w:rPr>
            </w:pPr>
            <w:r w:rsidRPr="00756D59">
              <w:rPr>
                <w:sz w:val="20"/>
                <w:szCs w:val="20"/>
                <w:lang w:eastAsia="en-CA"/>
              </w:rPr>
              <w:t>NEP/SEV/81/TAS/01+</w:t>
            </w:r>
          </w:p>
        </w:tc>
        <w:tc>
          <w:tcPr>
            <w:tcW w:w="3352" w:type="dxa"/>
            <w:tcMar>
              <w:left w:w="58" w:type="dxa"/>
              <w:right w:w="58" w:type="dxa"/>
            </w:tcMar>
          </w:tcPr>
          <w:p w14:paraId="29F11F1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242A081"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11444F5" w14:textId="77777777" w:rsidR="00BF17C8" w:rsidRPr="00756D59" w:rsidRDefault="00BF17C8" w:rsidP="00876646">
            <w:pPr>
              <w:jc w:val="center"/>
              <w:rPr>
                <w:bCs/>
                <w:sz w:val="20"/>
                <w:szCs w:val="20"/>
                <w:lang w:eastAsia="en-CA"/>
              </w:rPr>
            </w:pPr>
            <w:r w:rsidRPr="00756D59">
              <w:rPr>
                <w:bCs/>
                <w:sz w:val="20"/>
                <w:szCs w:val="20"/>
                <w:lang w:eastAsia="en-CA"/>
              </w:rPr>
              <w:t>45.1</w:t>
            </w:r>
          </w:p>
        </w:tc>
        <w:tc>
          <w:tcPr>
            <w:tcW w:w="4531" w:type="dxa"/>
            <w:tcMar>
              <w:left w:w="58" w:type="dxa"/>
              <w:right w:w="58" w:type="dxa"/>
            </w:tcMar>
          </w:tcPr>
          <w:p w14:paraId="31A671E0" w14:textId="77777777" w:rsidR="00BF17C8" w:rsidRPr="00756D59" w:rsidRDefault="00BF17C8" w:rsidP="00876646">
            <w:pPr>
              <w:jc w:val="left"/>
              <w:rPr>
                <w:sz w:val="20"/>
                <w:szCs w:val="20"/>
                <w:lang w:eastAsia="en-CA"/>
              </w:rPr>
            </w:pPr>
            <w:r w:rsidRPr="00756D59">
              <w:rPr>
                <w:sz w:val="20"/>
                <w:szCs w:val="20"/>
                <w:lang w:eastAsia="en-CA"/>
              </w:rPr>
              <w:t>Consultations on Kigali Amendment ratification; country assessment report finalization; roundtable workshops and training; finalization of drafting the amendment to the regulation; development of knowledge products and information materials; and finalization of safety standards.</w:t>
            </w:r>
          </w:p>
        </w:tc>
        <w:tc>
          <w:tcPr>
            <w:tcW w:w="1629" w:type="dxa"/>
            <w:shd w:val="clear" w:color="auto" w:fill="auto"/>
            <w:tcMar>
              <w:left w:w="58" w:type="dxa"/>
              <w:right w:w="58" w:type="dxa"/>
            </w:tcMar>
          </w:tcPr>
          <w:p w14:paraId="596B766A"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B43CDE2" w14:textId="77777777" w:rsidTr="00876646">
        <w:trPr>
          <w:trHeight w:val="337"/>
        </w:trPr>
        <w:tc>
          <w:tcPr>
            <w:tcW w:w="2261" w:type="dxa"/>
            <w:tcMar>
              <w:left w:w="58" w:type="dxa"/>
              <w:right w:w="58" w:type="dxa"/>
            </w:tcMar>
          </w:tcPr>
          <w:p w14:paraId="50659DAE" w14:textId="77777777" w:rsidR="00BF17C8" w:rsidRPr="00756D59" w:rsidRDefault="00BF17C8" w:rsidP="00876646">
            <w:pPr>
              <w:jc w:val="left"/>
              <w:rPr>
                <w:sz w:val="20"/>
                <w:szCs w:val="20"/>
                <w:lang w:eastAsia="en-CA"/>
              </w:rPr>
            </w:pPr>
            <w:r w:rsidRPr="00756D59">
              <w:rPr>
                <w:bCs/>
                <w:sz w:val="20"/>
                <w:szCs w:val="20"/>
                <w:lang w:eastAsia="en-CA"/>
              </w:rPr>
              <w:t>Oman</w:t>
            </w:r>
            <w:r w:rsidRPr="00756D59">
              <w:rPr>
                <w:sz w:val="20"/>
                <w:szCs w:val="20"/>
                <w:lang w:eastAsia="en-CA"/>
              </w:rPr>
              <w:t xml:space="preserve"> </w:t>
            </w:r>
          </w:p>
          <w:p w14:paraId="655F07CE" w14:textId="77777777" w:rsidR="00BF17C8" w:rsidRPr="00756D59" w:rsidRDefault="00BF17C8" w:rsidP="00876646">
            <w:pPr>
              <w:jc w:val="left"/>
              <w:rPr>
                <w:bCs/>
                <w:sz w:val="20"/>
                <w:szCs w:val="20"/>
                <w:lang w:eastAsia="en-CA"/>
              </w:rPr>
            </w:pPr>
            <w:r w:rsidRPr="00756D59">
              <w:rPr>
                <w:sz w:val="20"/>
                <w:szCs w:val="20"/>
                <w:lang w:eastAsia="en-CA"/>
              </w:rPr>
              <w:t>OMA/SEV/81/TAS/35</w:t>
            </w:r>
          </w:p>
        </w:tc>
        <w:tc>
          <w:tcPr>
            <w:tcW w:w="3352" w:type="dxa"/>
            <w:tcMar>
              <w:left w:w="58" w:type="dxa"/>
              <w:right w:w="58" w:type="dxa"/>
            </w:tcMar>
          </w:tcPr>
          <w:p w14:paraId="09BB63B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4EE5E2A"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79F71E8" w14:textId="77777777" w:rsidR="00BF17C8" w:rsidRPr="00756D59" w:rsidRDefault="00BF17C8" w:rsidP="00876646">
            <w:pPr>
              <w:jc w:val="center"/>
              <w:rPr>
                <w:bCs/>
                <w:sz w:val="20"/>
                <w:szCs w:val="20"/>
                <w:lang w:eastAsia="en-CA"/>
              </w:rPr>
            </w:pPr>
            <w:r w:rsidRPr="00756D59">
              <w:rPr>
                <w:bCs/>
                <w:sz w:val="20"/>
                <w:szCs w:val="20"/>
                <w:lang w:eastAsia="en-CA"/>
              </w:rPr>
              <w:t>45.4</w:t>
            </w:r>
          </w:p>
        </w:tc>
        <w:tc>
          <w:tcPr>
            <w:tcW w:w="4531" w:type="dxa"/>
            <w:tcMar>
              <w:left w:w="58" w:type="dxa"/>
              <w:right w:w="58" w:type="dxa"/>
            </w:tcMar>
          </w:tcPr>
          <w:p w14:paraId="3AE1CCD7" w14:textId="77777777" w:rsidR="00BF17C8" w:rsidRPr="00756D59" w:rsidRDefault="00BF17C8" w:rsidP="00876646">
            <w:pPr>
              <w:jc w:val="left"/>
              <w:rPr>
                <w:sz w:val="20"/>
                <w:szCs w:val="20"/>
                <w:lang w:eastAsia="en-CA"/>
              </w:rPr>
            </w:pPr>
            <w:r w:rsidRPr="00756D59">
              <w:rPr>
                <w:sz w:val="20"/>
                <w:szCs w:val="20"/>
                <w:lang w:eastAsia="en-CA"/>
              </w:rPr>
              <w:t>Drafting required ratification instrument; capacity building for enhanced monitoring and reporting; and finalization of country assessment report.</w:t>
            </w:r>
          </w:p>
        </w:tc>
        <w:tc>
          <w:tcPr>
            <w:tcW w:w="1629" w:type="dxa"/>
            <w:shd w:val="clear" w:color="auto" w:fill="auto"/>
            <w:tcMar>
              <w:left w:w="58" w:type="dxa"/>
              <w:right w:w="58" w:type="dxa"/>
            </w:tcMar>
          </w:tcPr>
          <w:p w14:paraId="037C1BD1"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6A9D6E3D" w14:textId="77777777" w:rsidTr="00876646">
        <w:trPr>
          <w:trHeight w:val="337"/>
        </w:trPr>
        <w:tc>
          <w:tcPr>
            <w:tcW w:w="2261" w:type="dxa"/>
            <w:tcMar>
              <w:left w:w="58" w:type="dxa"/>
              <w:right w:w="58" w:type="dxa"/>
            </w:tcMar>
          </w:tcPr>
          <w:p w14:paraId="033E3058" w14:textId="77777777" w:rsidR="00BF17C8" w:rsidRPr="00756D59" w:rsidRDefault="00BF17C8" w:rsidP="00876646">
            <w:pPr>
              <w:jc w:val="left"/>
              <w:rPr>
                <w:sz w:val="20"/>
                <w:szCs w:val="20"/>
                <w:lang w:eastAsia="en-CA"/>
              </w:rPr>
            </w:pPr>
            <w:r w:rsidRPr="00756D59">
              <w:rPr>
                <w:bCs/>
                <w:sz w:val="20"/>
                <w:szCs w:val="20"/>
                <w:lang w:eastAsia="en-CA"/>
              </w:rPr>
              <w:t>Pakistan</w:t>
            </w:r>
            <w:r w:rsidRPr="00756D59">
              <w:rPr>
                <w:sz w:val="20"/>
                <w:szCs w:val="20"/>
                <w:lang w:eastAsia="en-CA"/>
              </w:rPr>
              <w:t xml:space="preserve"> </w:t>
            </w:r>
          </w:p>
          <w:p w14:paraId="03D16043" w14:textId="77777777" w:rsidR="00BF17C8" w:rsidRPr="00756D59" w:rsidRDefault="00BF17C8" w:rsidP="00876646">
            <w:pPr>
              <w:jc w:val="left"/>
              <w:rPr>
                <w:bCs/>
                <w:sz w:val="20"/>
                <w:szCs w:val="20"/>
                <w:lang w:eastAsia="en-CA"/>
              </w:rPr>
            </w:pPr>
            <w:r w:rsidRPr="00756D59">
              <w:rPr>
                <w:sz w:val="20"/>
                <w:szCs w:val="20"/>
                <w:lang w:eastAsia="en-CA"/>
              </w:rPr>
              <w:t>PAK/SEV/81/TAS/97</w:t>
            </w:r>
          </w:p>
        </w:tc>
        <w:tc>
          <w:tcPr>
            <w:tcW w:w="3352" w:type="dxa"/>
            <w:tcMar>
              <w:left w:w="58" w:type="dxa"/>
              <w:right w:w="58" w:type="dxa"/>
            </w:tcMar>
          </w:tcPr>
          <w:p w14:paraId="126697F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4E10DAF"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8D69BD2" w14:textId="77777777" w:rsidR="00BF17C8" w:rsidRPr="00756D59" w:rsidRDefault="00BF17C8" w:rsidP="00876646">
            <w:pPr>
              <w:jc w:val="center"/>
              <w:rPr>
                <w:bCs/>
                <w:sz w:val="20"/>
                <w:szCs w:val="20"/>
                <w:lang w:eastAsia="en-CA"/>
              </w:rPr>
            </w:pPr>
            <w:r w:rsidRPr="00756D59">
              <w:rPr>
                <w:bCs/>
                <w:sz w:val="20"/>
                <w:szCs w:val="20"/>
                <w:lang w:eastAsia="en-CA"/>
              </w:rPr>
              <w:t>4.9</w:t>
            </w:r>
          </w:p>
        </w:tc>
        <w:tc>
          <w:tcPr>
            <w:tcW w:w="4531" w:type="dxa"/>
            <w:tcMar>
              <w:left w:w="58" w:type="dxa"/>
              <w:right w:w="58" w:type="dxa"/>
            </w:tcMar>
          </w:tcPr>
          <w:p w14:paraId="6C24B40C" w14:textId="77777777" w:rsidR="00BF17C8" w:rsidRPr="00756D59" w:rsidRDefault="00BF17C8" w:rsidP="00876646">
            <w:pPr>
              <w:jc w:val="left"/>
              <w:rPr>
                <w:sz w:val="20"/>
                <w:szCs w:val="20"/>
                <w:lang w:eastAsia="en-CA"/>
              </w:rPr>
            </w:pPr>
            <w:r w:rsidRPr="00756D59">
              <w:rPr>
                <w:sz w:val="20"/>
                <w:szCs w:val="20"/>
                <w:lang w:eastAsia="en-CA"/>
              </w:rPr>
              <w:t>Consultations on Kigali Amendment ratification; country assessment report finalization; roundtable workshops and trainings; finalization of drafting the amendment to the regulation; development of knowledge products/information materials; awareness workshops for retailers, building sector, energy efficiency, climate change and public procurement focal points; and revision of  web based one customs (</w:t>
            </w:r>
            <w:proofErr w:type="spellStart"/>
            <w:r w:rsidRPr="00756D59">
              <w:rPr>
                <w:sz w:val="20"/>
                <w:szCs w:val="20"/>
                <w:lang w:eastAsia="en-CA"/>
              </w:rPr>
              <w:t>WeBOC</w:t>
            </w:r>
            <w:proofErr w:type="spellEnd"/>
            <w:r w:rsidRPr="00756D59">
              <w:rPr>
                <w:sz w:val="20"/>
                <w:szCs w:val="20"/>
                <w:lang w:eastAsia="en-CA"/>
              </w:rPr>
              <w:t>) to include HFCs.</w:t>
            </w:r>
          </w:p>
        </w:tc>
        <w:tc>
          <w:tcPr>
            <w:tcW w:w="1629" w:type="dxa"/>
            <w:shd w:val="clear" w:color="auto" w:fill="auto"/>
            <w:tcMar>
              <w:left w:w="58" w:type="dxa"/>
              <w:right w:w="58" w:type="dxa"/>
            </w:tcMar>
          </w:tcPr>
          <w:p w14:paraId="571C0FF7"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176DF822" w14:textId="77777777" w:rsidTr="00876646">
        <w:trPr>
          <w:trHeight w:val="337"/>
        </w:trPr>
        <w:tc>
          <w:tcPr>
            <w:tcW w:w="2261" w:type="dxa"/>
            <w:tcMar>
              <w:left w:w="58" w:type="dxa"/>
              <w:right w:w="58" w:type="dxa"/>
            </w:tcMar>
          </w:tcPr>
          <w:p w14:paraId="349B0F80" w14:textId="77777777" w:rsidR="00BF17C8" w:rsidRPr="00756D59" w:rsidRDefault="00BF17C8" w:rsidP="00876646">
            <w:pPr>
              <w:jc w:val="left"/>
              <w:rPr>
                <w:sz w:val="20"/>
                <w:szCs w:val="20"/>
                <w:lang w:eastAsia="en-CA"/>
              </w:rPr>
            </w:pPr>
            <w:r w:rsidRPr="00756D59">
              <w:rPr>
                <w:bCs/>
                <w:sz w:val="20"/>
                <w:szCs w:val="20"/>
                <w:lang w:eastAsia="en-CA"/>
              </w:rPr>
              <w:t>Paraguay</w:t>
            </w:r>
            <w:r w:rsidRPr="00756D59">
              <w:rPr>
                <w:sz w:val="20"/>
                <w:szCs w:val="20"/>
                <w:lang w:eastAsia="en-CA"/>
              </w:rPr>
              <w:t xml:space="preserve"> </w:t>
            </w:r>
          </w:p>
          <w:p w14:paraId="3BAE6636" w14:textId="77777777" w:rsidR="00BF17C8" w:rsidRPr="00756D59" w:rsidRDefault="00BF17C8" w:rsidP="00876646">
            <w:pPr>
              <w:jc w:val="left"/>
              <w:rPr>
                <w:bCs/>
                <w:sz w:val="20"/>
                <w:szCs w:val="20"/>
                <w:lang w:eastAsia="en-CA"/>
              </w:rPr>
            </w:pPr>
            <w:r w:rsidRPr="00756D59">
              <w:rPr>
                <w:sz w:val="20"/>
                <w:szCs w:val="20"/>
                <w:lang w:eastAsia="en-CA"/>
              </w:rPr>
              <w:t>PAR/SEV/81/TAS/02+</w:t>
            </w:r>
          </w:p>
        </w:tc>
        <w:tc>
          <w:tcPr>
            <w:tcW w:w="3352" w:type="dxa"/>
            <w:tcMar>
              <w:left w:w="58" w:type="dxa"/>
              <w:right w:w="58" w:type="dxa"/>
            </w:tcMar>
          </w:tcPr>
          <w:p w14:paraId="2C93EEC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23AFA04"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B96431E" w14:textId="77777777" w:rsidR="00BF17C8" w:rsidRPr="00756D59" w:rsidRDefault="00BF17C8" w:rsidP="00876646">
            <w:pPr>
              <w:jc w:val="center"/>
              <w:rPr>
                <w:bCs/>
                <w:sz w:val="20"/>
                <w:szCs w:val="20"/>
                <w:lang w:eastAsia="en-CA"/>
              </w:rPr>
            </w:pPr>
            <w:r w:rsidRPr="00756D59">
              <w:rPr>
                <w:bCs/>
                <w:sz w:val="20"/>
                <w:szCs w:val="20"/>
                <w:lang w:eastAsia="en-CA"/>
              </w:rPr>
              <w:t>27.6</w:t>
            </w:r>
          </w:p>
        </w:tc>
        <w:tc>
          <w:tcPr>
            <w:tcW w:w="4531" w:type="dxa"/>
            <w:tcMar>
              <w:left w:w="58" w:type="dxa"/>
              <w:right w:w="58" w:type="dxa"/>
            </w:tcMar>
          </w:tcPr>
          <w:p w14:paraId="7E99C3AA" w14:textId="77777777" w:rsidR="00BF17C8" w:rsidRPr="00756D59" w:rsidRDefault="00BF17C8" w:rsidP="00876646">
            <w:pPr>
              <w:jc w:val="left"/>
              <w:rPr>
                <w:sz w:val="20"/>
                <w:szCs w:val="20"/>
                <w:lang w:eastAsia="en-CA"/>
              </w:rPr>
            </w:pPr>
            <w:r w:rsidRPr="00756D59">
              <w:rPr>
                <w:sz w:val="20"/>
                <w:szCs w:val="20"/>
                <w:lang w:eastAsia="en-CA"/>
              </w:rPr>
              <w:t>Reviewing safety standards for the use of flammable refrigerants; drafting specific regulations to control low</w:t>
            </w:r>
            <w:r w:rsidRPr="00756D59">
              <w:rPr>
                <w:sz w:val="20"/>
                <w:szCs w:val="20"/>
                <w:lang w:eastAsia="en-CA"/>
              </w:rPr>
              <w:noBreakHyphen/>
              <w:t>GWP alternatives; developing national customs codes for main zero</w:t>
            </w:r>
            <w:r w:rsidRPr="00756D59">
              <w:rPr>
                <w:sz w:val="20"/>
                <w:szCs w:val="20"/>
                <w:lang w:eastAsia="en-CA"/>
              </w:rPr>
              <w:noBreakHyphen/>
              <w:t>/low</w:t>
            </w:r>
            <w:r w:rsidRPr="00756D59">
              <w:rPr>
                <w:sz w:val="20"/>
                <w:szCs w:val="20"/>
                <w:lang w:eastAsia="en-CA"/>
              </w:rPr>
              <w:noBreakHyphen/>
              <w:t xml:space="preserve">GWP alternatives; training of trainers on import/export controls for HFCs; analysis and revision of the current national </w:t>
            </w:r>
            <w:proofErr w:type="spellStart"/>
            <w:r w:rsidRPr="00756D59">
              <w:rPr>
                <w:sz w:val="20"/>
                <w:szCs w:val="20"/>
                <w:lang w:eastAsia="en-CA"/>
              </w:rPr>
              <w:t>labor</w:t>
            </w:r>
            <w:proofErr w:type="spellEnd"/>
            <w:r w:rsidRPr="00756D59">
              <w:rPr>
                <w:sz w:val="20"/>
                <w:szCs w:val="20"/>
                <w:lang w:eastAsia="en-CA"/>
              </w:rPr>
              <w:t xml:space="preserve"> competency standards; and disseminating the revisions </w:t>
            </w:r>
            <w:r w:rsidRPr="00756D59">
              <w:rPr>
                <w:sz w:val="20"/>
                <w:szCs w:val="20"/>
                <w:lang w:eastAsia="en-CA"/>
              </w:rPr>
              <w:lastRenderedPageBreak/>
              <w:t>adopted to refrigeration technicians, nation-wide, through different media.</w:t>
            </w:r>
          </w:p>
        </w:tc>
        <w:tc>
          <w:tcPr>
            <w:tcW w:w="1629" w:type="dxa"/>
            <w:shd w:val="clear" w:color="auto" w:fill="auto"/>
            <w:tcMar>
              <w:left w:w="58" w:type="dxa"/>
              <w:right w:w="58" w:type="dxa"/>
            </w:tcMar>
          </w:tcPr>
          <w:p w14:paraId="6BF45501"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6157A12F" w14:textId="77777777" w:rsidTr="00876646">
        <w:trPr>
          <w:trHeight w:val="337"/>
        </w:trPr>
        <w:tc>
          <w:tcPr>
            <w:tcW w:w="2261" w:type="dxa"/>
            <w:tcMar>
              <w:left w:w="58" w:type="dxa"/>
              <w:right w:w="58" w:type="dxa"/>
            </w:tcMar>
          </w:tcPr>
          <w:p w14:paraId="70D4F210" w14:textId="77777777" w:rsidR="00BF17C8" w:rsidRPr="00756D59" w:rsidRDefault="00BF17C8" w:rsidP="00876646">
            <w:pPr>
              <w:jc w:val="left"/>
              <w:rPr>
                <w:sz w:val="20"/>
                <w:szCs w:val="20"/>
                <w:lang w:eastAsia="en-CA"/>
              </w:rPr>
            </w:pPr>
            <w:r w:rsidRPr="00756D59">
              <w:rPr>
                <w:bCs/>
                <w:sz w:val="20"/>
                <w:szCs w:val="20"/>
                <w:lang w:eastAsia="en-CA"/>
              </w:rPr>
              <w:lastRenderedPageBreak/>
              <w:t>Qatar</w:t>
            </w:r>
            <w:r w:rsidRPr="00756D59">
              <w:rPr>
                <w:sz w:val="20"/>
                <w:szCs w:val="20"/>
                <w:lang w:eastAsia="en-CA"/>
              </w:rPr>
              <w:t xml:space="preserve"> </w:t>
            </w:r>
          </w:p>
          <w:p w14:paraId="3457351E" w14:textId="77777777" w:rsidR="00BF17C8" w:rsidRPr="00756D59" w:rsidRDefault="00BF17C8" w:rsidP="00876646">
            <w:pPr>
              <w:jc w:val="left"/>
              <w:rPr>
                <w:bCs/>
                <w:sz w:val="20"/>
                <w:szCs w:val="20"/>
                <w:lang w:eastAsia="en-CA"/>
              </w:rPr>
            </w:pPr>
            <w:r w:rsidRPr="00756D59">
              <w:rPr>
                <w:sz w:val="20"/>
                <w:szCs w:val="20"/>
                <w:lang w:eastAsia="en-CA"/>
              </w:rPr>
              <w:t>QAT/SEV/82/TAS/23</w:t>
            </w:r>
          </w:p>
        </w:tc>
        <w:tc>
          <w:tcPr>
            <w:tcW w:w="3352" w:type="dxa"/>
            <w:tcMar>
              <w:left w:w="58" w:type="dxa"/>
              <w:right w:w="58" w:type="dxa"/>
            </w:tcMar>
          </w:tcPr>
          <w:p w14:paraId="109D898E"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6B2D545"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15AC72E3" w14:textId="77777777" w:rsidR="00BF17C8" w:rsidRPr="00756D59" w:rsidRDefault="00BF17C8" w:rsidP="00876646">
            <w:pPr>
              <w:jc w:val="center"/>
              <w:rPr>
                <w:bCs/>
                <w:sz w:val="20"/>
                <w:szCs w:val="20"/>
                <w:lang w:eastAsia="en-CA"/>
              </w:rPr>
            </w:pPr>
            <w:r w:rsidRPr="00756D59">
              <w:rPr>
                <w:bCs/>
                <w:sz w:val="20"/>
                <w:szCs w:val="20"/>
                <w:lang w:eastAsia="en-CA"/>
              </w:rPr>
              <w:t>7</w:t>
            </w:r>
          </w:p>
        </w:tc>
        <w:tc>
          <w:tcPr>
            <w:tcW w:w="4531" w:type="dxa"/>
            <w:tcMar>
              <w:left w:w="58" w:type="dxa"/>
              <w:right w:w="58" w:type="dxa"/>
            </w:tcMar>
          </w:tcPr>
          <w:p w14:paraId="13C0387F" w14:textId="77777777" w:rsidR="00BF17C8" w:rsidRPr="00756D59" w:rsidRDefault="00BF17C8" w:rsidP="00876646">
            <w:pPr>
              <w:jc w:val="left"/>
              <w:rPr>
                <w:sz w:val="20"/>
                <w:szCs w:val="20"/>
                <w:lang w:eastAsia="en-CA"/>
              </w:rPr>
            </w:pPr>
            <w:r w:rsidRPr="00756D59">
              <w:rPr>
                <w:sz w:val="20"/>
                <w:szCs w:val="20"/>
                <w:lang w:eastAsia="en-CA"/>
              </w:rPr>
              <w:t>Implementing activities aiming at strengthening the related institutional frameworks using the best regional/international practices related to HFCs and low</w:t>
            </w:r>
            <w:r w:rsidRPr="00756D59">
              <w:rPr>
                <w:sz w:val="20"/>
                <w:szCs w:val="20"/>
                <w:lang w:eastAsia="en-CA"/>
              </w:rPr>
              <w:noBreakHyphen/>
              <w:t>GWP alternatives including proposal for updating codes/standards; completing reviewing the national reporting system to include HFCs, HFC blends and HFC containing products/equipment; and providing assistance to customs and relevant ministries to ensure accurate reporting/monitoring of HFC trade.</w:t>
            </w:r>
          </w:p>
        </w:tc>
        <w:tc>
          <w:tcPr>
            <w:tcW w:w="1629" w:type="dxa"/>
            <w:shd w:val="clear" w:color="auto" w:fill="auto"/>
            <w:tcMar>
              <w:left w:w="58" w:type="dxa"/>
              <w:right w:w="58" w:type="dxa"/>
            </w:tcMar>
          </w:tcPr>
          <w:p w14:paraId="5044254B"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5C20A088" w14:textId="77777777" w:rsidTr="00876646">
        <w:trPr>
          <w:trHeight w:val="337"/>
        </w:trPr>
        <w:tc>
          <w:tcPr>
            <w:tcW w:w="2261" w:type="dxa"/>
            <w:tcMar>
              <w:left w:w="58" w:type="dxa"/>
              <w:right w:w="58" w:type="dxa"/>
            </w:tcMar>
          </w:tcPr>
          <w:p w14:paraId="79CF7A56" w14:textId="77777777" w:rsidR="00BF17C8" w:rsidRPr="00756D59" w:rsidRDefault="00BF17C8" w:rsidP="00876646">
            <w:pPr>
              <w:jc w:val="left"/>
              <w:rPr>
                <w:sz w:val="20"/>
                <w:szCs w:val="20"/>
                <w:lang w:eastAsia="en-CA"/>
              </w:rPr>
            </w:pPr>
            <w:r w:rsidRPr="00756D59">
              <w:rPr>
                <w:bCs/>
                <w:sz w:val="20"/>
                <w:szCs w:val="20"/>
                <w:lang w:eastAsia="en-CA"/>
              </w:rPr>
              <w:t>Saint Kitts and Nevis</w:t>
            </w:r>
            <w:r w:rsidRPr="00756D59">
              <w:rPr>
                <w:sz w:val="20"/>
                <w:szCs w:val="20"/>
                <w:lang w:eastAsia="en-CA"/>
              </w:rPr>
              <w:t xml:space="preserve"> </w:t>
            </w:r>
          </w:p>
          <w:p w14:paraId="27953585" w14:textId="77777777" w:rsidR="00BF17C8" w:rsidRPr="00756D59" w:rsidRDefault="00BF17C8" w:rsidP="00876646">
            <w:pPr>
              <w:jc w:val="left"/>
              <w:rPr>
                <w:bCs/>
                <w:sz w:val="20"/>
                <w:szCs w:val="20"/>
                <w:lang w:eastAsia="en-CA"/>
              </w:rPr>
            </w:pPr>
            <w:r w:rsidRPr="00756D59">
              <w:rPr>
                <w:sz w:val="20"/>
                <w:szCs w:val="20"/>
                <w:lang w:eastAsia="en-CA"/>
              </w:rPr>
              <w:t>STK/SEV/81/TAS/01+</w:t>
            </w:r>
          </w:p>
        </w:tc>
        <w:tc>
          <w:tcPr>
            <w:tcW w:w="3352" w:type="dxa"/>
            <w:tcMar>
              <w:left w:w="58" w:type="dxa"/>
              <w:right w:w="58" w:type="dxa"/>
            </w:tcMar>
          </w:tcPr>
          <w:p w14:paraId="223307F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AC51746"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61AA708"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1786A624" w14:textId="77777777" w:rsidR="00BF17C8" w:rsidRPr="00756D59" w:rsidRDefault="00BF17C8" w:rsidP="00876646">
            <w:pPr>
              <w:jc w:val="left"/>
              <w:rPr>
                <w:sz w:val="20"/>
                <w:szCs w:val="20"/>
                <w:lang w:eastAsia="en-CA"/>
              </w:rPr>
            </w:pPr>
            <w:r w:rsidRPr="00756D59">
              <w:rPr>
                <w:sz w:val="20"/>
                <w:szCs w:val="20"/>
                <w:lang w:eastAsia="en-CA"/>
              </w:rPr>
              <w:t>Analysis of ozone and climate legislation to support Kigali Amendment, policy paper on Kigali Amendment ratification; stakeholder consultations meetings and awareness raising on HFC phase-down and energy efficiency; training needs assessment for the RAC service sector; mapping to determine HFCs available on the local market; technical assistance on HFC data collection; RAC technology projection; symposium on Kigali Amendment ratification impacts and seminar on the transition to low</w:t>
            </w:r>
            <w:r w:rsidRPr="00756D59">
              <w:rPr>
                <w:sz w:val="20"/>
                <w:szCs w:val="20"/>
                <w:lang w:eastAsia="en-CA"/>
              </w:rPr>
              <w:noBreakHyphen/>
              <w:t>GWP technologies; training seminar for technicians on management of alternatives; consultations on the revision/review of the ODS licensing and quota systems, developing country-specific HS codes for HFCs; and knowledge, attitude and practices study of the RAC service sector, national strategy on a staged approach to introducing low</w:t>
            </w:r>
            <w:r w:rsidRPr="00756D59">
              <w:rPr>
                <w:sz w:val="20"/>
                <w:szCs w:val="20"/>
                <w:lang w:eastAsia="en-CA"/>
              </w:rPr>
              <w:noBreakHyphen/>
              <w:t>GWP energy efficient alternatives and supporting RAC service sector in transitioning from HFC refrigerants.</w:t>
            </w:r>
          </w:p>
        </w:tc>
        <w:tc>
          <w:tcPr>
            <w:tcW w:w="1629" w:type="dxa"/>
            <w:shd w:val="clear" w:color="auto" w:fill="auto"/>
            <w:tcMar>
              <w:left w:w="58" w:type="dxa"/>
              <w:right w:w="58" w:type="dxa"/>
            </w:tcMar>
          </w:tcPr>
          <w:p w14:paraId="23A06A74"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28CB4F04" w14:textId="77777777" w:rsidTr="00876646">
        <w:trPr>
          <w:trHeight w:val="337"/>
        </w:trPr>
        <w:tc>
          <w:tcPr>
            <w:tcW w:w="2261" w:type="dxa"/>
            <w:tcMar>
              <w:left w:w="58" w:type="dxa"/>
              <w:right w:w="58" w:type="dxa"/>
            </w:tcMar>
          </w:tcPr>
          <w:p w14:paraId="6ABB6AAE" w14:textId="77777777" w:rsidR="00BF17C8" w:rsidRPr="00756D59" w:rsidRDefault="00BF17C8" w:rsidP="00876646">
            <w:pPr>
              <w:jc w:val="left"/>
              <w:rPr>
                <w:sz w:val="20"/>
                <w:szCs w:val="20"/>
                <w:lang w:val="es-419" w:eastAsia="en-CA"/>
              </w:rPr>
            </w:pPr>
            <w:r w:rsidRPr="00756D59">
              <w:rPr>
                <w:bCs/>
                <w:sz w:val="20"/>
                <w:szCs w:val="20"/>
                <w:lang w:val="es-419" w:eastAsia="en-CA"/>
              </w:rPr>
              <w:t>Saint Lucia</w:t>
            </w:r>
            <w:r w:rsidRPr="00756D59">
              <w:rPr>
                <w:sz w:val="20"/>
                <w:szCs w:val="20"/>
                <w:lang w:val="es-419" w:eastAsia="en-CA"/>
              </w:rPr>
              <w:t xml:space="preserve"> </w:t>
            </w:r>
          </w:p>
          <w:p w14:paraId="32F876EB" w14:textId="77777777" w:rsidR="00BF17C8" w:rsidRPr="00756D59" w:rsidRDefault="00BF17C8" w:rsidP="00876646">
            <w:pPr>
              <w:jc w:val="left"/>
              <w:rPr>
                <w:bCs/>
                <w:sz w:val="20"/>
                <w:szCs w:val="20"/>
                <w:lang w:val="es-419" w:eastAsia="en-CA"/>
              </w:rPr>
            </w:pPr>
            <w:r w:rsidRPr="00756D59">
              <w:rPr>
                <w:sz w:val="20"/>
                <w:szCs w:val="20"/>
                <w:lang w:val="es-419" w:eastAsia="en-CA"/>
              </w:rPr>
              <w:t>STL/SEV/80/TAS/01+</w:t>
            </w:r>
          </w:p>
        </w:tc>
        <w:tc>
          <w:tcPr>
            <w:tcW w:w="3352" w:type="dxa"/>
            <w:tcMar>
              <w:left w:w="58" w:type="dxa"/>
              <w:right w:w="58" w:type="dxa"/>
            </w:tcMar>
          </w:tcPr>
          <w:p w14:paraId="00F6E9D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B74C59A"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9CD7425"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09ED9490" w14:textId="77777777" w:rsidR="00BF17C8" w:rsidRPr="00756D59" w:rsidRDefault="00BF17C8" w:rsidP="00876646">
            <w:pPr>
              <w:jc w:val="left"/>
              <w:rPr>
                <w:sz w:val="20"/>
                <w:szCs w:val="20"/>
                <w:lang w:eastAsia="en-CA"/>
              </w:rPr>
            </w:pPr>
            <w:r w:rsidRPr="00756D59">
              <w:rPr>
                <w:sz w:val="20"/>
                <w:szCs w:val="20"/>
                <w:lang w:eastAsia="en-CA"/>
              </w:rPr>
              <w:t xml:space="preserve">Comprehensive review of licensing and quota system for including HFCs and alternatives, and controls on HFC-based products, policy interventions for energy efficiency and/or adapting safety standards for the proper handling of flammable/toxic refrigerants; developing country-specific HS codes for HFCs; knowledge, attitude, and practices study of the RAC </w:t>
            </w:r>
            <w:r w:rsidRPr="00756D59">
              <w:rPr>
                <w:sz w:val="20"/>
                <w:szCs w:val="20"/>
                <w:lang w:eastAsia="en-CA"/>
              </w:rPr>
              <w:lastRenderedPageBreak/>
              <w:t>service sector regarding low</w:t>
            </w:r>
            <w:r w:rsidRPr="00756D59">
              <w:rPr>
                <w:sz w:val="20"/>
                <w:szCs w:val="20"/>
                <w:lang w:eastAsia="en-CA"/>
              </w:rPr>
              <w:noBreakHyphen/>
              <w:t>GWP and flammable refrigerants, and supporting RAC service sector on managing transition from HFC</w:t>
            </w:r>
            <w:r w:rsidRPr="00756D59">
              <w:rPr>
                <w:sz w:val="20"/>
                <w:szCs w:val="20"/>
                <w:lang w:eastAsia="en-CA"/>
              </w:rPr>
              <w:noBreakHyphen/>
              <w:t>based refrigerants; and national strategy on a staged approach to introducing low</w:t>
            </w:r>
            <w:r w:rsidRPr="00756D59">
              <w:rPr>
                <w:sz w:val="20"/>
                <w:szCs w:val="20"/>
                <w:lang w:eastAsia="en-CA"/>
              </w:rPr>
              <w:noBreakHyphen/>
              <w:t>GWP energy efficient alternatives.</w:t>
            </w:r>
          </w:p>
        </w:tc>
        <w:tc>
          <w:tcPr>
            <w:tcW w:w="1629" w:type="dxa"/>
            <w:shd w:val="clear" w:color="auto" w:fill="auto"/>
            <w:tcMar>
              <w:left w:w="58" w:type="dxa"/>
              <w:right w:w="58" w:type="dxa"/>
            </w:tcMar>
          </w:tcPr>
          <w:p w14:paraId="7A68FD53"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6E9262D8" w14:textId="77777777" w:rsidTr="00876646">
        <w:trPr>
          <w:trHeight w:val="337"/>
        </w:trPr>
        <w:tc>
          <w:tcPr>
            <w:tcW w:w="2261" w:type="dxa"/>
            <w:tcMar>
              <w:left w:w="58" w:type="dxa"/>
              <w:right w:w="58" w:type="dxa"/>
            </w:tcMar>
          </w:tcPr>
          <w:p w14:paraId="1AA31BA8" w14:textId="77777777" w:rsidR="00BF17C8" w:rsidRPr="00756D59" w:rsidRDefault="00BF17C8" w:rsidP="00876646">
            <w:pPr>
              <w:jc w:val="left"/>
              <w:rPr>
                <w:sz w:val="20"/>
                <w:szCs w:val="20"/>
                <w:lang w:eastAsia="en-CA"/>
              </w:rPr>
            </w:pPr>
            <w:r w:rsidRPr="00756D59">
              <w:rPr>
                <w:bCs/>
                <w:sz w:val="20"/>
                <w:szCs w:val="20"/>
                <w:lang w:eastAsia="en-CA"/>
              </w:rPr>
              <w:lastRenderedPageBreak/>
              <w:t>Saint Vincent and the Grenadines</w:t>
            </w:r>
            <w:r w:rsidRPr="00756D59">
              <w:rPr>
                <w:sz w:val="20"/>
                <w:szCs w:val="20"/>
                <w:lang w:eastAsia="en-CA"/>
              </w:rPr>
              <w:t xml:space="preserve"> </w:t>
            </w:r>
          </w:p>
          <w:p w14:paraId="7E68AF47" w14:textId="77777777" w:rsidR="00BF17C8" w:rsidRPr="00756D59" w:rsidRDefault="00BF17C8" w:rsidP="00876646">
            <w:pPr>
              <w:jc w:val="left"/>
              <w:rPr>
                <w:bCs/>
                <w:sz w:val="20"/>
                <w:szCs w:val="20"/>
                <w:lang w:eastAsia="en-CA"/>
              </w:rPr>
            </w:pPr>
            <w:r w:rsidRPr="00756D59">
              <w:rPr>
                <w:sz w:val="20"/>
                <w:szCs w:val="20"/>
                <w:lang w:eastAsia="en-CA"/>
              </w:rPr>
              <w:t>STV/SEV/80/TAS/01+</w:t>
            </w:r>
          </w:p>
        </w:tc>
        <w:tc>
          <w:tcPr>
            <w:tcW w:w="3352" w:type="dxa"/>
            <w:tcMar>
              <w:left w:w="58" w:type="dxa"/>
              <w:right w:w="58" w:type="dxa"/>
            </w:tcMar>
          </w:tcPr>
          <w:p w14:paraId="1119404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0C4165A"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D9A2867"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2E0CC99E" w14:textId="77777777" w:rsidR="00BF17C8" w:rsidRPr="00756D59" w:rsidRDefault="00BF17C8" w:rsidP="00876646">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down and energy efficiency; training needs assessment for the RAC service sector; mapping of HFCs available on the local market and technical assistance on HFC data collection, RAC technology projection; symposium on  impacts of the Kigali Amendment ratification and seminar on the transition to low</w:t>
            </w:r>
            <w:r w:rsidRPr="00756D59">
              <w:rPr>
                <w:sz w:val="20"/>
                <w:szCs w:val="20"/>
                <w:lang w:eastAsia="en-CA"/>
              </w:rPr>
              <w:noBreakHyphen/>
              <w:t>GWP refrigerants;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a national strategy on a staged approach to introducing low</w:t>
            </w:r>
            <w:r w:rsidRPr="00756D59">
              <w:rPr>
                <w:sz w:val="20"/>
                <w:szCs w:val="20"/>
                <w:lang w:eastAsia="en-CA"/>
              </w:rPr>
              <w:noBreakHyphen/>
              <w:t>GWP energy efficient technologies and change management support for RAC service sector in transitioning from HFC refrigerants.</w:t>
            </w:r>
          </w:p>
        </w:tc>
        <w:tc>
          <w:tcPr>
            <w:tcW w:w="1629" w:type="dxa"/>
            <w:shd w:val="clear" w:color="auto" w:fill="auto"/>
            <w:tcMar>
              <w:left w:w="58" w:type="dxa"/>
              <w:right w:w="58" w:type="dxa"/>
            </w:tcMar>
          </w:tcPr>
          <w:p w14:paraId="3B9F6FD7"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258B860C" w14:textId="77777777" w:rsidTr="00876646">
        <w:trPr>
          <w:trHeight w:val="337"/>
        </w:trPr>
        <w:tc>
          <w:tcPr>
            <w:tcW w:w="2261" w:type="dxa"/>
            <w:tcMar>
              <w:left w:w="58" w:type="dxa"/>
              <w:right w:w="58" w:type="dxa"/>
            </w:tcMar>
          </w:tcPr>
          <w:p w14:paraId="00E6ED36" w14:textId="77777777" w:rsidR="00BF17C8" w:rsidRPr="00756D59" w:rsidRDefault="00BF17C8" w:rsidP="00876646">
            <w:pPr>
              <w:jc w:val="left"/>
              <w:rPr>
                <w:sz w:val="20"/>
                <w:szCs w:val="20"/>
                <w:lang w:eastAsia="en-CA"/>
              </w:rPr>
            </w:pPr>
            <w:r w:rsidRPr="00756D59">
              <w:rPr>
                <w:bCs/>
                <w:sz w:val="20"/>
                <w:szCs w:val="20"/>
                <w:lang w:eastAsia="en-CA"/>
              </w:rPr>
              <w:t>Sao Tome and Principe</w:t>
            </w:r>
            <w:r w:rsidRPr="00756D59">
              <w:rPr>
                <w:sz w:val="20"/>
                <w:szCs w:val="20"/>
                <w:lang w:eastAsia="en-CA"/>
              </w:rPr>
              <w:t xml:space="preserve"> </w:t>
            </w:r>
          </w:p>
          <w:p w14:paraId="3626E418" w14:textId="77777777" w:rsidR="00BF17C8" w:rsidRPr="00756D59" w:rsidRDefault="00BF17C8" w:rsidP="00876646">
            <w:pPr>
              <w:jc w:val="left"/>
              <w:rPr>
                <w:bCs/>
                <w:sz w:val="20"/>
                <w:szCs w:val="20"/>
                <w:lang w:eastAsia="en-CA"/>
              </w:rPr>
            </w:pPr>
            <w:r w:rsidRPr="00756D59">
              <w:rPr>
                <w:sz w:val="20"/>
                <w:szCs w:val="20"/>
                <w:lang w:eastAsia="en-CA"/>
              </w:rPr>
              <w:t>STP/SEV/81/TAS/01+</w:t>
            </w:r>
          </w:p>
        </w:tc>
        <w:tc>
          <w:tcPr>
            <w:tcW w:w="3352" w:type="dxa"/>
            <w:tcMar>
              <w:left w:w="58" w:type="dxa"/>
              <w:right w:w="58" w:type="dxa"/>
            </w:tcMar>
          </w:tcPr>
          <w:p w14:paraId="0D093E65"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36AB672F"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8A23C48" w14:textId="77777777" w:rsidR="00BF17C8" w:rsidRPr="00756D59" w:rsidRDefault="00BF17C8" w:rsidP="00876646">
            <w:pPr>
              <w:jc w:val="center"/>
              <w:rPr>
                <w:bCs/>
                <w:sz w:val="20"/>
                <w:szCs w:val="20"/>
                <w:lang w:eastAsia="en-CA"/>
              </w:rPr>
            </w:pPr>
            <w:r w:rsidRPr="00756D59">
              <w:rPr>
                <w:bCs/>
                <w:sz w:val="20"/>
                <w:szCs w:val="20"/>
                <w:lang w:eastAsia="en-CA"/>
              </w:rPr>
              <w:t>73.5</w:t>
            </w:r>
          </w:p>
        </w:tc>
        <w:tc>
          <w:tcPr>
            <w:tcW w:w="4531" w:type="dxa"/>
            <w:tcMar>
              <w:left w:w="58" w:type="dxa"/>
              <w:right w:w="58" w:type="dxa"/>
            </w:tcMar>
          </w:tcPr>
          <w:p w14:paraId="32EF7790" w14:textId="77777777" w:rsidR="00BF17C8" w:rsidRPr="00756D59" w:rsidRDefault="00BF17C8" w:rsidP="00876646">
            <w:pPr>
              <w:jc w:val="left"/>
              <w:rPr>
                <w:sz w:val="20"/>
                <w:szCs w:val="20"/>
                <w:lang w:eastAsia="en-CA"/>
              </w:rPr>
            </w:pPr>
            <w:r w:rsidRPr="00756D59">
              <w:rPr>
                <w:sz w:val="20"/>
                <w:szCs w:val="20"/>
                <w:lang w:eastAsia="en-CA"/>
              </w:rPr>
              <w:t>Development of country-specific HS codes for HFCs; conducting training needs assessment for serving sector; sensitization meetings for technicians on safe handling of HFCs and their alternatives; and assisting Customs Office in developing national custom codes for different HFCs and including them into the Customs Tariff for proper monitoring and recording of imports/exports or re</w:t>
            </w:r>
            <w:r w:rsidRPr="00756D59">
              <w:rPr>
                <w:sz w:val="20"/>
                <w:szCs w:val="20"/>
                <w:lang w:eastAsia="en-CA"/>
              </w:rPr>
              <w:noBreakHyphen/>
              <w:t>export of individual HFCs.</w:t>
            </w:r>
          </w:p>
        </w:tc>
        <w:tc>
          <w:tcPr>
            <w:tcW w:w="1629" w:type="dxa"/>
            <w:shd w:val="clear" w:color="auto" w:fill="auto"/>
            <w:tcMar>
              <w:left w:w="58" w:type="dxa"/>
              <w:right w:w="58" w:type="dxa"/>
            </w:tcMar>
          </w:tcPr>
          <w:p w14:paraId="27CAAE40"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7D1650C" w14:textId="77777777" w:rsidTr="00876646">
        <w:trPr>
          <w:trHeight w:val="337"/>
        </w:trPr>
        <w:tc>
          <w:tcPr>
            <w:tcW w:w="2261" w:type="dxa"/>
            <w:tcMar>
              <w:left w:w="58" w:type="dxa"/>
              <w:right w:w="58" w:type="dxa"/>
            </w:tcMar>
          </w:tcPr>
          <w:p w14:paraId="74A2480F" w14:textId="77777777" w:rsidR="00BF17C8" w:rsidRPr="00756D59" w:rsidRDefault="00BF17C8" w:rsidP="00876646">
            <w:pPr>
              <w:jc w:val="left"/>
              <w:rPr>
                <w:bCs/>
                <w:sz w:val="20"/>
                <w:szCs w:val="20"/>
                <w:lang w:eastAsia="en-CA"/>
              </w:rPr>
            </w:pPr>
            <w:r w:rsidRPr="00756D59">
              <w:rPr>
                <w:bCs/>
                <w:sz w:val="20"/>
                <w:szCs w:val="20"/>
                <w:lang w:eastAsia="en-CA"/>
              </w:rPr>
              <w:t>Saudi Arabia</w:t>
            </w:r>
          </w:p>
          <w:p w14:paraId="10B34F27" w14:textId="77777777" w:rsidR="00BF17C8" w:rsidRPr="00756D59" w:rsidRDefault="00BF17C8" w:rsidP="00876646">
            <w:pPr>
              <w:jc w:val="left"/>
              <w:rPr>
                <w:bCs/>
                <w:sz w:val="20"/>
                <w:szCs w:val="20"/>
                <w:lang w:eastAsia="en-CA"/>
              </w:rPr>
            </w:pPr>
            <w:r w:rsidRPr="00756D59">
              <w:rPr>
                <w:sz w:val="20"/>
                <w:szCs w:val="20"/>
                <w:lang w:eastAsia="en-CA"/>
              </w:rPr>
              <w:t>SAU/SEV/81/TAS/33</w:t>
            </w:r>
          </w:p>
        </w:tc>
        <w:tc>
          <w:tcPr>
            <w:tcW w:w="3352" w:type="dxa"/>
            <w:tcMar>
              <w:left w:w="58" w:type="dxa"/>
              <w:right w:w="58" w:type="dxa"/>
            </w:tcMar>
          </w:tcPr>
          <w:p w14:paraId="49F04DA1"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2DEF7C0"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ED3478E" w14:textId="77777777" w:rsidR="00BF17C8" w:rsidRPr="00756D59" w:rsidRDefault="00BF17C8" w:rsidP="00876646">
            <w:pPr>
              <w:jc w:val="center"/>
              <w:rPr>
                <w:bCs/>
                <w:sz w:val="20"/>
                <w:szCs w:val="20"/>
                <w:lang w:eastAsia="en-CA"/>
              </w:rPr>
            </w:pPr>
            <w:r w:rsidRPr="00756D59">
              <w:rPr>
                <w:bCs/>
                <w:sz w:val="20"/>
                <w:szCs w:val="20"/>
                <w:lang w:eastAsia="en-CA"/>
              </w:rPr>
              <w:t>33.4</w:t>
            </w:r>
          </w:p>
        </w:tc>
        <w:tc>
          <w:tcPr>
            <w:tcW w:w="4531" w:type="dxa"/>
            <w:tcMar>
              <w:left w:w="58" w:type="dxa"/>
              <w:right w:w="58" w:type="dxa"/>
            </w:tcMar>
          </w:tcPr>
          <w:p w14:paraId="6A6D0560" w14:textId="77777777" w:rsidR="00BF17C8" w:rsidRPr="00756D59" w:rsidRDefault="00BF17C8" w:rsidP="00876646">
            <w:pPr>
              <w:jc w:val="left"/>
              <w:rPr>
                <w:sz w:val="20"/>
                <w:szCs w:val="20"/>
                <w:lang w:eastAsia="en-CA"/>
              </w:rPr>
            </w:pPr>
            <w:r w:rsidRPr="00756D59">
              <w:rPr>
                <w:sz w:val="20"/>
                <w:szCs w:val="20"/>
                <w:lang w:eastAsia="en-CA"/>
              </w:rPr>
              <w:t>Updating the HFC licensing system along with related capacity building; and the finalization of country assessment report.</w:t>
            </w:r>
          </w:p>
        </w:tc>
        <w:tc>
          <w:tcPr>
            <w:tcW w:w="1629" w:type="dxa"/>
            <w:shd w:val="clear" w:color="auto" w:fill="auto"/>
            <w:tcMar>
              <w:left w:w="58" w:type="dxa"/>
              <w:right w:w="58" w:type="dxa"/>
            </w:tcMar>
          </w:tcPr>
          <w:p w14:paraId="73741833"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4DFEB2CE" w14:textId="77777777" w:rsidTr="00876646">
        <w:trPr>
          <w:trHeight w:val="337"/>
        </w:trPr>
        <w:tc>
          <w:tcPr>
            <w:tcW w:w="2261" w:type="dxa"/>
            <w:tcMar>
              <w:left w:w="58" w:type="dxa"/>
              <w:right w:w="58" w:type="dxa"/>
            </w:tcMar>
          </w:tcPr>
          <w:p w14:paraId="471E5566" w14:textId="77777777" w:rsidR="00BF17C8" w:rsidRPr="00756D59" w:rsidRDefault="00BF17C8" w:rsidP="00876646">
            <w:pPr>
              <w:jc w:val="left"/>
              <w:rPr>
                <w:sz w:val="20"/>
                <w:szCs w:val="20"/>
                <w:lang w:eastAsia="en-CA"/>
              </w:rPr>
            </w:pPr>
            <w:r w:rsidRPr="00756D59">
              <w:rPr>
                <w:bCs/>
                <w:sz w:val="20"/>
                <w:szCs w:val="20"/>
                <w:lang w:eastAsia="en-CA"/>
              </w:rPr>
              <w:t>Senegal</w:t>
            </w:r>
            <w:r w:rsidRPr="00756D59">
              <w:rPr>
                <w:sz w:val="20"/>
                <w:szCs w:val="20"/>
                <w:lang w:eastAsia="en-CA"/>
              </w:rPr>
              <w:t xml:space="preserve"> </w:t>
            </w:r>
          </w:p>
          <w:p w14:paraId="71BF144D" w14:textId="77777777" w:rsidR="00BF17C8" w:rsidRPr="00756D59" w:rsidRDefault="00BF17C8" w:rsidP="00876646">
            <w:pPr>
              <w:jc w:val="left"/>
              <w:rPr>
                <w:bCs/>
                <w:sz w:val="20"/>
                <w:szCs w:val="20"/>
                <w:lang w:eastAsia="en-CA"/>
              </w:rPr>
            </w:pPr>
            <w:r w:rsidRPr="00756D59">
              <w:rPr>
                <w:sz w:val="20"/>
                <w:szCs w:val="20"/>
                <w:lang w:eastAsia="en-CA"/>
              </w:rPr>
              <w:t>SEN/SEV/80/TAS/01+</w:t>
            </w:r>
          </w:p>
        </w:tc>
        <w:tc>
          <w:tcPr>
            <w:tcW w:w="3352" w:type="dxa"/>
            <w:tcMar>
              <w:left w:w="58" w:type="dxa"/>
              <w:right w:w="58" w:type="dxa"/>
            </w:tcMar>
          </w:tcPr>
          <w:p w14:paraId="4A7ABD8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1C642CE"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0DFDB35A" w14:textId="77777777" w:rsidR="00BF17C8" w:rsidRPr="00756D59" w:rsidRDefault="00BF17C8" w:rsidP="00876646">
            <w:pPr>
              <w:jc w:val="center"/>
              <w:rPr>
                <w:bCs/>
                <w:sz w:val="20"/>
                <w:szCs w:val="20"/>
                <w:lang w:eastAsia="en-CA"/>
              </w:rPr>
            </w:pPr>
            <w:r w:rsidRPr="00756D59">
              <w:rPr>
                <w:bCs/>
                <w:sz w:val="20"/>
                <w:szCs w:val="20"/>
                <w:lang w:eastAsia="en-CA"/>
              </w:rPr>
              <w:t>66.7</w:t>
            </w:r>
          </w:p>
        </w:tc>
        <w:tc>
          <w:tcPr>
            <w:tcW w:w="4531" w:type="dxa"/>
            <w:tcMar>
              <w:left w:w="58" w:type="dxa"/>
              <w:right w:w="58" w:type="dxa"/>
            </w:tcMar>
          </w:tcPr>
          <w:p w14:paraId="58D6475B" w14:textId="77777777" w:rsidR="00BF17C8" w:rsidRPr="00756D59" w:rsidRDefault="00BF17C8" w:rsidP="00876646">
            <w:pPr>
              <w:jc w:val="left"/>
              <w:rPr>
                <w:sz w:val="20"/>
                <w:szCs w:val="20"/>
                <w:lang w:eastAsia="en-CA"/>
              </w:rPr>
            </w:pPr>
            <w:r w:rsidRPr="00756D59">
              <w:rPr>
                <w:sz w:val="20"/>
                <w:szCs w:val="20"/>
                <w:lang w:eastAsia="en-CA"/>
              </w:rPr>
              <w:t xml:space="preserve">Sensitization meetings for technicians on safe handling of HFCs and their alternatives; and assisting customs office in developing national custom codes for </w:t>
            </w:r>
            <w:r w:rsidRPr="00756D59">
              <w:rPr>
                <w:sz w:val="20"/>
                <w:szCs w:val="20"/>
                <w:lang w:eastAsia="en-CA"/>
              </w:rPr>
              <w:lastRenderedPageBreak/>
              <w:t>different HFCs and including them into the customs tariff.</w:t>
            </w:r>
          </w:p>
        </w:tc>
        <w:tc>
          <w:tcPr>
            <w:tcW w:w="1629" w:type="dxa"/>
            <w:shd w:val="clear" w:color="auto" w:fill="auto"/>
            <w:tcMar>
              <w:left w:w="58" w:type="dxa"/>
              <w:right w:w="58" w:type="dxa"/>
            </w:tcMar>
          </w:tcPr>
          <w:p w14:paraId="2F7C48B9" w14:textId="77777777" w:rsidR="00BF17C8" w:rsidRPr="00756D59" w:rsidRDefault="00BF17C8" w:rsidP="00876646">
            <w:pPr>
              <w:jc w:val="center"/>
              <w:rPr>
                <w:bCs/>
                <w:sz w:val="20"/>
                <w:szCs w:val="20"/>
                <w:lang w:eastAsia="en-CA"/>
              </w:rPr>
            </w:pPr>
            <w:r w:rsidRPr="00756D59">
              <w:rPr>
                <w:bCs/>
                <w:sz w:val="20"/>
                <w:szCs w:val="20"/>
                <w:lang w:eastAsia="en-CA"/>
              </w:rPr>
              <w:lastRenderedPageBreak/>
              <w:t>Dec-21</w:t>
            </w:r>
          </w:p>
        </w:tc>
      </w:tr>
      <w:tr w:rsidR="00BF17C8" w:rsidRPr="00756D59" w14:paraId="6C51C935" w14:textId="77777777" w:rsidTr="00876646">
        <w:trPr>
          <w:trHeight w:val="337"/>
        </w:trPr>
        <w:tc>
          <w:tcPr>
            <w:tcW w:w="2261" w:type="dxa"/>
            <w:tcMar>
              <w:left w:w="58" w:type="dxa"/>
              <w:right w:w="58" w:type="dxa"/>
            </w:tcMar>
          </w:tcPr>
          <w:p w14:paraId="3F1E5B42" w14:textId="77777777" w:rsidR="00BF17C8" w:rsidRPr="00756D59" w:rsidRDefault="00BF17C8" w:rsidP="00876646">
            <w:pPr>
              <w:jc w:val="left"/>
              <w:rPr>
                <w:sz w:val="20"/>
                <w:szCs w:val="20"/>
                <w:lang w:val="es-419" w:eastAsia="en-CA"/>
              </w:rPr>
            </w:pPr>
            <w:r w:rsidRPr="00756D59">
              <w:rPr>
                <w:bCs/>
                <w:sz w:val="20"/>
                <w:szCs w:val="20"/>
                <w:lang w:val="es-419" w:eastAsia="en-CA"/>
              </w:rPr>
              <w:lastRenderedPageBreak/>
              <w:t>Sierra Leone</w:t>
            </w:r>
            <w:r w:rsidRPr="00756D59">
              <w:rPr>
                <w:sz w:val="20"/>
                <w:szCs w:val="20"/>
                <w:lang w:val="es-419" w:eastAsia="en-CA"/>
              </w:rPr>
              <w:t xml:space="preserve"> </w:t>
            </w:r>
          </w:p>
          <w:p w14:paraId="0A9FC554" w14:textId="77777777" w:rsidR="00BF17C8" w:rsidRPr="00756D59" w:rsidRDefault="00BF17C8" w:rsidP="00876646">
            <w:pPr>
              <w:jc w:val="left"/>
              <w:rPr>
                <w:bCs/>
                <w:sz w:val="20"/>
                <w:szCs w:val="20"/>
                <w:lang w:val="es-419" w:eastAsia="en-CA"/>
              </w:rPr>
            </w:pPr>
            <w:r w:rsidRPr="00756D59">
              <w:rPr>
                <w:sz w:val="20"/>
                <w:szCs w:val="20"/>
                <w:lang w:val="es-419" w:eastAsia="en-CA"/>
              </w:rPr>
              <w:t>SIL/SEV/81/TAS/01+</w:t>
            </w:r>
          </w:p>
        </w:tc>
        <w:tc>
          <w:tcPr>
            <w:tcW w:w="3352" w:type="dxa"/>
            <w:tcMar>
              <w:left w:w="58" w:type="dxa"/>
              <w:right w:w="58" w:type="dxa"/>
            </w:tcMar>
          </w:tcPr>
          <w:p w14:paraId="2E61CC8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8F04CE7"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35C32F68" w14:textId="77777777" w:rsidR="00BF17C8" w:rsidRPr="00756D59" w:rsidRDefault="00BF17C8" w:rsidP="00876646">
            <w:pPr>
              <w:jc w:val="center"/>
              <w:rPr>
                <w:bCs/>
                <w:sz w:val="20"/>
                <w:szCs w:val="20"/>
                <w:lang w:eastAsia="en-CA"/>
              </w:rPr>
            </w:pPr>
            <w:r w:rsidRPr="00756D59">
              <w:rPr>
                <w:bCs/>
                <w:sz w:val="20"/>
                <w:szCs w:val="20"/>
                <w:lang w:eastAsia="en-CA"/>
              </w:rPr>
              <w:t>52.6</w:t>
            </w:r>
          </w:p>
        </w:tc>
        <w:tc>
          <w:tcPr>
            <w:tcW w:w="4531" w:type="dxa"/>
            <w:tcMar>
              <w:left w:w="58" w:type="dxa"/>
              <w:right w:w="58" w:type="dxa"/>
            </w:tcMar>
          </w:tcPr>
          <w:p w14:paraId="1BFE7B6E" w14:textId="77777777" w:rsidR="00BF17C8" w:rsidRPr="00756D59" w:rsidRDefault="00BF17C8" w:rsidP="00876646">
            <w:pPr>
              <w:jc w:val="left"/>
              <w:rPr>
                <w:sz w:val="20"/>
                <w:szCs w:val="20"/>
                <w:lang w:eastAsia="en-CA"/>
              </w:rPr>
            </w:pPr>
            <w:r w:rsidRPr="00756D59">
              <w:rPr>
                <w:sz w:val="20"/>
                <w:szCs w:val="20"/>
                <w:lang w:eastAsia="en-CA"/>
              </w:rPr>
              <w:t>Conducting sensitization meetings for technicians on safe handling of HFCs and their alternatives; and assisting national customs authorities in establishing national custom codes for HFCs.</w:t>
            </w:r>
          </w:p>
        </w:tc>
        <w:tc>
          <w:tcPr>
            <w:tcW w:w="1629" w:type="dxa"/>
            <w:shd w:val="clear" w:color="auto" w:fill="auto"/>
            <w:tcMar>
              <w:left w:w="58" w:type="dxa"/>
              <w:right w:w="58" w:type="dxa"/>
            </w:tcMar>
          </w:tcPr>
          <w:p w14:paraId="0CD1EBDA"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7F6C1932" w14:textId="77777777" w:rsidTr="00876646">
        <w:trPr>
          <w:trHeight w:val="337"/>
        </w:trPr>
        <w:tc>
          <w:tcPr>
            <w:tcW w:w="2261" w:type="dxa"/>
            <w:tcMar>
              <w:left w:w="58" w:type="dxa"/>
              <w:right w:w="58" w:type="dxa"/>
            </w:tcMar>
          </w:tcPr>
          <w:p w14:paraId="18A0ED3E" w14:textId="77777777" w:rsidR="00BF17C8" w:rsidRPr="00756D59" w:rsidRDefault="00BF17C8" w:rsidP="00876646">
            <w:pPr>
              <w:jc w:val="left"/>
              <w:rPr>
                <w:sz w:val="20"/>
                <w:szCs w:val="20"/>
                <w:lang w:val="fr-FR" w:eastAsia="en-CA"/>
              </w:rPr>
            </w:pPr>
            <w:r w:rsidRPr="00756D59">
              <w:rPr>
                <w:bCs/>
                <w:sz w:val="20"/>
                <w:szCs w:val="20"/>
                <w:lang w:val="fr-FR" w:eastAsia="en-CA"/>
              </w:rPr>
              <w:t xml:space="preserve">Solomon </w:t>
            </w:r>
            <w:proofErr w:type="spellStart"/>
            <w:r w:rsidRPr="00756D59">
              <w:rPr>
                <w:bCs/>
                <w:sz w:val="20"/>
                <w:szCs w:val="20"/>
                <w:lang w:val="fr-FR" w:eastAsia="en-CA"/>
              </w:rPr>
              <w:t>Islands</w:t>
            </w:r>
            <w:proofErr w:type="spellEnd"/>
            <w:r w:rsidRPr="00756D59">
              <w:rPr>
                <w:sz w:val="20"/>
                <w:szCs w:val="20"/>
                <w:lang w:val="fr-FR" w:eastAsia="en-CA"/>
              </w:rPr>
              <w:t xml:space="preserve"> </w:t>
            </w:r>
          </w:p>
          <w:p w14:paraId="70BA2815" w14:textId="77777777" w:rsidR="00BF17C8" w:rsidRPr="00756D59" w:rsidRDefault="00BF17C8" w:rsidP="00876646">
            <w:pPr>
              <w:jc w:val="left"/>
              <w:rPr>
                <w:bCs/>
                <w:sz w:val="20"/>
                <w:szCs w:val="20"/>
                <w:lang w:val="fr-FR" w:eastAsia="en-CA"/>
              </w:rPr>
            </w:pPr>
            <w:r w:rsidRPr="00756D59">
              <w:rPr>
                <w:sz w:val="20"/>
                <w:szCs w:val="20"/>
                <w:lang w:val="fr-FR" w:eastAsia="en-CA"/>
              </w:rPr>
              <w:t>SOI/SEV/81/TAS/01+</w:t>
            </w:r>
          </w:p>
        </w:tc>
        <w:tc>
          <w:tcPr>
            <w:tcW w:w="3352" w:type="dxa"/>
            <w:tcMar>
              <w:left w:w="58" w:type="dxa"/>
              <w:right w:w="58" w:type="dxa"/>
            </w:tcMar>
          </w:tcPr>
          <w:p w14:paraId="30A08F3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AA1EB19"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0C4DC92" w14:textId="77777777" w:rsidR="00BF17C8" w:rsidRPr="00756D59" w:rsidRDefault="00BF17C8" w:rsidP="00876646">
            <w:pPr>
              <w:jc w:val="center"/>
              <w:rPr>
                <w:bCs/>
                <w:sz w:val="20"/>
                <w:szCs w:val="20"/>
                <w:lang w:eastAsia="en-CA"/>
              </w:rPr>
            </w:pPr>
            <w:r w:rsidRPr="00756D59">
              <w:rPr>
                <w:bCs/>
                <w:sz w:val="20"/>
                <w:szCs w:val="20"/>
                <w:lang w:eastAsia="en-CA"/>
              </w:rPr>
              <w:t>42.2</w:t>
            </w:r>
          </w:p>
        </w:tc>
        <w:tc>
          <w:tcPr>
            <w:tcW w:w="4531" w:type="dxa"/>
            <w:tcMar>
              <w:left w:w="58" w:type="dxa"/>
              <w:right w:w="58" w:type="dxa"/>
            </w:tcMar>
          </w:tcPr>
          <w:p w14:paraId="2B4EB99D" w14:textId="77777777" w:rsidR="00BF17C8" w:rsidRPr="00756D59" w:rsidRDefault="00BF17C8" w:rsidP="00876646">
            <w:pPr>
              <w:jc w:val="left"/>
              <w:rPr>
                <w:sz w:val="20"/>
                <w:szCs w:val="20"/>
                <w:lang w:eastAsia="en-CA"/>
              </w:rPr>
            </w:pPr>
            <w:r w:rsidRPr="00756D59">
              <w:rPr>
                <w:sz w:val="20"/>
                <w:szCs w:val="20"/>
                <w:lang w:eastAsia="en-CA"/>
              </w:rPr>
              <w:t>Consultations on Kigali Amendment ratification; finalization of country assessment report; roundtable workshops and trainings; finalization of draft regulation amendment; development of knowledge products and information materials; and finalization of e</w:t>
            </w:r>
            <w:r w:rsidRPr="00756D59">
              <w:rPr>
                <w:sz w:val="20"/>
                <w:szCs w:val="20"/>
                <w:lang w:eastAsia="en-CA"/>
              </w:rPr>
              <w:noBreakHyphen/>
              <w:t>licensing system.</w:t>
            </w:r>
          </w:p>
        </w:tc>
        <w:tc>
          <w:tcPr>
            <w:tcW w:w="1629" w:type="dxa"/>
            <w:shd w:val="clear" w:color="auto" w:fill="auto"/>
            <w:tcMar>
              <w:left w:w="58" w:type="dxa"/>
              <w:right w:w="58" w:type="dxa"/>
            </w:tcMar>
          </w:tcPr>
          <w:p w14:paraId="06337715"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45872672" w14:textId="77777777" w:rsidTr="00876646">
        <w:trPr>
          <w:trHeight w:val="337"/>
        </w:trPr>
        <w:tc>
          <w:tcPr>
            <w:tcW w:w="2261" w:type="dxa"/>
            <w:tcMar>
              <w:left w:w="58" w:type="dxa"/>
              <w:right w:w="58" w:type="dxa"/>
            </w:tcMar>
          </w:tcPr>
          <w:p w14:paraId="710F98AF" w14:textId="77777777" w:rsidR="00BF17C8" w:rsidRPr="00756D59" w:rsidRDefault="00BF17C8" w:rsidP="00876646">
            <w:pPr>
              <w:jc w:val="left"/>
              <w:rPr>
                <w:sz w:val="20"/>
                <w:szCs w:val="20"/>
                <w:lang w:eastAsia="en-CA"/>
              </w:rPr>
            </w:pPr>
            <w:r w:rsidRPr="00756D59">
              <w:rPr>
                <w:bCs/>
                <w:sz w:val="20"/>
                <w:szCs w:val="20"/>
                <w:lang w:eastAsia="en-CA"/>
              </w:rPr>
              <w:t>South Sudan</w:t>
            </w:r>
            <w:r w:rsidRPr="00756D59">
              <w:rPr>
                <w:sz w:val="20"/>
                <w:szCs w:val="20"/>
                <w:lang w:eastAsia="en-CA"/>
              </w:rPr>
              <w:t xml:space="preserve"> </w:t>
            </w:r>
          </w:p>
          <w:p w14:paraId="7E6165C9" w14:textId="77777777" w:rsidR="00BF17C8" w:rsidRPr="00756D59" w:rsidRDefault="00BF17C8" w:rsidP="00876646">
            <w:pPr>
              <w:jc w:val="left"/>
              <w:rPr>
                <w:bCs/>
                <w:sz w:val="20"/>
                <w:szCs w:val="20"/>
                <w:lang w:eastAsia="en-CA"/>
              </w:rPr>
            </w:pPr>
            <w:r w:rsidRPr="00756D59">
              <w:rPr>
                <w:sz w:val="20"/>
                <w:szCs w:val="20"/>
                <w:lang w:eastAsia="en-CA"/>
              </w:rPr>
              <w:t>SSD/SEV/81/TAS/01+</w:t>
            </w:r>
          </w:p>
        </w:tc>
        <w:tc>
          <w:tcPr>
            <w:tcW w:w="3352" w:type="dxa"/>
            <w:tcMar>
              <w:left w:w="58" w:type="dxa"/>
              <w:right w:w="58" w:type="dxa"/>
            </w:tcMar>
          </w:tcPr>
          <w:p w14:paraId="798AC5BB"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BD07E8F"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689415E1" w14:textId="77777777" w:rsidR="00BF17C8" w:rsidRPr="00756D59" w:rsidRDefault="00BF17C8" w:rsidP="00876646">
            <w:pPr>
              <w:jc w:val="center"/>
              <w:rPr>
                <w:bCs/>
                <w:sz w:val="20"/>
                <w:szCs w:val="20"/>
                <w:lang w:eastAsia="en-CA"/>
              </w:rPr>
            </w:pPr>
            <w:r w:rsidRPr="00756D59">
              <w:rPr>
                <w:bCs/>
                <w:sz w:val="20"/>
                <w:szCs w:val="20"/>
                <w:lang w:eastAsia="en-CA"/>
              </w:rPr>
              <w:t>31.6</w:t>
            </w:r>
          </w:p>
        </w:tc>
        <w:tc>
          <w:tcPr>
            <w:tcW w:w="4531" w:type="dxa"/>
            <w:tcMar>
              <w:left w:w="58" w:type="dxa"/>
              <w:right w:w="58" w:type="dxa"/>
            </w:tcMar>
          </w:tcPr>
          <w:p w14:paraId="14184217" w14:textId="77777777" w:rsidR="00BF17C8" w:rsidRPr="00756D59" w:rsidRDefault="00BF17C8" w:rsidP="00876646">
            <w:pPr>
              <w:jc w:val="left"/>
              <w:rPr>
                <w:sz w:val="20"/>
                <w:szCs w:val="20"/>
                <w:lang w:eastAsia="en-CA"/>
              </w:rPr>
            </w:pPr>
            <w:r w:rsidRPr="00756D59">
              <w:rPr>
                <w:sz w:val="20"/>
                <w:szCs w:val="20"/>
                <w:lang w:eastAsia="en-CA"/>
              </w:rPr>
              <w:t>Analysis of existing legislation and drafting amendments; conducting sensitization meetings for technicians on safe handling of HFCs and their alternatives; and revising the existing national Ozone</w:t>
            </w:r>
            <w:r w:rsidRPr="00756D59">
              <w:rPr>
                <w:sz w:val="20"/>
                <w:szCs w:val="20"/>
                <w:lang w:eastAsia="en-CA"/>
              </w:rPr>
              <w:noBreakHyphen/>
              <w:t>Depleting Substances legislation (and ODS</w:t>
            </w:r>
            <w:r w:rsidRPr="00756D59">
              <w:rPr>
                <w:sz w:val="20"/>
                <w:szCs w:val="20"/>
                <w:lang w:eastAsia="en-CA"/>
              </w:rPr>
              <w:noBreakHyphen/>
              <w:t>based equipment).</w:t>
            </w:r>
          </w:p>
        </w:tc>
        <w:tc>
          <w:tcPr>
            <w:tcW w:w="1629" w:type="dxa"/>
            <w:shd w:val="clear" w:color="auto" w:fill="auto"/>
            <w:tcMar>
              <w:left w:w="58" w:type="dxa"/>
              <w:right w:w="58" w:type="dxa"/>
            </w:tcMar>
          </w:tcPr>
          <w:p w14:paraId="01AC2EAC"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7B403022" w14:textId="77777777" w:rsidTr="00876646">
        <w:trPr>
          <w:trHeight w:val="337"/>
        </w:trPr>
        <w:tc>
          <w:tcPr>
            <w:tcW w:w="2261" w:type="dxa"/>
            <w:tcMar>
              <w:left w:w="58" w:type="dxa"/>
              <w:right w:w="58" w:type="dxa"/>
            </w:tcMar>
          </w:tcPr>
          <w:p w14:paraId="6CDAB277" w14:textId="77777777" w:rsidR="00BF17C8" w:rsidRPr="00756D59" w:rsidRDefault="00BF17C8" w:rsidP="00876646">
            <w:pPr>
              <w:jc w:val="left"/>
              <w:rPr>
                <w:sz w:val="20"/>
                <w:szCs w:val="20"/>
                <w:lang w:eastAsia="en-CA"/>
              </w:rPr>
            </w:pPr>
            <w:r w:rsidRPr="00756D59">
              <w:rPr>
                <w:bCs/>
                <w:sz w:val="20"/>
                <w:szCs w:val="20"/>
                <w:lang w:eastAsia="en-CA"/>
              </w:rPr>
              <w:t>Sri Lanka</w:t>
            </w:r>
            <w:r w:rsidRPr="00756D59">
              <w:rPr>
                <w:sz w:val="20"/>
                <w:szCs w:val="20"/>
                <w:lang w:eastAsia="en-CA"/>
              </w:rPr>
              <w:t xml:space="preserve"> </w:t>
            </w:r>
          </w:p>
          <w:p w14:paraId="1CFD61EA" w14:textId="77777777" w:rsidR="00BF17C8" w:rsidRPr="00756D59" w:rsidRDefault="00BF17C8" w:rsidP="00876646">
            <w:pPr>
              <w:jc w:val="left"/>
              <w:rPr>
                <w:bCs/>
                <w:sz w:val="20"/>
                <w:szCs w:val="20"/>
                <w:lang w:eastAsia="en-CA"/>
              </w:rPr>
            </w:pPr>
            <w:r w:rsidRPr="00756D59">
              <w:rPr>
                <w:sz w:val="20"/>
                <w:szCs w:val="20"/>
                <w:lang w:eastAsia="en-CA"/>
              </w:rPr>
              <w:t>SRL/SEV/81/TAS/01+</w:t>
            </w:r>
          </w:p>
        </w:tc>
        <w:tc>
          <w:tcPr>
            <w:tcW w:w="3352" w:type="dxa"/>
            <w:tcMar>
              <w:left w:w="58" w:type="dxa"/>
              <w:right w:w="58" w:type="dxa"/>
            </w:tcMar>
          </w:tcPr>
          <w:p w14:paraId="3FA20A07"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66774FA"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09FF6AC6" w14:textId="77777777" w:rsidR="00BF17C8" w:rsidRPr="00756D59" w:rsidRDefault="00BF17C8" w:rsidP="00876646">
            <w:pPr>
              <w:jc w:val="center"/>
              <w:rPr>
                <w:bCs/>
                <w:sz w:val="20"/>
                <w:szCs w:val="20"/>
                <w:lang w:eastAsia="en-CA"/>
              </w:rPr>
            </w:pPr>
            <w:r w:rsidRPr="00756D59">
              <w:rPr>
                <w:bCs/>
                <w:sz w:val="20"/>
                <w:szCs w:val="20"/>
                <w:lang w:eastAsia="en-CA"/>
              </w:rPr>
              <w:t>59.8</w:t>
            </w:r>
          </w:p>
        </w:tc>
        <w:tc>
          <w:tcPr>
            <w:tcW w:w="4531" w:type="dxa"/>
            <w:tcMar>
              <w:left w:w="58" w:type="dxa"/>
              <w:right w:w="58" w:type="dxa"/>
            </w:tcMar>
          </w:tcPr>
          <w:p w14:paraId="26AFDA24" w14:textId="77777777" w:rsidR="00BF17C8" w:rsidRPr="00756D59" w:rsidRDefault="00BF17C8" w:rsidP="00876646">
            <w:pPr>
              <w:jc w:val="left"/>
              <w:rPr>
                <w:sz w:val="20"/>
                <w:szCs w:val="20"/>
                <w:lang w:eastAsia="en-CA"/>
              </w:rPr>
            </w:pPr>
            <w:r w:rsidRPr="00756D59">
              <w:rPr>
                <w:sz w:val="20"/>
                <w:szCs w:val="20"/>
                <w:lang w:eastAsia="en-CA"/>
              </w:rPr>
              <w:t>Finalization of stakeholder engagement strategy; roundtable workshops and trainings; finalization of safety and energy efficiency standards; finalization study on Recognition of Prior Learning in the Technical and Vocational Education and Training system for RAC; and development of knowledge products and information materials on Kigali Amendment, energy efficiency and safe-handling of low</w:t>
            </w:r>
            <w:r w:rsidRPr="00756D59">
              <w:rPr>
                <w:sz w:val="20"/>
                <w:szCs w:val="20"/>
                <w:lang w:eastAsia="en-CA"/>
              </w:rPr>
              <w:noBreakHyphen/>
              <w:t>GWP technologies.</w:t>
            </w:r>
          </w:p>
        </w:tc>
        <w:tc>
          <w:tcPr>
            <w:tcW w:w="1629" w:type="dxa"/>
            <w:shd w:val="clear" w:color="auto" w:fill="auto"/>
            <w:tcMar>
              <w:left w:w="58" w:type="dxa"/>
              <w:right w:w="58" w:type="dxa"/>
            </w:tcMar>
          </w:tcPr>
          <w:p w14:paraId="435050FF"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7C1C7D0C" w14:textId="77777777" w:rsidTr="00876646">
        <w:trPr>
          <w:trHeight w:val="337"/>
        </w:trPr>
        <w:tc>
          <w:tcPr>
            <w:tcW w:w="2261" w:type="dxa"/>
            <w:tcMar>
              <w:left w:w="58" w:type="dxa"/>
              <w:right w:w="58" w:type="dxa"/>
            </w:tcMar>
          </w:tcPr>
          <w:p w14:paraId="68837EF6" w14:textId="77777777" w:rsidR="00BF17C8" w:rsidRPr="00756D59" w:rsidRDefault="00BF17C8" w:rsidP="00876646">
            <w:pPr>
              <w:jc w:val="left"/>
              <w:rPr>
                <w:sz w:val="20"/>
                <w:szCs w:val="20"/>
                <w:lang w:eastAsia="en-CA"/>
              </w:rPr>
            </w:pPr>
            <w:r w:rsidRPr="00756D59">
              <w:rPr>
                <w:bCs/>
                <w:sz w:val="20"/>
                <w:szCs w:val="20"/>
                <w:lang w:eastAsia="en-CA"/>
              </w:rPr>
              <w:t>Sudan</w:t>
            </w:r>
            <w:r w:rsidRPr="00756D59">
              <w:rPr>
                <w:sz w:val="20"/>
                <w:szCs w:val="20"/>
                <w:lang w:eastAsia="en-CA"/>
              </w:rPr>
              <w:t xml:space="preserve"> (the)</w:t>
            </w:r>
          </w:p>
          <w:p w14:paraId="17AA91E4" w14:textId="77777777" w:rsidR="00BF17C8" w:rsidRPr="00756D59" w:rsidRDefault="00BF17C8" w:rsidP="00876646">
            <w:pPr>
              <w:jc w:val="left"/>
              <w:rPr>
                <w:bCs/>
                <w:sz w:val="20"/>
                <w:szCs w:val="20"/>
                <w:lang w:eastAsia="en-CA"/>
              </w:rPr>
            </w:pPr>
            <w:r w:rsidRPr="00756D59">
              <w:rPr>
                <w:sz w:val="20"/>
                <w:szCs w:val="20"/>
                <w:lang w:eastAsia="en-CA"/>
              </w:rPr>
              <w:t>SUD/SEV/80/TAS/02+</w:t>
            </w:r>
          </w:p>
        </w:tc>
        <w:tc>
          <w:tcPr>
            <w:tcW w:w="3352" w:type="dxa"/>
            <w:tcMar>
              <w:left w:w="58" w:type="dxa"/>
              <w:right w:w="58" w:type="dxa"/>
            </w:tcMar>
          </w:tcPr>
          <w:p w14:paraId="05AB883C"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0962650"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B488D99" w14:textId="77777777" w:rsidR="00BF17C8" w:rsidRPr="00756D59" w:rsidRDefault="00BF17C8" w:rsidP="00876646">
            <w:pPr>
              <w:jc w:val="center"/>
              <w:rPr>
                <w:bCs/>
                <w:sz w:val="20"/>
                <w:szCs w:val="20"/>
                <w:lang w:eastAsia="en-CA"/>
              </w:rPr>
            </w:pPr>
            <w:r w:rsidRPr="00756D59">
              <w:rPr>
                <w:bCs/>
                <w:sz w:val="20"/>
                <w:szCs w:val="20"/>
                <w:lang w:eastAsia="en-CA"/>
              </w:rPr>
              <w:t>53.3</w:t>
            </w:r>
          </w:p>
        </w:tc>
        <w:tc>
          <w:tcPr>
            <w:tcW w:w="4531" w:type="dxa"/>
            <w:tcMar>
              <w:left w:w="58" w:type="dxa"/>
              <w:right w:w="58" w:type="dxa"/>
            </w:tcMar>
          </w:tcPr>
          <w:p w14:paraId="696D0BCF" w14:textId="77777777" w:rsidR="00BF17C8" w:rsidRPr="00756D59" w:rsidRDefault="00BF17C8" w:rsidP="00876646">
            <w:pPr>
              <w:jc w:val="left"/>
              <w:rPr>
                <w:sz w:val="20"/>
                <w:szCs w:val="20"/>
                <w:lang w:eastAsia="en-CA"/>
              </w:rPr>
            </w:pPr>
            <w:r w:rsidRPr="00756D59">
              <w:rPr>
                <w:sz w:val="20"/>
                <w:szCs w:val="20"/>
                <w:lang w:eastAsia="en-CA"/>
              </w:rPr>
              <w:t xml:space="preserve">Implementing public awareness regarding the Kigali Amendment and continuing stakeholder consultations; raising awareness of technicians on available HFC alternatives and their safe handling; and training customs officers on monitoring and controlling HFC trade at all the major ports of entry. </w:t>
            </w:r>
          </w:p>
        </w:tc>
        <w:tc>
          <w:tcPr>
            <w:tcW w:w="1629" w:type="dxa"/>
            <w:shd w:val="clear" w:color="auto" w:fill="auto"/>
            <w:tcMar>
              <w:left w:w="58" w:type="dxa"/>
              <w:right w:w="58" w:type="dxa"/>
            </w:tcMar>
          </w:tcPr>
          <w:p w14:paraId="176AED40"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14C216FA" w14:textId="77777777" w:rsidTr="00876646">
        <w:trPr>
          <w:trHeight w:val="337"/>
        </w:trPr>
        <w:tc>
          <w:tcPr>
            <w:tcW w:w="2261" w:type="dxa"/>
            <w:tcMar>
              <w:left w:w="58" w:type="dxa"/>
              <w:right w:w="58" w:type="dxa"/>
            </w:tcMar>
          </w:tcPr>
          <w:p w14:paraId="6BF63C87" w14:textId="77777777" w:rsidR="00BF17C8" w:rsidRPr="00756D59" w:rsidRDefault="00BF17C8" w:rsidP="00876646">
            <w:pPr>
              <w:jc w:val="left"/>
              <w:rPr>
                <w:sz w:val="20"/>
                <w:szCs w:val="20"/>
                <w:lang w:eastAsia="en-CA"/>
              </w:rPr>
            </w:pPr>
            <w:r w:rsidRPr="00756D59">
              <w:rPr>
                <w:bCs/>
                <w:sz w:val="20"/>
                <w:szCs w:val="20"/>
                <w:lang w:eastAsia="en-CA"/>
              </w:rPr>
              <w:t>Suriname</w:t>
            </w:r>
            <w:r w:rsidRPr="00756D59">
              <w:rPr>
                <w:sz w:val="20"/>
                <w:szCs w:val="20"/>
                <w:lang w:eastAsia="en-CA"/>
              </w:rPr>
              <w:t xml:space="preserve"> </w:t>
            </w:r>
          </w:p>
          <w:p w14:paraId="607CFAF5" w14:textId="77777777" w:rsidR="00BF17C8" w:rsidRPr="00756D59" w:rsidRDefault="00BF17C8" w:rsidP="00876646">
            <w:pPr>
              <w:jc w:val="left"/>
              <w:rPr>
                <w:bCs/>
                <w:sz w:val="20"/>
                <w:szCs w:val="20"/>
                <w:lang w:eastAsia="en-CA"/>
              </w:rPr>
            </w:pPr>
            <w:r w:rsidRPr="00756D59">
              <w:rPr>
                <w:sz w:val="20"/>
                <w:szCs w:val="20"/>
                <w:lang w:eastAsia="en-CA"/>
              </w:rPr>
              <w:t>SUR/SEV/80/TAS/01+</w:t>
            </w:r>
          </w:p>
        </w:tc>
        <w:tc>
          <w:tcPr>
            <w:tcW w:w="3352" w:type="dxa"/>
            <w:tcMar>
              <w:left w:w="58" w:type="dxa"/>
              <w:right w:w="58" w:type="dxa"/>
            </w:tcMar>
          </w:tcPr>
          <w:p w14:paraId="35B462D8"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440CA24"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2497A078" w14:textId="77777777" w:rsidR="00BF17C8" w:rsidRPr="00756D59" w:rsidRDefault="00BF17C8" w:rsidP="00876646">
            <w:pPr>
              <w:jc w:val="center"/>
              <w:rPr>
                <w:bCs/>
                <w:sz w:val="20"/>
                <w:szCs w:val="20"/>
                <w:lang w:eastAsia="en-CA"/>
              </w:rPr>
            </w:pPr>
            <w:r w:rsidRPr="00756D59">
              <w:rPr>
                <w:bCs/>
                <w:sz w:val="20"/>
                <w:szCs w:val="20"/>
                <w:lang w:eastAsia="en-CA"/>
              </w:rPr>
              <w:t>0</w:t>
            </w:r>
          </w:p>
        </w:tc>
        <w:tc>
          <w:tcPr>
            <w:tcW w:w="4531" w:type="dxa"/>
            <w:tcMar>
              <w:left w:w="58" w:type="dxa"/>
              <w:right w:w="58" w:type="dxa"/>
            </w:tcMar>
          </w:tcPr>
          <w:p w14:paraId="67F3E9D1" w14:textId="77777777" w:rsidR="00BF17C8" w:rsidRPr="00756D59" w:rsidRDefault="00BF17C8" w:rsidP="00876646">
            <w:pPr>
              <w:jc w:val="left"/>
              <w:rPr>
                <w:sz w:val="20"/>
                <w:szCs w:val="20"/>
                <w:lang w:eastAsia="en-CA"/>
              </w:rPr>
            </w:pPr>
            <w:r w:rsidRPr="00756D59">
              <w:rPr>
                <w:sz w:val="20"/>
                <w:szCs w:val="20"/>
                <w:lang w:eastAsia="en-CA"/>
              </w:rPr>
              <w:t>Analysis of ozone and climate legislation to support Kigali Amendment; stakeholder consultations meetings and awareness raising on HFC phase</w:t>
            </w:r>
            <w:r w:rsidRPr="00756D59">
              <w:rPr>
                <w:sz w:val="20"/>
                <w:szCs w:val="20"/>
                <w:lang w:eastAsia="en-CA"/>
              </w:rPr>
              <w:noBreakHyphen/>
              <w:t xml:space="preserve">down and energy efficiency; training needs assessment for </w:t>
            </w:r>
            <w:r w:rsidRPr="00756D59">
              <w:rPr>
                <w:sz w:val="20"/>
                <w:szCs w:val="20"/>
                <w:lang w:eastAsia="en-CA"/>
              </w:rPr>
              <w:lastRenderedPageBreak/>
              <w:t>the RAC service sector; mapping HFCs available in the local market; technical assistance for HFC data collection, projection of RAC technology trends; symposium on  impacts of the Kigali Amendment ratification and seminar on the transition to low</w:t>
            </w:r>
            <w:r w:rsidRPr="00756D59">
              <w:rPr>
                <w:sz w:val="20"/>
                <w:szCs w:val="20"/>
                <w:lang w:eastAsia="en-CA"/>
              </w:rPr>
              <w:noBreakHyphen/>
              <w:t>GWP technologies; training seminar for technicians on management of alternatives; developing country</w:t>
            </w:r>
            <w:r w:rsidRPr="00756D59">
              <w:rPr>
                <w:sz w:val="20"/>
                <w:szCs w:val="20"/>
                <w:lang w:eastAsia="en-CA"/>
              </w:rPr>
              <w:noBreakHyphen/>
              <w:t>specific HS codes for HFCs; knowledge, attitude, and practices study of the RAC service sector; and developing national strategy on a staged approach to introducing low</w:t>
            </w:r>
            <w:r w:rsidRPr="00756D59">
              <w:rPr>
                <w:sz w:val="20"/>
                <w:szCs w:val="20"/>
                <w:lang w:eastAsia="en-CA"/>
              </w:rPr>
              <w:noBreakHyphen/>
              <w:t>GWP energy efficient alternatives and change management support to assist service to manage transition from HFCs to alternative refrigerants.</w:t>
            </w:r>
          </w:p>
        </w:tc>
        <w:tc>
          <w:tcPr>
            <w:tcW w:w="1629" w:type="dxa"/>
            <w:shd w:val="clear" w:color="auto" w:fill="auto"/>
            <w:tcMar>
              <w:left w:w="58" w:type="dxa"/>
              <w:right w:w="58" w:type="dxa"/>
            </w:tcMar>
          </w:tcPr>
          <w:p w14:paraId="135DE90B" w14:textId="77777777" w:rsidR="00BF17C8" w:rsidRPr="00756D59" w:rsidRDefault="00BF17C8" w:rsidP="00876646">
            <w:pPr>
              <w:jc w:val="center"/>
              <w:rPr>
                <w:bCs/>
                <w:sz w:val="20"/>
                <w:szCs w:val="20"/>
                <w:lang w:eastAsia="en-CA"/>
              </w:rPr>
            </w:pPr>
            <w:r w:rsidRPr="00756D59">
              <w:rPr>
                <w:bCs/>
                <w:sz w:val="20"/>
                <w:szCs w:val="20"/>
                <w:lang w:eastAsia="en-CA"/>
              </w:rPr>
              <w:lastRenderedPageBreak/>
              <w:t>Jun-22</w:t>
            </w:r>
          </w:p>
        </w:tc>
      </w:tr>
      <w:tr w:rsidR="00BF17C8" w:rsidRPr="00756D59" w14:paraId="60AFFFDF" w14:textId="77777777" w:rsidTr="00876646">
        <w:trPr>
          <w:trHeight w:val="337"/>
        </w:trPr>
        <w:tc>
          <w:tcPr>
            <w:tcW w:w="2261" w:type="dxa"/>
            <w:tcMar>
              <w:left w:w="58" w:type="dxa"/>
              <w:right w:w="58" w:type="dxa"/>
            </w:tcMar>
          </w:tcPr>
          <w:p w14:paraId="74F82F56" w14:textId="77777777" w:rsidR="00BF17C8" w:rsidRPr="00756D59" w:rsidRDefault="00BF17C8" w:rsidP="00876646">
            <w:pPr>
              <w:jc w:val="left"/>
              <w:rPr>
                <w:sz w:val="20"/>
                <w:szCs w:val="20"/>
                <w:lang w:eastAsia="en-CA"/>
              </w:rPr>
            </w:pPr>
            <w:r w:rsidRPr="00756D59">
              <w:rPr>
                <w:bCs/>
                <w:sz w:val="20"/>
                <w:szCs w:val="20"/>
                <w:lang w:eastAsia="en-CA"/>
              </w:rPr>
              <w:lastRenderedPageBreak/>
              <w:t>Timor-Leste</w:t>
            </w:r>
            <w:r w:rsidRPr="00756D59">
              <w:rPr>
                <w:sz w:val="20"/>
                <w:szCs w:val="20"/>
                <w:lang w:eastAsia="en-CA"/>
              </w:rPr>
              <w:t xml:space="preserve"> </w:t>
            </w:r>
          </w:p>
          <w:p w14:paraId="703CF11F" w14:textId="77777777" w:rsidR="00BF17C8" w:rsidRPr="00756D59" w:rsidRDefault="00BF17C8" w:rsidP="00876646">
            <w:pPr>
              <w:jc w:val="left"/>
              <w:rPr>
                <w:bCs/>
                <w:sz w:val="20"/>
                <w:szCs w:val="20"/>
                <w:lang w:eastAsia="en-CA"/>
              </w:rPr>
            </w:pPr>
            <w:r w:rsidRPr="00756D59">
              <w:rPr>
                <w:sz w:val="20"/>
                <w:szCs w:val="20"/>
                <w:lang w:eastAsia="en-CA"/>
              </w:rPr>
              <w:t>TLS/SEV/82/TAS/19</w:t>
            </w:r>
          </w:p>
        </w:tc>
        <w:tc>
          <w:tcPr>
            <w:tcW w:w="3352" w:type="dxa"/>
            <w:tcMar>
              <w:left w:w="58" w:type="dxa"/>
              <w:right w:w="58" w:type="dxa"/>
            </w:tcMar>
          </w:tcPr>
          <w:p w14:paraId="6CFB2E44"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B2AD837"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35B5BD60" w14:textId="77777777" w:rsidR="00BF17C8" w:rsidRPr="00756D59" w:rsidRDefault="00BF17C8" w:rsidP="00876646">
            <w:pPr>
              <w:jc w:val="center"/>
              <w:rPr>
                <w:bCs/>
                <w:sz w:val="20"/>
                <w:szCs w:val="20"/>
                <w:lang w:eastAsia="en-CA"/>
              </w:rPr>
            </w:pPr>
            <w:r w:rsidRPr="00756D59">
              <w:rPr>
                <w:bCs/>
                <w:sz w:val="20"/>
                <w:szCs w:val="20"/>
                <w:lang w:eastAsia="en-CA"/>
              </w:rPr>
              <w:t>47.7</w:t>
            </w:r>
          </w:p>
        </w:tc>
        <w:tc>
          <w:tcPr>
            <w:tcW w:w="4531" w:type="dxa"/>
            <w:tcMar>
              <w:left w:w="58" w:type="dxa"/>
              <w:right w:w="58" w:type="dxa"/>
            </w:tcMar>
          </w:tcPr>
          <w:p w14:paraId="182EEE69" w14:textId="77777777" w:rsidR="00BF17C8" w:rsidRPr="00756D59" w:rsidRDefault="00BF17C8" w:rsidP="00876646">
            <w:pPr>
              <w:jc w:val="left"/>
              <w:rPr>
                <w:sz w:val="20"/>
                <w:szCs w:val="20"/>
                <w:lang w:eastAsia="en-CA"/>
              </w:rPr>
            </w:pPr>
            <w:r w:rsidRPr="00756D59">
              <w:rPr>
                <w:sz w:val="20"/>
                <w:szCs w:val="20"/>
                <w:lang w:eastAsia="en-CA"/>
              </w:rPr>
              <w:t>Conducting roundtable workshops and trainings; finalization of the amendment to the draft regulation; and development of knowledge products and information materials.</w:t>
            </w:r>
          </w:p>
        </w:tc>
        <w:tc>
          <w:tcPr>
            <w:tcW w:w="1629" w:type="dxa"/>
            <w:shd w:val="clear" w:color="auto" w:fill="auto"/>
            <w:tcMar>
              <w:left w:w="58" w:type="dxa"/>
              <w:right w:w="58" w:type="dxa"/>
            </w:tcMar>
          </w:tcPr>
          <w:p w14:paraId="5B7CE026"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21D1B37" w14:textId="77777777" w:rsidTr="00876646">
        <w:trPr>
          <w:trHeight w:val="337"/>
        </w:trPr>
        <w:tc>
          <w:tcPr>
            <w:tcW w:w="2261" w:type="dxa"/>
            <w:tcMar>
              <w:left w:w="58" w:type="dxa"/>
              <w:right w:w="58" w:type="dxa"/>
            </w:tcMar>
          </w:tcPr>
          <w:p w14:paraId="5AF807B2" w14:textId="77777777" w:rsidR="00BF17C8" w:rsidRPr="00756D59" w:rsidRDefault="00BF17C8" w:rsidP="00876646">
            <w:pPr>
              <w:jc w:val="left"/>
              <w:rPr>
                <w:sz w:val="20"/>
                <w:szCs w:val="20"/>
                <w:lang w:eastAsia="en-CA"/>
              </w:rPr>
            </w:pPr>
            <w:r w:rsidRPr="00756D59">
              <w:rPr>
                <w:bCs/>
                <w:sz w:val="20"/>
                <w:szCs w:val="20"/>
                <w:lang w:eastAsia="en-CA"/>
              </w:rPr>
              <w:t>Togo</w:t>
            </w:r>
            <w:r w:rsidRPr="00756D59">
              <w:rPr>
                <w:sz w:val="20"/>
                <w:szCs w:val="20"/>
                <w:lang w:eastAsia="en-CA"/>
              </w:rPr>
              <w:t xml:space="preserve"> </w:t>
            </w:r>
          </w:p>
          <w:p w14:paraId="784C10E7" w14:textId="77777777" w:rsidR="00BF17C8" w:rsidRPr="00756D59" w:rsidRDefault="00BF17C8" w:rsidP="00876646">
            <w:pPr>
              <w:jc w:val="left"/>
              <w:rPr>
                <w:bCs/>
                <w:sz w:val="20"/>
                <w:szCs w:val="20"/>
                <w:lang w:eastAsia="en-CA"/>
              </w:rPr>
            </w:pPr>
            <w:r w:rsidRPr="00756D59">
              <w:rPr>
                <w:sz w:val="20"/>
                <w:szCs w:val="20"/>
                <w:lang w:eastAsia="en-CA"/>
              </w:rPr>
              <w:t>TOG/SEV/80/TAS/01+</w:t>
            </w:r>
          </w:p>
        </w:tc>
        <w:tc>
          <w:tcPr>
            <w:tcW w:w="3352" w:type="dxa"/>
            <w:tcMar>
              <w:left w:w="58" w:type="dxa"/>
              <w:right w:w="58" w:type="dxa"/>
            </w:tcMar>
          </w:tcPr>
          <w:p w14:paraId="1931549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4863930"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C4C993C" w14:textId="77777777" w:rsidR="00BF17C8" w:rsidRPr="00756D59" w:rsidRDefault="00BF17C8" w:rsidP="00876646">
            <w:pPr>
              <w:jc w:val="center"/>
              <w:rPr>
                <w:bCs/>
                <w:sz w:val="20"/>
                <w:szCs w:val="20"/>
                <w:lang w:eastAsia="en-CA"/>
              </w:rPr>
            </w:pPr>
            <w:r w:rsidRPr="00756D59">
              <w:rPr>
                <w:bCs/>
                <w:sz w:val="20"/>
                <w:szCs w:val="20"/>
                <w:lang w:eastAsia="en-CA"/>
              </w:rPr>
              <w:t>83.3</w:t>
            </w:r>
          </w:p>
        </w:tc>
        <w:tc>
          <w:tcPr>
            <w:tcW w:w="4531" w:type="dxa"/>
            <w:tcMar>
              <w:left w:w="58" w:type="dxa"/>
              <w:right w:w="58" w:type="dxa"/>
            </w:tcMar>
          </w:tcPr>
          <w:p w14:paraId="219F98D9" w14:textId="77777777" w:rsidR="00BF17C8" w:rsidRPr="00756D59" w:rsidRDefault="00BF17C8" w:rsidP="00876646">
            <w:pPr>
              <w:jc w:val="left"/>
              <w:rPr>
                <w:sz w:val="20"/>
                <w:szCs w:val="20"/>
                <w:lang w:eastAsia="en-CA"/>
              </w:rPr>
            </w:pPr>
            <w:r w:rsidRPr="00756D59">
              <w:rPr>
                <w:sz w:val="20"/>
                <w:szCs w:val="20"/>
                <w:lang w:eastAsia="en-CA"/>
              </w:rPr>
              <w:t>Development of country-specific national HS codes for HFCs; assisting customs office in developing national custom codes for different HFCs and including them into the Customs Tariff; and undertaking training needs assessment for the service sector.</w:t>
            </w:r>
          </w:p>
        </w:tc>
        <w:tc>
          <w:tcPr>
            <w:tcW w:w="1629" w:type="dxa"/>
            <w:shd w:val="clear" w:color="auto" w:fill="auto"/>
            <w:tcMar>
              <w:left w:w="58" w:type="dxa"/>
              <w:right w:w="58" w:type="dxa"/>
            </w:tcMar>
          </w:tcPr>
          <w:p w14:paraId="02B76EAA"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1A756895" w14:textId="77777777" w:rsidTr="00876646">
        <w:trPr>
          <w:trHeight w:val="337"/>
        </w:trPr>
        <w:tc>
          <w:tcPr>
            <w:tcW w:w="2261" w:type="dxa"/>
            <w:tcMar>
              <w:left w:w="58" w:type="dxa"/>
              <w:right w:w="58" w:type="dxa"/>
            </w:tcMar>
          </w:tcPr>
          <w:p w14:paraId="41A9F44F" w14:textId="77777777" w:rsidR="00BF17C8" w:rsidRPr="00756D59" w:rsidRDefault="00BF17C8" w:rsidP="00876646">
            <w:pPr>
              <w:jc w:val="left"/>
              <w:rPr>
                <w:sz w:val="20"/>
                <w:szCs w:val="20"/>
                <w:lang w:eastAsia="en-CA"/>
              </w:rPr>
            </w:pPr>
            <w:r w:rsidRPr="00756D59">
              <w:rPr>
                <w:bCs/>
                <w:sz w:val="20"/>
                <w:szCs w:val="20"/>
                <w:lang w:eastAsia="en-CA"/>
              </w:rPr>
              <w:t>Uganda</w:t>
            </w:r>
            <w:r w:rsidRPr="00756D59">
              <w:rPr>
                <w:sz w:val="20"/>
                <w:szCs w:val="20"/>
                <w:lang w:eastAsia="en-CA"/>
              </w:rPr>
              <w:t xml:space="preserve"> </w:t>
            </w:r>
          </w:p>
          <w:p w14:paraId="300E57B0" w14:textId="77777777" w:rsidR="00BF17C8" w:rsidRPr="00756D59" w:rsidRDefault="00BF17C8" w:rsidP="00876646">
            <w:pPr>
              <w:jc w:val="left"/>
              <w:rPr>
                <w:bCs/>
                <w:sz w:val="20"/>
                <w:szCs w:val="20"/>
                <w:lang w:eastAsia="en-CA"/>
              </w:rPr>
            </w:pPr>
            <w:r w:rsidRPr="00756D59">
              <w:rPr>
                <w:sz w:val="20"/>
                <w:szCs w:val="20"/>
                <w:lang w:eastAsia="en-CA"/>
              </w:rPr>
              <w:t>UGA/SEV/81/TAS/01+</w:t>
            </w:r>
          </w:p>
        </w:tc>
        <w:tc>
          <w:tcPr>
            <w:tcW w:w="3352" w:type="dxa"/>
            <w:tcMar>
              <w:left w:w="58" w:type="dxa"/>
              <w:right w:w="58" w:type="dxa"/>
            </w:tcMar>
          </w:tcPr>
          <w:p w14:paraId="3146BE6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2022EA3"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8C3DAD0" w14:textId="77777777" w:rsidR="00BF17C8" w:rsidRPr="00756D59" w:rsidRDefault="00BF17C8" w:rsidP="00876646">
            <w:pPr>
              <w:jc w:val="center"/>
              <w:rPr>
                <w:bCs/>
                <w:sz w:val="20"/>
                <w:szCs w:val="20"/>
                <w:lang w:eastAsia="en-CA"/>
              </w:rPr>
            </w:pPr>
            <w:r w:rsidRPr="00756D59">
              <w:rPr>
                <w:bCs/>
                <w:sz w:val="20"/>
                <w:szCs w:val="20"/>
                <w:lang w:eastAsia="en-CA"/>
              </w:rPr>
              <w:t>50</w:t>
            </w:r>
          </w:p>
        </w:tc>
        <w:tc>
          <w:tcPr>
            <w:tcW w:w="4531" w:type="dxa"/>
            <w:tcMar>
              <w:left w:w="58" w:type="dxa"/>
              <w:right w:w="58" w:type="dxa"/>
            </w:tcMar>
          </w:tcPr>
          <w:p w14:paraId="7CAE2EDC" w14:textId="77777777" w:rsidR="00BF17C8" w:rsidRPr="00756D59" w:rsidRDefault="00BF17C8" w:rsidP="00876646">
            <w:pPr>
              <w:jc w:val="left"/>
              <w:rPr>
                <w:sz w:val="20"/>
                <w:szCs w:val="20"/>
                <w:lang w:eastAsia="en-CA"/>
              </w:rPr>
            </w:pPr>
            <w:r w:rsidRPr="00756D59">
              <w:rPr>
                <w:sz w:val="20"/>
                <w:szCs w:val="20"/>
                <w:lang w:eastAsia="en-CA"/>
              </w:rPr>
              <w:t>Undertaking the training needs assessment for the servicing sector and preparing an assessment report; and developing country-specific national HS codes for HFCs to facilitate proper monitoring and recording of imports/exports of individual HFCs/alternatives by customs office.</w:t>
            </w:r>
          </w:p>
        </w:tc>
        <w:tc>
          <w:tcPr>
            <w:tcW w:w="1629" w:type="dxa"/>
            <w:shd w:val="clear" w:color="auto" w:fill="auto"/>
            <w:tcMar>
              <w:left w:w="58" w:type="dxa"/>
              <w:right w:w="58" w:type="dxa"/>
            </w:tcMar>
          </w:tcPr>
          <w:p w14:paraId="4148A1D6"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08EF2201" w14:textId="77777777" w:rsidTr="00876646">
        <w:trPr>
          <w:trHeight w:val="337"/>
        </w:trPr>
        <w:tc>
          <w:tcPr>
            <w:tcW w:w="2261" w:type="dxa"/>
            <w:tcMar>
              <w:left w:w="58" w:type="dxa"/>
              <w:right w:w="58" w:type="dxa"/>
            </w:tcMar>
          </w:tcPr>
          <w:p w14:paraId="2539EDCD" w14:textId="77777777" w:rsidR="00BF17C8" w:rsidRPr="00756D59" w:rsidRDefault="00BF17C8" w:rsidP="00876646">
            <w:pPr>
              <w:jc w:val="left"/>
              <w:rPr>
                <w:sz w:val="20"/>
                <w:szCs w:val="20"/>
                <w:lang w:eastAsia="en-CA"/>
              </w:rPr>
            </w:pPr>
            <w:r w:rsidRPr="00756D59">
              <w:rPr>
                <w:bCs/>
                <w:sz w:val="20"/>
                <w:szCs w:val="20"/>
                <w:lang w:eastAsia="en-CA"/>
              </w:rPr>
              <w:t>United Republic of Tanzania (the)</w:t>
            </w:r>
          </w:p>
          <w:p w14:paraId="3A64AADD" w14:textId="77777777" w:rsidR="00BF17C8" w:rsidRPr="00756D59" w:rsidRDefault="00BF17C8" w:rsidP="00876646">
            <w:pPr>
              <w:jc w:val="left"/>
              <w:rPr>
                <w:bCs/>
                <w:sz w:val="20"/>
                <w:szCs w:val="20"/>
                <w:lang w:eastAsia="en-CA"/>
              </w:rPr>
            </w:pPr>
            <w:r w:rsidRPr="00756D59">
              <w:rPr>
                <w:sz w:val="20"/>
                <w:szCs w:val="20"/>
                <w:lang w:eastAsia="en-CA"/>
              </w:rPr>
              <w:t>URT/SEV/81/TAS/01+</w:t>
            </w:r>
          </w:p>
        </w:tc>
        <w:tc>
          <w:tcPr>
            <w:tcW w:w="3352" w:type="dxa"/>
            <w:tcMar>
              <w:left w:w="58" w:type="dxa"/>
              <w:right w:w="58" w:type="dxa"/>
            </w:tcMar>
          </w:tcPr>
          <w:p w14:paraId="42FBAE83"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C62A358"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F2132F1" w14:textId="77777777" w:rsidR="00BF17C8" w:rsidRPr="00756D59" w:rsidRDefault="00BF17C8" w:rsidP="00876646">
            <w:pPr>
              <w:jc w:val="center"/>
              <w:rPr>
                <w:bCs/>
                <w:sz w:val="20"/>
                <w:szCs w:val="20"/>
                <w:lang w:eastAsia="en-CA"/>
              </w:rPr>
            </w:pPr>
            <w:r w:rsidRPr="00756D59">
              <w:rPr>
                <w:bCs/>
                <w:sz w:val="20"/>
                <w:szCs w:val="20"/>
                <w:lang w:eastAsia="en-CA"/>
              </w:rPr>
              <w:t>84.2</w:t>
            </w:r>
          </w:p>
        </w:tc>
        <w:tc>
          <w:tcPr>
            <w:tcW w:w="4531" w:type="dxa"/>
            <w:tcMar>
              <w:left w:w="58" w:type="dxa"/>
              <w:right w:w="58" w:type="dxa"/>
            </w:tcMar>
          </w:tcPr>
          <w:p w14:paraId="37AC4ECC" w14:textId="77777777" w:rsidR="00BF17C8" w:rsidRPr="00756D59" w:rsidRDefault="00BF17C8" w:rsidP="00876646">
            <w:pPr>
              <w:jc w:val="left"/>
              <w:rPr>
                <w:sz w:val="20"/>
                <w:szCs w:val="20"/>
                <w:lang w:eastAsia="en-CA"/>
              </w:rPr>
            </w:pPr>
            <w:r w:rsidRPr="00756D59">
              <w:rPr>
                <w:sz w:val="20"/>
                <w:szCs w:val="20"/>
                <w:lang w:eastAsia="en-CA"/>
              </w:rPr>
              <w:t>Conducting stakeholder consultative meetings on the ratification of the Kigali Amendment; undertaking the training needs assessment for the servicing sector and preparing an assessment report; and revising and updating the existing National Ozone</w:t>
            </w:r>
            <w:r w:rsidRPr="00756D59">
              <w:rPr>
                <w:sz w:val="20"/>
                <w:szCs w:val="20"/>
                <w:lang w:eastAsia="en-CA"/>
              </w:rPr>
              <w:noBreakHyphen/>
              <w:t xml:space="preserve">Depleting Substances legislation and drafting the ODS alternative regulation. </w:t>
            </w:r>
          </w:p>
        </w:tc>
        <w:tc>
          <w:tcPr>
            <w:tcW w:w="1629" w:type="dxa"/>
            <w:shd w:val="clear" w:color="auto" w:fill="auto"/>
            <w:tcMar>
              <w:left w:w="58" w:type="dxa"/>
              <w:right w:w="58" w:type="dxa"/>
            </w:tcMar>
          </w:tcPr>
          <w:p w14:paraId="6857BCB4" w14:textId="77777777" w:rsidR="00BF17C8" w:rsidRPr="00756D59" w:rsidRDefault="00BF17C8" w:rsidP="00876646">
            <w:pPr>
              <w:jc w:val="center"/>
              <w:rPr>
                <w:bCs/>
                <w:sz w:val="20"/>
                <w:szCs w:val="20"/>
                <w:lang w:eastAsia="en-CA"/>
              </w:rPr>
            </w:pPr>
            <w:r w:rsidRPr="00756D59">
              <w:rPr>
                <w:bCs/>
                <w:sz w:val="20"/>
                <w:szCs w:val="20"/>
                <w:lang w:eastAsia="en-CA"/>
              </w:rPr>
              <w:t>Jun-22</w:t>
            </w:r>
          </w:p>
        </w:tc>
      </w:tr>
      <w:tr w:rsidR="00BF17C8" w:rsidRPr="00756D59" w14:paraId="54B7670C" w14:textId="77777777" w:rsidTr="00876646">
        <w:trPr>
          <w:trHeight w:val="337"/>
        </w:trPr>
        <w:tc>
          <w:tcPr>
            <w:tcW w:w="2261" w:type="dxa"/>
            <w:tcMar>
              <w:left w:w="58" w:type="dxa"/>
              <w:right w:w="58" w:type="dxa"/>
            </w:tcMar>
          </w:tcPr>
          <w:p w14:paraId="58F84752" w14:textId="77777777" w:rsidR="00BF17C8" w:rsidRPr="00756D59" w:rsidRDefault="00BF17C8" w:rsidP="00876646">
            <w:pPr>
              <w:jc w:val="left"/>
              <w:rPr>
                <w:sz w:val="20"/>
                <w:szCs w:val="20"/>
                <w:lang w:eastAsia="en-CA"/>
              </w:rPr>
            </w:pPr>
            <w:r w:rsidRPr="00756D59">
              <w:rPr>
                <w:bCs/>
                <w:sz w:val="20"/>
                <w:szCs w:val="20"/>
                <w:lang w:eastAsia="en-CA"/>
              </w:rPr>
              <w:lastRenderedPageBreak/>
              <w:t>Zambia</w:t>
            </w:r>
            <w:r w:rsidRPr="00756D59">
              <w:rPr>
                <w:sz w:val="20"/>
                <w:szCs w:val="20"/>
                <w:lang w:eastAsia="en-CA"/>
              </w:rPr>
              <w:t xml:space="preserve"> </w:t>
            </w:r>
          </w:p>
          <w:p w14:paraId="47D4EF27" w14:textId="77777777" w:rsidR="00BF17C8" w:rsidRPr="00756D59" w:rsidRDefault="00BF17C8" w:rsidP="00876646">
            <w:pPr>
              <w:jc w:val="left"/>
              <w:rPr>
                <w:bCs/>
                <w:sz w:val="20"/>
                <w:szCs w:val="20"/>
                <w:lang w:eastAsia="en-CA"/>
              </w:rPr>
            </w:pPr>
            <w:r w:rsidRPr="00756D59">
              <w:rPr>
                <w:sz w:val="20"/>
                <w:szCs w:val="20"/>
                <w:lang w:eastAsia="en-CA"/>
              </w:rPr>
              <w:t>ZAM/SEV/80/TAS/01+</w:t>
            </w:r>
          </w:p>
        </w:tc>
        <w:tc>
          <w:tcPr>
            <w:tcW w:w="3352" w:type="dxa"/>
            <w:tcMar>
              <w:left w:w="58" w:type="dxa"/>
              <w:right w:w="58" w:type="dxa"/>
            </w:tcMar>
          </w:tcPr>
          <w:p w14:paraId="4EE78741"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33CAB85"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698CDE29" w14:textId="77777777" w:rsidR="00BF17C8" w:rsidRPr="00756D59" w:rsidRDefault="00BF17C8" w:rsidP="00876646">
            <w:pPr>
              <w:jc w:val="center"/>
              <w:rPr>
                <w:bCs/>
                <w:sz w:val="20"/>
                <w:szCs w:val="20"/>
                <w:lang w:eastAsia="en-CA"/>
              </w:rPr>
            </w:pPr>
            <w:r w:rsidRPr="00756D59">
              <w:rPr>
                <w:bCs/>
                <w:sz w:val="20"/>
                <w:szCs w:val="20"/>
                <w:lang w:eastAsia="en-CA"/>
              </w:rPr>
              <w:t>89.5</w:t>
            </w:r>
          </w:p>
        </w:tc>
        <w:tc>
          <w:tcPr>
            <w:tcW w:w="4531" w:type="dxa"/>
            <w:tcMar>
              <w:left w:w="58" w:type="dxa"/>
              <w:right w:w="58" w:type="dxa"/>
            </w:tcMar>
          </w:tcPr>
          <w:p w14:paraId="5C33CAB9" w14:textId="77777777" w:rsidR="00BF17C8" w:rsidRPr="00756D59" w:rsidRDefault="00BF17C8" w:rsidP="00876646">
            <w:pPr>
              <w:jc w:val="left"/>
              <w:rPr>
                <w:sz w:val="20"/>
                <w:szCs w:val="20"/>
                <w:lang w:eastAsia="en-CA"/>
              </w:rPr>
            </w:pPr>
            <w:r w:rsidRPr="00756D59">
              <w:rPr>
                <w:sz w:val="20"/>
                <w:szCs w:val="20"/>
                <w:lang w:eastAsia="en-CA"/>
              </w:rPr>
              <w:t>Consumer awareness activities on the adoption of energy efficiency technologies; and information sharing workshops for customs and environmental officers.</w:t>
            </w:r>
          </w:p>
        </w:tc>
        <w:tc>
          <w:tcPr>
            <w:tcW w:w="1629" w:type="dxa"/>
            <w:shd w:val="clear" w:color="auto" w:fill="auto"/>
            <w:tcMar>
              <w:left w:w="58" w:type="dxa"/>
              <w:right w:w="58" w:type="dxa"/>
            </w:tcMar>
          </w:tcPr>
          <w:p w14:paraId="49F4F066" w14:textId="77777777" w:rsidR="00BF17C8" w:rsidRPr="00756D59" w:rsidRDefault="00BF17C8" w:rsidP="00876646">
            <w:pPr>
              <w:jc w:val="center"/>
              <w:rPr>
                <w:bCs/>
                <w:sz w:val="20"/>
                <w:szCs w:val="20"/>
                <w:lang w:eastAsia="en-CA"/>
              </w:rPr>
            </w:pPr>
            <w:r w:rsidRPr="00756D59">
              <w:rPr>
                <w:bCs/>
                <w:sz w:val="20"/>
                <w:szCs w:val="20"/>
                <w:lang w:eastAsia="en-CA"/>
              </w:rPr>
              <w:t>Dec-21</w:t>
            </w:r>
          </w:p>
        </w:tc>
      </w:tr>
      <w:tr w:rsidR="00BF17C8" w:rsidRPr="00756D59" w14:paraId="5E8759A7" w14:textId="77777777" w:rsidTr="00876646">
        <w:trPr>
          <w:trHeight w:val="337"/>
        </w:trPr>
        <w:tc>
          <w:tcPr>
            <w:tcW w:w="2261" w:type="dxa"/>
            <w:tcMar>
              <w:left w:w="58" w:type="dxa"/>
              <w:right w:w="58" w:type="dxa"/>
            </w:tcMar>
          </w:tcPr>
          <w:p w14:paraId="1AF92A14" w14:textId="77777777" w:rsidR="00BF17C8" w:rsidRPr="00756D59" w:rsidRDefault="00BF17C8" w:rsidP="00876646">
            <w:pPr>
              <w:jc w:val="left"/>
              <w:rPr>
                <w:b/>
              </w:rPr>
            </w:pPr>
            <w:r w:rsidRPr="00756D59">
              <w:rPr>
                <w:b/>
              </w:rPr>
              <w:t>UNIDO</w:t>
            </w:r>
          </w:p>
        </w:tc>
        <w:tc>
          <w:tcPr>
            <w:tcW w:w="3352" w:type="dxa"/>
            <w:tcMar>
              <w:left w:w="58" w:type="dxa"/>
              <w:right w:w="58" w:type="dxa"/>
            </w:tcMar>
          </w:tcPr>
          <w:p w14:paraId="63CFF843" w14:textId="77777777" w:rsidR="00BF17C8" w:rsidRPr="00756D59" w:rsidRDefault="00BF17C8" w:rsidP="00876646">
            <w:pPr>
              <w:jc w:val="left"/>
              <w:rPr>
                <w:sz w:val="20"/>
                <w:szCs w:val="20"/>
                <w:lang w:eastAsia="en-CA"/>
              </w:rPr>
            </w:pPr>
          </w:p>
        </w:tc>
        <w:tc>
          <w:tcPr>
            <w:tcW w:w="1236" w:type="dxa"/>
            <w:tcMar>
              <w:left w:w="58" w:type="dxa"/>
              <w:right w:w="58" w:type="dxa"/>
            </w:tcMar>
          </w:tcPr>
          <w:p w14:paraId="3C74089E" w14:textId="77777777" w:rsidR="00BF17C8" w:rsidRPr="00756D59" w:rsidRDefault="00BF17C8" w:rsidP="00876646">
            <w:pPr>
              <w:jc w:val="center"/>
              <w:rPr>
                <w:sz w:val="20"/>
                <w:szCs w:val="20"/>
                <w:lang w:eastAsia="en-CA"/>
              </w:rPr>
            </w:pPr>
          </w:p>
        </w:tc>
        <w:tc>
          <w:tcPr>
            <w:tcW w:w="1305" w:type="dxa"/>
            <w:shd w:val="clear" w:color="auto" w:fill="auto"/>
            <w:tcMar>
              <w:left w:w="58" w:type="dxa"/>
              <w:right w:w="58" w:type="dxa"/>
            </w:tcMar>
          </w:tcPr>
          <w:p w14:paraId="4A7B6CEA" w14:textId="77777777" w:rsidR="00BF17C8" w:rsidRPr="00756D59" w:rsidRDefault="00BF17C8" w:rsidP="00876646">
            <w:pPr>
              <w:jc w:val="center"/>
              <w:rPr>
                <w:bCs/>
                <w:sz w:val="20"/>
                <w:szCs w:val="20"/>
                <w:lang w:eastAsia="en-CA"/>
              </w:rPr>
            </w:pPr>
          </w:p>
        </w:tc>
        <w:tc>
          <w:tcPr>
            <w:tcW w:w="4531" w:type="dxa"/>
            <w:tcMar>
              <w:left w:w="58" w:type="dxa"/>
              <w:right w:w="58" w:type="dxa"/>
            </w:tcMar>
          </w:tcPr>
          <w:p w14:paraId="7C0E2CD6" w14:textId="77777777" w:rsidR="00BF17C8" w:rsidRPr="00756D59" w:rsidRDefault="00BF17C8" w:rsidP="00876646">
            <w:pPr>
              <w:jc w:val="left"/>
              <w:rPr>
                <w:sz w:val="20"/>
                <w:szCs w:val="20"/>
                <w:lang w:eastAsia="en-CA"/>
              </w:rPr>
            </w:pPr>
          </w:p>
        </w:tc>
        <w:tc>
          <w:tcPr>
            <w:tcW w:w="1629" w:type="dxa"/>
            <w:shd w:val="clear" w:color="auto" w:fill="auto"/>
            <w:tcMar>
              <w:left w:w="58" w:type="dxa"/>
              <w:right w:w="58" w:type="dxa"/>
            </w:tcMar>
          </w:tcPr>
          <w:p w14:paraId="46DB1A28" w14:textId="77777777" w:rsidR="00BF17C8" w:rsidRPr="00756D59" w:rsidRDefault="00BF17C8" w:rsidP="00876646">
            <w:pPr>
              <w:jc w:val="center"/>
              <w:rPr>
                <w:bCs/>
                <w:sz w:val="20"/>
                <w:szCs w:val="20"/>
                <w:lang w:eastAsia="en-CA"/>
              </w:rPr>
            </w:pPr>
          </w:p>
        </w:tc>
      </w:tr>
      <w:tr w:rsidR="00BF17C8" w:rsidRPr="00756D59" w14:paraId="4DEED0ED" w14:textId="77777777" w:rsidTr="00876646">
        <w:trPr>
          <w:trHeight w:val="337"/>
        </w:trPr>
        <w:tc>
          <w:tcPr>
            <w:tcW w:w="2261" w:type="dxa"/>
            <w:tcMar>
              <w:left w:w="58" w:type="dxa"/>
              <w:right w:w="58" w:type="dxa"/>
            </w:tcMar>
          </w:tcPr>
          <w:p w14:paraId="098755CE" w14:textId="77777777" w:rsidR="00BF17C8" w:rsidRPr="00756D59" w:rsidRDefault="00BF17C8" w:rsidP="00876646">
            <w:pPr>
              <w:jc w:val="left"/>
              <w:rPr>
                <w:sz w:val="20"/>
                <w:szCs w:val="20"/>
                <w:lang w:eastAsia="en-CA"/>
              </w:rPr>
            </w:pPr>
            <w:r w:rsidRPr="00756D59">
              <w:rPr>
                <w:sz w:val="20"/>
                <w:szCs w:val="20"/>
                <w:lang w:eastAsia="en-CA"/>
              </w:rPr>
              <w:t>Argentina</w:t>
            </w:r>
          </w:p>
          <w:p w14:paraId="27F37629" w14:textId="77777777" w:rsidR="00BF17C8" w:rsidRPr="00756D59" w:rsidRDefault="00BF17C8" w:rsidP="00876646">
            <w:pPr>
              <w:jc w:val="left"/>
              <w:rPr>
                <w:bCs/>
                <w:sz w:val="20"/>
                <w:szCs w:val="20"/>
                <w:lang w:eastAsia="en-CA"/>
              </w:rPr>
            </w:pPr>
            <w:r w:rsidRPr="00756D59">
              <w:rPr>
                <w:sz w:val="20"/>
                <w:szCs w:val="20"/>
                <w:lang w:eastAsia="en-CA"/>
              </w:rPr>
              <w:t>ARG/SEV/81/TAS/02+</w:t>
            </w:r>
          </w:p>
        </w:tc>
        <w:tc>
          <w:tcPr>
            <w:tcW w:w="3352" w:type="dxa"/>
            <w:tcMar>
              <w:left w:w="58" w:type="dxa"/>
              <w:right w:w="58" w:type="dxa"/>
            </w:tcMar>
          </w:tcPr>
          <w:p w14:paraId="4208D0D2"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673FDE88"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1848E3DF" w14:textId="77777777" w:rsidR="00BF17C8" w:rsidRPr="00756D59" w:rsidRDefault="00BF17C8" w:rsidP="00876646">
            <w:pPr>
              <w:jc w:val="center"/>
              <w:rPr>
                <w:bCs/>
                <w:sz w:val="20"/>
                <w:szCs w:val="20"/>
                <w:lang w:eastAsia="en-CA"/>
              </w:rPr>
            </w:pPr>
            <w:r w:rsidRPr="00756D59">
              <w:rPr>
                <w:sz w:val="20"/>
                <w:szCs w:val="20"/>
                <w:lang w:eastAsia="en-CA"/>
              </w:rPr>
              <w:t>43.2</w:t>
            </w:r>
          </w:p>
        </w:tc>
        <w:tc>
          <w:tcPr>
            <w:tcW w:w="4531" w:type="dxa"/>
            <w:tcMar>
              <w:left w:w="58" w:type="dxa"/>
              <w:right w:w="58" w:type="dxa"/>
            </w:tcMar>
          </w:tcPr>
          <w:p w14:paraId="3F5A9B08" w14:textId="77777777" w:rsidR="00BF17C8" w:rsidRPr="00756D59" w:rsidRDefault="00BF17C8" w:rsidP="00876646">
            <w:pPr>
              <w:jc w:val="left"/>
              <w:rPr>
                <w:sz w:val="20"/>
                <w:szCs w:val="20"/>
                <w:lang w:eastAsia="en-CA"/>
              </w:rPr>
            </w:pPr>
            <w:r w:rsidRPr="00756D59">
              <w:rPr>
                <w:sz w:val="20"/>
                <w:szCs w:val="20"/>
                <w:lang w:eastAsia="en-CA"/>
              </w:rPr>
              <w:t>Finalization of key strategy documents, including the ‘</w:t>
            </w:r>
            <w:r w:rsidRPr="00756D59">
              <w:rPr>
                <w:i/>
                <w:iCs/>
                <w:sz w:val="20"/>
                <w:szCs w:val="20"/>
                <w:lang w:eastAsia="en-CA"/>
              </w:rPr>
              <w:t>Assessment on national existing capacities on HFC control and linkages identified with climate change programmes</w:t>
            </w:r>
            <w:r w:rsidRPr="00756D59">
              <w:rPr>
                <w:sz w:val="20"/>
                <w:szCs w:val="20"/>
                <w:lang w:eastAsia="en-CA"/>
              </w:rPr>
              <w:t>', '</w:t>
            </w:r>
            <w:r w:rsidRPr="00756D59">
              <w:rPr>
                <w:i/>
                <w:iCs/>
                <w:sz w:val="20"/>
                <w:szCs w:val="20"/>
                <w:lang w:eastAsia="en-CA"/>
              </w:rPr>
              <w:t>Map of national legal and regulatory instruments on HFC control</w:t>
            </w:r>
            <w:r w:rsidRPr="00756D59">
              <w:rPr>
                <w:sz w:val="20"/>
                <w:szCs w:val="20"/>
                <w:lang w:eastAsia="en-CA"/>
              </w:rPr>
              <w:t>' and the '</w:t>
            </w:r>
            <w:r w:rsidRPr="00756D59">
              <w:rPr>
                <w:i/>
                <w:iCs/>
                <w:sz w:val="20"/>
                <w:szCs w:val="20"/>
                <w:lang w:eastAsia="en-CA"/>
              </w:rPr>
              <w:t>Training programme for customs and environment officers</w:t>
            </w:r>
            <w:r w:rsidRPr="00756D59">
              <w:rPr>
                <w:sz w:val="20"/>
                <w:szCs w:val="20"/>
                <w:lang w:eastAsia="en-CA"/>
              </w:rPr>
              <w:t>’; dissemination of relevant guidelines and reports to key stakeholders; and the completion of remaining awareness raising activities keeping in view COVID</w:t>
            </w:r>
            <w:r w:rsidRPr="00756D59">
              <w:rPr>
                <w:sz w:val="20"/>
                <w:szCs w:val="20"/>
                <w:lang w:eastAsia="en-CA"/>
              </w:rPr>
              <w:noBreakHyphen/>
              <w:t>19 constraints.</w:t>
            </w:r>
          </w:p>
        </w:tc>
        <w:tc>
          <w:tcPr>
            <w:tcW w:w="1629" w:type="dxa"/>
            <w:shd w:val="clear" w:color="auto" w:fill="auto"/>
            <w:tcMar>
              <w:left w:w="58" w:type="dxa"/>
              <w:right w:w="58" w:type="dxa"/>
            </w:tcMar>
          </w:tcPr>
          <w:p w14:paraId="11FA6484" w14:textId="77777777" w:rsidR="00BF17C8" w:rsidRPr="00756D59" w:rsidRDefault="00BF17C8" w:rsidP="00876646">
            <w:pPr>
              <w:jc w:val="center"/>
              <w:rPr>
                <w:bCs/>
                <w:sz w:val="20"/>
                <w:szCs w:val="20"/>
                <w:lang w:eastAsia="en-CA"/>
              </w:rPr>
            </w:pPr>
            <w:r w:rsidRPr="00756D59">
              <w:rPr>
                <w:sz w:val="20"/>
                <w:szCs w:val="20"/>
                <w:lang w:eastAsia="en-CA"/>
              </w:rPr>
              <w:t>Jun-22</w:t>
            </w:r>
          </w:p>
        </w:tc>
      </w:tr>
      <w:tr w:rsidR="00BF17C8" w:rsidRPr="00756D59" w14:paraId="46C2DC6E" w14:textId="77777777" w:rsidTr="00876646">
        <w:trPr>
          <w:trHeight w:val="337"/>
        </w:trPr>
        <w:tc>
          <w:tcPr>
            <w:tcW w:w="2261" w:type="dxa"/>
            <w:tcMar>
              <w:left w:w="58" w:type="dxa"/>
              <w:right w:w="58" w:type="dxa"/>
            </w:tcMar>
          </w:tcPr>
          <w:p w14:paraId="5DD1FE0B" w14:textId="77777777" w:rsidR="00BF17C8" w:rsidRPr="00756D59" w:rsidRDefault="00BF17C8" w:rsidP="00876646">
            <w:pPr>
              <w:jc w:val="left"/>
              <w:rPr>
                <w:sz w:val="20"/>
                <w:szCs w:val="20"/>
                <w:lang w:eastAsia="en-CA"/>
              </w:rPr>
            </w:pPr>
            <w:r w:rsidRPr="00756D59">
              <w:rPr>
                <w:sz w:val="20"/>
                <w:szCs w:val="20"/>
                <w:lang w:eastAsia="en-CA"/>
              </w:rPr>
              <w:t>Argentina</w:t>
            </w:r>
          </w:p>
          <w:p w14:paraId="5C0BE60E" w14:textId="77777777" w:rsidR="00BF17C8" w:rsidRPr="00756D59" w:rsidRDefault="00BF17C8" w:rsidP="00876646">
            <w:pPr>
              <w:jc w:val="left"/>
              <w:rPr>
                <w:bCs/>
                <w:sz w:val="20"/>
                <w:szCs w:val="20"/>
                <w:lang w:eastAsia="en-CA"/>
              </w:rPr>
            </w:pPr>
            <w:r w:rsidRPr="00756D59">
              <w:rPr>
                <w:sz w:val="20"/>
                <w:szCs w:val="20"/>
                <w:lang w:eastAsia="en-CA"/>
              </w:rPr>
              <w:t>ARG/REF/81/INV/01+</w:t>
            </w:r>
          </w:p>
        </w:tc>
        <w:tc>
          <w:tcPr>
            <w:tcW w:w="3352" w:type="dxa"/>
            <w:tcMar>
              <w:left w:w="58" w:type="dxa"/>
              <w:right w:w="58" w:type="dxa"/>
            </w:tcMar>
          </w:tcPr>
          <w:p w14:paraId="4F857CCE" w14:textId="77777777" w:rsidR="00BF17C8" w:rsidRPr="00756D59" w:rsidRDefault="00BF17C8" w:rsidP="00876646">
            <w:pPr>
              <w:jc w:val="left"/>
              <w:rPr>
                <w:sz w:val="20"/>
                <w:szCs w:val="20"/>
                <w:lang w:eastAsia="en-CA"/>
              </w:rPr>
            </w:pPr>
            <w:r w:rsidRPr="00756D59">
              <w:rPr>
                <w:sz w:val="20"/>
                <w:szCs w:val="20"/>
                <w:lang w:eastAsia="en-CA"/>
              </w:rPr>
              <w:t>Conversion project for replacement of HFC-134a with isobutane (R</w:t>
            </w:r>
            <w:r w:rsidRPr="00756D59">
              <w:rPr>
                <w:sz w:val="20"/>
                <w:szCs w:val="20"/>
                <w:lang w:eastAsia="en-CA"/>
              </w:rPr>
              <w:noBreakHyphen/>
              <w:t>600a)/propane (R</w:t>
            </w:r>
            <w:r w:rsidRPr="00756D59">
              <w:rPr>
                <w:sz w:val="20"/>
                <w:szCs w:val="20"/>
                <w:lang w:eastAsia="en-CA"/>
              </w:rPr>
              <w:noBreakHyphen/>
              <w:t xml:space="preserve">290)-based refrigerant in the manufacture of domestic and commercial refrigeration equipment  at </w:t>
            </w:r>
            <w:proofErr w:type="spellStart"/>
            <w:r w:rsidRPr="00756D59">
              <w:rPr>
                <w:sz w:val="20"/>
                <w:szCs w:val="20"/>
                <w:lang w:eastAsia="en-CA"/>
              </w:rPr>
              <w:t>Briket</w:t>
            </w:r>
            <w:proofErr w:type="spellEnd"/>
            <w:r w:rsidRPr="00756D59">
              <w:rPr>
                <w:sz w:val="20"/>
                <w:szCs w:val="20"/>
                <w:lang w:eastAsia="en-CA"/>
              </w:rPr>
              <w:t xml:space="preserve">, Bambi and </w:t>
            </w:r>
            <w:proofErr w:type="spellStart"/>
            <w:r w:rsidRPr="00756D59">
              <w:rPr>
                <w:sz w:val="20"/>
                <w:szCs w:val="20"/>
                <w:lang w:eastAsia="en-CA"/>
              </w:rPr>
              <w:t>Mabe-Kronen</w:t>
            </w:r>
            <w:proofErr w:type="spellEnd"/>
          </w:p>
        </w:tc>
        <w:tc>
          <w:tcPr>
            <w:tcW w:w="1236" w:type="dxa"/>
            <w:tcMar>
              <w:left w:w="58" w:type="dxa"/>
              <w:right w:w="58" w:type="dxa"/>
            </w:tcMar>
          </w:tcPr>
          <w:p w14:paraId="4F11BCE2"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7687FFF7" w14:textId="77777777" w:rsidR="00BF17C8" w:rsidRPr="00756D59" w:rsidRDefault="00BF17C8" w:rsidP="00876646">
            <w:pPr>
              <w:jc w:val="center"/>
              <w:rPr>
                <w:bCs/>
                <w:sz w:val="20"/>
                <w:szCs w:val="20"/>
                <w:lang w:eastAsia="en-CA"/>
              </w:rPr>
            </w:pPr>
            <w:r w:rsidRPr="00756D59">
              <w:rPr>
                <w:sz w:val="20"/>
                <w:szCs w:val="20"/>
                <w:lang w:eastAsia="en-CA"/>
              </w:rPr>
              <w:t>58.2</w:t>
            </w:r>
          </w:p>
        </w:tc>
        <w:tc>
          <w:tcPr>
            <w:tcW w:w="4531" w:type="dxa"/>
            <w:tcMar>
              <w:left w:w="58" w:type="dxa"/>
              <w:right w:w="58" w:type="dxa"/>
            </w:tcMar>
          </w:tcPr>
          <w:p w14:paraId="5A73AD13" w14:textId="77777777" w:rsidR="00BF17C8" w:rsidRPr="00756D59" w:rsidRDefault="00BF17C8" w:rsidP="00876646">
            <w:pPr>
              <w:jc w:val="left"/>
              <w:rPr>
                <w:sz w:val="20"/>
                <w:szCs w:val="20"/>
                <w:lang w:eastAsia="en-CA"/>
              </w:rPr>
            </w:pPr>
            <w:r w:rsidRPr="00756D59">
              <w:rPr>
                <w:sz w:val="20"/>
                <w:szCs w:val="20"/>
                <w:lang w:eastAsia="en-CA"/>
              </w:rPr>
              <w:t>Installation, commissioning including safety verification; and training at the three enterprises.</w:t>
            </w:r>
          </w:p>
        </w:tc>
        <w:tc>
          <w:tcPr>
            <w:tcW w:w="1629" w:type="dxa"/>
            <w:shd w:val="clear" w:color="auto" w:fill="auto"/>
            <w:tcMar>
              <w:left w:w="58" w:type="dxa"/>
              <w:right w:w="58" w:type="dxa"/>
            </w:tcMar>
          </w:tcPr>
          <w:p w14:paraId="22C3A5F8" w14:textId="77777777" w:rsidR="00BF17C8" w:rsidRPr="00756D59" w:rsidRDefault="00BF17C8" w:rsidP="00876646">
            <w:pPr>
              <w:jc w:val="center"/>
              <w:rPr>
                <w:bCs/>
                <w:sz w:val="20"/>
                <w:szCs w:val="20"/>
                <w:lang w:eastAsia="en-CA"/>
              </w:rPr>
            </w:pPr>
            <w:r w:rsidRPr="00756D59">
              <w:rPr>
                <w:sz w:val="20"/>
                <w:szCs w:val="20"/>
                <w:lang w:eastAsia="en-CA"/>
              </w:rPr>
              <w:t>Jan-22</w:t>
            </w:r>
          </w:p>
        </w:tc>
      </w:tr>
      <w:tr w:rsidR="00BF17C8" w:rsidRPr="00756D59" w14:paraId="66BDEEEA" w14:textId="77777777" w:rsidTr="00876646">
        <w:trPr>
          <w:trHeight w:val="337"/>
        </w:trPr>
        <w:tc>
          <w:tcPr>
            <w:tcW w:w="2261" w:type="dxa"/>
            <w:tcMar>
              <w:left w:w="58" w:type="dxa"/>
              <w:right w:w="58" w:type="dxa"/>
            </w:tcMar>
          </w:tcPr>
          <w:p w14:paraId="3C8F50C9" w14:textId="77777777" w:rsidR="00BF17C8" w:rsidRPr="00756D59" w:rsidRDefault="00BF17C8" w:rsidP="00876646">
            <w:pPr>
              <w:jc w:val="left"/>
              <w:rPr>
                <w:sz w:val="20"/>
                <w:szCs w:val="20"/>
                <w:lang w:eastAsia="en-CA"/>
              </w:rPr>
            </w:pPr>
            <w:r w:rsidRPr="00756D59">
              <w:rPr>
                <w:sz w:val="20"/>
                <w:szCs w:val="20"/>
                <w:lang w:eastAsia="en-CA"/>
              </w:rPr>
              <w:t>Chile</w:t>
            </w:r>
          </w:p>
          <w:p w14:paraId="611B0D47" w14:textId="77777777" w:rsidR="00BF17C8" w:rsidRPr="00756D59" w:rsidRDefault="00BF17C8" w:rsidP="00876646">
            <w:pPr>
              <w:jc w:val="left"/>
              <w:rPr>
                <w:bCs/>
                <w:sz w:val="20"/>
                <w:szCs w:val="20"/>
                <w:lang w:eastAsia="en-CA"/>
              </w:rPr>
            </w:pPr>
            <w:r w:rsidRPr="00756D59">
              <w:rPr>
                <w:sz w:val="20"/>
                <w:szCs w:val="20"/>
                <w:lang w:eastAsia="en-CA"/>
              </w:rPr>
              <w:t>CHI/SEV/80/TAS/02+</w:t>
            </w:r>
          </w:p>
        </w:tc>
        <w:tc>
          <w:tcPr>
            <w:tcW w:w="3352" w:type="dxa"/>
            <w:tcMar>
              <w:left w:w="58" w:type="dxa"/>
              <w:right w:w="58" w:type="dxa"/>
            </w:tcMar>
          </w:tcPr>
          <w:p w14:paraId="65D949F6"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5BF75528"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A8AC3DC" w14:textId="77777777" w:rsidR="00BF17C8" w:rsidRPr="00756D59" w:rsidRDefault="00BF17C8" w:rsidP="00876646">
            <w:pPr>
              <w:jc w:val="center"/>
              <w:rPr>
                <w:bCs/>
                <w:sz w:val="20"/>
                <w:szCs w:val="20"/>
                <w:lang w:eastAsia="en-CA"/>
              </w:rPr>
            </w:pPr>
            <w:r w:rsidRPr="00756D59">
              <w:rPr>
                <w:sz w:val="20"/>
                <w:szCs w:val="20"/>
                <w:lang w:eastAsia="en-CA"/>
              </w:rPr>
              <w:t>25</w:t>
            </w:r>
          </w:p>
        </w:tc>
        <w:tc>
          <w:tcPr>
            <w:tcW w:w="4531" w:type="dxa"/>
            <w:tcMar>
              <w:left w:w="58" w:type="dxa"/>
              <w:right w:w="58" w:type="dxa"/>
            </w:tcMar>
          </w:tcPr>
          <w:p w14:paraId="7888B113" w14:textId="77777777" w:rsidR="00BF17C8" w:rsidRPr="00756D59" w:rsidRDefault="00BF17C8" w:rsidP="00876646">
            <w:pPr>
              <w:jc w:val="left"/>
              <w:rPr>
                <w:sz w:val="20"/>
                <w:szCs w:val="20"/>
                <w:lang w:eastAsia="en-CA"/>
              </w:rPr>
            </w:pPr>
            <w:r w:rsidRPr="00756D59">
              <w:rPr>
                <w:sz w:val="20"/>
                <w:szCs w:val="20"/>
                <w:lang w:eastAsia="en-CA"/>
              </w:rPr>
              <w:t>Training for the NOU and relevant sectorial stakeholders on HFC policies, energy efficiency aspects for RAC equipment, safety in the handling of flammable alternatives and personnel certification scheme for handling flammable refrigerants.</w:t>
            </w:r>
          </w:p>
        </w:tc>
        <w:tc>
          <w:tcPr>
            <w:tcW w:w="1629" w:type="dxa"/>
            <w:shd w:val="clear" w:color="auto" w:fill="auto"/>
            <w:tcMar>
              <w:left w:w="58" w:type="dxa"/>
              <w:right w:w="58" w:type="dxa"/>
            </w:tcMar>
          </w:tcPr>
          <w:p w14:paraId="2EFE2428" w14:textId="77777777" w:rsidR="00BF17C8" w:rsidRPr="00756D59" w:rsidRDefault="00BF17C8" w:rsidP="00876646">
            <w:pPr>
              <w:jc w:val="center"/>
              <w:rPr>
                <w:bCs/>
                <w:sz w:val="20"/>
                <w:szCs w:val="20"/>
                <w:lang w:eastAsia="en-CA"/>
              </w:rPr>
            </w:pPr>
            <w:r w:rsidRPr="00756D59">
              <w:rPr>
                <w:sz w:val="20"/>
                <w:szCs w:val="20"/>
                <w:lang w:eastAsia="en-CA"/>
              </w:rPr>
              <w:t>Dec-21</w:t>
            </w:r>
          </w:p>
        </w:tc>
      </w:tr>
      <w:tr w:rsidR="00BF17C8" w:rsidRPr="00756D59" w14:paraId="26DCD364" w14:textId="77777777" w:rsidTr="00876646">
        <w:trPr>
          <w:trHeight w:val="337"/>
        </w:trPr>
        <w:tc>
          <w:tcPr>
            <w:tcW w:w="2261" w:type="dxa"/>
            <w:tcMar>
              <w:left w:w="58" w:type="dxa"/>
              <w:right w:w="58" w:type="dxa"/>
            </w:tcMar>
          </w:tcPr>
          <w:p w14:paraId="1F8385CA" w14:textId="77777777" w:rsidR="00BF17C8" w:rsidRPr="00756D59" w:rsidRDefault="00BF17C8" w:rsidP="00876646">
            <w:pPr>
              <w:jc w:val="left"/>
              <w:rPr>
                <w:color w:val="000000"/>
                <w:sz w:val="20"/>
                <w:szCs w:val="20"/>
                <w:lang w:eastAsia="en-CA"/>
              </w:rPr>
            </w:pPr>
            <w:r w:rsidRPr="00756D59">
              <w:rPr>
                <w:color w:val="000000"/>
                <w:sz w:val="20"/>
                <w:szCs w:val="20"/>
                <w:lang w:eastAsia="en-CA"/>
              </w:rPr>
              <w:t>Congo (the)</w:t>
            </w:r>
          </w:p>
          <w:p w14:paraId="13B056C0" w14:textId="77777777" w:rsidR="00BF17C8" w:rsidRPr="00756D59" w:rsidRDefault="00BF17C8" w:rsidP="00876646">
            <w:pPr>
              <w:jc w:val="left"/>
              <w:rPr>
                <w:bCs/>
                <w:sz w:val="20"/>
                <w:szCs w:val="20"/>
                <w:lang w:eastAsia="en-CA"/>
              </w:rPr>
            </w:pPr>
            <w:r w:rsidRPr="00756D59">
              <w:rPr>
                <w:color w:val="000000"/>
                <w:sz w:val="20"/>
                <w:szCs w:val="20"/>
                <w:lang w:eastAsia="en-CA"/>
              </w:rPr>
              <w:t>PRC/SEV/80/TAS/01+</w:t>
            </w:r>
          </w:p>
        </w:tc>
        <w:tc>
          <w:tcPr>
            <w:tcW w:w="3352" w:type="dxa"/>
            <w:tcMar>
              <w:left w:w="58" w:type="dxa"/>
              <w:right w:w="58" w:type="dxa"/>
            </w:tcMar>
          </w:tcPr>
          <w:p w14:paraId="6EFCB859" w14:textId="77777777" w:rsidR="00BF17C8" w:rsidRPr="00756D59" w:rsidRDefault="00BF17C8" w:rsidP="00876646">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70391BCD" w14:textId="77777777" w:rsidR="00BF17C8" w:rsidRPr="00756D59" w:rsidRDefault="00BF17C8" w:rsidP="00876646">
            <w:pPr>
              <w:jc w:val="center"/>
              <w:rPr>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59EC6FD9" w14:textId="77777777" w:rsidR="00BF17C8" w:rsidRPr="00756D59" w:rsidRDefault="00BF17C8" w:rsidP="00876646">
            <w:pPr>
              <w:jc w:val="center"/>
              <w:rPr>
                <w:bCs/>
                <w:sz w:val="20"/>
                <w:szCs w:val="20"/>
                <w:lang w:eastAsia="en-CA"/>
              </w:rPr>
            </w:pPr>
            <w:r w:rsidRPr="00756D59">
              <w:rPr>
                <w:color w:val="000000"/>
                <w:sz w:val="20"/>
                <w:szCs w:val="20"/>
                <w:lang w:eastAsia="en-CA"/>
              </w:rPr>
              <w:t>73.3</w:t>
            </w:r>
          </w:p>
        </w:tc>
        <w:tc>
          <w:tcPr>
            <w:tcW w:w="4531" w:type="dxa"/>
            <w:tcMar>
              <w:left w:w="58" w:type="dxa"/>
              <w:right w:w="58" w:type="dxa"/>
            </w:tcMar>
          </w:tcPr>
          <w:p w14:paraId="5E8BB2B8" w14:textId="77777777" w:rsidR="00BF17C8" w:rsidRPr="00756D59" w:rsidRDefault="00BF17C8" w:rsidP="00876646">
            <w:pPr>
              <w:jc w:val="left"/>
              <w:rPr>
                <w:sz w:val="20"/>
                <w:szCs w:val="20"/>
                <w:lang w:eastAsia="en-CA"/>
              </w:rPr>
            </w:pPr>
            <w:r w:rsidRPr="00756D59">
              <w:rPr>
                <w:color w:val="000000"/>
                <w:sz w:val="20"/>
                <w:szCs w:val="20"/>
                <w:lang w:eastAsia="en-CA"/>
              </w:rPr>
              <w:t>Follow up on final steps relating to ratification; awareness raising relating to Kigali Amendment matters; and technical and administrative support for completing the pending activities.</w:t>
            </w:r>
          </w:p>
        </w:tc>
        <w:tc>
          <w:tcPr>
            <w:tcW w:w="1629" w:type="dxa"/>
            <w:shd w:val="clear" w:color="auto" w:fill="auto"/>
            <w:tcMar>
              <w:left w:w="58" w:type="dxa"/>
              <w:right w:w="58" w:type="dxa"/>
            </w:tcMar>
          </w:tcPr>
          <w:p w14:paraId="30542359" w14:textId="77777777" w:rsidR="00BF17C8" w:rsidRPr="00756D59" w:rsidRDefault="00BF17C8" w:rsidP="00876646">
            <w:pPr>
              <w:jc w:val="center"/>
              <w:rPr>
                <w:bCs/>
                <w:sz w:val="20"/>
                <w:szCs w:val="20"/>
                <w:lang w:eastAsia="en-CA"/>
              </w:rPr>
            </w:pPr>
            <w:r w:rsidRPr="00756D59">
              <w:rPr>
                <w:color w:val="000000"/>
                <w:sz w:val="20"/>
                <w:szCs w:val="20"/>
                <w:lang w:eastAsia="en-CA"/>
              </w:rPr>
              <w:t>Dec-21</w:t>
            </w:r>
          </w:p>
        </w:tc>
      </w:tr>
      <w:tr w:rsidR="00BF17C8" w:rsidRPr="00756D59" w14:paraId="115363EE" w14:textId="77777777" w:rsidTr="00876646">
        <w:trPr>
          <w:trHeight w:val="337"/>
        </w:trPr>
        <w:tc>
          <w:tcPr>
            <w:tcW w:w="2261" w:type="dxa"/>
            <w:tcMar>
              <w:left w:w="58" w:type="dxa"/>
              <w:right w:w="58" w:type="dxa"/>
            </w:tcMar>
          </w:tcPr>
          <w:p w14:paraId="00A676CD" w14:textId="77777777" w:rsidR="00BF17C8" w:rsidRPr="00756D59" w:rsidRDefault="00BF17C8" w:rsidP="00876646">
            <w:pPr>
              <w:jc w:val="left"/>
              <w:rPr>
                <w:color w:val="000000"/>
                <w:sz w:val="20"/>
                <w:szCs w:val="20"/>
                <w:lang w:eastAsia="en-CA"/>
              </w:rPr>
            </w:pPr>
            <w:r w:rsidRPr="00756D59">
              <w:rPr>
                <w:color w:val="000000"/>
                <w:sz w:val="20"/>
                <w:szCs w:val="20"/>
                <w:lang w:eastAsia="en-CA"/>
              </w:rPr>
              <w:t>Egypt</w:t>
            </w:r>
          </w:p>
          <w:p w14:paraId="0D28574A" w14:textId="77777777" w:rsidR="00BF17C8" w:rsidRPr="00756D59" w:rsidRDefault="00BF17C8" w:rsidP="00876646">
            <w:pPr>
              <w:jc w:val="left"/>
              <w:rPr>
                <w:bCs/>
                <w:sz w:val="20"/>
                <w:szCs w:val="20"/>
                <w:lang w:eastAsia="en-CA"/>
              </w:rPr>
            </w:pPr>
            <w:r w:rsidRPr="00756D59">
              <w:rPr>
                <w:color w:val="000000"/>
                <w:sz w:val="20"/>
                <w:szCs w:val="20"/>
                <w:lang w:eastAsia="en-CA"/>
              </w:rPr>
              <w:t>EGY/SEV/81/TAS/02+</w:t>
            </w:r>
          </w:p>
        </w:tc>
        <w:tc>
          <w:tcPr>
            <w:tcW w:w="3352" w:type="dxa"/>
            <w:tcMar>
              <w:left w:w="58" w:type="dxa"/>
              <w:right w:w="58" w:type="dxa"/>
            </w:tcMar>
          </w:tcPr>
          <w:p w14:paraId="5FA969EE" w14:textId="77777777" w:rsidR="00BF17C8" w:rsidRPr="00756D59" w:rsidRDefault="00BF17C8" w:rsidP="00876646">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0151AFB6" w14:textId="77777777" w:rsidR="00BF17C8" w:rsidRPr="00756D59" w:rsidRDefault="00BF17C8" w:rsidP="00876646">
            <w:pPr>
              <w:jc w:val="center"/>
              <w:rPr>
                <w:sz w:val="20"/>
                <w:szCs w:val="20"/>
                <w:lang w:eastAsia="en-CA"/>
              </w:rPr>
            </w:pPr>
            <w:r w:rsidRPr="00756D59">
              <w:rPr>
                <w:color w:val="000000"/>
                <w:sz w:val="20"/>
                <w:szCs w:val="20"/>
                <w:lang w:eastAsia="en-CA"/>
              </w:rPr>
              <w:t>Jun-18</w:t>
            </w:r>
          </w:p>
        </w:tc>
        <w:tc>
          <w:tcPr>
            <w:tcW w:w="1305" w:type="dxa"/>
            <w:shd w:val="clear" w:color="auto" w:fill="auto"/>
            <w:tcMar>
              <w:left w:w="58" w:type="dxa"/>
              <w:right w:w="58" w:type="dxa"/>
            </w:tcMar>
          </w:tcPr>
          <w:p w14:paraId="35CE85A0" w14:textId="77777777" w:rsidR="00BF17C8" w:rsidRPr="00756D59" w:rsidRDefault="00BF17C8" w:rsidP="00876646">
            <w:pPr>
              <w:jc w:val="center"/>
              <w:rPr>
                <w:bCs/>
                <w:sz w:val="20"/>
                <w:szCs w:val="20"/>
                <w:lang w:eastAsia="en-CA"/>
              </w:rPr>
            </w:pPr>
            <w:r w:rsidRPr="00756D59">
              <w:rPr>
                <w:color w:val="000000"/>
                <w:sz w:val="20"/>
                <w:szCs w:val="20"/>
                <w:lang w:eastAsia="en-CA"/>
              </w:rPr>
              <w:t>24.9</w:t>
            </w:r>
          </w:p>
        </w:tc>
        <w:tc>
          <w:tcPr>
            <w:tcW w:w="4531" w:type="dxa"/>
            <w:tcMar>
              <w:left w:w="58" w:type="dxa"/>
              <w:right w:w="58" w:type="dxa"/>
            </w:tcMar>
          </w:tcPr>
          <w:p w14:paraId="4EE920EB" w14:textId="77777777" w:rsidR="00BF17C8" w:rsidRPr="00756D59" w:rsidRDefault="00BF17C8" w:rsidP="00876646">
            <w:pPr>
              <w:jc w:val="left"/>
              <w:rPr>
                <w:sz w:val="20"/>
                <w:szCs w:val="20"/>
                <w:lang w:eastAsia="en-CA"/>
              </w:rPr>
            </w:pPr>
            <w:r w:rsidRPr="00756D59">
              <w:rPr>
                <w:color w:val="000000"/>
                <w:sz w:val="20"/>
                <w:szCs w:val="20"/>
                <w:lang w:eastAsia="en-CA"/>
              </w:rPr>
              <w:t xml:space="preserve">Analysis of existing ozone and climate policy/legislation; and drafting the amendments to the existing legislation to allow for ratification of the Kigali Amendment; preparing the package on the ratification of Kigali Amendment; and undertaking the </w:t>
            </w:r>
            <w:r w:rsidRPr="00756D59">
              <w:rPr>
                <w:color w:val="000000"/>
                <w:sz w:val="20"/>
                <w:szCs w:val="20"/>
                <w:lang w:eastAsia="en-CA"/>
              </w:rPr>
              <w:lastRenderedPageBreak/>
              <w:t>training needs assessment for the servicing sector and preparing an assessment report.</w:t>
            </w:r>
          </w:p>
        </w:tc>
        <w:tc>
          <w:tcPr>
            <w:tcW w:w="1629" w:type="dxa"/>
            <w:shd w:val="clear" w:color="auto" w:fill="auto"/>
            <w:tcMar>
              <w:left w:w="58" w:type="dxa"/>
              <w:right w:w="58" w:type="dxa"/>
            </w:tcMar>
          </w:tcPr>
          <w:p w14:paraId="60A0BBD9" w14:textId="77777777" w:rsidR="00BF17C8" w:rsidRPr="00756D59" w:rsidRDefault="00BF17C8" w:rsidP="00876646">
            <w:pPr>
              <w:jc w:val="center"/>
              <w:rPr>
                <w:bCs/>
                <w:sz w:val="20"/>
                <w:szCs w:val="20"/>
                <w:lang w:eastAsia="en-CA"/>
              </w:rPr>
            </w:pPr>
            <w:r w:rsidRPr="00756D59">
              <w:rPr>
                <w:color w:val="FF0000"/>
                <w:sz w:val="20"/>
                <w:szCs w:val="20"/>
                <w:lang w:eastAsia="en-CA"/>
              </w:rPr>
              <w:lastRenderedPageBreak/>
              <w:t>Jun-22</w:t>
            </w:r>
          </w:p>
        </w:tc>
      </w:tr>
      <w:tr w:rsidR="00BF17C8" w:rsidRPr="00756D59" w14:paraId="358A578D" w14:textId="77777777" w:rsidTr="00876646">
        <w:trPr>
          <w:trHeight w:val="337"/>
        </w:trPr>
        <w:tc>
          <w:tcPr>
            <w:tcW w:w="2261" w:type="dxa"/>
            <w:tcMar>
              <w:left w:w="58" w:type="dxa"/>
              <w:right w:w="58" w:type="dxa"/>
            </w:tcMar>
          </w:tcPr>
          <w:p w14:paraId="472D4ABF" w14:textId="77777777" w:rsidR="00BF17C8" w:rsidRPr="00756D59" w:rsidRDefault="00BF17C8" w:rsidP="00876646">
            <w:pPr>
              <w:jc w:val="left"/>
              <w:rPr>
                <w:sz w:val="20"/>
                <w:szCs w:val="20"/>
                <w:lang w:eastAsia="en-CA"/>
              </w:rPr>
            </w:pPr>
            <w:r w:rsidRPr="00756D59">
              <w:rPr>
                <w:sz w:val="20"/>
                <w:szCs w:val="20"/>
                <w:lang w:eastAsia="en-CA"/>
              </w:rPr>
              <w:lastRenderedPageBreak/>
              <w:t>Jordan</w:t>
            </w:r>
          </w:p>
          <w:p w14:paraId="2F995E73" w14:textId="77777777" w:rsidR="00BF17C8" w:rsidRPr="00756D59" w:rsidRDefault="00BF17C8" w:rsidP="00876646">
            <w:pPr>
              <w:jc w:val="left"/>
              <w:rPr>
                <w:bCs/>
                <w:sz w:val="20"/>
                <w:szCs w:val="20"/>
                <w:lang w:eastAsia="en-CA"/>
              </w:rPr>
            </w:pPr>
            <w:r w:rsidRPr="00756D59">
              <w:rPr>
                <w:sz w:val="20"/>
                <w:szCs w:val="20"/>
                <w:lang w:eastAsia="en-CA"/>
              </w:rPr>
              <w:t>JOR/SEV/82/TAS/104</w:t>
            </w:r>
          </w:p>
        </w:tc>
        <w:tc>
          <w:tcPr>
            <w:tcW w:w="3352" w:type="dxa"/>
            <w:tcMar>
              <w:left w:w="58" w:type="dxa"/>
              <w:right w:w="58" w:type="dxa"/>
            </w:tcMar>
          </w:tcPr>
          <w:p w14:paraId="29C92C2F"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5B0C8B7" w14:textId="77777777" w:rsidR="00BF17C8" w:rsidRPr="00756D59" w:rsidRDefault="00BF17C8" w:rsidP="00876646">
            <w:pPr>
              <w:jc w:val="center"/>
              <w:rPr>
                <w:sz w:val="20"/>
                <w:szCs w:val="20"/>
                <w:lang w:eastAsia="en-CA"/>
              </w:rPr>
            </w:pPr>
            <w:r w:rsidRPr="00756D59">
              <w:rPr>
                <w:sz w:val="20"/>
                <w:szCs w:val="20"/>
                <w:lang w:eastAsia="en-CA"/>
              </w:rPr>
              <w:t>Dec-18</w:t>
            </w:r>
          </w:p>
        </w:tc>
        <w:tc>
          <w:tcPr>
            <w:tcW w:w="1305" w:type="dxa"/>
            <w:shd w:val="clear" w:color="auto" w:fill="auto"/>
            <w:tcMar>
              <w:left w:w="58" w:type="dxa"/>
              <w:right w:w="58" w:type="dxa"/>
            </w:tcMar>
          </w:tcPr>
          <w:p w14:paraId="0A10CC75" w14:textId="77777777" w:rsidR="00BF17C8" w:rsidRPr="00756D59" w:rsidRDefault="00BF17C8" w:rsidP="00876646">
            <w:pPr>
              <w:jc w:val="center"/>
              <w:rPr>
                <w:bCs/>
                <w:sz w:val="20"/>
                <w:szCs w:val="20"/>
                <w:lang w:eastAsia="en-CA"/>
              </w:rPr>
            </w:pPr>
            <w:r w:rsidRPr="00756D59">
              <w:rPr>
                <w:sz w:val="20"/>
                <w:szCs w:val="20"/>
                <w:lang w:eastAsia="en-CA"/>
              </w:rPr>
              <w:t>42.7</w:t>
            </w:r>
          </w:p>
        </w:tc>
        <w:tc>
          <w:tcPr>
            <w:tcW w:w="4531" w:type="dxa"/>
            <w:tcMar>
              <w:left w:w="58" w:type="dxa"/>
              <w:right w:w="58" w:type="dxa"/>
            </w:tcMar>
          </w:tcPr>
          <w:p w14:paraId="41804BEB" w14:textId="77777777" w:rsidR="00BF17C8" w:rsidRPr="00756D59" w:rsidRDefault="00BF17C8" w:rsidP="00876646">
            <w:pPr>
              <w:jc w:val="left"/>
              <w:rPr>
                <w:sz w:val="20"/>
                <w:szCs w:val="20"/>
                <w:lang w:eastAsia="en-CA"/>
              </w:rPr>
            </w:pPr>
            <w:r w:rsidRPr="00756D59">
              <w:rPr>
                <w:sz w:val="20"/>
                <w:szCs w:val="20"/>
                <w:lang w:eastAsia="en-CA"/>
              </w:rPr>
              <w:t>Conducting stakeholder workshop and finalization of the report.</w:t>
            </w:r>
          </w:p>
        </w:tc>
        <w:tc>
          <w:tcPr>
            <w:tcW w:w="1629" w:type="dxa"/>
            <w:shd w:val="clear" w:color="auto" w:fill="auto"/>
            <w:tcMar>
              <w:left w:w="58" w:type="dxa"/>
              <w:right w:w="58" w:type="dxa"/>
            </w:tcMar>
          </w:tcPr>
          <w:p w14:paraId="71ED3EAD" w14:textId="77777777" w:rsidR="00BF17C8" w:rsidRPr="00756D59" w:rsidRDefault="00BF17C8" w:rsidP="00876646">
            <w:pPr>
              <w:jc w:val="center"/>
              <w:rPr>
                <w:bCs/>
                <w:sz w:val="20"/>
                <w:szCs w:val="20"/>
                <w:lang w:eastAsia="en-CA"/>
              </w:rPr>
            </w:pPr>
            <w:r w:rsidRPr="00756D59">
              <w:rPr>
                <w:sz w:val="20"/>
                <w:szCs w:val="20"/>
                <w:lang w:eastAsia="en-CA"/>
              </w:rPr>
              <w:t>Dec-21</w:t>
            </w:r>
          </w:p>
        </w:tc>
      </w:tr>
      <w:tr w:rsidR="00BF17C8" w:rsidRPr="00756D59" w14:paraId="1087A7CD" w14:textId="77777777" w:rsidTr="00876646">
        <w:trPr>
          <w:trHeight w:val="337"/>
        </w:trPr>
        <w:tc>
          <w:tcPr>
            <w:tcW w:w="2261" w:type="dxa"/>
            <w:tcMar>
              <w:left w:w="58" w:type="dxa"/>
              <w:right w:w="58" w:type="dxa"/>
            </w:tcMar>
          </w:tcPr>
          <w:p w14:paraId="174D9ADC" w14:textId="77777777" w:rsidR="00BF17C8" w:rsidRPr="00756D59" w:rsidRDefault="00BF17C8" w:rsidP="00876646">
            <w:pPr>
              <w:jc w:val="left"/>
              <w:rPr>
                <w:sz w:val="20"/>
                <w:szCs w:val="20"/>
                <w:lang w:eastAsia="en-CA"/>
              </w:rPr>
            </w:pPr>
            <w:r w:rsidRPr="00756D59">
              <w:rPr>
                <w:sz w:val="20"/>
                <w:szCs w:val="20"/>
                <w:lang w:eastAsia="en-CA"/>
              </w:rPr>
              <w:t>Libya</w:t>
            </w:r>
          </w:p>
          <w:p w14:paraId="173AAD36" w14:textId="77777777" w:rsidR="00BF17C8" w:rsidRPr="00756D59" w:rsidRDefault="00BF17C8" w:rsidP="00876646">
            <w:pPr>
              <w:jc w:val="left"/>
              <w:rPr>
                <w:sz w:val="20"/>
                <w:szCs w:val="20"/>
                <w:lang w:eastAsia="en-CA"/>
              </w:rPr>
            </w:pPr>
            <w:r w:rsidRPr="00756D59">
              <w:rPr>
                <w:sz w:val="20"/>
                <w:szCs w:val="20"/>
                <w:lang w:eastAsia="en-CA"/>
              </w:rPr>
              <w:t>LIB/SEV/81/TAS/01+</w:t>
            </w:r>
          </w:p>
        </w:tc>
        <w:tc>
          <w:tcPr>
            <w:tcW w:w="3352" w:type="dxa"/>
            <w:tcMar>
              <w:left w:w="58" w:type="dxa"/>
              <w:right w:w="58" w:type="dxa"/>
            </w:tcMar>
          </w:tcPr>
          <w:p w14:paraId="4113A870"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A31B6E4"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0421960" w14:textId="77777777" w:rsidR="00BF17C8" w:rsidRPr="00756D59" w:rsidRDefault="00BF17C8" w:rsidP="00876646">
            <w:pPr>
              <w:jc w:val="center"/>
              <w:rPr>
                <w:sz w:val="20"/>
                <w:szCs w:val="20"/>
                <w:lang w:eastAsia="en-CA"/>
              </w:rPr>
            </w:pPr>
            <w:r w:rsidRPr="00756D59">
              <w:rPr>
                <w:sz w:val="20"/>
                <w:szCs w:val="20"/>
                <w:lang w:eastAsia="en-CA"/>
              </w:rPr>
              <w:t>12.2</w:t>
            </w:r>
          </w:p>
        </w:tc>
        <w:tc>
          <w:tcPr>
            <w:tcW w:w="4531" w:type="dxa"/>
            <w:tcMar>
              <w:left w:w="58" w:type="dxa"/>
              <w:right w:w="58" w:type="dxa"/>
            </w:tcMar>
          </w:tcPr>
          <w:p w14:paraId="12D45BD5" w14:textId="77777777" w:rsidR="00BF17C8" w:rsidRPr="00756D59" w:rsidRDefault="00BF17C8" w:rsidP="00876646">
            <w:pPr>
              <w:jc w:val="left"/>
              <w:rPr>
                <w:sz w:val="20"/>
                <w:szCs w:val="20"/>
                <w:lang w:eastAsia="en-CA"/>
              </w:rPr>
            </w:pPr>
            <w:r w:rsidRPr="00756D59">
              <w:rPr>
                <w:sz w:val="20"/>
                <w:szCs w:val="20"/>
                <w:lang w:eastAsia="en-CA"/>
              </w:rPr>
              <w:t>Preparation of legal documents for ratification of the Kigali Amendment and follow-up activities for ratification.</w:t>
            </w:r>
          </w:p>
        </w:tc>
        <w:tc>
          <w:tcPr>
            <w:tcW w:w="1629" w:type="dxa"/>
            <w:shd w:val="clear" w:color="auto" w:fill="auto"/>
            <w:tcMar>
              <w:left w:w="58" w:type="dxa"/>
              <w:right w:w="58" w:type="dxa"/>
            </w:tcMar>
          </w:tcPr>
          <w:p w14:paraId="77D3B9B1" w14:textId="77777777" w:rsidR="00BF17C8" w:rsidRPr="00756D59" w:rsidRDefault="00BF17C8" w:rsidP="00876646">
            <w:pPr>
              <w:jc w:val="center"/>
              <w:rPr>
                <w:sz w:val="20"/>
                <w:szCs w:val="20"/>
                <w:lang w:eastAsia="en-CA"/>
              </w:rPr>
            </w:pPr>
            <w:r w:rsidRPr="00756D59">
              <w:rPr>
                <w:sz w:val="20"/>
                <w:szCs w:val="20"/>
                <w:lang w:eastAsia="en-CA"/>
              </w:rPr>
              <w:t>Jun-22</w:t>
            </w:r>
          </w:p>
        </w:tc>
      </w:tr>
      <w:tr w:rsidR="00BF17C8" w:rsidRPr="00756D59" w14:paraId="210573BA" w14:textId="77777777" w:rsidTr="00876646">
        <w:trPr>
          <w:trHeight w:val="337"/>
        </w:trPr>
        <w:tc>
          <w:tcPr>
            <w:tcW w:w="2261" w:type="dxa"/>
            <w:tcMar>
              <w:left w:w="58" w:type="dxa"/>
              <w:right w:w="58" w:type="dxa"/>
            </w:tcMar>
          </w:tcPr>
          <w:p w14:paraId="3F3D178C" w14:textId="77777777" w:rsidR="00BF17C8" w:rsidRPr="00756D59" w:rsidRDefault="00BF17C8" w:rsidP="00876646">
            <w:pPr>
              <w:jc w:val="left"/>
              <w:rPr>
                <w:sz w:val="20"/>
                <w:szCs w:val="20"/>
                <w:lang w:eastAsia="en-CA"/>
              </w:rPr>
            </w:pPr>
            <w:r w:rsidRPr="00756D59">
              <w:rPr>
                <w:sz w:val="20"/>
                <w:szCs w:val="20"/>
                <w:lang w:eastAsia="en-CA"/>
              </w:rPr>
              <w:t>Mexico</w:t>
            </w:r>
          </w:p>
          <w:p w14:paraId="25BD38EB" w14:textId="77777777" w:rsidR="00BF17C8" w:rsidRPr="00756D59" w:rsidRDefault="00BF17C8" w:rsidP="00876646">
            <w:pPr>
              <w:jc w:val="left"/>
              <w:rPr>
                <w:sz w:val="20"/>
                <w:szCs w:val="20"/>
                <w:lang w:eastAsia="en-CA"/>
              </w:rPr>
            </w:pPr>
            <w:r w:rsidRPr="00756D59">
              <w:rPr>
                <w:sz w:val="20"/>
                <w:szCs w:val="20"/>
                <w:lang w:eastAsia="en-CA"/>
              </w:rPr>
              <w:t>MEX/REF/81/INV/04+</w:t>
            </w:r>
          </w:p>
        </w:tc>
        <w:tc>
          <w:tcPr>
            <w:tcW w:w="3352" w:type="dxa"/>
            <w:tcMar>
              <w:left w:w="58" w:type="dxa"/>
              <w:right w:w="58" w:type="dxa"/>
            </w:tcMar>
          </w:tcPr>
          <w:p w14:paraId="673D47CA" w14:textId="77777777" w:rsidR="00BF17C8" w:rsidRPr="00756D59" w:rsidRDefault="00BF17C8" w:rsidP="00876646">
            <w:pPr>
              <w:jc w:val="left"/>
              <w:rPr>
                <w:sz w:val="20"/>
                <w:szCs w:val="20"/>
                <w:lang w:eastAsia="en-CA"/>
              </w:rPr>
            </w:pPr>
            <w:r w:rsidRPr="00756D59">
              <w:rPr>
                <w:sz w:val="20"/>
                <w:szCs w:val="20"/>
                <w:lang w:eastAsia="en-CA"/>
              </w:rPr>
              <w:t xml:space="preserve">Conversion of commercial refrigeration manufacturing in two facilities from the use of HFC-134a and R-404A as the refrigerants to propane (R-290) and </w:t>
            </w:r>
            <w:proofErr w:type="spellStart"/>
            <w:r w:rsidRPr="00756D59">
              <w:rPr>
                <w:sz w:val="20"/>
                <w:szCs w:val="20"/>
                <w:lang w:eastAsia="en-CA"/>
              </w:rPr>
              <w:t>isobutane</w:t>
            </w:r>
            <w:proofErr w:type="spellEnd"/>
            <w:r w:rsidRPr="00756D59">
              <w:rPr>
                <w:sz w:val="20"/>
                <w:szCs w:val="20"/>
                <w:lang w:eastAsia="en-CA"/>
              </w:rPr>
              <w:t xml:space="preserve"> (R-600a) at </w:t>
            </w:r>
            <w:proofErr w:type="spellStart"/>
            <w:r w:rsidRPr="00756D59">
              <w:rPr>
                <w:sz w:val="20"/>
                <w:szCs w:val="20"/>
                <w:lang w:eastAsia="en-CA"/>
              </w:rPr>
              <w:t>Imbera</w:t>
            </w:r>
            <w:proofErr w:type="spellEnd"/>
          </w:p>
        </w:tc>
        <w:tc>
          <w:tcPr>
            <w:tcW w:w="1236" w:type="dxa"/>
            <w:tcMar>
              <w:left w:w="58" w:type="dxa"/>
              <w:right w:w="58" w:type="dxa"/>
            </w:tcMar>
          </w:tcPr>
          <w:p w14:paraId="34F807F8"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A568B0A" w14:textId="77777777" w:rsidR="00BF17C8" w:rsidRPr="00756D59" w:rsidRDefault="00BF17C8" w:rsidP="00876646">
            <w:pPr>
              <w:jc w:val="center"/>
              <w:rPr>
                <w:sz w:val="20"/>
                <w:szCs w:val="20"/>
                <w:lang w:eastAsia="en-CA"/>
              </w:rPr>
            </w:pPr>
            <w:r w:rsidRPr="00756D59">
              <w:rPr>
                <w:sz w:val="20"/>
                <w:szCs w:val="20"/>
                <w:lang w:eastAsia="en-CA"/>
              </w:rPr>
              <w:t>0.8</w:t>
            </w:r>
          </w:p>
        </w:tc>
        <w:tc>
          <w:tcPr>
            <w:tcW w:w="4531" w:type="dxa"/>
            <w:tcMar>
              <w:left w:w="58" w:type="dxa"/>
              <w:right w:w="58" w:type="dxa"/>
            </w:tcMar>
          </w:tcPr>
          <w:p w14:paraId="5520BF38" w14:textId="77777777" w:rsidR="00BF17C8" w:rsidRPr="00756D59" w:rsidRDefault="00BF17C8" w:rsidP="00876646">
            <w:pPr>
              <w:jc w:val="left"/>
              <w:rPr>
                <w:sz w:val="20"/>
                <w:szCs w:val="20"/>
                <w:lang w:eastAsia="en-CA"/>
              </w:rPr>
            </w:pPr>
            <w:r w:rsidRPr="00756D59">
              <w:rPr>
                <w:sz w:val="20"/>
                <w:szCs w:val="20"/>
                <w:lang w:eastAsia="en-CA"/>
              </w:rPr>
              <w:t xml:space="preserve">Finalization of installation of equipment and safety audit at </w:t>
            </w:r>
            <w:proofErr w:type="spellStart"/>
            <w:r w:rsidRPr="00756D59">
              <w:rPr>
                <w:sz w:val="20"/>
                <w:szCs w:val="20"/>
                <w:lang w:eastAsia="en-CA"/>
              </w:rPr>
              <w:t>Fersa</w:t>
            </w:r>
            <w:proofErr w:type="spellEnd"/>
            <w:r w:rsidRPr="00756D59">
              <w:rPr>
                <w:sz w:val="20"/>
                <w:szCs w:val="20"/>
                <w:lang w:eastAsia="en-CA"/>
              </w:rPr>
              <w:t xml:space="preserve"> and </w:t>
            </w:r>
            <w:proofErr w:type="spellStart"/>
            <w:r w:rsidRPr="00756D59">
              <w:rPr>
                <w:sz w:val="20"/>
                <w:szCs w:val="20"/>
                <w:lang w:eastAsia="en-CA"/>
              </w:rPr>
              <w:t>Imbera</w:t>
            </w:r>
            <w:proofErr w:type="spellEnd"/>
            <w:r w:rsidRPr="00756D59">
              <w:rPr>
                <w:sz w:val="20"/>
                <w:szCs w:val="20"/>
                <w:lang w:eastAsia="en-CA"/>
              </w:rPr>
              <w:t xml:space="preserve"> plant; and training of service technicians on using low</w:t>
            </w:r>
            <w:r w:rsidRPr="00756D59">
              <w:rPr>
                <w:sz w:val="20"/>
                <w:szCs w:val="20"/>
                <w:lang w:eastAsia="en-CA"/>
              </w:rPr>
              <w:noBreakHyphen/>
              <w:t>GWP alternatives.</w:t>
            </w:r>
          </w:p>
        </w:tc>
        <w:tc>
          <w:tcPr>
            <w:tcW w:w="1629" w:type="dxa"/>
            <w:shd w:val="clear" w:color="auto" w:fill="auto"/>
            <w:tcMar>
              <w:left w:w="58" w:type="dxa"/>
              <w:right w:w="58" w:type="dxa"/>
            </w:tcMar>
          </w:tcPr>
          <w:p w14:paraId="6454B736"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60D6C465" w14:textId="77777777" w:rsidTr="00876646">
        <w:trPr>
          <w:trHeight w:val="337"/>
        </w:trPr>
        <w:tc>
          <w:tcPr>
            <w:tcW w:w="2261" w:type="dxa"/>
            <w:tcMar>
              <w:left w:w="58" w:type="dxa"/>
              <w:right w:w="58" w:type="dxa"/>
            </w:tcMar>
          </w:tcPr>
          <w:p w14:paraId="693569A1" w14:textId="77777777" w:rsidR="00BF17C8" w:rsidRPr="00756D59" w:rsidRDefault="00BF17C8" w:rsidP="00876646">
            <w:pPr>
              <w:jc w:val="left"/>
              <w:rPr>
                <w:sz w:val="20"/>
                <w:szCs w:val="20"/>
                <w:lang w:eastAsia="en-CA"/>
              </w:rPr>
            </w:pPr>
            <w:r w:rsidRPr="00756D59">
              <w:rPr>
                <w:sz w:val="20"/>
                <w:szCs w:val="20"/>
                <w:lang w:eastAsia="en-CA"/>
              </w:rPr>
              <w:t>Morocco</w:t>
            </w:r>
          </w:p>
          <w:p w14:paraId="41223522" w14:textId="77777777" w:rsidR="00BF17C8" w:rsidRPr="00756D59" w:rsidRDefault="00BF17C8" w:rsidP="00876646">
            <w:pPr>
              <w:jc w:val="left"/>
              <w:rPr>
                <w:sz w:val="20"/>
                <w:szCs w:val="20"/>
                <w:lang w:eastAsia="en-CA"/>
              </w:rPr>
            </w:pPr>
            <w:r w:rsidRPr="00756D59">
              <w:rPr>
                <w:sz w:val="20"/>
                <w:szCs w:val="20"/>
                <w:lang w:eastAsia="en-CA"/>
              </w:rPr>
              <w:t>MOR/SEV/81/TAS/01+</w:t>
            </w:r>
          </w:p>
        </w:tc>
        <w:tc>
          <w:tcPr>
            <w:tcW w:w="3352" w:type="dxa"/>
            <w:tcMar>
              <w:left w:w="58" w:type="dxa"/>
              <w:right w:w="58" w:type="dxa"/>
            </w:tcMar>
          </w:tcPr>
          <w:p w14:paraId="585D258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8768803"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464CA33F" w14:textId="77777777" w:rsidR="00BF17C8" w:rsidRPr="00756D59" w:rsidRDefault="00BF17C8" w:rsidP="00876646">
            <w:pPr>
              <w:jc w:val="center"/>
              <w:rPr>
                <w:sz w:val="20"/>
                <w:szCs w:val="20"/>
                <w:lang w:eastAsia="en-CA"/>
              </w:rPr>
            </w:pPr>
            <w:r w:rsidRPr="00756D59">
              <w:rPr>
                <w:sz w:val="20"/>
                <w:szCs w:val="20"/>
                <w:lang w:eastAsia="en-CA"/>
              </w:rPr>
              <w:t>9.2</w:t>
            </w:r>
          </w:p>
        </w:tc>
        <w:tc>
          <w:tcPr>
            <w:tcW w:w="4531" w:type="dxa"/>
            <w:tcMar>
              <w:left w:w="58" w:type="dxa"/>
              <w:right w:w="58" w:type="dxa"/>
            </w:tcMar>
          </w:tcPr>
          <w:p w14:paraId="051F7EA8" w14:textId="77777777" w:rsidR="00BF17C8" w:rsidRPr="00756D59" w:rsidRDefault="00BF17C8" w:rsidP="00876646">
            <w:pPr>
              <w:jc w:val="left"/>
              <w:rPr>
                <w:sz w:val="20"/>
                <w:szCs w:val="20"/>
                <w:lang w:eastAsia="en-CA"/>
              </w:rPr>
            </w:pPr>
            <w:r w:rsidRPr="00756D59">
              <w:rPr>
                <w:sz w:val="20"/>
                <w:szCs w:val="20"/>
                <w:lang w:eastAsia="en-CA"/>
              </w:rPr>
              <w:t>Update of tariff codes and licensing system; finalizing the report on HFC consumption and the report on the situation of the RAC servicing sector and legal, institutional and policy measures for the implementation of the Kigali Amendment and follow</w:t>
            </w:r>
            <w:r w:rsidRPr="00756D59">
              <w:rPr>
                <w:sz w:val="20"/>
                <w:szCs w:val="20"/>
                <w:lang w:eastAsia="en-CA"/>
              </w:rPr>
              <w:noBreakHyphen/>
              <w:t>up support for ratification of the Kigali Amendment.</w:t>
            </w:r>
          </w:p>
        </w:tc>
        <w:tc>
          <w:tcPr>
            <w:tcW w:w="1629" w:type="dxa"/>
            <w:shd w:val="clear" w:color="auto" w:fill="auto"/>
            <w:tcMar>
              <w:left w:w="58" w:type="dxa"/>
              <w:right w:w="58" w:type="dxa"/>
            </w:tcMar>
          </w:tcPr>
          <w:p w14:paraId="244AB38C" w14:textId="77777777" w:rsidR="00BF17C8" w:rsidRPr="00756D59" w:rsidRDefault="00BF17C8" w:rsidP="00876646">
            <w:pPr>
              <w:jc w:val="center"/>
              <w:rPr>
                <w:sz w:val="20"/>
                <w:szCs w:val="20"/>
                <w:lang w:eastAsia="en-CA"/>
              </w:rPr>
            </w:pPr>
            <w:r w:rsidRPr="00756D59">
              <w:rPr>
                <w:sz w:val="20"/>
                <w:szCs w:val="20"/>
                <w:lang w:eastAsia="en-CA"/>
              </w:rPr>
              <w:t>Jan-22</w:t>
            </w:r>
          </w:p>
        </w:tc>
      </w:tr>
      <w:tr w:rsidR="00BF17C8" w:rsidRPr="00756D59" w14:paraId="1A8AA43F" w14:textId="77777777" w:rsidTr="00876646">
        <w:trPr>
          <w:trHeight w:val="337"/>
        </w:trPr>
        <w:tc>
          <w:tcPr>
            <w:tcW w:w="2261" w:type="dxa"/>
            <w:tcMar>
              <w:left w:w="58" w:type="dxa"/>
              <w:right w:w="58" w:type="dxa"/>
            </w:tcMar>
          </w:tcPr>
          <w:p w14:paraId="2A393BEC" w14:textId="77777777" w:rsidR="00BF17C8" w:rsidRPr="00756D59" w:rsidRDefault="00BF17C8" w:rsidP="00876646">
            <w:pPr>
              <w:jc w:val="left"/>
              <w:rPr>
                <w:sz w:val="20"/>
                <w:szCs w:val="20"/>
                <w:lang w:eastAsia="en-CA"/>
              </w:rPr>
            </w:pPr>
            <w:r w:rsidRPr="00756D59">
              <w:rPr>
                <w:sz w:val="20"/>
                <w:szCs w:val="20"/>
                <w:lang w:eastAsia="en-CA"/>
              </w:rPr>
              <w:t>Niger (the)</w:t>
            </w:r>
          </w:p>
          <w:p w14:paraId="70BC8F6B" w14:textId="77777777" w:rsidR="00BF17C8" w:rsidRPr="00756D59" w:rsidRDefault="00BF17C8" w:rsidP="00876646">
            <w:pPr>
              <w:jc w:val="left"/>
              <w:rPr>
                <w:sz w:val="20"/>
                <w:szCs w:val="20"/>
                <w:lang w:eastAsia="en-CA"/>
              </w:rPr>
            </w:pPr>
            <w:r w:rsidRPr="00756D59">
              <w:rPr>
                <w:sz w:val="20"/>
                <w:szCs w:val="20"/>
                <w:lang w:eastAsia="en-CA"/>
              </w:rPr>
              <w:t>NER/SEV/81/TAS/01+</w:t>
            </w:r>
          </w:p>
        </w:tc>
        <w:tc>
          <w:tcPr>
            <w:tcW w:w="3352" w:type="dxa"/>
            <w:tcMar>
              <w:left w:w="58" w:type="dxa"/>
              <w:right w:w="58" w:type="dxa"/>
            </w:tcMar>
          </w:tcPr>
          <w:p w14:paraId="0CD6EF0A"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2C9D0D27" w14:textId="77777777" w:rsidR="00BF17C8" w:rsidRPr="00756D59" w:rsidRDefault="00BF17C8" w:rsidP="00876646">
            <w:pPr>
              <w:jc w:val="center"/>
              <w:rPr>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200E65B0" w14:textId="77777777" w:rsidR="00BF17C8" w:rsidRPr="00756D59" w:rsidRDefault="00BF17C8" w:rsidP="00876646">
            <w:pPr>
              <w:jc w:val="center"/>
              <w:rPr>
                <w:sz w:val="20"/>
                <w:szCs w:val="20"/>
                <w:lang w:eastAsia="en-CA"/>
              </w:rPr>
            </w:pPr>
            <w:r w:rsidRPr="00756D59">
              <w:rPr>
                <w:sz w:val="20"/>
                <w:szCs w:val="20"/>
                <w:lang w:eastAsia="en-CA"/>
              </w:rPr>
              <w:t>76.2</w:t>
            </w:r>
          </w:p>
        </w:tc>
        <w:tc>
          <w:tcPr>
            <w:tcW w:w="4531" w:type="dxa"/>
            <w:tcMar>
              <w:left w:w="58" w:type="dxa"/>
              <w:right w:w="58" w:type="dxa"/>
            </w:tcMar>
          </w:tcPr>
          <w:p w14:paraId="635FE694" w14:textId="77777777" w:rsidR="00BF17C8" w:rsidRPr="00756D59" w:rsidRDefault="00BF17C8" w:rsidP="00876646">
            <w:pPr>
              <w:jc w:val="left"/>
              <w:rPr>
                <w:sz w:val="20"/>
                <w:szCs w:val="20"/>
                <w:lang w:eastAsia="en-CA"/>
              </w:rPr>
            </w:pPr>
            <w:r w:rsidRPr="00756D59">
              <w:rPr>
                <w:sz w:val="20"/>
                <w:szCs w:val="20"/>
                <w:lang w:eastAsia="en-CA"/>
              </w:rPr>
              <w:t xml:space="preserve">Finalization and adoption of national and regional HS codes; training activities for Government/customs office; and awareness activities for the RAC service sector.  </w:t>
            </w:r>
          </w:p>
        </w:tc>
        <w:tc>
          <w:tcPr>
            <w:tcW w:w="1629" w:type="dxa"/>
            <w:shd w:val="clear" w:color="auto" w:fill="auto"/>
            <w:tcMar>
              <w:left w:w="58" w:type="dxa"/>
              <w:right w:w="58" w:type="dxa"/>
            </w:tcMar>
          </w:tcPr>
          <w:p w14:paraId="711DAD34"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7EB39A33" w14:textId="77777777" w:rsidTr="00876646">
        <w:trPr>
          <w:trHeight w:val="337"/>
        </w:trPr>
        <w:tc>
          <w:tcPr>
            <w:tcW w:w="2261" w:type="dxa"/>
            <w:tcMar>
              <w:left w:w="58" w:type="dxa"/>
              <w:right w:w="58" w:type="dxa"/>
            </w:tcMar>
          </w:tcPr>
          <w:p w14:paraId="53CBBE35" w14:textId="77777777" w:rsidR="00BF17C8" w:rsidRPr="00756D59" w:rsidRDefault="00BF17C8" w:rsidP="00876646">
            <w:pPr>
              <w:jc w:val="left"/>
              <w:rPr>
                <w:sz w:val="20"/>
                <w:szCs w:val="20"/>
                <w:lang w:eastAsia="en-CA"/>
              </w:rPr>
            </w:pPr>
            <w:r w:rsidRPr="00756D59">
              <w:rPr>
                <w:sz w:val="20"/>
                <w:szCs w:val="20"/>
                <w:lang w:eastAsia="en-CA"/>
              </w:rPr>
              <w:t>Philippines (the)</w:t>
            </w:r>
          </w:p>
          <w:p w14:paraId="4A4CCF5F" w14:textId="77777777" w:rsidR="00BF17C8" w:rsidRPr="00756D59" w:rsidRDefault="00BF17C8" w:rsidP="00876646">
            <w:pPr>
              <w:jc w:val="left"/>
              <w:rPr>
                <w:sz w:val="20"/>
                <w:szCs w:val="20"/>
                <w:lang w:eastAsia="en-CA"/>
              </w:rPr>
            </w:pPr>
            <w:r w:rsidRPr="00756D59">
              <w:rPr>
                <w:sz w:val="20"/>
                <w:szCs w:val="20"/>
                <w:lang w:eastAsia="en-CA"/>
              </w:rPr>
              <w:t>PHI/SEV/83/TAS/02+</w:t>
            </w:r>
          </w:p>
        </w:tc>
        <w:tc>
          <w:tcPr>
            <w:tcW w:w="3352" w:type="dxa"/>
            <w:tcMar>
              <w:left w:w="58" w:type="dxa"/>
              <w:right w:w="58" w:type="dxa"/>
            </w:tcMar>
          </w:tcPr>
          <w:p w14:paraId="7FBC3A5D" w14:textId="77777777" w:rsidR="00BF17C8" w:rsidRPr="00756D59" w:rsidRDefault="00BF17C8" w:rsidP="00876646">
            <w:pPr>
              <w:jc w:val="left"/>
              <w:rPr>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7317ED3B" w14:textId="77777777" w:rsidR="00BF17C8" w:rsidRPr="00756D59" w:rsidRDefault="00BF17C8" w:rsidP="00876646">
            <w:pPr>
              <w:jc w:val="center"/>
              <w:rPr>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77F4DC8D" w14:textId="77777777" w:rsidR="00BF17C8" w:rsidRPr="00756D59" w:rsidRDefault="00BF17C8" w:rsidP="00876646">
            <w:pPr>
              <w:jc w:val="center"/>
              <w:rPr>
                <w:sz w:val="20"/>
                <w:szCs w:val="20"/>
                <w:lang w:eastAsia="en-CA"/>
              </w:rPr>
            </w:pPr>
            <w:r w:rsidRPr="00756D59">
              <w:rPr>
                <w:sz w:val="20"/>
                <w:szCs w:val="20"/>
                <w:lang w:eastAsia="en-CA"/>
              </w:rPr>
              <w:t>48.6</w:t>
            </w:r>
          </w:p>
        </w:tc>
        <w:tc>
          <w:tcPr>
            <w:tcW w:w="4531" w:type="dxa"/>
            <w:tcMar>
              <w:left w:w="58" w:type="dxa"/>
              <w:right w:w="58" w:type="dxa"/>
            </w:tcMar>
          </w:tcPr>
          <w:p w14:paraId="07BE11A0" w14:textId="77777777" w:rsidR="00BF17C8" w:rsidRPr="00756D59" w:rsidRDefault="00BF17C8" w:rsidP="00876646">
            <w:pPr>
              <w:jc w:val="left"/>
              <w:rPr>
                <w:sz w:val="20"/>
                <w:szCs w:val="20"/>
                <w:lang w:eastAsia="en-CA"/>
              </w:rPr>
            </w:pPr>
            <w:r w:rsidRPr="00756D59">
              <w:rPr>
                <w:sz w:val="20"/>
                <w:szCs w:val="20"/>
                <w:lang w:eastAsia="en-CA"/>
              </w:rPr>
              <w:t>Final stakeholder meetings and validation workshop that could not be conducted due to restriction in the country.</w:t>
            </w:r>
          </w:p>
        </w:tc>
        <w:tc>
          <w:tcPr>
            <w:tcW w:w="1629" w:type="dxa"/>
            <w:shd w:val="clear" w:color="auto" w:fill="auto"/>
            <w:tcMar>
              <w:left w:w="58" w:type="dxa"/>
              <w:right w:w="58" w:type="dxa"/>
            </w:tcMar>
          </w:tcPr>
          <w:p w14:paraId="21B6D91B" w14:textId="77777777" w:rsidR="00BF17C8" w:rsidRPr="00756D59" w:rsidRDefault="00BF17C8" w:rsidP="00876646">
            <w:pPr>
              <w:jc w:val="center"/>
              <w:rPr>
                <w:sz w:val="20"/>
                <w:szCs w:val="20"/>
                <w:lang w:eastAsia="en-CA"/>
              </w:rPr>
            </w:pPr>
            <w:r w:rsidRPr="00756D59">
              <w:rPr>
                <w:sz w:val="20"/>
                <w:szCs w:val="20"/>
                <w:lang w:eastAsia="en-CA"/>
              </w:rPr>
              <w:t>Dec-21</w:t>
            </w:r>
          </w:p>
        </w:tc>
      </w:tr>
      <w:tr w:rsidR="00BF17C8" w:rsidRPr="00756D59" w14:paraId="06394885" w14:textId="77777777" w:rsidTr="00876646">
        <w:trPr>
          <w:trHeight w:val="337"/>
        </w:trPr>
        <w:tc>
          <w:tcPr>
            <w:tcW w:w="2261" w:type="dxa"/>
            <w:tcMar>
              <w:left w:w="58" w:type="dxa"/>
              <w:right w:w="58" w:type="dxa"/>
            </w:tcMar>
          </w:tcPr>
          <w:p w14:paraId="4B2F9BF9" w14:textId="77777777" w:rsidR="00BF17C8" w:rsidRPr="00756D59" w:rsidRDefault="00BF17C8" w:rsidP="00876646">
            <w:pPr>
              <w:jc w:val="left"/>
              <w:rPr>
                <w:color w:val="000000"/>
                <w:sz w:val="20"/>
                <w:szCs w:val="20"/>
                <w:lang w:eastAsia="en-CA"/>
              </w:rPr>
            </w:pPr>
            <w:r w:rsidRPr="00756D59">
              <w:rPr>
                <w:color w:val="000000"/>
                <w:sz w:val="20"/>
                <w:szCs w:val="20"/>
                <w:lang w:eastAsia="en-CA"/>
              </w:rPr>
              <w:t>Qatar</w:t>
            </w:r>
          </w:p>
          <w:p w14:paraId="7C7F8CA0" w14:textId="77777777" w:rsidR="00BF17C8" w:rsidRPr="00756D59" w:rsidRDefault="00BF17C8" w:rsidP="00876646">
            <w:pPr>
              <w:jc w:val="left"/>
              <w:rPr>
                <w:sz w:val="20"/>
                <w:szCs w:val="20"/>
                <w:lang w:eastAsia="en-CA"/>
              </w:rPr>
            </w:pPr>
            <w:r w:rsidRPr="00756D59">
              <w:rPr>
                <w:color w:val="000000"/>
                <w:sz w:val="20"/>
                <w:szCs w:val="20"/>
                <w:lang w:eastAsia="en-CA"/>
              </w:rPr>
              <w:t>QAT/SEV/82/TAS/24</w:t>
            </w:r>
          </w:p>
        </w:tc>
        <w:tc>
          <w:tcPr>
            <w:tcW w:w="3352" w:type="dxa"/>
            <w:tcMar>
              <w:left w:w="58" w:type="dxa"/>
              <w:right w:w="58" w:type="dxa"/>
            </w:tcMar>
          </w:tcPr>
          <w:p w14:paraId="4442C8EA" w14:textId="77777777" w:rsidR="00BF17C8" w:rsidRPr="00756D59" w:rsidRDefault="00BF17C8" w:rsidP="00876646">
            <w:pPr>
              <w:jc w:val="left"/>
              <w:rPr>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51229D56" w14:textId="77777777" w:rsidR="00BF17C8" w:rsidRPr="00756D59" w:rsidRDefault="00BF17C8" w:rsidP="00876646">
            <w:pPr>
              <w:jc w:val="center"/>
              <w:rPr>
                <w:sz w:val="20"/>
                <w:szCs w:val="20"/>
                <w:lang w:eastAsia="en-CA"/>
              </w:rPr>
            </w:pPr>
            <w:r w:rsidRPr="00756D59">
              <w:rPr>
                <w:color w:val="000000"/>
                <w:sz w:val="20"/>
                <w:szCs w:val="20"/>
                <w:lang w:eastAsia="en-CA"/>
              </w:rPr>
              <w:t>Dec-18</w:t>
            </w:r>
          </w:p>
        </w:tc>
        <w:tc>
          <w:tcPr>
            <w:tcW w:w="1305" w:type="dxa"/>
            <w:shd w:val="clear" w:color="auto" w:fill="auto"/>
            <w:tcMar>
              <w:left w:w="58" w:type="dxa"/>
              <w:right w:w="58" w:type="dxa"/>
            </w:tcMar>
          </w:tcPr>
          <w:p w14:paraId="37FACE66" w14:textId="77777777" w:rsidR="00BF17C8" w:rsidRPr="00756D59" w:rsidRDefault="00BF17C8" w:rsidP="00876646">
            <w:pPr>
              <w:jc w:val="center"/>
              <w:rPr>
                <w:sz w:val="20"/>
                <w:szCs w:val="20"/>
                <w:lang w:eastAsia="en-CA"/>
              </w:rPr>
            </w:pPr>
            <w:r w:rsidRPr="00756D59">
              <w:rPr>
                <w:color w:val="000000"/>
                <w:sz w:val="20"/>
                <w:szCs w:val="20"/>
                <w:lang w:eastAsia="en-CA"/>
              </w:rPr>
              <w:t>10</w:t>
            </w:r>
          </w:p>
        </w:tc>
        <w:tc>
          <w:tcPr>
            <w:tcW w:w="4531" w:type="dxa"/>
            <w:tcMar>
              <w:left w:w="58" w:type="dxa"/>
              <w:right w:w="58" w:type="dxa"/>
            </w:tcMar>
          </w:tcPr>
          <w:p w14:paraId="2BCCF6F2" w14:textId="77777777" w:rsidR="00BF17C8" w:rsidRPr="00756D59" w:rsidRDefault="00BF17C8" w:rsidP="00876646">
            <w:pPr>
              <w:jc w:val="left"/>
              <w:rPr>
                <w:sz w:val="20"/>
                <w:szCs w:val="20"/>
                <w:lang w:eastAsia="en-CA"/>
              </w:rPr>
            </w:pPr>
            <w:r w:rsidRPr="00756D59">
              <w:rPr>
                <w:color w:val="000000"/>
                <w:sz w:val="20"/>
                <w:szCs w:val="20"/>
                <w:lang w:eastAsia="en-CA"/>
              </w:rPr>
              <w:t>Activities with regard to HFC survey and analysis including identifying opportunities, challenges and barriers for applying low-GWP alternatives for various applications as well as estimating potential impact of transition to low-GWP alternatives, projected CO</w:t>
            </w:r>
            <w:r w:rsidRPr="00756D59">
              <w:rPr>
                <w:color w:val="000000"/>
                <w:sz w:val="20"/>
                <w:szCs w:val="20"/>
                <w:vertAlign w:val="subscript"/>
                <w:lang w:eastAsia="en-CA"/>
              </w:rPr>
              <w:t>2</w:t>
            </w:r>
            <w:r w:rsidRPr="00756D59">
              <w:rPr>
                <w:color w:val="000000"/>
                <w:sz w:val="20"/>
                <w:szCs w:val="20"/>
                <w:lang w:eastAsia="en-CA"/>
              </w:rPr>
              <w:t xml:space="preserve"> emissions avoided, feasibility and potential methodology for estimating HFC bank and emissions; reviewing the licensing system including organizing workshop or webinar on licensing systems to highlight the regulatory and administrative measures for the control of HFCs and HFC blends; and organising </w:t>
            </w:r>
            <w:r w:rsidRPr="00756D59">
              <w:rPr>
                <w:color w:val="000000"/>
                <w:sz w:val="20"/>
                <w:szCs w:val="20"/>
                <w:lang w:eastAsia="en-CA"/>
              </w:rPr>
              <w:lastRenderedPageBreak/>
              <w:t>workshop or webinar to identify training needs for customs officers and metrological and standards organization on monitoring and controlling HFCs trade.</w:t>
            </w:r>
          </w:p>
        </w:tc>
        <w:tc>
          <w:tcPr>
            <w:tcW w:w="1629" w:type="dxa"/>
            <w:shd w:val="clear" w:color="auto" w:fill="auto"/>
            <w:tcMar>
              <w:left w:w="58" w:type="dxa"/>
              <w:right w:w="58" w:type="dxa"/>
            </w:tcMar>
          </w:tcPr>
          <w:p w14:paraId="712A7E39" w14:textId="77777777" w:rsidR="00BF17C8" w:rsidRPr="00756D59" w:rsidRDefault="00BF17C8" w:rsidP="00876646">
            <w:pPr>
              <w:jc w:val="center"/>
              <w:rPr>
                <w:sz w:val="20"/>
                <w:szCs w:val="20"/>
                <w:lang w:eastAsia="en-CA"/>
              </w:rPr>
            </w:pPr>
            <w:r w:rsidRPr="00756D59">
              <w:rPr>
                <w:color w:val="000000"/>
                <w:sz w:val="20"/>
                <w:szCs w:val="20"/>
                <w:lang w:eastAsia="en-CA"/>
              </w:rPr>
              <w:lastRenderedPageBreak/>
              <w:t>Dec-21</w:t>
            </w:r>
          </w:p>
        </w:tc>
      </w:tr>
      <w:tr w:rsidR="00BF17C8" w:rsidRPr="00756D59" w14:paraId="2EC7629A" w14:textId="77777777" w:rsidTr="00876646">
        <w:trPr>
          <w:trHeight w:val="337"/>
        </w:trPr>
        <w:tc>
          <w:tcPr>
            <w:tcW w:w="2261" w:type="dxa"/>
            <w:tcMar>
              <w:left w:w="58" w:type="dxa"/>
              <w:right w:w="58" w:type="dxa"/>
            </w:tcMar>
          </w:tcPr>
          <w:p w14:paraId="5E9FDAE0" w14:textId="77777777" w:rsidR="00BF17C8" w:rsidRPr="00756D59" w:rsidRDefault="00BF17C8" w:rsidP="00876646">
            <w:pPr>
              <w:jc w:val="left"/>
              <w:rPr>
                <w:sz w:val="20"/>
                <w:szCs w:val="20"/>
                <w:lang w:eastAsia="en-CA"/>
              </w:rPr>
            </w:pPr>
            <w:r w:rsidRPr="00756D59">
              <w:rPr>
                <w:sz w:val="20"/>
                <w:szCs w:val="20"/>
                <w:lang w:eastAsia="en-CA"/>
              </w:rPr>
              <w:lastRenderedPageBreak/>
              <w:t>Somalia</w:t>
            </w:r>
          </w:p>
          <w:p w14:paraId="359CA4EF" w14:textId="77777777" w:rsidR="00BF17C8" w:rsidRPr="00756D59" w:rsidRDefault="00BF17C8" w:rsidP="00876646">
            <w:pPr>
              <w:jc w:val="left"/>
              <w:rPr>
                <w:color w:val="000000"/>
                <w:sz w:val="20"/>
                <w:szCs w:val="20"/>
                <w:lang w:eastAsia="en-CA"/>
              </w:rPr>
            </w:pPr>
            <w:r w:rsidRPr="00756D59">
              <w:rPr>
                <w:sz w:val="20"/>
                <w:szCs w:val="20"/>
                <w:lang w:eastAsia="en-CA"/>
              </w:rPr>
              <w:t>SOM/SEV/80/TAS/01+</w:t>
            </w:r>
          </w:p>
        </w:tc>
        <w:tc>
          <w:tcPr>
            <w:tcW w:w="3352" w:type="dxa"/>
            <w:tcMar>
              <w:left w:w="58" w:type="dxa"/>
              <w:right w:w="58" w:type="dxa"/>
            </w:tcMar>
          </w:tcPr>
          <w:p w14:paraId="55702B55" w14:textId="77777777" w:rsidR="00BF17C8" w:rsidRPr="00756D59" w:rsidRDefault="00BF17C8" w:rsidP="00876646">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B3B32CC" w14:textId="77777777" w:rsidR="00BF17C8" w:rsidRPr="00756D59" w:rsidRDefault="00BF17C8" w:rsidP="00876646">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39188A8F" w14:textId="77777777" w:rsidR="00BF17C8" w:rsidRPr="00756D59" w:rsidRDefault="00BF17C8" w:rsidP="00876646">
            <w:pPr>
              <w:jc w:val="center"/>
              <w:rPr>
                <w:color w:val="000000"/>
                <w:sz w:val="20"/>
                <w:szCs w:val="20"/>
                <w:lang w:eastAsia="en-CA"/>
              </w:rPr>
            </w:pPr>
            <w:r w:rsidRPr="00756D59">
              <w:rPr>
                <w:sz w:val="20"/>
                <w:szCs w:val="20"/>
                <w:lang w:eastAsia="en-CA"/>
              </w:rPr>
              <w:t>69.5</w:t>
            </w:r>
          </w:p>
        </w:tc>
        <w:tc>
          <w:tcPr>
            <w:tcW w:w="4531" w:type="dxa"/>
            <w:tcMar>
              <w:left w:w="58" w:type="dxa"/>
              <w:right w:w="58" w:type="dxa"/>
            </w:tcMar>
          </w:tcPr>
          <w:p w14:paraId="7D88709A" w14:textId="77777777" w:rsidR="00BF17C8" w:rsidRPr="00756D59" w:rsidRDefault="00BF17C8" w:rsidP="00876646">
            <w:pPr>
              <w:jc w:val="left"/>
              <w:rPr>
                <w:color w:val="000000"/>
                <w:sz w:val="20"/>
                <w:szCs w:val="20"/>
                <w:lang w:eastAsia="en-CA"/>
              </w:rPr>
            </w:pPr>
            <w:r w:rsidRPr="00756D59">
              <w:rPr>
                <w:sz w:val="20"/>
                <w:szCs w:val="20"/>
                <w:lang w:eastAsia="en-CA"/>
              </w:rPr>
              <w:t>Completion of the remaining activities including review of the licensing systems, review of the data reporting systems and preparation of national strategy for Kigali Amendment implementation.</w:t>
            </w:r>
          </w:p>
        </w:tc>
        <w:tc>
          <w:tcPr>
            <w:tcW w:w="1629" w:type="dxa"/>
            <w:shd w:val="clear" w:color="auto" w:fill="auto"/>
            <w:tcMar>
              <w:left w:w="58" w:type="dxa"/>
              <w:right w:w="58" w:type="dxa"/>
            </w:tcMar>
          </w:tcPr>
          <w:p w14:paraId="7654D048" w14:textId="77777777" w:rsidR="00BF17C8" w:rsidRPr="00756D59" w:rsidRDefault="00BF17C8" w:rsidP="00876646">
            <w:pPr>
              <w:jc w:val="center"/>
              <w:rPr>
                <w:color w:val="000000"/>
                <w:sz w:val="20"/>
                <w:szCs w:val="20"/>
                <w:lang w:eastAsia="en-CA"/>
              </w:rPr>
            </w:pPr>
            <w:r w:rsidRPr="00756D59">
              <w:rPr>
                <w:sz w:val="20"/>
                <w:szCs w:val="20"/>
                <w:lang w:eastAsia="en-CA"/>
              </w:rPr>
              <w:t>Dec-21</w:t>
            </w:r>
          </w:p>
        </w:tc>
      </w:tr>
      <w:tr w:rsidR="00BF17C8" w:rsidRPr="00756D59" w14:paraId="4CE7ECBB" w14:textId="77777777" w:rsidTr="00876646">
        <w:trPr>
          <w:trHeight w:val="337"/>
        </w:trPr>
        <w:tc>
          <w:tcPr>
            <w:tcW w:w="2261" w:type="dxa"/>
            <w:tcMar>
              <w:left w:w="58" w:type="dxa"/>
              <w:right w:w="58" w:type="dxa"/>
            </w:tcMar>
          </w:tcPr>
          <w:p w14:paraId="321E7EF2" w14:textId="77777777" w:rsidR="00BF17C8" w:rsidRPr="00756D59" w:rsidRDefault="00BF17C8" w:rsidP="00876646">
            <w:pPr>
              <w:jc w:val="left"/>
              <w:rPr>
                <w:color w:val="000000"/>
                <w:sz w:val="20"/>
                <w:szCs w:val="20"/>
                <w:lang w:eastAsia="en-CA"/>
              </w:rPr>
            </w:pPr>
            <w:r w:rsidRPr="00756D59">
              <w:rPr>
                <w:color w:val="000000"/>
                <w:sz w:val="20"/>
                <w:szCs w:val="20"/>
                <w:lang w:eastAsia="en-CA"/>
              </w:rPr>
              <w:t>Turkey</w:t>
            </w:r>
          </w:p>
          <w:p w14:paraId="56F8CAF3" w14:textId="77777777" w:rsidR="00BF17C8" w:rsidRPr="00756D59" w:rsidRDefault="00BF17C8" w:rsidP="00876646">
            <w:pPr>
              <w:jc w:val="left"/>
              <w:rPr>
                <w:color w:val="000000"/>
                <w:sz w:val="20"/>
                <w:szCs w:val="20"/>
                <w:lang w:eastAsia="en-CA"/>
              </w:rPr>
            </w:pPr>
            <w:r w:rsidRPr="00756D59">
              <w:rPr>
                <w:color w:val="000000"/>
                <w:sz w:val="20"/>
                <w:szCs w:val="20"/>
                <w:lang w:eastAsia="en-CA"/>
              </w:rPr>
              <w:t>TUR/SEV/80/TAS/01+</w:t>
            </w:r>
          </w:p>
        </w:tc>
        <w:tc>
          <w:tcPr>
            <w:tcW w:w="3352" w:type="dxa"/>
            <w:tcMar>
              <w:left w:w="58" w:type="dxa"/>
              <w:right w:w="58" w:type="dxa"/>
            </w:tcMar>
          </w:tcPr>
          <w:p w14:paraId="218EBF98" w14:textId="77777777" w:rsidR="00BF17C8" w:rsidRPr="00756D59" w:rsidRDefault="00BF17C8" w:rsidP="00876646">
            <w:pPr>
              <w:jc w:val="left"/>
              <w:rPr>
                <w:color w:val="000000"/>
                <w:sz w:val="20"/>
                <w:szCs w:val="20"/>
                <w:lang w:eastAsia="en-CA"/>
              </w:rPr>
            </w:pPr>
            <w:r w:rsidRPr="00756D59">
              <w:rPr>
                <w:color w:val="000000"/>
                <w:sz w:val="20"/>
                <w:szCs w:val="20"/>
                <w:lang w:eastAsia="en-CA"/>
              </w:rPr>
              <w:t>Enabling activities for HFC phase-down</w:t>
            </w:r>
          </w:p>
        </w:tc>
        <w:tc>
          <w:tcPr>
            <w:tcW w:w="1236" w:type="dxa"/>
            <w:tcMar>
              <w:left w:w="58" w:type="dxa"/>
              <w:right w:w="58" w:type="dxa"/>
            </w:tcMar>
          </w:tcPr>
          <w:p w14:paraId="7C58F299" w14:textId="77777777" w:rsidR="00BF17C8" w:rsidRPr="00756D59" w:rsidRDefault="00BF17C8" w:rsidP="00876646">
            <w:pPr>
              <w:jc w:val="center"/>
              <w:rPr>
                <w:color w:val="000000"/>
                <w:sz w:val="20"/>
                <w:szCs w:val="20"/>
                <w:lang w:eastAsia="en-CA"/>
              </w:rPr>
            </w:pPr>
            <w:r w:rsidRPr="00756D59">
              <w:rPr>
                <w:color w:val="000000"/>
                <w:sz w:val="20"/>
                <w:szCs w:val="20"/>
                <w:lang w:eastAsia="en-CA"/>
              </w:rPr>
              <w:t>Nov-17</w:t>
            </w:r>
          </w:p>
        </w:tc>
        <w:tc>
          <w:tcPr>
            <w:tcW w:w="1305" w:type="dxa"/>
            <w:shd w:val="clear" w:color="auto" w:fill="auto"/>
            <w:tcMar>
              <w:left w:w="58" w:type="dxa"/>
              <w:right w:w="58" w:type="dxa"/>
            </w:tcMar>
          </w:tcPr>
          <w:p w14:paraId="7B5FC340" w14:textId="77777777" w:rsidR="00BF17C8" w:rsidRPr="00756D59" w:rsidRDefault="00BF17C8" w:rsidP="00876646">
            <w:pPr>
              <w:jc w:val="center"/>
              <w:rPr>
                <w:color w:val="000000"/>
                <w:sz w:val="20"/>
                <w:szCs w:val="20"/>
                <w:lang w:eastAsia="en-CA"/>
              </w:rPr>
            </w:pPr>
            <w:r w:rsidRPr="00756D59">
              <w:rPr>
                <w:color w:val="000000"/>
                <w:sz w:val="20"/>
                <w:szCs w:val="20"/>
                <w:lang w:eastAsia="en-CA"/>
              </w:rPr>
              <w:t>75.1</w:t>
            </w:r>
          </w:p>
        </w:tc>
        <w:tc>
          <w:tcPr>
            <w:tcW w:w="4531" w:type="dxa"/>
            <w:tcMar>
              <w:left w:w="58" w:type="dxa"/>
              <w:right w:w="58" w:type="dxa"/>
            </w:tcMar>
          </w:tcPr>
          <w:p w14:paraId="23D26F34" w14:textId="77777777" w:rsidR="00BF17C8" w:rsidRPr="00756D59" w:rsidRDefault="00BF17C8" w:rsidP="00876646">
            <w:pPr>
              <w:jc w:val="left"/>
              <w:rPr>
                <w:color w:val="000000"/>
                <w:sz w:val="20"/>
                <w:szCs w:val="20"/>
                <w:lang w:eastAsia="en-CA"/>
              </w:rPr>
            </w:pPr>
            <w:r w:rsidRPr="00756D59">
              <w:rPr>
                <w:color w:val="000000"/>
                <w:sz w:val="20"/>
                <w:szCs w:val="20"/>
                <w:lang w:eastAsia="en-CA"/>
              </w:rPr>
              <w:t>Completion of study tour for experience exchange relating to Kigali Amendment implementation.</w:t>
            </w:r>
          </w:p>
        </w:tc>
        <w:tc>
          <w:tcPr>
            <w:tcW w:w="1629" w:type="dxa"/>
            <w:shd w:val="clear" w:color="auto" w:fill="auto"/>
            <w:tcMar>
              <w:left w:w="58" w:type="dxa"/>
              <w:right w:w="58" w:type="dxa"/>
            </w:tcMar>
          </w:tcPr>
          <w:p w14:paraId="5B00E898" w14:textId="77777777" w:rsidR="00BF17C8" w:rsidRPr="00756D59" w:rsidRDefault="00BF17C8" w:rsidP="00876646">
            <w:pPr>
              <w:jc w:val="center"/>
              <w:rPr>
                <w:color w:val="000000"/>
                <w:sz w:val="20"/>
                <w:szCs w:val="20"/>
                <w:lang w:eastAsia="en-CA"/>
              </w:rPr>
            </w:pPr>
            <w:r w:rsidRPr="00756D59">
              <w:rPr>
                <w:color w:val="000000"/>
                <w:sz w:val="20"/>
                <w:szCs w:val="20"/>
                <w:lang w:eastAsia="en-CA"/>
              </w:rPr>
              <w:t>Dec-21</w:t>
            </w:r>
          </w:p>
        </w:tc>
      </w:tr>
      <w:tr w:rsidR="00BF17C8" w:rsidRPr="00756D59" w14:paraId="10ED212C" w14:textId="77777777" w:rsidTr="00876646">
        <w:trPr>
          <w:trHeight w:val="337"/>
        </w:trPr>
        <w:tc>
          <w:tcPr>
            <w:tcW w:w="2261" w:type="dxa"/>
            <w:tcMar>
              <w:left w:w="58" w:type="dxa"/>
              <w:right w:w="58" w:type="dxa"/>
            </w:tcMar>
          </w:tcPr>
          <w:p w14:paraId="78718FC8" w14:textId="77777777" w:rsidR="00BF17C8" w:rsidRPr="00756D59" w:rsidRDefault="00BF17C8" w:rsidP="00876646">
            <w:pPr>
              <w:jc w:val="left"/>
              <w:rPr>
                <w:sz w:val="20"/>
                <w:szCs w:val="20"/>
                <w:lang w:eastAsia="en-CA"/>
              </w:rPr>
            </w:pPr>
            <w:r w:rsidRPr="00756D59">
              <w:rPr>
                <w:sz w:val="20"/>
                <w:szCs w:val="20"/>
                <w:lang w:eastAsia="en-CA"/>
              </w:rPr>
              <w:t>Uruguay</w:t>
            </w:r>
          </w:p>
          <w:p w14:paraId="37A5E14B" w14:textId="77777777" w:rsidR="00BF17C8" w:rsidRPr="00756D59" w:rsidRDefault="00BF17C8" w:rsidP="00876646">
            <w:pPr>
              <w:jc w:val="left"/>
              <w:rPr>
                <w:color w:val="000000"/>
                <w:sz w:val="20"/>
                <w:szCs w:val="20"/>
                <w:lang w:eastAsia="en-CA"/>
              </w:rPr>
            </w:pPr>
            <w:r w:rsidRPr="00756D59">
              <w:rPr>
                <w:sz w:val="20"/>
                <w:szCs w:val="20"/>
                <w:lang w:eastAsia="en-CA"/>
              </w:rPr>
              <w:t>URU/SEV/80/TAS/01+</w:t>
            </w:r>
          </w:p>
        </w:tc>
        <w:tc>
          <w:tcPr>
            <w:tcW w:w="3352" w:type="dxa"/>
            <w:tcMar>
              <w:left w:w="58" w:type="dxa"/>
              <w:right w:w="58" w:type="dxa"/>
            </w:tcMar>
          </w:tcPr>
          <w:p w14:paraId="71C0DAFA" w14:textId="77777777" w:rsidR="00BF17C8" w:rsidRPr="00756D59" w:rsidRDefault="00BF17C8" w:rsidP="00876646">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0E9D95C5" w14:textId="77777777" w:rsidR="00BF17C8" w:rsidRPr="00756D59" w:rsidRDefault="00BF17C8" w:rsidP="00876646">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4E875E3D" w14:textId="77777777" w:rsidR="00BF17C8" w:rsidRPr="00756D59" w:rsidRDefault="00BF17C8" w:rsidP="00876646">
            <w:pPr>
              <w:jc w:val="center"/>
              <w:rPr>
                <w:color w:val="000000"/>
                <w:sz w:val="20"/>
                <w:szCs w:val="20"/>
                <w:lang w:eastAsia="en-CA"/>
              </w:rPr>
            </w:pPr>
            <w:r w:rsidRPr="00756D59">
              <w:rPr>
                <w:sz w:val="20"/>
                <w:szCs w:val="20"/>
                <w:lang w:eastAsia="en-CA"/>
              </w:rPr>
              <w:t>86.6</w:t>
            </w:r>
          </w:p>
        </w:tc>
        <w:tc>
          <w:tcPr>
            <w:tcW w:w="4531" w:type="dxa"/>
            <w:tcMar>
              <w:left w:w="58" w:type="dxa"/>
              <w:right w:w="58" w:type="dxa"/>
            </w:tcMar>
          </w:tcPr>
          <w:p w14:paraId="3A37226D" w14:textId="77777777" w:rsidR="00BF17C8" w:rsidRPr="00756D59" w:rsidRDefault="00BF17C8" w:rsidP="00876646">
            <w:pPr>
              <w:jc w:val="left"/>
              <w:rPr>
                <w:color w:val="000000"/>
                <w:sz w:val="20"/>
                <w:szCs w:val="20"/>
                <w:lang w:eastAsia="en-CA"/>
              </w:rPr>
            </w:pPr>
            <w:r w:rsidRPr="00756D59">
              <w:rPr>
                <w:sz w:val="20"/>
                <w:szCs w:val="20"/>
                <w:lang w:eastAsia="en-CA"/>
              </w:rPr>
              <w:t>Completion of review of on-line training programmes.</w:t>
            </w:r>
          </w:p>
        </w:tc>
        <w:tc>
          <w:tcPr>
            <w:tcW w:w="1629" w:type="dxa"/>
            <w:shd w:val="clear" w:color="auto" w:fill="auto"/>
            <w:tcMar>
              <w:left w:w="58" w:type="dxa"/>
              <w:right w:w="58" w:type="dxa"/>
            </w:tcMar>
          </w:tcPr>
          <w:p w14:paraId="70308863" w14:textId="77777777" w:rsidR="00BF17C8" w:rsidRPr="00756D59" w:rsidRDefault="00BF17C8" w:rsidP="00876646">
            <w:pPr>
              <w:jc w:val="center"/>
              <w:rPr>
                <w:color w:val="000000"/>
                <w:sz w:val="20"/>
                <w:szCs w:val="20"/>
                <w:lang w:eastAsia="en-CA"/>
              </w:rPr>
            </w:pPr>
            <w:r w:rsidRPr="00756D59">
              <w:rPr>
                <w:sz w:val="20"/>
                <w:szCs w:val="20"/>
                <w:lang w:eastAsia="en-CA"/>
              </w:rPr>
              <w:t>Dec-21</w:t>
            </w:r>
          </w:p>
        </w:tc>
      </w:tr>
      <w:tr w:rsidR="00BF17C8" w:rsidRPr="00756D59" w14:paraId="4E034785" w14:textId="77777777" w:rsidTr="00876646">
        <w:trPr>
          <w:trHeight w:val="337"/>
        </w:trPr>
        <w:tc>
          <w:tcPr>
            <w:tcW w:w="2261" w:type="dxa"/>
            <w:tcMar>
              <w:left w:w="58" w:type="dxa"/>
              <w:right w:w="58" w:type="dxa"/>
            </w:tcMar>
          </w:tcPr>
          <w:p w14:paraId="741E5B57" w14:textId="77777777" w:rsidR="00BF17C8" w:rsidRPr="00756D59" w:rsidRDefault="00BF17C8" w:rsidP="00876646">
            <w:pPr>
              <w:jc w:val="left"/>
              <w:rPr>
                <w:sz w:val="20"/>
                <w:szCs w:val="20"/>
                <w:lang w:eastAsia="en-CA"/>
              </w:rPr>
            </w:pPr>
            <w:r w:rsidRPr="00756D59">
              <w:rPr>
                <w:sz w:val="20"/>
                <w:szCs w:val="20"/>
                <w:lang w:eastAsia="en-CA"/>
              </w:rPr>
              <w:t>Venezuela (Bolivarian Republic of)</w:t>
            </w:r>
          </w:p>
          <w:p w14:paraId="4BA307F3" w14:textId="77777777" w:rsidR="00BF17C8" w:rsidRPr="00756D59" w:rsidRDefault="00BF17C8" w:rsidP="00876646">
            <w:pPr>
              <w:jc w:val="left"/>
              <w:rPr>
                <w:color w:val="000000"/>
                <w:sz w:val="20"/>
                <w:szCs w:val="20"/>
                <w:lang w:eastAsia="en-CA"/>
              </w:rPr>
            </w:pPr>
            <w:r w:rsidRPr="00756D59">
              <w:rPr>
                <w:sz w:val="20"/>
                <w:szCs w:val="20"/>
                <w:lang w:eastAsia="en-CA"/>
              </w:rPr>
              <w:t>VEN/SEV/81/TAS/01+</w:t>
            </w:r>
          </w:p>
        </w:tc>
        <w:tc>
          <w:tcPr>
            <w:tcW w:w="3352" w:type="dxa"/>
            <w:tcMar>
              <w:left w:w="58" w:type="dxa"/>
              <w:right w:w="58" w:type="dxa"/>
            </w:tcMar>
          </w:tcPr>
          <w:p w14:paraId="4874CC1E" w14:textId="77777777" w:rsidR="00BF17C8" w:rsidRPr="00756D59" w:rsidRDefault="00BF17C8" w:rsidP="00876646">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43C788BE" w14:textId="77777777" w:rsidR="00BF17C8" w:rsidRPr="00756D59" w:rsidRDefault="00BF17C8" w:rsidP="00876646">
            <w:pPr>
              <w:jc w:val="center"/>
              <w:rPr>
                <w:color w:val="000000"/>
                <w:sz w:val="20"/>
                <w:szCs w:val="20"/>
                <w:lang w:eastAsia="en-CA"/>
              </w:rPr>
            </w:pPr>
            <w:r w:rsidRPr="00756D59">
              <w:rPr>
                <w:sz w:val="20"/>
                <w:szCs w:val="20"/>
                <w:lang w:eastAsia="en-CA"/>
              </w:rPr>
              <w:t>Jun-18</w:t>
            </w:r>
          </w:p>
        </w:tc>
        <w:tc>
          <w:tcPr>
            <w:tcW w:w="1305" w:type="dxa"/>
            <w:shd w:val="clear" w:color="auto" w:fill="auto"/>
            <w:tcMar>
              <w:left w:w="58" w:type="dxa"/>
              <w:right w:w="58" w:type="dxa"/>
            </w:tcMar>
          </w:tcPr>
          <w:p w14:paraId="58D5C5CD" w14:textId="77777777" w:rsidR="00BF17C8" w:rsidRPr="00756D59" w:rsidRDefault="00BF17C8" w:rsidP="00876646">
            <w:pPr>
              <w:jc w:val="center"/>
              <w:rPr>
                <w:color w:val="000000"/>
                <w:sz w:val="20"/>
                <w:szCs w:val="20"/>
                <w:lang w:eastAsia="en-CA"/>
              </w:rPr>
            </w:pPr>
            <w:r w:rsidRPr="00756D59">
              <w:rPr>
                <w:sz w:val="20"/>
                <w:szCs w:val="20"/>
                <w:lang w:eastAsia="en-CA"/>
              </w:rPr>
              <w:t>56.2</w:t>
            </w:r>
          </w:p>
        </w:tc>
        <w:tc>
          <w:tcPr>
            <w:tcW w:w="4531" w:type="dxa"/>
            <w:tcMar>
              <w:left w:w="58" w:type="dxa"/>
              <w:right w:w="58" w:type="dxa"/>
            </w:tcMar>
          </w:tcPr>
          <w:p w14:paraId="1C122F14" w14:textId="77777777" w:rsidR="00BF17C8" w:rsidRPr="00756D59" w:rsidRDefault="00BF17C8" w:rsidP="00876646">
            <w:pPr>
              <w:jc w:val="left"/>
              <w:rPr>
                <w:color w:val="000000"/>
                <w:sz w:val="20"/>
                <w:szCs w:val="20"/>
                <w:lang w:eastAsia="en-CA"/>
              </w:rPr>
            </w:pPr>
            <w:r w:rsidRPr="00756D59">
              <w:rPr>
                <w:sz w:val="20"/>
                <w:szCs w:val="20"/>
                <w:lang w:eastAsia="en-CA"/>
              </w:rPr>
              <w:t>Review of standards for adoption of HFC-free technologies; customs trainings related to HFC control; and technical and administrative support for ratification.</w:t>
            </w:r>
          </w:p>
        </w:tc>
        <w:tc>
          <w:tcPr>
            <w:tcW w:w="1629" w:type="dxa"/>
            <w:shd w:val="clear" w:color="auto" w:fill="auto"/>
            <w:tcMar>
              <w:left w:w="58" w:type="dxa"/>
              <w:right w:w="58" w:type="dxa"/>
            </w:tcMar>
          </w:tcPr>
          <w:p w14:paraId="00A4D16F" w14:textId="77777777" w:rsidR="00BF17C8" w:rsidRPr="00756D59" w:rsidRDefault="00BF17C8" w:rsidP="00876646">
            <w:pPr>
              <w:jc w:val="center"/>
              <w:rPr>
                <w:color w:val="000000"/>
                <w:sz w:val="20"/>
                <w:szCs w:val="20"/>
                <w:lang w:eastAsia="en-CA"/>
              </w:rPr>
            </w:pPr>
            <w:r w:rsidRPr="00756D59">
              <w:rPr>
                <w:sz w:val="20"/>
                <w:szCs w:val="20"/>
                <w:lang w:eastAsia="en-CA"/>
              </w:rPr>
              <w:t>Jun-22</w:t>
            </w:r>
          </w:p>
        </w:tc>
      </w:tr>
      <w:tr w:rsidR="00BF17C8" w:rsidRPr="00756D59" w14:paraId="45389DA3" w14:textId="77777777" w:rsidTr="00876646">
        <w:trPr>
          <w:trHeight w:val="337"/>
        </w:trPr>
        <w:tc>
          <w:tcPr>
            <w:tcW w:w="2261" w:type="dxa"/>
            <w:tcMar>
              <w:left w:w="58" w:type="dxa"/>
              <w:right w:w="58" w:type="dxa"/>
            </w:tcMar>
          </w:tcPr>
          <w:p w14:paraId="6EDB9BFF" w14:textId="77777777" w:rsidR="00BF17C8" w:rsidRPr="00756D59" w:rsidRDefault="00BF17C8" w:rsidP="00876646">
            <w:pPr>
              <w:keepNext/>
              <w:jc w:val="left"/>
              <w:rPr>
                <w:b/>
              </w:rPr>
            </w:pPr>
            <w:r w:rsidRPr="00756D59">
              <w:rPr>
                <w:b/>
              </w:rPr>
              <w:t>WORLD BANK</w:t>
            </w:r>
          </w:p>
        </w:tc>
        <w:tc>
          <w:tcPr>
            <w:tcW w:w="3352" w:type="dxa"/>
            <w:tcMar>
              <w:left w:w="58" w:type="dxa"/>
              <w:right w:w="58" w:type="dxa"/>
            </w:tcMar>
          </w:tcPr>
          <w:p w14:paraId="79FC7367" w14:textId="77777777" w:rsidR="00BF17C8" w:rsidRPr="00756D59" w:rsidRDefault="00BF17C8" w:rsidP="00876646">
            <w:pPr>
              <w:jc w:val="left"/>
              <w:rPr>
                <w:color w:val="000000"/>
                <w:sz w:val="20"/>
                <w:szCs w:val="20"/>
                <w:lang w:eastAsia="en-CA"/>
              </w:rPr>
            </w:pPr>
          </w:p>
        </w:tc>
        <w:tc>
          <w:tcPr>
            <w:tcW w:w="1236" w:type="dxa"/>
            <w:tcMar>
              <w:left w:w="58" w:type="dxa"/>
              <w:right w:w="58" w:type="dxa"/>
            </w:tcMar>
          </w:tcPr>
          <w:p w14:paraId="64E43AAA" w14:textId="77777777" w:rsidR="00BF17C8" w:rsidRPr="00756D59" w:rsidRDefault="00BF17C8" w:rsidP="00876646">
            <w:pPr>
              <w:jc w:val="center"/>
              <w:rPr>
                <w:color w:val="000000"/>
                <w:sz w:val="20"/>
                <w:szCs w:val="20"/>
                <w:lang w:eastAsia="en-CA"/>
              </w:rPr>
            </w:pPr>
          </w:p>
        </w:tc>
        <w:tc>
          <w:tcPr>
            <w:tcW w:w="1305" w:type="dxa"/>
            <w:shd w:val="clear" w:color="auto" w:fill="auto"/>
            <w:tcMar>
              <w:left w:w="58" w:type="dxa"/>
              <w:right w:w="58" w:type="dxa"/>
            </w:tcMar>
          </w:tcPr>
          <w:p w14:paraId="22AB7C87" w14:textId="77777777" w:rsidR="00BF17C8" w:rsidRPr="00756D59" w:rsidRDefault="00BF17C8" w:rsidP="00876646">
            <w:pPr>
              <w:jc w:val="center"/>
              <w:rPr>
                <w:color w:val="000000"/>
                <w:sz w:val="20"/>
                <w:szCs w:val="20"/>
                <w:lang w:eastAsia="en-CA"/>
              </w:rPr>
            </w:pPr>
          </w:p>
        </w:tc>
        <w:tc>
          <w:tcPr>
            <w:tcW w:w="4531" w:type="dxa"/>
            <w:tcMar>
              <w:left w:w="58" w:type="dxa"/>
              <w:right w:w="58" w:type="dxa"/>
            </w:tcMar>
          </w:tcPr>
          <w:p w14:paraId="27D508AF" w14:textId="77777777" w:rsidR="00BF17C8" w:rsidRPr="00756D59" w:rsidRDefault="00BF17C8" w:rsidP="00876646">
            <w:pPr>
              <w:jc w:val="left"/>
              <w:rPr>
                <w:color w:val="000000"/>
                <w:sz w:val="20"/>
                <w:szCs w:val="20"/>
                <w:lang w:eastAsia="en-CA"/>
              </w:rPr>
            </w:pPr>
          </w:p>
        </w:tc>
        <w:tc>
          <w:tcPr>
            <w:tcW w:w="1629" w:type="dxa"/>
            <w:shd w:val="clear" w:color="auto" w:fill="auto"/>
            <w:tcMar>
              <w:left w:w="58" w:type="dxa"/>
              <w:right w:w="58" w:type="dxa"/>
            </w:tcMar>
          </w:tcPr>
          <w:p w14:paraId="32BAD98C" w14:textId="77777777" w:rsidR="00BF17C8" w:rsidRPr="00756D59" w:rsidRDefault="00BF17C8" w:rsidP="00876646">
            <w:pPr>
              <w:jc w:val="center"/>
              <w:rPr>
                <w:color w:val="000000"/>
                <w:sz w:val="20"/>
                <w:szCs w:val="20"/>
                <w:lang w:eastAsia="en-CA"/>
              </w:rPr>
            </w:pPr>
          </w:p>
        </w:tc>
      </w:tr>
      <w:tr w:rsidR="00BF17C8" w:rsidRPr="00A94487" w14:paraId="1FAB008D" w14:textId="77777777" w:rsidTr="00876646">
        <w:trPr>
          <w:trHeight w:val="337"/>
        </w:trPr>
        <w:tc>
          <w:tcPr>
            <w:tcW w:w="2261" w:type="dxa"/>
            <w:tcMar>
              <w:left w:w="58" w:type="dxa"/>
              <w:right w:w="58" w:type="dxa"/>
            </w:tcMar>
          </w:tcPr>
          <w:p w14:paraId="28043E86" w14:textId="77777777" w:rsidR="00BF17C8" w:rsidRPr="00756D59" w:rsidRDefault="00BF17C8" w:rsidP="00876646">
            <w:pPr>
              <w:jc w:val="left"/>
              <w:rPr>
                <w:sz w:val="20"/>
                <w:szCs w:val="20"/>
                <w:lang w:eastAsia="en-CA"/>
              </w:rPr>
            </w:pPr>
            <w:r w:rsidRPr="00756D59">
              <w:rPr>
                <w:sz w:val="20"/>
                <w:szCs w:val="20"/>
                <w:lang w:eastAsia="en-CA"/>
              </w:rPr>
              <w:t>Thailand</w:t>
            </w:r>
          </w:p>
          <w:p w14:paraId="45DF5905" w14:textId="77777777" w:rsidR="00BF17C8" w:rsidRPr="00756D59" w:rsidRDefault="00BF17C8" w:rsidP="00876646">
            <w:pPr>
              <w:jc w:val="left"/>
              <w:rPr>
                <w:color w:val="000000"/>
                <w:sz w:val="20"/>
                <w:szCs w:val="20"/>
                <w:lang w:eastAsia="en-CA"/>
              </w:rPr>
            </w:pPr>
            <w:r w:rsidRPr="00756D59">
              <w:rPr>
                <w:sz w:val="20"/>
                <w:szCs w:val="20"/>
                <w:lang w:eastAsia="en-CA"/>
              </w:rPr>
              <w:t>THA/SEV/80/TAS/01+</w:t>
            </w:r>
          </w:p>
        </w:tc>
        <w:tc>
          <w:tcPr>
            <w:tcW w:w="3352" w:type="dxa"/>
            <w:tcMar>
              <w:left w:w="58" w:type="dxa"/>
              <w:right w:w="58" w:type="dxa"/>
            </w:tcMar>
          </w:tcPr>
          <w:p w14:paraId="2466F374" w14:textId="77777777" w:rsidR="00BF17C8" w:rsidRPr="00756D59" w:rsidRDefault="00BF17C8" w:rsidP="00876646">
            <w:pPr>
              <w:jc w:val="left"/>
              <w:rPr>
                <w:color w:val="000000"/>
                <w:sz w:val="20"/>
                <w:szCs w:val="20"/>
                <w:lang w:eastAsia="en-CA"/>
              </w:rPr>
            </w:pPr>
            <w:r w:rsidRPr="00756D59">
              <w:rPr>
                <w:sz w:val="20"/>
                <w:szCs w:val="20"/>
                <w:lang w:eastAsia="en-CA"/>
              </w:rPr>
              <w:t>Enabling activities for HFC phase-down</w:t>
            </w:r>
          </w:p>
        </w:tc>
        <w:tc>
          <w:tcPr>
            <w:tcW w:w="1236" w:type="dxa"/>
            <w:tcMar>
              <w:left w:w="58" w:type="dxa"/>
              <w:right w:w="58" w:type="dxa"/>
            </w:tcMar>
          </w:tcPr>
          <w:p w14:paraId="1C966C6E" w14:textId="77777777" w:rsidR="00BF17C8" w:rsidRPr="00756D59" w:rsidRDefault="00BF17C8" w:rsidP="00876646">
            <w:pPr>
              <w:jc w:val="center"/>
              <w:rPr>
                <w:color w:val="000000"/>
                <w:sz w:val="20"/>
                <w:szCs w:val="20"/>
                <w:lang w:eastAsia="en-CA"/>
              </w:rPr>
            </w:pPr>
            <w:r w:rsidRPr="00756D59">
              <w:rPr>
                <w:sz w:val="20"/>
                <w:szCs w:val="20"/>
                <w:lang w:eastAsia="en-CA"/>
              </w:rPr>
              <w:t>Nov-17</w:t>
            </w:r>
          </w:p>
        </w:tc>
        <w:tc>
          <w:tcPr>
            <w:tcW w:w="1305" w:type="dxa"/>
            <w:shd w:val="clear" w:color="auto" w:fill="auto"/>
            <w:tcMar>
              <w:left w:w="58" w:type="dxa"/>
              <w:right w:w="58" w:type="dxa"/>
            </w:tcMar>
          </w:tcPr>
          <w:p w14:paraId="51CA6FC8" w14:textId="77777777" w:rsidR="00BF17C8" w:rsidRPr="00756D59" w:rsidRDefault="00BF17C8" w:rsidP="00876646">
            <w:pPr>
              <w:jc w:val="center"/>
              <w:rPr>
                <w:color w:val="000000"/>
                <w:sz w:val="20"/>
                <w:szCs w:val="20"/>
                <w:lang w:eastAsia="en-CA"/>
              </w:rPr>
            </w:pPr>
            <w:r w:rsidRPr="00756D59">
              <w:rPr>
                <w:sz w:val="20"/>
                <w:szCs w:val="20"/>
                <w:lang w:eastAsia="en-CA"/>
              </w:rPr>
              <w:t>42.7</w:t>
            </w:r>
          </w:p>
        </w:tc>
        <w:tc>
          <w:tcPr>
            <w:tcW w:w="4531" w:type="dxa"/>
            <w:tcMar>
              <w:left w:w="58" w:type="dxa"/>
              <w:right w:w="58" w:type="dxa"/>
            </w:tcMar>
          </w:tcPr>
          <w:p w14:paraId="5E2F31DB" w14:textId="77777777" w:rsidR="00BF17C8" w:rsidRPr="00756D59" w:rsidRDefault="00BF17C8" w:rsidP="00876646">
            <w:pPr>
              <w:jc w:val="left"/>
              <w:rPr>
                <w:color w:val="000000"/>
                <w:sz w:val="20"/>
                <w:szCs w:val="20"/>
                <w:lang w:eastAsia="en-CA"/>
              </w:rPr>
            </w:pPr>
            <w:r w:rsidRPr="00756D59">
              <w:rPr>
                <w:sz w:val="20"/>
                <w:szCs w:val="20"/>
                <w:lang w:eastAsia="en-CA"/>
              </w:rPr>
              <w:t>Finalization of cost analysis and strategy development; stakeholder consultation on the strategy; and finalization of report.</w:t>
            </w:r>
          </w:p>
        </w:tc>
        <w:tc>
          <w:tcPr>
            <w:tcW w:w="1629" w:type="dxa"/>
            <w:shd w:val="clear" w:color="auto" w:fill="auto"/>
            <w:tcMar>
              <w:left w:w="58" w:type="dxa"/>
              <w:right w:w="58" w:type="dxa"/>
            </w:tcMar>
          </w:tcPr>
          <w:p w14:paraId="53989578" w14:textId="77777777" w:rsidR="00BF17C8" w:rsidRPr="00A94487" w:rsidRDefault="00BF17C8" w:rsidP="00876646">
            <w:pPr>
              <w:jc w:val="center"/>
              <w:rPr>
                <w:color w:val="000000"/>
                <w:sz w:val="20"/>
                <w:szCs w:val="20"/>
                <w:lang w:eastAsia="en-CA"/>
              </w:rPr>
            </w:pPr>
            <w:r w:rsidRPr="00756D59">
              <w:rPr>
                <w:sz w:val="20"/>
                <w:szCs w:val="20"/>
                <w:lang w:eastAsia="en-CA"/>
              </w:rPr>
              <w:t>Sep-21</w:t>
            </w:r>
          </w:p>
        </w:tc>
      </w:tr>
    </w:tbl>
    <w:p w14:paraId="7E40E089" w14:textId="77777777" w:rsidR="00BF17C8" w:rsidRDefault="00BF17C8" w:rsidP="00BF17C8"/>
    <w:p w14:paraId="19F2D445" w14:textId="77777777" w:rsidR="00BF17C8" w:rsidRPr="00A94487" w:rsidRDefault="00BF17C8" w:rsidP="00BF17C8"/>
    <w:tbl>
      <w:tblPr>
        <w:tblStyle w:val="TableGrid"/>
        <w:tblW w:w="1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2"/>
        <w:gridCol w:w="2852"/>
        <w:gridCol w:w="2852"/>
        <w:gridCol w:w="2854"/>
      </w:tblGrid>
      <w:tr w:rsidR="00BF17C8" w14:paraId="0CBB9256" w14:textId="77777777" w:rsidTr="00876646">
        <w:trPr>
          <w:trHeight w:val="533"/>
        </w:trPr>
        <w:tc>
          <w:tcPr>
            <w:tcW w:w="2851" w:type="dxa"/>
          </w:tcPr>
          <w:p w14:paraId="42490810" w14:textId="77777777" w:rsidR="00BF17C8" w:rsidRDefault="00BF17C8" w:rsidP="00876646"/>
        </w:tc>
        <w:tc>
          <w:tcPr>
            <w:tcW w:w="2852" w:type="dxa"/>
          </w:tcPr>
          <w:p w14:paraId="06C72FD3" w14:textId="77777777" w:rsidR="00BF17C8" w:rsidRDefault="00BF17C8" w:rsidP="00876646"/>
        </w:tc>
        <w:tc>
          <w:tcPr>
            <w:tcW w:w="2852" w:type="dxa"/>
            <w:tcBorders>
              <w:bottom w:val="single" w:sz="4" w:space="0" w:color="auto"/>
            </w:tcBorders>
          </w:tcPr>
          <w:p w14:paraId="2282553F" w14:textId="77777777" w:rsidR="00BF17C8" w:rsidRDefault="00BF17C8" w:rsidP="00876646"/>
        </w:tc>
        <w:tc>
          <w:tcPr>
            <w:tcW w:w="2852" w:type="dxa"/>
          </w:tcPr>
          <w:p w14:paraId="7D0D1013" w14:textId="77777777" w:rsidR="00BF17C8" w:rsidRDefault="00BF17C8" w:rsidP="00876646"/>
        </w:tc>
        <w:tc>
          <w:tcPr>
            <w:tcW w:w="2854" w:type="dxa"/>
          </w:tcPr>
          <w:p w14:paraId="792E9FF6" w14:textId="77777777" w:rsidR="00BF17C8" w:rsidRDefault="00BF17C8" w:rsidP="00876646"/>
        </w:tc>
      </w:tr>
    </w:tbl>
    <w:p w14:paraId="1D7A0861" w14:textId="3143888F" w:rsidR="00BF17C8" w:rsidRPr="00CF5797" w:rsidRDefault="00BF17C8" w:rsidP="0037190F">
      <w:pPr>
        <w:jc w:val="center"/>
        <w:rPr>
          <w:lang w:val="fr-CA"/>
        </w:rPr>
      </w:pPr>
    </w:p>
    <w:sectPr w:rsidR="00BF17C8" w:rsidRPr="00CF5797" w:rsidSect="00BF17C8">
      <w:headerReference w:type="even" r:id="rId38"/>
      <w:headerReference w:type="default" r:id="rId39"/>
      <w:footerReference w:type="even" r:id="rId40"/>
      <w:footerReference w:type="default" r:id="rId41"/>
      <w:headerReference w:type="first" r:id="rId42"/>
      <w:footerReference w:type="first" r:id="rId43"/>
      <w:pgSz w:w="15840" w:h="12240" w:orient="landscape" w:code="1"/>
      <w:pgMar w:top="1440" w:right="864" w:bottom="1440" w:left="72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8C8F" w14:textId="77777777" w:rsidR="0074773B" w:rsidRDefault="0074773B" w:rsidP="004A504B">
      <w:r>
        <w:separator/>
      </w:r>
    </w:p>
  </w:endnote>
  <w:endnote w:type="continuationSeparator" w:id="0">
    <w:p w14:paraId="6EA6F79B" w14:textId="77777777" w:rsidR="0074773B" w:rsidRDefault="0074773B" w:rsidP="004A504B">
      <w:r>
        <w:continuationSeparator/>
      </w:r>
    </w:p>
  </w:endnote>
  <w:endnote w:type="continuationNotice" w:id="1">
    <w:p w14:paraId="44FF83DB" w14:textId="77777777" w:rsidR="0074773B" w:rsidRDefault="00747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taPlusBook-Roman-Identity-H">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1F8F" w14:textId="3F91EB2E" w:rsidR="0074773B" w:rsidRPr="0033525D" w:rsidRDefault="0074773B">
    <w:pPr>
      <w:jc w:val="center"/>
    </w:pPr>
    <w:r>
      <w:fldChar w:fldCharType="begin"/>
    </w:r>
    <w:r>
      <w:instrText xml:space="preserve"> PAGE </w:instrText>
    </w:r>
    <w:r>
      <w:fldChar w:fldCharType="separate"/>
    </w:r>
    <w:r w:rsidR="003446ED">
      <w:rPr>
        <w:noProof/>
      </w:rPr>
      <w:t>20</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870567"/>
      <w:docPartObj>
        <w:docPartGallery w:val="Page Numbers (Bottom of Page)"/>
        <w:docPartUnique/>
      </w:docPartObj>
    </w:sdtPr>
    <w:sdtEndPr>
      <w:rPr>
        <w:noProof/>
      </w:rPr>
    </w:sdtEndPr>
    <w:sdtContent>
      <w:p w14:paraId="748DC543" w14:textId="231E3C8C" w:rsidR="00BF17C8" w:rsidRPr="0037190F" w:rsidRDefault="00BF17C8" w:rsidP="0037190F">
        <w:pPr>
          <w:pStyle w:val="Footer"/>
          <w:jc w:val="center"/>
        </w:pPr>
        <w:r>
          <w:fldChar w:fldCharType="begin"/>
        </w:r>
        <w:r>
          <w:instrText xml:space="preserve"> PAGE   \* MERGEFORMAT </w:instrText>
        </w:r>
        <w:r>
          <w:fldChar w:fldCharType="separate"/>
        </w:r>
        <w:r w:rsidR="003446ED">
          <w:rPr>
            <w:noProof/>
          </w:rPr>
          <w:t>1</w:t>
        </w:r>
        <w:r>
          <w:rPr>
            <w:noProof/>
          </w:rP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759C7" w14:textId="4E52E76A" w:rsidR="009E1019" w:rsidRPr="0033525D" w:rsidRDefault="009E1019">
    <w:pPr>
      <w:jc w:val="center"/>
    </w:pPr>
    <w:r>
      <w:fldChar w:fldCharType="begin"/>
    </w:r>
    <w:r>
      <w:instrText xml:space="preserve"> PAGE </w:instrText>
    </w:r>
    <w:r>
      <w:fldChar w:fldCharType="separate"/>
    </w:r>
    <w:r w:rsidR="003446ED">
      <w:rPr>
        <w:noProof/>
      </w:rPr>
      <w:t>11</w:t>
    </w:r>
    <w:r>
      <w:rPr>
        <w:noProof/>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67266"/>
      <w:docPartObj>
        <w:docPartGallery w:val="Page Numbers (Bottom of Page)"/>
        <w:docPartUnique/>
      </w:docPartObj>
    </w:sdtPr>
    <w:sdtEndPr>
      <w:rPr>
        <w:noProof/>
      </w:rPr>
    </w:sdtEndPr>
    <w:sdtContent>
      <w:p w14:paraId="1D097E8F" w14:textId="598E79AE" w:rsidR="00BF17C8" w:rsidRPr="0037190F" w:rsidRDefault="00BF17C8" w:rsidP="0037190F">
        <w:pPr>
          <w:pStyle w:val="Footer"/>
          <w:jc w:val="center"/>
        </w:pPr>
        <w:r>
          <w:fldChar w:fldCharType="begin"/>
        </w:r>
        <w:r>
          <w:instrText xml:space="preserve"> PAGE   \* MERGEFORMAT </w:instrText>
        </w:r>
        <w:r>
          <w:fldChar w:fldCharType="separate"/>
        </w:r>
        <w:r w:rsidR="00B306F1">
          <w:rPr>
            <w:noProof/>
          </w:rPr>
          <w:t>1</w:t>
        </w:r>
        <w:r>
          <w:rPr>
            <w:noProof/>
          </w:rP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0393" w14:textId="0A13F773" w:rsidR="00BF17C8" w:rsidRPr="0033525D" w:rsidRDefault="00BF17C8">
    <w:pPr>
      <w:jc w:val="center"/>
    </w:pPr>
    <w:r>
      <w:fldChar w:fldCharType="begin"/>
    </w:r>
    <w:r>
      <w:instrText xml:space="preserve"> PAGE </w:instrText>
    </w:r>
    <w:r>
      <w:fldChar w:fldCharType="separate"/>
    </w:r>
    <w:r w:rsidR="003446ED">
      <w:rPr>
        <w:noProof/>
      </w:rPr>
      <w:t>12</w:t>
    </w:r>
    <w:r>
      <w:rPr>
        <w:noProof/>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B97B" w14:textId="5974EEE2" w:rsidR="00BF17C8" w:rsidRPr="0033525D" w:rsidRDefault="00BF17C8">
    <w:pPr>
      <w:jc w:val="center"/>
    </w:pPr>
    <w:r>
      <w:fldChar w:fldCharType="begin"/>
    </w:r>
    <w:r>
      <w:instrText xml:space="preserve"> PAGE </w:instrText>
    </w:r>
    <w:r>
      <w:fldChar w:fldCharType="separate"/>
    </w:r>
    <w:r w:rsidR="003446ED">
      <w:rPr>
        <w:noProof/>
      </w:rPr>
      <w:t>13</w:t>
    </w:r>
    <w:r>
      <w:rPr>
        <w:noProof/>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224137"/>
      <w:docPartObj>
        <w:docPartGallery w:val="Page Numbers (Bottom of Page)"/>
        <w:docPartUnique/>
      </w:docPartObj>
    </w:sdtPr>
    <w:sdtEndPr>
      <w:rPr>
        <w:noProof/>
      </w:rPr>
    </w:sdtEndPr>
    <w:sdtContent>
      <w:p w14:paraId="5E88BA9C" w14:textId="7C1D71F4" w:rsidR="00BF17C8" w:rsidRPr="0037190F" w:rsidRDefault="00BF17C8" w:rsidP="0037190F">
        <w:pPr>
          <w:pStyle w:val="Footer"/>
          <w:jc w:val="center"/>
        </w:pPr>
        <w:r>
          <w:fldChar w:fldCharType="begin"/>
        </w:r>
        <w:r>
          <w:instrText xml:space="preserve"> PAGE   \* MERGEFORMAT </w:instrText>
        </w:r>
        <w:r>
          <w:fldChar w:fldCharType="separate"/>
        </w:r>
        <w:r w:rsidR="00B306F1">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A4C5" w14:textId="764FB131" w:rsidR="0074773B" w:rsidRPr="0033525D" w:rsidRDefault="0074773B">
    <w:pPr>
      <w:jc w:val="center"/>
    </w:pPr>
    <w:r>
      <w:fldChar w:fldCharType="begin"/>
    </w:r>
    <w:r>
      <w:instrText xml:space="preserve"> PAGE </w:instrText>
    </w:r>
    <w:r>
      <w:fldChar w:fldCharType="separate"/>
    </w:r>
    <w:r w:rsidR="003446ED">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008" w14:textId="77777777" w:rsidR="0074773B" w:rsidRDefault="0074773B" w:rsidP="00023070">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w:t>
    </w:r>
    <w:proofErr w:type="spellStart"/>
    <w:r>
      <w:rPr>
        <w:rFonts w:cs="MS Serif"/>
        <w:sz w:val="20"/>
        <w:lang w:val="fr-FR"/>
      </w:rPr>
      <w:t>présession</w:t>
    </w:r>
    <w:proofErr w:type="spellEnd"/>
    <w:r>
      <w:rPr>
        <w:rFonts w:cs="MS Serif"/>
        <w:sz w:val="20"/>
        <w:lang w:val="fr-FR"/>
      </w:rPr>
      <w:t xml:space="preserve"> du Comité exécutif du Fonds multilatéral aux fins d’application du Protocole de </w:t>
    </w:r>
  </w:p>
  <w:p w14:paraId="6054EB40" w14:textId="77777777" w:rsidR="0074773B" w:rsidRPr="007324A9" w:rsidRDefault="0074773B" w:rsidP="00023070">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7324A9">
      <w:rPr>
        <w:sz w:val="18"/>
        <w:szCs w:val="18"/>
        <w:lang w:val="fr-CA"/>
      </w:rPr>
      <w:t>.</w:t>
    </w:r>
  </w:p>
  <w:p w14:paraId="476E979C" w14:textId="77777777" w:rsidR="0074773B" w:rsidRPr="00023070" w:rsidRDefault="0074773B">
    <w:pPr>
      <w:pStyle w:val="Footer"/>
      <w:rPr>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C0D1" w14:textId="3F54B817" w:rsidR="00F457F9" w:rsidRPr="0033525D" w:rsidRDefault="00F457F9">
    <w:pPr>
      <w:jc w:val="center"/>
    </w:pPr>
    <w:r>
      <w:fldChar w:fldCharType="begin"/>
    </w:r>
    <w:r>
      <w:instrText xml:space="preserve"> PAGE </w:instrText>
    </w:r>
    <w:r>
      <w:fldChar w:fldCharType="separate"/>
    </w:r>
    <w:r w:rsidR="003446ED">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696377"/>
      <w:docPartObj>
        <w:docPartGallery w:val="Page Numbers (Bottom of Page)"/>
        <w:docPartUnique/>
      </w:docPartObj>
    </w:sdtPr>
    <w:sdtEndPr>
      <w:rPr>
        <w:noProof/>
      </w:rPr>
    </w:sdtEndPr>
    <w:sdtContent>
      <w:p w14:paraId="6C9D0258" w14:textId="5F78F75C" w:rsidR="0037190F" w:rsidRPr="0037190F" w:rsidRDefault="0037190F" w:rsidP="0037190F">
        <w:pPr>
          <w:pStyle w:val="Footer"/>
          <w:jc w:val="center"/>
        </w:pPr>
        <w:r>
          <w:fldChar w:fldCharType="begin"/>
        </w:r>
        <w:r>
          <w:instrText xml:space="preserve"> PAGE   \* MERGEFORMAT </w:instrText>
        </w:r>
        <w:r>
          <w:fldChar w:fldCharType="separate"/>
        </w:r>
        <w:r w:rsidR="003446ED">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48912"/>
      <w:docPartObj>
        <w:docPartGallery w:val="Page Numbers (Bottom of Page)"/>
        <w:docPartUnique/>
      </w:docPartObj>
    </w:sdtPr>
    <w:sdtEndPr>
      <w:rPr>
        <w:noProof/>
      </w:rPr>
    </w:sdtEndPr>
    <w:sdtContent>
      <w:p w14:paraId="5E81FBE4" w14:textId="2F9D92EE" w:rsidR="00BF17C8" w:rsidRPr="0037190F" w:rsidRDefault="00BF17C8" w:rsidP="0037190F">
        <w:pPr>
          <w:pStyle w:val="Footer"/>
          <w:jc w:val="center"/>
        </w:pPr>
        <w:r>
          <w:fldChar w:fldCharType="begin"/>
        </w:r>
        <w:r>
          <w:instrText xml:space="preserve"> PAGE   \* MERGEFORMAT </w:instrText>
        </w:r>
        <w:r>
          <w:fldChar w:fldCharType="separate"/>
        </w:r>
        <w:r w:rsidR="003446ED">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EAEF" w14:textId="17AAEC7B" w:rsidR="00F457F9" w:rsidRPr="0033525D" w:rsidRDefault="00F457F9">
    <w:pPr>
      <w:jc w:val="center"/>
    </w:pPr>
    <w:r>
      <w:fldChar w:fldCharType="begin"/>
    </w:r>
    <w:r>
      <w:instrText xml:space="preserve"> PAGE </w:instrText>
    </w:r>
    <w:r>
      <w:fldChar w:fldCharType="separate"/>
    </w:r>
    <w:r w:rsidR="003446ED">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70554"/>
      <w:docPartObj>
        <w:docPartGallery w:val="Page Numbers (Bottom of Page)"/>
        <w:docPartUnique/>
      </w:docPartObj>
    </w:sdtPr>
    <w:sdtEndPr>
      <w:rPr>
        <w:noProof/>
      </w:rPr>
    </w:sdtEndPr>
    <w:sdtContent>
      <w:p w14:paraId="51F91EFF" w14:textId="6AA7538B" w:rsidR="00BF17C8" w:rsidRPr="0037190F" w:rsidRDefault="00BF17C8" w:rsidP="0037190F">
        <w:pPr>
          <w:pStyle w:val="Footer"/>
          <w:jc w:val="center"/>
        </w:pPr>
        <w:r>
          <w:fldChar w:fldCharType="begin"/>
        </w:r>
        <w:r>
          <w:instrText xml:space="preserve"> PAGE   \* MERGEFORMAT </w:instrText>
        </w:r>
        <w:r>
          <w:fldChar w:fldCharType="separate"/>
        </w:r>
        <w:r w:rsidR="003446ED">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63273"/>
      <w:docPartObj>
        <w:docPartGallery w:val="Page Numbers (Bottom of Page)"/>
        <w:docPartUnique/>
      </w:docPartObj>
    </w:sdtPr>
    <w:sdtEndPr>
      <w:rPr>
        <w:noProof/>
      </w:rPr>
    </w:sdtEndPr>
    <w:sdtContent>
      <w:p w14:paraId="310EC5CC" w14:textId="6460C28C" w:rsidR="00BF17C8" w:rsidRPr="0037190F" w:rsidRDefault="00BF17C8" w:rsidP="0037190F">
        <w:pPr>
          <w:pStyle w:val="Footer"/>
          <w:jc w:val="center"/>
        </w:pPr>
        <w:r>
          <w:fldChar w:fldCharType="begin"/>
        </w:r>
        <w:r>
          <w:instrText xml:space="preserve"> PAGE   \* MERGEFORMAT </w:instrText>
        </w:r>
        <w:r>
          <w:fldChar w:fldCharType="separate"/>
        </w:r>
        <w:r w:rsidR="003446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8F7F" w14:textId="77777777" w:rsidR="0074773B" w:rsidRDefault="0074773B" w:rsidP="004A504B">
      <w:r>
        <w:separator/>
      </w:r>
    </w:p>
  </w:footnote>
  <w:footnote w:type="continuationSeparator" w:id="0">
    <w:p w14:paraId="1D5B6035" w14:textId="77777777" w:rsidR="0074773B" w:rsidRDefault="0074773B" w:rsidP="004A504B">
      <w:r>
        <w:continuationSeparator/>
      </w:r>
    </w:p>
  </w:footnote>
  <w:footnote w:type="continuationNotice" w:id="1">
    <w:p w14:paraId="291F77BF" w14:textId="77777777" w:rsidR="0074773B" w:rsidRDefault="0074773B"/>
  </w:footnote>
  <w:footnote w:id="2">
    <w:p w14:paraId="09CEB15A" w14:textId="3846A5DA" w:rsidR="0074773B" w:rsidRPr="003029F8" w:rsidRDefault="0074773B" w:rsidP="007324A9">
      <w:pPr>
        <w:pStyle w:val="FootnoteText"/>
        <w:rPr>
          <w:lang w:val="fr-CA"/>
        </w:rPr>
      </w:pPr>
      <w:r>
        <w:rPr>
          <w:rStyle w:val="FootnoteReference"/>
        </w:rPr>
        <w:footnoteRef/>
      </w:r>
      <w:r w:rsidRPr="003029F8">
        <w:rPr>
          <w:lang w:val="fr-CA"/>
        </w:rPr>
        <w:t xml:space="preserve"> </w:t>
      </w:r>
      <w:r w:rsidRPr="0004647F">
        <w:rPr>
          <w:lang w:val="fr-CA"/>
        </w:rPr>
        <w:t>Des réunions en ligne et un processus d’approbation intersessio</w:t>
      </w:r>
      <w:r>
        <w:rPr>
          <w:lang w:val="fr-CA"/>
        </w:rPr>
        <w:t xml:space="preserve">ns se tiendront </w:t>
      </w:r>
      <w:r w:rsidRPr="0004647F">
        <w:rPr>
          <w:lang w:val="fr-CA"/>
        </w:rPr>
        <w:t>e</w:t>
      </w:r>
      <w:r>
        <w:rPr>
          <w:lang w:val="fr-CA"/>
        </w:rPr>
        <w:t>n juin et juillet 2021 à cause du coronaviru</w:t>
      </w:r>
      <w:r w:rsidRPr="0004647F">
        <w:rPr>
          <w:lang w:val="fr-CA"/>
        </w:rPr>
        <w:t>s</w:t>
      </w:r>
      <w:r>
        <w:rPr>
          <w:lang w:val="fr-CA"/>
        </w:rPr>
        <w:t xml:space="preserve"> (COVID-19)</w:t>
      </w:r>
    </w:p>
  </w:footnote>
  <w:footnote w:id="3">
    <w:p w14:paraId="3ECDCC32" w14:textId="1BBC0B16" w:rsidR="0074773B" w:rsidRPr="007324A9" w:rsidRDefault="0074773B">
      <w:pPr>
        <w:pStyle w:val="FootnoteText"/>
        <w:rPr>
          <w:lang w:val="fr-CA"/>
        </w:rPr>
      </w:pPr>
      <w:r>
        <w:rPr>
          <w:rStyle w:val="FootnoteReference"/>
        </w:rPr>
        <w:footnoteRef/>
      </w:r>
      <w:r w:rsidRPr="00E73F1F">
        <w:rPr>
          <w:lang w:val="fr-CA"/>
        </w:rPr>
        <w:t xml:space="preserve"> UNEP/OzL.Pro/ExCom/86/15-20</w:t>
      </w:r>
    </w:p>
  </w:footnote>
  <w:footnote w:id="4">
    <w:p w14:paraId="4C39E202" w14:textId="77777777" w:rsidR="0074773B" w:rsidRPr="00BF17C8" w:rsidRDefault="0074773B" w:rsidP="00CB1E45">
      <w:pPr>
        <w:pStyle w:val="FootnoteText"/>
        <w:rPr>
          <w:lang w:val="fr-CA"/>
        </w:rPr>
      </w:pPr>
      <w:r>
        <w:rPr>
          <w:rStyle w:val="FootnoteReference"/>
        </w:rPr>
        <w:footnoteRef/>
      </w:r>
      <w:r w:rsidRPr="00BF17C8">
        <w:rPr>
          <w:lang w:val="fr-CA"/>
        </w:rPr>
        <w:t xml:space="preserve"> UNEP/OzL.Pro/ExCom/87/9/Add.1</w:t>
      </w:r>
    </w:p>
  </w:footnote>
  <w:footnote w:id="5">
    <w:p w14:paraId="63A03699" w14:textId="6E6F0224" w:rsidR="0074773B" w:rsidRPr="00E73725" w:rsidRDefault="0074773B" w:rsidP="00B53651">
      <w:pPr>
        <w:pStyle w:val="FootnoteText"/>
        <w:rPr>
          <w:lang w:val="fr-CA"/>
        </w:rPr>
      </w:pPr>
      <w:r w:rsidRPr="00FD1CAA">
        <w:rPr>
          <w:rStyle w:val="FootnoteReference"/>
        </w:rPr>
        <w:footnoteRef/>
      </w:r>
      <w:r w:rsidRPr="00E73725">
        <w:rPr>
          <w:lang w:val="fr-CA"/>
        </w:rPr>
        <w:t xml:space="preserve"> Les projets de renforcement des institutions, de banques de halons, de formation des douaniers, de </w:t>
      </w:r>
      <w:r>
        <w:rPr>
          <w:lang w:val="fr-CA"/>
        </w:rPr>
        <w:t>récupération</w:t>
      </w:r>
      <w:r w:rsidRPr="00E73725">
        <w:rPr>
          <w:lang w:val="fr-CA"/>
        </w:rPr>
        <w:t xml:space="preserve"> et recyclage, et de </w:t>
      </w:r>
      <w:r>
        <w:rPr>
          <w:lang w:val="fr-CA"/>
        </w:rPr>
        <w:t>dé</w:t>
      </w:r>
      <w:r w:rsidRPr="00E73725">
        <w:rPr>
          <w:lang w:val="fr-CA"/>
        </w:rPr>
        <w:t xml:space="preserve">monstration </w:t>
      </w:r>
      <w:r>
        <w:rPr>
          <w:lang w:val="fr-CA"/>
        </w:rPr>
        <w:t>ne sont pas assujettis aux procédures d’</w:t>
      </w:r>
      <w:r w:rsidRPr="00E73725">
        <w:rPr>
          <w:lang w:val="fr-CA"/>
        </w:rPr>
        <w:t>annulation des projets.</w:t>
      </w:r>
      <w:r>
        <w:rPr>
          <w:lang w:val="fr-CA"/>
        </w:rPr>
        <w:t xml:space="preserve"> Le Comité exécutif a néanmoins décidé de continuer à en assurer le suivi, selon qu’il convient (dé</w:t>
      </w:r>
      <w:r w:rsidRPr="00E73725">
        <w:rPr>
          <w:lang w:val="fr-CA"/>
        </w:rPr>
        <w:t>cision 36/14</w:t>
      </w:r>
      <w:r>
        <w:rPr>
          <w:lang w:val="fr-CA"/>
        </w:rPr>
        <w:t xml:space="preserve"> </w:t>
      </w:r>
      <w:r w:rsidRPr="00E73725">
        <w:rPr>
          <w:lang w:val="fr-CA"/>
        </w:rPr>
        <w:t xml:space="preserve">b)). </w:t>
      </w:r>
    </w:p>
  </w:footnote>
  <w:footnote w:id="6">
    <w:p w14:paraId="145B7D8D" w14:textId="1C075031" w:rsidR="0074773B" w:rsidRPr="00EE5571" w:rsidRDefault="0074773B">
      <w:pPr>
        <w:pStyle w:val="FootnoteText"/>
        <w:rPr>
          <w:lang w:val="fr-CA"/>
        </w:rPr>
      </w:pPr>
      <w:r>
        <w:rPr>
          <w:rStyle w:val="FootnoteReference"/>
        </w:rPr>
        <w:footnoteRef/>
      </w:r>
      <w:r w:rsidRPr="00EE5571">
        <w:rPr>
          <w:lang w:val="fr-CA"/>
        </w:rPr>
        <w:t xml:space="preserve"> Le rapport sur le PGEH de l’Uruguay est inclus dans l</w:t>
      </w:r>
      <w:r>
        <w:rPr>
          <w:lang w:val="fr-CA"/>
        </w:rPr>
        <w:t>e</w:t>
      </w:r>
      <w:r w:rsidRPr="00EE5571">
        <w:rPr>
          <w:lang w:val="fr-CA"/>
        </w:rPr>
        <w:t xml:space="preserve"> document de proposition de projet (UNEP/OzL.Pro/ExCom/85/52).</w:t>
      </w:r>
    </w:p>
  </w:footnote>
  <w:footnote w:id="7">
    <w:p w14:paraId="14EC4844" w14:textId="77777777" w:rsidR="0074773B" w:rsidRPr="00F23ADB" w:rsidRDefault="0074773B" w:rsidP="00F17DAA">
      <w:pPr>
        <w:pStyle w:val="FootnoteText"/>
        <w:rPr>
          <w:lang w:val="fr-CA"/>
        </w:rPr>
      </w:pPr>
      <w:r>
        <w:rPr>
          <w:rStyle w:val="FootnoteReference"/>
        </w:rPr>
        <w:footnoteRef/>
      </w:r>
      <w:r w:rsidRPr="00F23ADB">
        <w:rPr>
          <w:lang w:val="fr-CA"/>
        </w:rPr>
        <w:t xml:space="preserve"> UNEP/OzL.Pro/ExCom/63/22</w:t>
      </w:r>
    </w:p>
  </w:footnote>
  <w:footnote w:id="8">
    <w:p w14:paraId="479D1B77" w14:textId="5A314DFA" w:rsidR="0074773B" w:rsidRPr="00F23ADB" w:rsidRDefault="0074773B" w:rsidP="00F17DAA">
      <w:pPr>
        <w:pStyle w:val="FootnoteText"/>
        <w:rPr>
          <w:lang w:val="fr-CA"/>
        </w:rPr>
      </w:pPr>
      <w:r w:rsidRPr="00B47F72">
        <w:rPr>
          <w:rStyle w:val="FootnoteReference"/>
        </w:rPr>
        <w:footnoteRef/>
      </w:r>
      <w:r w:rsidRPr="00F23ADB">
        <w:rPr>
          <w:lang w:val="fr-CA"/>
        </w:rPr>
        <w:t xml:space="preserve"> </w:t>
      </w:r>
      <w:r w:rsidRPr="004D5132">
        <w:rPr>
          <w:i/>
          <w:color w:val="4D5156"/>
          <w:shd w:val="clear" w:color="auto" w:fill="FFFFFF"/>
          <w:lang w:val="fr-CA"/>
        </w:rPr>
        <w:t>Système</w:t>
      </w:r>
      <w:r w:rsidRPr="004D5132">
        <w:rPr>
          <w:color w:val="4D5156"/>
          <w:shd w:val="clear" w:color="auto" w:fill="FFFFFF"/>
          <w:lang w:val="fr-CA"/>
        </w:rPr>
        <w:t xml:space="preserve"> automatisé de données douanières</w:t>
      </w:r>
    </w:p>
  </w:footnote>
  <w:footnote w:id="9">
    <w:p w14:paraId="713377FF" w14:textId="77777777" w:rsidR="0074773B" w:rsidRPr="00F23ADB" w:rsidRDefault="0074773B" w:rsidP="00F17DAA">
      <w:pPr>
        <w:pStyle w:val="FootnoteText"/>
        <w:rPr>
          <w:lang w:val="fr-CA"/>
        </w:rPr>
      </w:pPr>
      <w:r w:rsidRPr="00794CDF">
        <w:rPr>
          <w:rStyle w:val="FootnoteReference"/>
        </w:rPr>
        <w:footnoteRef/>
      </w:r>
      <w:r w:rsidRPr="00F23ADB">
        <w:rPr>
          <w:lang w:val="fr-CA"/>
        </w:rPr>
        <w:t xml:space="preserve"> UNEP/OzL.Pro/ExCom/84/39</w:t>
      </w:r>
    </w:p>
  </w:footnote>
  <w:footnote w:id="10">
    <w:p w14:paraId="5E8F74AF" w14:textId="37029D2F" w:rsidR="0074773B" w:rsidRPr="00C417AD" w:rsidRDefault="0074773B" w:rsidP="00F17DAA">
      <w:pPr>
        <w:pStyle w:val="FootnoteText"/>
        <w:rPr>
          <w:lang w:val="fr-CA"/>
        </w:rPr>
      </w:pPr>
      <w:r w:rsidRPr="00C41FB9">
        <w:rPr>
          <w:rStyle w:val="FootnoteReference"/>
        </w:rPr>
        <w:footnoteRef/>
      </w:r>
      <w:r w:rsidRPr="00FA65D2">
        <w:rPr>
          <w:lang w:val="fr-CA"/>
        </w:rPr>
        <w:t xml:space="preserve"> </w:t>
      </w:r>
      <w:r>
        <w:rPr>
          <w:lang w:val="fr-CA"/>
        </w:rPr>
        <w:t>La somme de 348 767 $US approuvée pour les deux entreprises du secteur de la mousse de polystyrène extrudé est inférieure au surcoût évalué à 439 200 $</w:t>
      </w:r>
      <w:proofErr w:type="gramStart"/>
      <w:r>
        <w:rPr>
          <w:lang w:val="fr-CA"/>
        </w:rPr>
        <w:t>US;</w:t>
      </w:r>
      <w:proofErr w:type="gramEnd"/>
      <w:r>
        <w:rPr>
          <w:lang w:val="fr-CA"/>
        </w:rPr>
        <w:t xml:space="preserve"> il a été convenu que le gouvernement de l’Argentine pourrait attribuer les sommes aux deux entreprises à sa discrétion, étant entendu que les deux entreprises reconvertiront à la technologie choisie dans les délais fixés</w:t>
      </w:r>
      <w:r w:rsidRPr="00C417AD">
        <w:rPr>
          <w:lang w:val="fr-CA"/>
        </w:rPr>
        <w:t xml:space="preserve"> (paragraph</w:t>
      </w:r>
      <w:r>
        <w:rPr>
          <w:lang w:val="fr-CA"/>
        </w:rPr>
        <w:t>e 76 du</w:t>
      </w:r>
      <w:r w:rsidRPr="00C417AD">
        <w:rPr>
          <w:lang w:val="fr-CA"/>
        </w:rPr>
        <w:t xml:space="preserve"> document UNEP/OzL.Pro/ExCom/79/27).</w:t>
      </w:r>
    </w:p>
  </w:footnote>
  <w:footnote w:id="11">
    <w:p w14:paraId="407C51F0" w14:textId="77777777" w:rsidR="0074773B" w:rsidRPr="00C417AD" w:rsidRDefault="0074773B" w:rsidP="005F0F31">
      <w:pPr>
        <w:pStyle w:val="FootnoteText"/>
        <w:rPr>
          <w:lang w:val="fr-CA"/>
        </w:rPr>
      </w:pPr>
      <w:r w:rsidRPr="00C417AD">
        <w:rPr>
          <w:rStyle w:val="FootnoteReference"/>
          <w:lang w:val="fr-CA"/>
        </w:rPr>
        <w:footnoteRef/>
      </w:r>
      <w:r w:rsidRPr="00C417AD">
        <w:rPr>
          <w:lang w:val="fr-CA"/>
        </w:rPr>
        <w:t xml:space="preserve"> UNEP/OzL.Pro/ExCom/66/31</w:t>
      </w:r>
    </w:p>
  </w:footnote>
  <w:footnote w:id="12">
    <w:p w14:paraId="7C604165" w14:textId="77777777" w:rsidR="0074773B" w:rsidRPr="00F23ADB" w:rsidRDefault="0074773B" w:rsidP="005F0F31">
      <w:pPr>
        <w:pStyle w:val="FootnoteText"/>
        <w:rPr>
          <w:lang w:val="fr-CA"/>
        </w:rPr>
      </w:pPr>
      <w:r w:rsidRPr="00E133B5">
        <w:rPr>
          <w:rStyle w:val="FootnoteReference"/>
        </w:rPr>
        <w:footnoteRef/>
      </w:r>
      <w:r w:rsidRPr="00F23ADB">
        <w:rPr>
          <w:lang w:val="fr-CA"/>
        </w:rPr>
        <w:t xml:space="preserve"> </w:t>
      </w:r>
      <w:r w:rsidRPr="00F23ADB">
        <w:rPr>
          <w:color w:val="000000"/>
          <w:shd w:val="clear" w:color="auto" w:fill="F9F9F9"/>
          <w:lang w:val="fr-CA"/>
        </w:rPr>
        <w:t>UNEP/OzL.Pro/ExCom/85/20</w:t>
      </w:r>
    </w:p>
  </w:footnote>
  <w:footnote w:id="13">
    <w:p w14:paraId="33419317" w14:textId="77777777" w:rsidR="0074773B" w:rsidRPr="007A28C4" w:rsidRDefault="0074773B" w:rsidP="00FE2783">
      <w:pPr>
        <w:pStyle w:val="FootnoteText"/>
        <w:rPr>
          <w:lang w:val="fr-CA"/>
        </w:rPr>
      </w:pPr>
      <w:r>
        <w:rPr>
          <w:rStyle w:val="FootnoteReference"/>
        </w:rPr>
        <w:footnoteRef/>
      </w:r>
      <w:r w:rsidRPr="007A28C4">
        <w:rPr>
          <w:lang w:val="fr-CA"/>
        </w:rPr>
        <w:t xml:space="preserve"> Annexe IV au document</w:t>
      </w:r>
      <w:r>
        <w:rPr>
          <w:lang w:val="fr-CA"/>
        </w:rPr>
        <w:t xml:space="preserve"> </w:t>
      </w:r>
      <w:r w:rsidRPr="007A28C4">
        <w:rPr>
          <w:lang w:val="fr-CA"/>
        </w:rPr>
        <w:t>UNEP/OzL.Pro/ExCom/85/67</w:t>
      </w:r>
    </w:p>
  </w:footnote>
  <w:footnote w:id="14">
    <w:p w14:paraId="75B4A0AF" w14:textId="77777777" w:rsidR="0074773B" w:rsidRPr="005E4394" w:rsidRDefault="0074773B" w:rsidP="00FE2783">
      <w:pPr>
        <w:pStyle w:val="Heading1"/>
        <w:numPr>
          <w:ilvl w:val="0"/>
          <w:numId w:val="0"/>
        </w:numPr>
        <w:rPr>
          <w:sz w:val="20"/>
          <w:szCs w:val="20"/>
          <w:lang w:val="fr-CA"/>
        </w:rPr>
      </w:pPr>
      <w:r w:rsidRPr="005E4394">
        <w:rPr>
          <w:rStyle w:val="FootnoteReference"/>
          <w:sz w:val="20"/>
          <w:szCs w:val="20"/>
          <w:lang w:val="fr-CA"/>
        </w:rPr>
        <w:footnoteRef/>
      </w:r>
      <w:r w:rsidRPr="005E4394">
        <w:rPr>
          <w:sz w:val="20"/>
          <w:szCs w:val="20"/>
          <w:lang w:val="fr-CA"/>
        </w:rPr>
        <w:t xml:space="preserve"> </w:t>
      </w:r>
      <w:r>
        <w:rPr>
          <w:sz w:val="20"/>
          <w:szCs w:val="20"/>
          <w:lang w:val="fr-CA"/>
        </w:rPr>
        <w:t>Deux des huit PME devant participer au projet de groupe ont mis leur projet en œuvre à titre individuel et reconverti leurs activités sans aide, deux n’ont pas participé et trois entreprises ayant été intégrées au projet de groupe satisfaisaient aux conditions d’admissibilité, mais n’avaient pas été recensées lors de l’étude de marché menée au cours de la préparation du projet</w:t>
      </w:r>
      <w:r w:rsidRPr="005E4394">
        <w:rPr>
          <w:sz w:val="20"/>
          <w:szCs w:val="20"/>
          <w:lang w:val="fr-CA"/>
        </w:rPr>
        <w:t>.</w:t>
      </w:r>
    </w:p>
  </w:footnote>
  <w:footnote w:id="15">
    <w:p w14:paraId="2D8556C8" w14:textId="77777777" w:rsidR="0074773B" w:rsidRPr="00A33192" w:rsidRDefault="0074773B" w:rsidP="00FE2783">
      <w:pPr>
        <w:pStyle w:val="FootnoteText"/>
        <w:rPr>
          <w:lang w:val="fr-CA"/>
        </w:rPr>
      </w:pPr>
      <w:r>
        <w:rPr>
          <w:rStyle w:val="FootnoteReference"/>
        </w:rPr>
        <w:footnoteRef/>
      </w:r>
      <w:r w:rsidRPr="00A33192">
        <w:rPr>
          <w:lang w:val="fr-CA"/>
        </w:rPr>
        <w:t xml:space="preserve"> UNEP/OzL.Pro/ExCom/85/24</w:t>
      </w:r>
    </w:p>
  </w:footnote>
  <w:footnote w:id="16">
    <w:p w14:paraId="6F5EFE36" w14:textId="77777777" w:rsidR="0074773B" w:rsidRPr="00A33192" w:rsidRDefault="0074773B" w:rsidP="00FE2783">
      <w:pPr>
        <w:pStyle w:val="FootnoteText"/>
        <w:rPr>
          <w:lang w:val="fr-CA"/>
        </w:rPr>
      </w:pPr>
      <w:r>
        <w:rPr>
          <w:rStyle w:val="FootnoteReference"/>
        </w:rPr>
        <w:footnoteRef/>
      </w:r>
      <w:r w:rsidRPr="00A33192">
        <w:rPr>
          <w:lang w:val="fr-CA"/>
        </w:rPr>
        <w:t xml:space="preserve"> UNEP/OzL.Pro/ExCom/63/52</w:t>
      </w:r>
    </w:p>
  </w:footnote>
  <w:footnote w:id="17">
    <w:p w14:paraId="2A4B495E" w14:textId="77777777" w:rsidR="0074773B" w:rsidRPr="00FE2783" w:rsidRDefault="0074773B" w:rsidP="00FE2783">
      <w:pPr>
        <w:pStyle w:val="FootnoteText"/>
        <w:rPr>
          <w:lang w:val="fr-CA"/>
        </w:rPr>
      </w:pPr>
      <w:r>
        <w:rPr>
          <w:rStyle w:val="FootnoteReference"/>
        </w:rPr>
        <w:footnoteRef/>
      </w:r>
      <w:r w:rsidRPr="00FE2783">
        <w:rPr>
          <w:lang w:val="fr-CA"/>
        </w:rPr>
        <w:t xml:space="preserve"> UNEP/OzL.Pro/ExCom/83/26</w:t>
      </w:r>
    </w:p>
  </w:footnote>
  <w:footnote w:id="18">
    <w:p w14:paraId="0B6B2410" w14:textId="77777777" w:rsidR="0074773B" w:rsidRPr="00076EF5" w:rsidRDefault="0074773B" w:rsidP="00C332C0">
      <w:pPr>
        <w:pStyle w:val="FootnoteText"/>
        <w:rPr>
          <w:lang w:val="fr-CA"/>
        </w:rPr>
      </w:pPr>
      <w:r>
        <w:rPr>
          <w:rStyle w:val="FootnoteReference"/>
        </w:rPr>
        <w:footnoteRef/>
      </w:r>
      <w:r w:rsidRPr="00D33882">
        <w:rPr>
          <w:lang w:val="fr-CA"/>
        </w:rPr>
        <w:t xml:space="preserve"> </w:t>
      </w:r>
      <w:r>
        <w:rPr>
          <w:lang w:val="fr-CA"/>
        </w:rPr>
        <w:t>Le Comité exécutif a approuvé la troisième tranche du PGEH, étant entendu que le gouvernement pourrait présenter la phase II du PGEH lorsque 80 pour cent de la somme totale approuvée pour l’ONUDI aura été décaissée.</w:t>
      </w:r>
    </w:p>
  </w:footnote>
  <w:footnote w:id="19">
    <w:p w14:paraId="13883AFE" w14:textId="77777777" w:rsidR="0074773B" w:rsidRPr="00D1398B" w:rsidRDefault="0074773B" w:rsidP="00FE2783">
      <w:pPr>
        <w:pStyle w:val="FootnoteText"/>
        <w:rPr>
          <w:lang w:val="fr-CA"/>
        </w:rPr>
      </w:pPr>
      <w:r>
        <w:rPr>
          <w:rStyle w:val="FootnoteReference"/>
        </w:rPr>
        <w:footnoteRef/>
      </w:r>
      <w:r w:rsidRPr="00D1398B">
        <w:rPr>
          <w:lang w:val="fr-CA"/>
        </w:rPr>
        <w:t xml:space="preserve"> Le paragraphe 9 du document UNEP/OzL.Pro/ExCom/85/31 </w:t>
      </w:r>
      <w:r>
        <w:rPr>
          <w:lang w:val="fr-CA"/>
        </w:rPr>
        <w:t>contient une liste des mesures à mettre en œuvre au cours de la quatrième tranche de la phase I du PGEH, préparée à partir des recommandations contenues dans le rapport de vérification</w:t>
      </w:r>
      <w:r w:rsidRPr="00D1398B">
        <w:rPr>
          <w:lang w:val="fr-CA"/>
        </w:rPr>
        <w:t>.</w:t>
      </w:r>
    </w:p>
  </w:footnote>
  <w:footnote w:id="20">
    <w:p w14:paraId="6C4BD73F" w14:textId="77777777" w:rsidR="0074773B" w:rsidRPr="002C2DB0" w:rsidRDefault="0074773B" w:rsidP="00FE2783">
      <w:pPr>
        <w:pStyle w:val="FootnoteText"/>
        <w:rPr>
          <w:lang w:val="fr-CA"/>
        </w:rPr>
      </w:pPr>
      <w:r>
        <w:rPr>
          <w:rStyle w:val="FootnoteReference"/>
        </w:rPr>
        <w:footnoteRef/>
      </w:r>
      <w:r w:rsidRPr="002C2DB0">
        <w:rPr>
          <w:lang w:val="fr-CA"/>
        </w:rPr>
        <w:t xml:space="preserve"> UNEP/OzL.Pro/ExCom/77/51</w:t>
      </w:r>
    </w:p>
  </w:footnote>
  <w:footnote w:id="21">
    <w:p w14:paraId="348D75D6" w14:textId="42AD5F81" w:rsidR="0074773B" w:rsidRPr="0023308B" w:rsidRDefault="0074773B" w:rsidP="00FE2783">
      <w:pPr>
        <w:pStyle w:val="FootnoteText"/>
        <w:rPr>
          <w:lang w:val="fr-CA"/>
        </w:rPr>
      </w:pPr>
      <w:r>
        <w:rPr>
          <w:rStyle w:val="FootnoteReference"/>
        </w:rPr>
        <w:footnoteRef/>
      </w:r>
      <w:r w:rsidRPr="0023308B">
        <w:rPr>
          <w:lang w:val="fr-CA"/>
        </w:rPr>
        <w:t xml:space="preserve"> Paragraphes 126 à 136 du document UNEP/OzL.Pro/ExCom/83/11</w:t>
      </w:r>
      <w:r>
        <w:rPr>
          <w:lang w:val="fr-CA"/>
        </w:rPr>
        <w:t xml:space="preserve"> </w:t>
      </w:r>
      <w:r w:rsidRPr="0023308B">
        <w:rPr>
          <w:lang w:val="fr-CA"/>
        </w:rPr>
        <w:t>; dé</w:t>
      </w:r>
      <w:r>
        <w:rPr>
          <w:lang w:val="fr-CA"/>
        </w:rPr>
        <w:t xml:space="preserve">cision 83/24 </w:t>
      </w:r>
      <w:r w:rsidRPr="0023308B">
        <w:rPr>
          <w:lang w:val="fr-CA"/>
        </w:rPr>
        <w:t>b).</w:t>
      </w:r>
    </w:p>
  </w:footnote>
  <w:footnote w:id="22">
    <w:p w14:paraId="31EE6697" w14:textId="0AF249A8" w:rsidR="0074773B" w:rsidRPr="0023308B" w:rsidRDefault="0074773B" w:rsidP="00FE2783">
      <w:pPr>
        <w:pStyle w:val="FootnoteText"/>
        <w:rPr>
          <w:lang w:val="fr-CA"/>
        </w:rPr>
      </w:pPr>
      <w:r>
        <w:rPr>
          <w:rStyle w:val="FootnoteReference"/>
        </w:rPr>
        <w:footnoteRef/>
      </w:r>
      <w:r w:rsidRPr="0023308B">
        <w:rPr>
          <w:lang w:val="fr-CA"/>
        </w:rPr>
        <w:t xml:space="preserve"> Paragraphes 79 à 94 du document UNEP/OzL.Pro/ExCom/86/21</w:t>
      </w:r>
      <w:r>
        <w:rPr>
          <w:lang w:val="fr-CA"/>
        </w:rPr>
        <w:t xml:space="preserve"> ; décision 86/25 </w:t>
      </w:r>
      <w:r w:rsidRPr="0023308B">
        <w:rPr>
          <w:lang w:val="fr-CA"/>
        </w:rPr>
        <w:t>b).</w:t>
      </w:r>
    </w:p>
  </w:footnote>
  <w:footnote w:id="23">
    <w:p w14:paraId="21E26C26" w14:textId="77777777" w:rsidR="0074773B" w:rsidRPr="002C2DB0" w:rsidRDefault="0074773B" w:rsidP="00FE2783">
      <w:pPr>
        <w:pStyle w:val="FootnoteText"/>
        <w:rPr>
          <w:lang w:val="fr-CA"/>
        </w:rPr>
      </w:pPr>
      <w:r>
        <w:rPr>
          <w:rStyle w:val="FootnoteReference"/>
        </w:rPr>
        <w:footnoteRef/>
      </w:r>
      <w:r w:rsidRPr="002C2DB0">
        <w:rPr>
          <w:lang w:val="fr-CA"/>
        </w:rPr>
        <w:t xml:space="preserve"> UNEP/OzL.Pro/ExCom/63/38</w:t>
      </w:r>
    </w:p>
  </w:footnote>
  <w:footnote w:id="24">
    <w:p w14:paraId="065BB79D" w14:textId="77777777" w:rsidR="0074773B" w:rsidRPr="002C2DB0" w:rsidRDefault="0074773B" w:rsidP="00FE2783">
      <w:pPr>
        <w:pStyle w:val="FootnoteText"/>
        <w:rPr>
          <w:lang w:val="fr-CA"/>
        </w:rPr>
      </w:pPr>
      <w:r w:rsidRPr="005F47B9">
        <w:rPr>
          <w:rStyle w:val="FootnoteReference"/>
        </w:rPr>
        <w:footnoteRef/>
      </w:r>
      <w:r w:rsidRPr="002C2DB0">
        <w:rPr>
          <w:lang w:val="fr-CA"/>
        </w:rPr>
        <w:t xml:space="preserve"> UNEP/OzL.Pro/ExCom/85/33</w:t>
      </w:r>
    </w:p>
  </w:footnote>
  <w:footnote w:id="25">
    <w:p w14:paraId="079FB24B" w14:textId="77777777" w:rsidR="0074773B" w:rsidRPr="002C2DB0" w:rsidRDefault="0074773B" w:rsidP="00FE2783">
      <w:pPr>
        <w:pStyle w:val="FootnoteText"/>
        <w:rPr>
          <w:lang w:val="fr-CA"/>
        </w:rPr>
      </w:pPr>
      <w:r>
        <w:rPr>
          <w:rStyle w:val="FootnoteReference"/>
        </w:rPr>
        <w:footnoteRef/>
      </w:r>
      <w:r w:rsidRPr="002C2DB0">
        <w:rPr>
          <w:lang w:val="fr-CA"/>
        </w:rPr>
        <w:t xml:space="preserve"> UNEP/OzL.Pro/ExCom/77/54.</w:t>
      </w:r>
    </w:p>
  </w:footnote>
  <w:footnote w:id="26">
    <w:p w14:paraId="148799D3" w14:textId="77777777" w:rsidR="0074773B" w:rsidRPr="00C564A4" w:rsidRDefault="0074773B" w:rsidP="00FE2783">
      <w:pPr>
        <w:pStyle w:val="FootnoteText"/>
        <w:rPr>
          <w:lang w:val="fr-CA"/>
        </w:rPr>
      </w:pPr>
      <w:r>
        <w:rPr>
          <w:rStyle w:val="FootnoteReference"/>
        </w:rPr>
        <w:footnoteRef/>
      </w:r>
      <w:r w:rsidRPr="00C564A4">
        <w:rPr>
          <w:lang w:val="fr-CA"/>
        </w:rPr>
        <w:t xml:space="preserve"> </w:t>
      </w:r>
      <w:r>
        <w:rPr>
          <w:lang w:val="fr-CA"/>
        </w:rPr>
        <w:t xml:space="preserve">Dix entreprises dont la consommation est supérieure à 20 </w:t>
      </w:r>
      <w:proofErr w:type="spellStart"/>
      <w:r>
        <w:rPr>
          <w:lang w:val="fr-CA"/>
        </w:rPr>
        <w:t>tm</w:t>
      </w:r>
      <w:proofErr w:type="spellEnd"/>
      <w:r>
        <w:rPr>
          <w:lang w:val="fr-CA"/>
        </w:rPr>
        <w:t xml:space="preserve"> ont achevé leur reconversion au cyclopentane pur ou </w:t>
      </w:r>
      <w:proofErr w:type="spellStart"/>
      <w:r>
        <w:rPr>
          <w:lang w:val="fr-CA"/>
        </w:rPr>
        <w:t>prémélangé</w:t>
      </w:r>
      <w:proofErr w:type="spellEnd"/>
      <w:r>
        <w:rPr>
          <w:lang w:val="fr-CA"/>
        </w:rPr>
        <w:t xml:space="preserve"> dans des formules de polyols avant la fin de 2019, y compris Asia </w:t>
      </w:r>
      <w:proofErr w:type="spellStart"/>
      <w:r>
        <w:rPr>
          <w:lang w:val="fr-CA"/>
        </w:rPr>
        <w:t>Roofing</w:t>
      </w:r>
      <w:proofErr w:type="spellEnd"/>
      <w:r>
        <w:rPr>
          <w:lang w:val="fr-CA"/>
        </w:rPr>
        <w:t xml:space="preserve"> </w:t>
      </w:r>
      <w:proofErr w:type="spellStart"/>
      <w:r>
        <w:rPr>
          <w:lang w:val="fr-CA"/>
        </w:rPr>
        <w:t>Company</w:t>
      </w:r>
      <w:proofErr w:type="spellEnd"/>
      <w:r>
        <w:rPr>
          <w:lang w:val="fr-CA"/>
        </w:rPr>
        <w:t>, dont le changement de technologie au cyclopentane est indiqué à la décision 84/77 a) ii).</w:t>
      </w:r>
      <w:r w:rsidRPr="00C564A4">
        <w:rPr>
          <w:lang w:val="fr-CA"/>
        </w:rPr>
        <w:t xml:space="preserve"> </w:t>
      </w:r>
    </w:p>
  </w:footnote>
  <w:footnote w:id="27">
    <w:p w14:paraId="46B31FAC" w14:textId="77777777" w:rsidR="0074773B" w:rsidRPr="004F216E" w:rsidRDefault="0074773B" w:rsidP="00937816">
      <w:pPr>
        <w:pStyle w:val="FootnoteText"/>
        <w:rPr>
          <w:lang w:val="fr-CA"/>
        </w:rPr>
      </w:pPr>
      <w:r w:rsidRPr="004F216E">
        <w:rPr>
          <w:rStyle w:val="FootnoteReference"/>
          <w:lang w:val="fr-CA"/>
        </w:rPr>
        <w:footnoteRef/>
      </w:r>
      <w:r w:rsidRPr="004F216E">
        <w:rPr>
          <w:lang w:val="fr-CA"/>
        </w:rPr>
        <w:t xml:space="preserve"> </w:t>
      </w:r>
      <w:r>
        <w:rPr>
          <w:lang w:val="fr-CA"/>
        </w:rPr>
        <w:t>La cinquième et dernière tranche de la phase I du PGEH a été approuvée à la 75</w:t>
      </w:r>
      <w:r w:rsidRPr="004F216E">
        <w:rPr>
          <w:vertAlign w:val="superscript"/>
          <w:lang w:val="fr-CA"/>
        </w:rPr>
        <w:t>e</w:t>
      </w:r>
      <w:r>
        <w:rPr>
          <w:lang w:val="fr-CA"/>
        </w:rPr>
        <w:t xml:space="preserve"> réunion pour la somme totale de 1 449 982 $US, comprenant 226 317 $US plus les coûts d’appui à l’agence de 16 974 $US pour l’ONUDI et 1 122 503 $US plus les coûts d’appui à l’agence de 84 188 $US pour le PNUD</w:t>
      </w:r>
      <w:r w:rsidRPr="004F216E">
        <w:rPr>
          <w:lang w:val="fr-CA"/>
        </w:rPr>
        <w:t>.</w:t>
      </w:r>
    </w:p>
  </w:footnote>
  <w:footnote w:id="28">
    <w:p w14:paraId="60D2F2AF" w14:textId="77777777" w:rsidR="0074773B" w:rsidRPr="004F216E" w:rsidRDefault="0074773B" w:rsidP="00937816">
      <w:pPr>
        <w:pStyle w:val="FootnoteText"/>
        <w:rPr>
          <w:sz w:val="16"/>
          <w:szCs w:val="16"/>
          <w:lang w:val="fr-CA"/>
        </w:rPr>
      </w:pPr>
      <w:r w:rsidRPr="004F216E">
        <w:rPr>
          <w:rStyle w:val="FootnoteReference"/>
          <w:lang w:val="fr-CA"/>
        </w:rPr>
        <w:footnoteRef/>
      </w:r>
      <w:r w:rsidRPr="004F216E">
        <w:rPr>
          <w:lang w:val="fr-CA"/>
        </w:rPr>
        <w:t xml:space="preserve"> </w:t>
      </w:r>
      <w:r>
        <w:rPr>
          <w:lang w:val="fr-CA"/>
        </w:rPr>
        <w:t>Disposition reflétée à l’annexe XII au document UNEP/OzL.Pro/ExCom/75/85 (Le gouvernement du Mexique, l’ONUDI et le PNUD ont été invités à remettre chaque année des rapports périodiques sur la mise en œuvre du programme de pays de la dernière tranche, jusqu’à l’achèvement du projet</w:t>
      </w:r>
      <w:r w:rsidRPr="004F216E">
        <w:rPr>
          <w:lang w:val="fr-CA"/>
        </w:rPr>
        <w:t>).</w:t>
      </w:r>
    </w:p>
  </w:footnote>
  <w:footnote w:id="29">
    <w:p w14:paraId="17B4FE51" w14:textId="77777777" w:rsidR="0074773B" w:rsidRPr="004F216E" w:rsidRDefault="0074773B" w:rsidP="00937816">
      <w:pPr>
        <w:pStyle w:val="FootnoteText"/>
        <w:rPr>
          <w:lang w:val="fr-CA"/>
        </w:rPr>
      </w:pPr>
      <w:r w:rsidRPr="004F216E">
        <w:rPr>
          <w:rStyle w:val="FootnoteReference"/>
          <w:lang w:val="fr-CA"/>
        </w:rPr>
        <w:footnoteRef/>
      </w:r>
      <w:r w:rsidRPr="004F216E">
        <w:rPr>
          <w:lang w:val="fr-CA"/>
        </w:rPr>
        <w:t xml:space="preserve"> Annex</w:t>
      </w:r>
      <w:r>
        <w:rPr>
          <w:lang w:val="fr-CA"/>
        </w:rPr>
        <w:t>e</w:t>
      </w:r>
      <w:r w:rsidRPr="004F216E">
        <w:rPr>
          <w:lang w:val="fr-CA"/>
        </w:rPr>
        <w:t xml:space="preserve"> IV </w:t>
      </w:r>
      <w:r>
        <w:rPr>
          <w:lang w:val="fr-CA"/>
        </w:rPr>
        <w:t>au</w:t>
      </w:r>
      <w:r w:rsidRPr="004F216E">
        <w:rPr>
          <w:lang w:val="fr-CA"/>
        </w:rPr>
        <w:t xml:space="preserve"> document UNEP/OzL.Pro/ExCom/86/4</w:t>
      </w:r>
    </w:p>
  </w:footnote>
  <w:footnote w:id="30">
    <w:p w14:paraId="158D1BA1" w14:textId="77777777" w:rsidR="0074773B" w:rsidRPr="00023070" w:rsidRDefault="0074773B" w:rsidP="00937816">
      <w:pPr>
        <w:pStyle w:val="FootnoteText"/>
        <w:rPr>
          <w:lang w:val="es-419"/>
        </w:rPr>
      </w:pPr>
      <w:r>
        <w:rPr>
          <w:rStyle w:val="FootnoteReference"/>
        </w:rPr>
        <w:footnoteRef/>
      </w:r>
      <w:r w:rsidRPr="009E4A04">
        <w:rPr>
          <w:lang w:val="es-419"/>
        </w:rPr>
        <w:t xml:space="preserve"> </w:t>
      </w:r>
      <w:r w:rsidRPr="00023070">
        <w:rPr>
          <w:lang w:val="es-419"/>
        </w:rPr>
        <w:t>MEX/PHA/64/INV/157</w:t>
      </w:r>
    </w:p>
  </w:footnote>
  <w:footnote w:id="31">
    <w:p w14:paraId="6169BDC9" w14:textId="77777777" w:rsidR="0074773B" w:rsidRPr="00023070" w:rsidRDefault="0074773B" w:rsidP="00937816">
      <w:pPr>
        <w:pStyle w:val="FootnoteText"/>
        <w:rPr>
          <w:lang w:val="es-419"/>
        </w:rPr>
      </w:pPr>
      <w:r w:rsidRPr="00B81952">
        <w:rPr>
          <w:rStyle w:val="FootnoteReference"/>
          <w:lang w:val="fr-CA"/>
        </w:rPr>
        <w:footnoteRef/>
      </w:r>
      <w:r w:rsidRPr="00023070">
        <w:rPr>
          <w:lang w:val="es-419"/>
        </w:rPr>
        <w:t xml:space="preserve"> MEX/PHA/75/TAS/144</w:t>
      </w:r>
    </w:p>
  </w:footnote>
  <w:footnote w:id="32">
    <w:p w14:paraId="30A2C11B" w14:textId="77777777" w:rsidR="0074773B" w:rsidRPr="00B81952" w:rsidRDefault="0074773B" w:rsidP="00937816">
      <w:pPr>
        <w:pStyle w:val="FootnoteText"/>
        <w:rPr>
          <w:lang w:val="fr-CA"/>
        </w:rPr>
      </w:pPr>
      <w:r w:rsidRPr="00B81952">
        <w:rPr>
          <w:rStyle w:val="FootnoteReference"/>
          <w:lang w:val="fr-CA"/>
        </w:rPr>
        <w:footnoteRef/>
      </w:r>
      <w:r w:rsidRPr="00B81952">
        <w:rPr>
          <w:lang w:val="fr-CA"/>
        </w:rPr>
        <w:t xml:space="preserve"> </w:t>
      </w:r>
      <w:r>
        <w:rPr>
          <w:lang w:val="fr-CA"/>
        </w:rPr>
        <w:t>Approuvé à la 83</w:t>
      </w:r>
      <w:r w:rsidRPr="00B81952">
        <w:rPr>
          <w:vertAlign w:val="superscript"/>
          <w:lang w:val="fr-CA"/>
        </w:rPr>
        <w:t>e</w:t>
      </w:r>
      <w:r>
        <w:rPr>
          <w:lang w:val="fr-CA"/>
        </w:rPr>
        <w:t xml:space="preserve"> réunion pour la somme totale de 35 000 $US plus les coûts d’appui à l’agence de 2 625 $US pour l’ONUDI</w:t>
      </w:r>
      <w:r w:rsidRPr="00B81952">
        <w:rPr>
          <w:lang w:val="fr-CA"/>
        </w:rPr>
        <w:t xml:space="preserve">. </w:t>
      </w:r>
    </w:p>
  </w:footnote>
  <w:footnote w:id="33">
    <w:p w14:paraId="6ED6F0AA" w14:textId="77777777" w:rsidR="0074773B" w:rsidRPr="00B81952" w:rsidRDefault="0074773B" w:rsidP="00937816">
      <w:pPr>
        <w:pStyle w:val="FootnoteText"/>
        <w:rPr>
          <w:lang w:val="fr-CA"/>
        </w:rPr>
      </w:pPr>
      <w:r w:rsidRPr="00B81952">
        <w:rPr>
          <w:rStyle w:val="FootnoteReference"/>
          <w:lang w:val="fr-CA"/>
        </w:rPr>
        <w:footnoteRef/>
      </w:r>
      <w:r w:rsidRPr="00B81952">
        <w:rPr>
          <w:lang w:val="fr-CA"/>
        </w:rPr>
        <w:t xml:space="preserve"> </w:t>
      </w:r>
      <w:r>
        <w:rPr>
          <w:lang w:val="fr-CA"/>
        </w:rPr>
        <w:t>De demander au gouvernement du Maroc et à l’ONUDI de soumettre chaque année des rapports périodiques sur la mise en œuvre du programme de travail de la troisième et dernière tranche, jusqu’à l’achèvement du projet, des rapports de vérification jusqu’à l’approbation de la phase II du PGEH et le rapport d’achèvement de projet à la première réunion du Comité exécutif de 2022</w:t>
      </w:r>
      <w:r w:rsidRPr="00B81952">
        <w:rPr>
          <w:lang w:val="fr-CA"/>
        </w:rPr>
        <w:t>.</w:t>
      </w:r>
    </w:p>
  </w:footnote>
  <w:footnote w:id="34">
    <w:p w14:paraId="46DB8B04" w14:textId="77777777" w:rsidR="0074773B" w:rsidRPr="00084BC9" w:rsidRDefault="0074773B" w:rsidP="00937816">
      <w:pPr>
        <w:pStyle w:val="FootnoteText"/>
        <w:rPr>
          <w:lang w:val="fr-CA"/>
        </w:rPr>
      </w:pPr>
      <w:r>
        <w:rPr>
          <w:rStyle w:val="FootnoteReference"/>
        </w:rPr>
        <w:footnoteRef/>
      </w:r>
      <w:r w:rsidRPr="00084BC9">
        <w:rPr>
          <w:lang w:val="fr-CA"/>
        </w:rPr>
        <w:t xml:space="preserve"> </w:t>
      </w:r>
      <w:r>
        <w:rPr>
          <w:lang w:val="fr-CA"/>
        </w:rPr>
        <w:t>Rapport de la quatre-vingt-troisième réunion du Comité exécutif</w:t>
      </w:r>
    </w:p>
  </w:footnote>
  <w:footnote w:id="35">
    <w:p w14:paraId="6F70E999" w14:textId="77777777" w:rsidR="0074773B" w:rsidRPr="00084BC9" w:rsidRDefault="0074773B" w:rsidP="00937816">
      <w:pPr>
        <w:pStyle w:val="FootnoteText"/>
        <w:rPr>
          <w:lang w:val="fr-CA"/>
        </w:rPr>
      </w:pPr>
      <w:r w:rsidRPr="00084BC9">
        <w:rPr>
          <w:rStyle w:val="FootnoteReference"/>
          <w:lang w:val="fr-CA"/>
        </w:rPr>
        <w:footnoteRef/>
      </w:r>
      <w:r w:rsidRPr="00084BC9">
        <w:rPr>
          <w:lang w:val="fr-CA"/>
        </w:rPr>
        <w:t xml:space="preserve"> </w:t>
      </w:r>
      <w:r>
        <w:rPr>
          <w:lang w:val="fr-CA"/>
        </w:rPr>
        <w:t xml:space="preserve">Également reflété dans le </w:t>
      </w:r>
      <w:proofErr w:type="spellStart"/>
      <w:r>
        <w:rPr>
          <w:lang w:val="fr-CA"/>
        </w:rPr>
        <w:t>corrigendum</w:t>
      </w:r>
      <w:proofErr w:type="spellEnd"/>
      <w:r w:rsidRPr="00084BC9">
        <w:rPr>
          <w:lang w:val="fr-CA"/>
        </w:rPr>
        <w:t xml:space="preserve"> UNEP/</w:t>
      </w:r>
      <w:proofErr w:type="spellStart"/>
      <w:r w:rsidRPr="00084BC9">
        <w:rPr>
          <w:lang w:val="fr-CA"/>
        </w:rPr>
        <w:t>OzL.Pro</w:t>
      </w:r>
      <w:proofErr w:type="spellEnd"/>
      <w:r w:rsidRPr="00084BC9">
        <w:rPr>
          <w:lang w:val="fr-CA"/>
        </w:rPr>
        <w:t>/</w:t>
      </w:r>
      <w:proofErr w:type="spellStart"/>
      <w:r w:rsidRPr="00084BC9">
        <w:rPr>
          <w:lang w:val="fr-CA"/>
        </w:rPr>
        <w:t>ExCom</w:t>
      </w:r>
      <w:proofErr w:type="spellEnd"/>
      <w:r w:rsidRPr="00084BC9">
        <w:rPr>
          <w:lang w:val="fr-CA"/>
        </w:rPr>
        <w:t>/83/48/Corr.3</w:t>
      </w:r>
    </w:p>
  </w:footnote>
  <w:footnote w:id="36">
    <w:p w14:paraId="59BE87EB" w14:textId="77777777" w:rsidR="0074773B" w:rsidRPr="00084BC9" w:rsidRDefault="0074773B" w:rsidP="00937816">
      <w:pPr>
        <w:pStyle w:val="FootnoteText"/>
        <w:rPr>
          <w:lang w:val="fr-CA"/>
        </w:rPr>
      </w:pPr>
      <w:r w:rsidRPr="00084BC9">
        <w:rPr>
          <w:rStyle w:val="FootnoteReference"/>
          <w:lang w:val="fr-CA"/>
        </w:rPr>
        <w:footnoteRef/>
      </w:r>
      <w:r w:rsidRPr="00084BC9">
        <w:rPr>
          <w:lang w:val="fr-CA"/>
        </w:rPr>
        <w:t xml:space="preserve"> UNEP/OzL.Pro/ExCom/62/42.</w:t>
      </w:r>
    </w:p>
  </w:footnote>
  <w:footnote w:id="37">
    <w:p w14:paraId="7D712D97" w14:textId="77777777" w:rsidR="0074773B" w:rsidRPr="00084BC9" w:rsidRDefault="0074773B" w:rsidP="00937816">
      <w:pPr>
        <w:pStyle w:val="FootnoteText"/>
        <w:rPr>
          <w:lang w:val="fr-CA"/>
        </w:rPr>
      </w:pPr>
      <w:r w:rsidRPr="00084BC9">
        <w:rPr>
          <w:rStyle w:val="FootnoteReference"/>
          <w:lang w:val="fr-CA"/>
        </w:rPr>
        <w:footnoteRef/>
      </w:r>
      <w:r w:rsidRPr="00084BC9">
        <w:rPr>
          <w:lang w:val="fr-CA"/>
        </w:rPr>
        <w:t xml:space="preserve"> UNEP/OzL.Pro/ExCom/86/63.</w:t>
      </w:r>
    </w:p>
  </w:footnote>
  <w:footnote w:id="38">
    <w:p w14:paraId="79EEF748" w14:textId="77777777" w:rsidR="0074773B" w:rsidRPr="008F77EA" w:rsidRDefault="0074773B" w:rsidP="00937816">
      <w:pPr>
        <w:pStyle w:val="FootnoteText"/>
        <w:rPr>
          <w:lang w:val="fr-CA"/>
        </w:rPr>
      </w:pPr>
      <w:r>
        <w:rPr>
          <w:rStyle w:val="FootnoteReference"/>
        </w:rPr>
        <w:footnoteRef/>
      </w:r>
      <w:r w:rsidRPr="008F77EA">
        <w:rPr>
          <w:lang w:val="fr-CA"/>
        </w:rPr>
        <w:t xml:space="preserve"> UNEP/OzL.Pro/ExCom/63/46 et annexe XXI au document UNEP/OzL.Pro/ExCom/63/60.</w:t>
      </w:r>
    </w:p>
  </w:footnote>
  <w:footnote w:id="39">
    <w:p w14:paraId="5F91880E" w14:textId="77777777" w:rsidR="0074773B" w:rsidRPr="00937816" w:rsidRDefault="0074773B" w:rsidP="00937816">
      <w:pPr>
        <w:pStyle w:val="FootnoteText"/>
        <w:tabs>
          <w:tab w:val="center" w:pos="4680"/>
        </w:tabs>
        <w:rPr>
          <w:lang w:val="fr-CA"/>
        </w:rPr>
      </w:pPr>
      <w:r>
        <w:rPr>
          <w:rStyle w:val="FootnoteReference"/>
        </w:rPr>
        <w:footnoteRef/>
      </w:r>
      <w:r w:rsidRPr="00937816">
        <w:rPr>
          <w:lang w:val="fr-CA"/>
        </w:rPr>
        <w:t xml:space="preserve"> UNEP/OzL.Pro/ExCom/85/42</w:t>
      </w:r>
    </w:p>
  </w:footnote>
  <w:footnote w:id="40">
    <w:p w14:paraId="6D1D6783" w14:textId="77777777" w:rsidR="0074773B" w:rsidRPr="00937816" w:rsidRDefault="0074773B" w:rsidP="00937816">
      <w:pPr>
        <w:pStyle w:val="FootnoteText"/>
        <w:rPr>
          <w:lang w:val="fr-CA"/>
        </w:rPr>
      </w:pPr>
      <w:r>
        <w:rPr>
          <w:rStyle w:val="FootnoteReference"/>
        </w:rPr>
        <w:footnoteRef/>
      </w:r>
      <w:r w:rsidRPr="00937816">
        <w:rPr>
          <w:lang w:val="fr-CA"/>
        </w:rPr>
        <w:t xml:space="preserve"> UNEP/OzL.Pro/ExCom/86/67</w:t>
      </w:r>
    </w:p>
  </w:footnote>
  <w:footnote w:id="41">
    <w:p w14:paraId="1C18F20C" w14:textId="77777777" w:rsidR="0074773B" w:rsidRPr="00635058" w:rsidRDefault="0074773B" w:rsidP="00937816">
      <w:pPr>
        <w:pStyle w:val="FootnoteText"/>
        <w:rPr>
          <w:lang w:val="fr-CA"/>
        </w:rPr>
      </w:pPr>
      <w:r>
        <w:rPr>
          <w:rStyle w:val="FootnoteReference"/>
        </w:rPr>
        <w:footnoteRef/>
      </w:r>
      <w:r w:rsidRPr="00937816">
        <w:rPr>
          <w:lang w:val="fr-CA"/>
        </w:rPr>
        <w:t xml:space="preserve"> </w:t>
      </w:r>
      <w:r w:rsidRPr="008150E1">
        <w:rPr>
          <w:lang w:val="fr-CA"/>
        </w:rPr>
        <w:t xml:space="preserve">Sauf pour Nauru et </w:t>
      </w:r>
      <w:proofErr w:type="spellStart"/>
      <w:r w:rsidRPr="008150E1">
        <w:rPr>
          <w:lang w:val="fr-CA"/>
        </w:rPr>
        <w:t>Nioué</w:t>
      </w:r>
      <w:proofErr w:type="spellEnd"/>
      <w:r w:rsidRPr="008150E1">
        <w:rPr>
          <w:lang w:val="fr-CA"/>
        </w:rPr>
        <w:t>, qui ont convenu que toutes les sommes approuvées pour la troisième (et dernière) tranche seront conservées par le PNUE afin de payer les déplacements des experts qui offriront des ateliers locaux ou des stagiaires de Nauru/</w:t>
      </w:r>
      <w:proofErr w:type="spellStart"/>
      <w:r w:rsidRPr="008150E1">
        <w:rPr>
          <w:lang w:val="fr-CA"/>
        </w:rPr>
        <w:t>Nioué</w:t>
      </w:r>
      <w:proofErr w:type="spellEnd"/>
      <w:r w:rsidRPr="008150E1">
        <w:rPr>
          <w:lang w:val="fr-CA"/>
        </w:rPr>
        <w:t xml:space="preserve"> qui iront participer à l’atelier dans d’autres pays au titre du cadre de coopération Sud-Sud</w:t>
      </w:r>
      <w:r>
        <w:rPr>
          <w:lang w:val="fr-CA"/>
        </w:rPr>
        <w:t>.</w:t>
      </w:r>
      <w:r w:rsidRPr="00635058">
        <w:rPr>
          <w:lang w:val="fr-CA"/>
        </w:rPr>
        <w:t xml:space="preserve">  </w:t>
      </w:r>
    </w:p>
  </w:footnote>
  <w:footnote w:id="42">
    <w:p w14:paraId="41DC2311" w14:textId="7C575561" w:rsidR="0074773B" w:rsidRPr="00862201" w:rsidRDefault="0074773B" w:rsidP="00825F3F">
      <w:pPr>
        <w:pStyle w:val="FootnoteText"/>
        <w:rPr>
          <w:lang w:val="fr-CA"/>
        </w:rPr>
      </w:pPr>
      <w:r w:rsidRPr="00142242">
        <w:rPr>
          <w:rStyle w:val="FootnoteReference"/>
          <w:lang w:val="fr-CA"/>
        </w:rPr>
        <w:footnoteRef/>
      </w:r>
      <w:r w:rsidRPr="00142242">
        <w:rPr>
          <w:lang w:val="fr-CA"/>
        </w:rPr>
        <w:t xml:space="preserve"> </w:t>
      </w:r>
      <w:r w:rsidRPr="00862201">
        <w:rPr>
          <w:lang w:val="fr-CA"/>
        </w:rPr>
        <w:t>La phase II du PGEH a été approuvée à la 80</w:t>
      </w:r>
      <w:r w:rsidRPr="00862201">
        <w:rPr>
          <w:vertAlign w:val="superscript"/>
          <w:lang w:val="fr-CA"/>
        </w:rPr>
        <w:t>e</w:t>
      </w:r>
      <w:r w:rsidRPr="00862201">
        <w:rPr>
          <w:lang w:val="fr-CA"/>
        </w:rPr>
        <w:t xml:space="preserve"> réunion afin d’atteindre l’objectif de réduction de 50 pour cent des HCFC avant 2021, pour la somme totale de 2 750 057 $US plus les coûts d’appui à l’agence de 192 504 $US pour la Banque mondiale. L’Accord a été révisé à la 83</w:t>
      </w:r>
      <w:r w:rsidRPr="00862201">
        <w:rPr>
          <w:vertAlign w:val="superscript"/>
          <w:lang w:val="fr-CA"/>
        </w:rPr>
        <w:t>e</w:t>
      </w:r>
      <w:r w:rsidRPr="00862201">
        <w:rPr>
          <w:lang w:val="fr-CA"/>
        </w:rPr>
        <w:t xml:space="preserve"> réunion afin de transférer à l’ONUDI toutes les activités d’élimination prévues à la phase II (annexe IV au document UNEP/OzL.Pro/ExCom/83/48). </w:t>
      </w:r>
    </w:p>
  </w:footnote>
  <w:footnote w:id="43">
    <w:p w14:paraId="353A15AC" w14:textId="2B9751D8" w:rsidR="0074773B" w:rsidRPr="00331D3E" w:rsidRDefault="0074773B" w:rsidP="00825F3F">
      <w:pPr>
        <w:pStyle w:val="FootnoteText"/>
        <w:rPr>
          <w:lang w:val="fr-CA"/>
        </w:rPr>
      </w:pPr>
      <w:r>
        <w:rPr>
          <w:rStyle w:val="FootnoteReference"/>
        </w:rPr>
        <w:footnoteRef/>
      </w:r>
      <w:r w:rsidRPr="00331D3E">
        <w:rPr>
          <w:lang w:val="fr-CA"/>
        </w:rPr>
        <w:t xml:space="preserve"> DAO 2013-25 aussi appelé Ordre révisé de contrôle des produits chimiques pour les SAO </w:t>
      </w:r>
    </w:p>
  </w:footnote>
  <w:footnote w:id="44">
    <w:p w14:paraId="105E40CD" w14:textId="77777777" w:rsidR="0074773B" w:rsidRPr="00F660D5" w:rsidRDefault="0074773B" w:rsidP="00825F3F">
      <w:pPr>
        <w:pStyle w:val="FootnoteText"/>
        <w:rPr>
          <w:lang w:val="fr-CA"/>
        </w:rPr>
      </w:pPr>
      <w:r>
        <w:rPr>
          <w:rStyle w:val="FootnoteReference"/>
        </w:rPr>
        <w:footnoteRef/>
      </w:r>
      <w:r w:rsidRPr="00EB3C61">
        <w:rPr>
          <w:lang w:val="fr-CA"/>
        </w:rPr>
        <w:t xml:space="preserve"> </w:t>
      </w:r>
      <w:r w:rsidRPr="00F660D5">
        <w:rPr>
          <w:lang w:val="fr-CA"/>
        </w:rPr>
        <w:t>UNEP/OzL.Pro/ExCom/80/48</w:t>
      </w:r>
    </w:p>
  </w:footnote>
  <w:footnote w:id="45">
    <w:p w14:paraId="0AE8BFBC" w14:textId="6797B786" w:rsidR="0074773B" w:rsidRPr="00F660D5" w:rsidRDefault="0074773B" w:rsidP="00825F3F">
      <w:pPr>
        <w:pStyle w:val="FootnoteText"/>
        <w:rPr>
          <w:lang w:val="fr-CA"/>
        </w:rPr>
      </w:pPr>
      <w:r w:rsidRPr="00F660D5">
        <w:rPr>
          <w:rStyle w:val="FootnoteReference"/>
          <w:lang w:val="fr-CA"/>
        </w:rPr>
        <w:footnoteRef/>
      </w:r>
      <w:r w:rsidRPr="00F660D5">
        <w:rPr>
          <w:lang w:val="fr-CA"/>
        </w:rPr>
        <w:t xml:space="preserve"> </w:t>
      </w:r>
      <w:r>
        <w:rPr>
          <w:lang w:val="fr-CA"/>
        </w:rPr>
        <w:t>Conformément à la lettre du ministère de l’Environnement et des Ressources naturelles des Philippines à l’ONUDI</w:t>
      </w:r>
      <w:r w:rsidRPr="00F660D5">
        <w:rPr>
          <w:lang w:val="fr-CA"/>
        </w:rPr>
        <w:t>.</w:t>
      </w:r>
    </w:p>
  </w:footnote>
  <w:footnote w:id="46">
    <w:p w14:paraId="78A52848" w14:textId="77777777" w:rsidR="0074773B" w:rsidRPr="00EB3C61" w:rsidRDefault="0074773B" w:rsidP="00825F3F">
      <w:pPr>
        <w:pStyle w:val="FootnoteText"/>
        <w:rPr>
          <w:lang w:val="fr-CA"/>
        </w:rPr>
      </w:pPr>
      <w:r>
        <w:rPr>
          <w:rStyle w:val="FootnoteReference"/>
        </w:rPr>
        <w:footnoteRef/>
      </w:r>
      <w:r w:rsidRPr="00EB3C61">
        <w:rPr>
          <w:lang w:val="fr-CA"/>
        </w:rPr>
        <w:t xml:space="preserve"> UNEP/OzL.Pro/ExCom/85/52</w:t>
      </w:r>
    </w:p>
  </w:footnote>
  <w:footnote w:id="47">
    <w:p w14:paraId="73075474" w14:textId="13D75682" w:rsidR="0074773B" w:rsidRPr="000C5487" w:rsidRDefault="0074773B" w:rsidP="00825F3F">
      <w:pPr>
        <w:pStyle w:val="FootnoteText"/>
        <w:rPr>
          <w:lang w:val="fr-CA"/>
        </w:rPr>
      </w:pPr>
      <w:r>
        <w:rPr>
          <w:rStyle w:val="FootnoteReference"/>
        </w:rPr>
        <w:footnoteRef/>
      </w:r>
      <w:r w:rsidRPr="000C5487">
        <w:rPr>
          <w:lang w:val="fr-CA"/>
        </w:rPr>
        <w:t xml:space="preserve"> UNEP/OzL.Pro/ExCom/77/67 et annexe XXIV au document UNEP/OzL.Pro/ExCom/77/76.</w:t>
      </w:r>
    </w:p>
  </w:footnote>
  <w:footnote w:id="48">
    <w:p w14:paraId="7B3FE18B" w14:textId="77777777" w:rsidR="0074773B" w:rsidRPr="00023070" w:rsidRDefault="0074773B" w:rsidP="00825F3F">
      <w:pPr>
        <w:pStyle w:val="FootnoteText"/>
        <w:rPr>
          <w:lang w:val="fr-CA"/>
        </w:rPr>
      </w:pPr>
      <w:r>
        <w:rPr>
          <w:rStyle w:val="FootnoteReference"/>
        </w:rPr>
        <w:footnoteRef/>
      </w:r>
      <w:r w:rsidRPr="00023070">
        <w:rPr>
          <w:lang w:val="fr-CA"/>
        </w:rPr>
        <w:t xml:space="preserve"> UNEP/OzL.Pro/ExCom/86/80</w:t>
      </w:r>
    </w:p>
  </w:footnote>
  <w:footnote w:id="49">
    <w:p w14:paraId="5CBC97FE" w14:textId="5ED29A30" w:rsidR="0074773B" w:rsidRPr="007257C2" w:rsidRDefault="0074773B" w:rsidP="00825F3F">
      <w:pPr>
        <w:pStyle w:val="FootnoteText"/>
        <w:rPr>
          <w:lang w:val="fr-CA"/>
        </w:rPr>
      </w:pPr>
      <w:r>
        <w:rPr>
          <w:rStyle w:val="FootnoteReference"/>
        </w:rPr>
        <w:footnoteRef/>
      </w:r>
      <w:r w:rsidRPr="007257C2">
        <w:rPr>
          <w:lang w:val="fr-CA"/>
        </w:rPr>
        <w:t xml:space="preserve"> </w:t>
      </w:r>
      <w:r>
        <w:rPr>
          <w:lang w:val="fr-CA"/>
        </w:rPr>
        <w:t>De maintenir la période de mise en œuvre de 18 mois pour ces projets lors de l’approbation des activités de facilitation, conformément à la décision 79/46 d) iii) et, si nécessaire, de prolonger cette période d’un maximum de 12 mois (pour un total de 30 mois suivant l’approbation du projet), lorsque qu’une demande officielle de prorogation est reçue par le Secrétariat.</w:t>
      </w:r>
    </w:p>
  </w:footnote>
  <w:footnote w:id="50">
    <w:p w14:paraId="4A1FC6E9" w14:textId="56D9A25F" w:rsidR="0074773B" w:rsidRPr="007C3C11" w:rsidRDefault="0074773B" w:rsidP="00825F3F">
      <w:pPr>
        <w:pStyle w:val="Heading1"/>
        <w:numPr>
          <w:ilvl w:val="0"/>
          <w:numId w:val="0"/>
        </w:numPr>
        <w:spacing w:after="0"/>
        <w:rPr>
          <w:lang w:val="fr-CA"/>
        </w:rPr>
      </w:pPr>
      <w:r>
        <w:rPr>
          <w:rStyle w:val="FootnoteReference"/>
          <w:sz w:val="20"/>
          <w:szCs w:val="20"/>
          <w:lang w:val="fr-CA"/>
        </w:rPr>
        <w:t>L</w:t>
      </w:r>
      <w:proofErr w:type="gramStart"/>
      <w:r>
        <w:rPr>
          <w:sz w:val="20"/>
          <w:szCs w:val="20"/>
          <w:lang w:val="fr-CA"/>
        </w:rPr>
        <w:t>e</w:t>
      </w:r>
      <w:proofErr w:type="gramEnd"/>
      <w:r>
        <w:rPr>
          <w:sz w:val="20"/>
          <w:szCs w:val="20"/>
          <w:lang w:val="fr-CA"/>
        </w:rPr>
        <w:t xml:space="preserve"> Comité exécutif a décidé de maintenir la période de mise en œuvre de 18 mois pour les activités de facilitation et, si nécessaire, de prolonger cette période d’un maximum de 12 mois (pour un total de 30 mois suivant l’approbation), lorsqu’une demande officielle de prorogation est reçue par le Secrétariat</w:t>
      </w:r>
    </w:p>
  </w:footnote>
  <w:footnote w:id="51">
    <w:p w14:paraId="401EB81A" w14:textId="40E4D8AA" w:rsidR="0074773B" w:rsidRPr="000B1DFB" w:rsidRDefault="0074773B" w:rsidP="00825F3F">
      <w:pPr>
        <w:pStyle w:val="FootnoteText"/>
        <w:rPr>
          <w:lang w:val="fr-CA"/>
        </w:rPr>
      </w:pPr>
      <w:r>
        <w:rPr>
          <w:rStyle w:val="FootnoteReference"/>
        </w:rPr>
        <w:footnoteRef/>
      </w:r>
      <w:r w:rsidRPr="000B1DFB">
        <w:rPr>
          <w:lang w:val="fr-CA"/>
        </w:rPr>
        <w:t xml:space="preserve"> </w:t>
      </w:r>
      <w:r>
        <w:rPr>
          <w:lang w:val="fr-CA"/>
        </w:rPr>
        <w:t>Le Comité du Conseil de sécurité des Nations Unies, établi en réponse à la résolution 1718, a été consulté avant la présentation de la phase I du PGEH, afin de déterminer si l’équipement ou tout autre service offert au titre du PGEH pouvait être offert au pays.</w:t>
      </w:r>
    </w:p>
  </w:footnote>
  <w:footnote w:id="52">
    <w:p w14:paraId="7589A704" w14:textId="3B6C1BDA" w:rsidR="0074773B" w:rsidRPr="00D83831" w:rsidRDefault="0074773B" w:rsidP="00825F3F">
      <w:pPr>
        <w:pStyle w:val="FootnoteText"/>
        <w:rPr>
          <w:lang w:val="en-CA"/>
        </w:rPr>
      </w:pPr>
      <w:r>
        <w:rPr>
          <w:rStyle w:val="FootnoteReference"/>
        </w:rPr>
        <w:footnoteRef/>
      </w:r>
      <w:r>
        <w:t xml:space="preserve"> </w:t>
      </w:r>
      <w:r w:rsidRPr="004A6B5E">
        <w:rPr>
          <w:lang w:val="fr-CA"/>
        </w:rPr>
        <w:t>Du 23 au 27 novembre 2020</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17E9" w14:textId="3FF1E53A" w:rsidR="0074773B" w:rsidRPr="0033525D" w:rsidRDefault="009E1019">
    <w:r>
      <w:fldChar w:fldCharType="begin"/>
    </w:r>
    <w:r>
      <w:instrText xml:space="preserve"> DOCPROPERTY "Document number"  \* MERGEFORMAT </w:instrText>
    </w:r>
    <w:r>
      <w:fldChar w:fldCharType="separate"/>
    </w:r>
    <w:r w:rsidR="0074773B">
      <w:t>UNEP/</w:t>
    </w:r>
    <w:proofErr w:type="spellStart"/>
    <w:r w:rsidR="0074773B">
      <w:t>OzL.Pro</w:t>
    </w:r>
    <w:proofErr w:type="spellEnd"/>
    <w:r w:rsidR="0074773B">
      <w:t>/</w:t>
    </w:r>
    <w:proofErr w:type="spellStart"/>
    <w:r w:rsidR="0074773B">
      <w:t>ExCom</w:t>
    </w:r>
    <w:proofErr w:type="spellEnd"/>
    <w:r w:rsidR="0074773B">
      <w:t>/87/9</w:t>
    </w:r>
    <w:r>
      <w:fldChar w:fldCharType="end"/>
    </w:r>
  </w:p>
  <w:p w14:paraId="749B0E52" w14:textId="12D1738F" w:rsidR="0074773B" w:rsidRDefault="0074773B"/>
  <w:p w14:paraId="084ADF96" w14:textId="77777777" w:rsidR="0074773B" w:rsidRPr="0033525D" w:rsidRDefault="0074773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137B" w14:textId="77777777" w:rsidR="009E1019" w:rsidRPr="0033525D" w:rsidRDefault="003446ED">
    <w:r>
      <w:fldChar w:fldCharType="begin"/>
    </w:r>
    <w:r>
      <w:instrText xml:space="preserve"> DOCPROPERTY "Document number"  \* MERGEFORMAT </w:instrText>
    </w:r>
    <w:r>
      <w:fldChar w:fldCharType="separate"/>
    </w:r>
    <w:r w:rsidR="009E1019">
      <w:t>UNEP/OzL.Pro/ExCom/87/9</w:t>
    </w:r>
    <w:r>
      <w:fldChar w:fldCharType="end"/>
    </w:r>
  </w:p>
  <w:p w14:paraId="636E3105" w14:textId="35DC0C66" w:rsidR="009E1019" w:rsidRDefault="009E1019">
    <w:r>
      <w:t>Annexe V</w:t>
    </w:r>
  </w:p>
  <w:p w14:paraId="155B76C5" w14:textId="77777777" w:rsidR="009E1019" w:rsidRPr="0033525D" w:rsidRDefault="009E1019"/>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63B0"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52D514FA" w14:textId="1A18D30C" w:rsidR="00BF17C8" w:rsidRDefault="00BF17C8" w:rsidP="00E92CFE">
    <w:pPr>
      <w:jc w:val="right"/>
    </w:pPr>
    <w:r>
      <w:t>Annexe V</w:t>
    </w:r>
  </w:p>
  <w:p w14:paraId="5392A3F2" w14:textId="77777777" w:rsidR="00BF17C8" w:rsidRPr="0033525D" w:rsidRDefault="00BF17C8" w:rsidP="00E92CF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79CD" w14:textId="77777777" w:rsidR="009E1019" w:rsidRPr="0033525D" w:rsidRDefault="003446ED">
    <w:r>
      <w:fldChar w:fldCharType="begin"/>
    </w:r>
    <w:r>
      <w:instrText xml:space="preserve"> D</w:instrText>
    </w:r>
    <w:r>
      <w:instrText xml:space="preserve">OCPROPERTY "Document number"  \* MERGEFORMAT </w:instrText>
    </w:r>
    <w:r>
      <w:fldChar w:fldCharType="separate"/>
    </w:r>
    <w:r w:rsidR="009E1019">
      <w:t>UNEP/OzL.Pro/ExCom/87/9</w:t>
    </w:r>
    <w:r>
      <w:fldChar w:fldCharType="end"/>
    </w:r>
  </w:p>
  <w:p w14:paraId="1E987675" w14:textId="3D041DA8" w:rsidR="009E1019" w:rsidRDefault="009E1019">
    <w:r>
      <w:t>Annexe VI</w:t>
    </w:r>
  </w:p>
  <w:p w14:paraId="5A0516D5" w14:textId="77777777" w:rsidR="009E1019" w:rsidRPr="0033525D" w:rsidRDefault="009E1019"/>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51A9" w14:textId="77777777" w:rsidR="009E1019" w:rsidRPr="0033525D" w:rsidRDefault="003446ED" w:rsidP="0070646B">
    <w:pPr>
      <w:jc w:val="right"/>
    </w:pPr>
    <w:r>
      <w:fldChar w:fldCharType="begin"/>
    </w:r>
    <w:r>
      <w:instrText xml:space="preserve"> DOCPROPERTY "Document number"  \* MERGEFORMAT </w:instrText>
    </w:r>
    <w:r>
      <w:fldChar w:fldCharType="separate"/>
    </w:r>
    <w:r w:rsidR="009E1019">
      <w:t>UNEP/OzL.Pro/ExCom/87/9</w:t>
    </w:r>
    <w:r>
      <w:fldChar w:fldCharType="end"/>
    </w:r>
  </w:p>
  <w:p w14:paraId="68B5A4DF" w14:textId="400397A2" w:rsidR="009E1019" w:rsidRDefault="009E1019" w:rsidP="009E1019">
    <w:pPr>
      <w:pStyle w:val="Header"/>
      <w:jc w:val="right"/>
    </w:pPr>
    <w:r>
      <w:t>Annexe VI</w:t>
    </w:r>
  </w:p>
  <w:p w14:paraId="1B82EF1B" w14:textId="77777777" w:rsidR="009E1019" w:rsidRPr="0033525D" w:rsidRDefault="009E1019">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935A"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5EBF8ACE" w14:textId="1AB492AA" w:rsidR="00BF17C8" w:rsidRDefault="00BF17C8" w:rsidP="00E92CFE">
    <w:pPr>
      <w:jc w:val="right"/>
    </w:pPr>
    <w:r>
      <w:t>Annexe VI</w:t>
    </w:r>
  </w:p>
  <w:p w14:paraId="753CF9FE" w14:textId="77777777" w:rsidR="00BF17C8" w:rsidRPr="0033525D" w:rsidRDefault="00BF17C8" w:rsidP="00E92CFE"/>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45B4" w14:textId="77777777" w:rsidR="00BF17C8" w:rsidRPr="0033525D" w:rsidRDefault="00BF17C8" w:rsidP="00BF17C8">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18A12FEE" w14:textId="7512DFED" w:rsidR="00BF17C8" w:rsidRDefault="00BF17C8" w:rsidP="00BF17C8">
    <w:pPr>
      <w:jc w:val="left"/>
    </w:pPr>
    <w:r>
      <w:t>Annexe VII</w:t>
    </w:r>
  </w:p>
  <w:p w14:paraId="7AB88A2F" w14:textId="77777777" w:rsidR="00BF17C8" w:rsidRPr="0033525D" w:rsidRDefault="00BF17C8" w:rsidP="00BF17C8">
    <w:pPr>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673B"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566C2C28" w14:textId="77777777" w:rsidR="00BF17C8" w:rsidRDefault="00BF17C8" w:rsidP="00BF17C8">
    <w:pPr>
      <w:jc w:val="right"/>
    </w:pPr>
    <w:r>
      <w:t>Annexe VII</w:t>
    </w:r>
  </w:p>
  <w:p w14:paraId="7D9D9C2A" w14:textId="77777777" w:rsidR="00BF17C8" w:rsidRPr="00BF17C8" w:rsidRDefault="00BF17C8" w:rsidP="00BF17C8">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127"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35B31D0F" w14:textId="05BC00C4" w:rsidR="00BF17C8" w:rsidRDefault="00BF17C8" w:rsidP="00BF17C8">
    <w:pPr>
      <w:jc w:val="right"/>
    </w:pPr>
    <w:r>
      <w:t>Annexe VII</w:t>
    </w:r>
  </w:p>
  <w:p w14:paraId="13F0BF1E" w14:textId="25D78630" w:rsidR="00BF17C8" w:rsidRPr="0033525D" w:rsidRDefault="00BF17C8" w:rsidP="00E92C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DA89" w14:textId="3DF3AA9A" w:rsidR="0074773B" w:rsidRPr="0033525D" w:rsidRDefault="009E1019" w:rsidP="0070646B">
    <w:pPr>
      <w:jc w:val="right"/>
    </w:pPr>
    <w:r>
      <w:fldChar w:fldCharType="begin"/>
    </w:r>
    <w:r>
      <w:instrText xml:space="preserve"> DOCPROPERTY "Document number"  \* MERGEFORMAT </w:instrText>
    </w:r>
    <w:r>
      <w:fldChar w:fldCharType="separate"/>
    </w:r>
    <w:r w:rsidR="0074773B">
      <w:t>UNEP/</w:t>
    </w:r>
    <w:proofErr w:type="spellStart"/>
    <w:r w:rsidR="0074773B">
      <w:t>OzL.Pro</w:t>
    </w:r>
    <w:proofErr w:type="spellEnd"/>
    <w:r w:rsidR="0074773B">
      <w:t>/</w:t>
    </w:r>
    <w:proofErr w:type="spellStart"/>
    <w:r w:rsidR="0074773B">
      <w:t>ExCom</w:t>
    </w:r>
    <w:proofErr w:type="spellEnd"/>
    <w:r w:rsidR="0074773B">
      <w:t>/87/9</w:t>
    </w:r>
    <w:r>
      <w:fldChar w:fldCharType="end"/>
    </w:r>
  </w:p>
  <w:p w14:paraId="0A8C8932" w14:textId="124C3582" w:rsidR="0074773B" w:rsidRDefault="0074773B">
    <w:pPr>
      <w:pStyle w:val="Header"/>
    </w:pPr>
  </w:p>
  <w:p w14:paraId="10AD7241" w14:textId="77777777" w:rsidR="0074773B" w:rsidRPr="0033525D" w:rsidRDefault="007477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DD03" w14:textId="5DA1830F" w:rsidR="0074773B" w:rsidRDefault="0074773B" w:rsidP="00E92CFE">
    <w:pPr>
      <w:jc w:val="right"/>
    </w:pPr>
  </w:p>
  <w:p w14:paraId="27D03361" w14:textId="77777777" w:rsidR="0074773B" w:rsidRPr="0033525D" w:rsidRDefault="0074773B" w:rsidP="00E92CF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30F8" w14:textId="77777777" w:rsidR="00F457F9" w:rsidRPr="0033525D" w:rsidRDefault="003446ED">
    <w:r>
      <w:fldChar w:fldCharType="begin"/>
    </w:r>
    <w:r>
      <w:instrText xml:space="preserve"> DOCPROPERTY "Document number"  \* MERGEFORMAT </w:instrText>
    </w:r>
    <w:r>
      <w:fldChar w:fldCharType="separate"/>
    </w:r>
    <w:r w:rsidR="00F457F9">
      <w:t>UNEP/OzL.Pro/ExCom/87/9</w:t>
    </w:r>
    <w:r>
      <w:fldChar w:fldCharType="end"/>
    </w:r>
  </w:p>
  <w:p w14:paraId="2930A264" w14:textId="7016003E" w:rsidR="00F457F9" w:rsidRDefault="00F457F9">
    <w:r>
      <w:t>Annexe I</w:t>
    </w:r>
  </w:p>
  <w:p w14:paraId="49D29964" w14:textId="77777777" w:rsidR="00F457F9" w:rsidRPr="0033525D" w:rsidRDefault="00F457F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F2D5"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7ECC6AA8" w14:textId="40FFB902" w:rsidR="0037190F" w:rsidRDefault="00BF17C8" w:rsidP="00E92CFE">
    <w:pPr>
      <w:jc w:val="right"/>
    </w:pPr>
    <w:r>
      <w:t>Annexe I</w:t>
    </w:r>
  </w:p>
  <w:p w14:paraId="4C687F5B" w14:textId="77777777" w:rsidR="0037190F" w:rsidRPr="0033525D" w:rsidRDefault="0037190F" w:rsidP="00E92CF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A5DE"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12E52645" w14:textId="1DF1CFB3" w:rsidR="00BF17C8" w:rsidRDefault="00BF17C8" w:rsidP="00E92CFE">
    <w:pPr>
      <w:jc w:val="right"/>
    </w:pPr>
    <w:r>
      <w:t>Annexe II</w:t>
    </w:r>
  </w:p>
  <w:p w14:paraId="7BF9D8C3" w14:textId="77777777" w:rsidR="00BF17C8" w:rsidRPr="0033525D" w:rsidRDefault="00BF17C8" w:rsidP="00E92CF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F922" w14:textId="77777777" w:rsidR="00F457F9" w:rsidRPr="0033525D" w:rsidRDefault="003446ED">
    <w:r>
      <w:fldChar w:fldCharType="begin"/>
    </w:r>
    <w:r>
      <w:instrText xml:space="preserve"> DOCPROPERTY "Document number"  \* MERGEFORMAT </w:instrText>
    </w:r>
    <w:r>
      <w:fldChar w:fldCharType="separate"/>
    </w:r>
    <w:r w:rsidR="00F457F9">
      <w:t>UNEP/OzL.Pro/ExCom/87/9</w:t>
    </w:r>
    <w:r>
      <w:fldChar w:fldCharType="end"/>
    </w:r>
  </w:p>
  <w:p w14:paraId="4B695BE0" w14:textId="548C60BC" w:rsidR="00F457F9" w:rsidRDefault="00F457F9">
    <w:r>
      <w:t>Annexe III</w:t>
    </w:r>
  </w:p>
  <w:p w14:paraId="23F68801" w14:textId="77777777" w:rsidR="00F457F9" w:rsidRPr="0033525D" w:rsidRDefault="00F457F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4E0F"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285461A7" w14:textId="612CB28A" w:rsidR="00BF17C8" w:rsidRDefault="00BF17C8" w:rsidP="00E92CFE">
    <w:pPr>
      <w:jc w:val="right"/>
    </w:pPr>
    <w:r>
      <w:t>Annexe III</w:t>
    </w:r>
  </w:p>
  <w:p w14:paraId="48331317" w14:textId="77777777" w:rsidR="00BF17C8" w:rsidRPr="0033525D" w:rsidRDefault="00BF17C8" w:rsidP="00E92CF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F0DE" w14:textId="77777777" w:rsidR="00BF17C8" w:rsidRPr="0033525D" w:rsidRDefault="00BF17C8" w:rsidP="00BF17C8">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/87/9</w:t>
    </w:r>
    <w:r>
      <w:fldChar w:fldCharType="end"/>
    </w:r>
  </w:p>
  <w:p w14:paraId="254C53FA" w14:textId="63D6DFEF" w:rsidR="00BF17C8" w:rsidRDefault="00BF17C8" w:rsidP="00E92CFE">
    <w:pPr>
      <w:jc w:val="right"/>
    </w:pPr>
    <w:r>
      <w:t>Annexe VI</w:t>
    </w:r>
  </w:p>
  <w:p w14:paraId="7C3E71A9" w14:textId="77777777" w:rsidR="00BF17C8" w:rsidRPr="0033525D" w:rsidRDefault="00BF17C8" w:rsidP="00E92C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22C6884"/>
    <w:lvl w:ilvl="0">
      <w:start w:val="1"/>
      <w:numFmt w:val="decimal"/>
      <w:pStyle w:val="Heading1"/>
      <w:lvlText w:val="%1."/>
      <w:lvlJc w:val="left"/>
      <w:pPr>
        <w:tabs>
          <w:tab w:val="num" w:pos="0"/>
        </w:tabs>
        <w:ind w:left="0" w:firstLine="0"/>
      </w:pPr>
      <w:rPr>
        <w:b w:val="0"/>
        <w:i w:val="0"/>
        <w:strike w:val="0"/>
        <w:color w:val="auto"/>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b w:val="0"/>
        <w:i w:val="0"/>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ABE5327"/>
    <w:multiLevelType w:val="hybridMultilevel"/>
    <w:tmpl w:val="E9A03E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C973FE6"/>
    <w:multiLevelType w:val="hybridMultilevel"/>
    <w:tmpl w:val="16262B7A"/>
    <w:lvl w:ilvl="0" w:tplc="FFFFFFF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13" w15:restartNumberingAfterBreak="0">
    <w:nsid w:val="2B3951E8"/>
    <w:multiLevelType w:val="hybridMultilevel"/>
    <w:tmpl w:val="E01C2C6A"/>
    <w:lvl w:ilvl="0" w:tplc="1009000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1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34A3030C"/>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463F2963"/>
    <w:multiLevelType w:val="hybridMultilevel"/>
    <w:tmpl w:val="DE26065E"/>
    <w:lvl w:ilvl="0" w:tplc="1A6AB15C">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1E14FC"/>
    <w:multiLevelType w:val="hybridMultilevel"/>
    <w:tmpl w:val="881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603BF"/>
    <w:multiLevelType w:val="hybridMultilevel"/>
    <w:tmpl w:val="65222B1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A2183B"/>
    <w:multiLevelType w:val="multilevel"/>
    <w:tmpl w:val="9AD44E3C"/>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rFonts w:ascii="Times New Roman" w:eastAsia="Times New Roman" w:hAnsi="Times New Roman" w:cs="Times New Roman"/>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529459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55C0764A"/>
    <w:multiLevelType w:val="hybridMultilevel"/>
    <w:tmpl w:val="82CC708C"/>
    <w:lvl w:ilvl="0" w:tplc="1009000F">
      <w:start w:val="1"/>
      <w:numFmt w:val="decimal"/>
      <w:lvlText w:val="%1."/>
      <w:lvlJc w:val="left"/>
      <w:pPr>
        <w:ind w:left="3960" w:hanging="360"/>
      </w:p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5" w15:restartNumberingAfterBreak="0">
    <w:nsid w:val="57883FB0"/>
    <w:multiLevelType w:val="hybridMultilevel"/>
    <w:tmpl w:val="0E6ED9E0"/>
    <w:lvl w:ilvl="0" w:tplc="1009000F">
      <w:start w:val="1"/>
      <w:numFmt w:val="decimal"/>
      <w:lvlText w:val="%1."/>
      <w:lvlJc w:val="left"/>
      <w:pPr>
        <w:ind w:left="1175" w:hanging="360"/>
      </w:pPr>
    </w:lvl>
    <w:lvl w:ilvl="1" w:tplc="10090019" w:tentative="1">
      <w:start w:val="1"/>
      <w:numFmt w:val="lowerLetter"/>
      <w:lvlText w:val="%2."/>
      <w:lvlJc w:val="left"/>
      <w:pPr>
        <w:ind w:left="1895" w:hanging="360"/>
      </w:pPr>
    </w:lvl>
    <w:lvl w:ilvl="2" w:tplc="1009001B" w:tentative="1">
      <w:start w:val="1"/>
      <w:numFmt w:val="lowerRoman"/>
      <w:lvlText w:val="%3."/>
      <w:lvlJc w:val="right"/>
      <w:pPr>
        <w:ind w:left="2615" w:hanging="180"/>
      </w:pPr>
    </w:lvl>
    <w:lvl w:ilvl="3" w:tplc="1009000F" w:tentative="1">
      <w:start w:val="1"/>
      <w:numFmt w:val="decimal"/>
      <w:lvlText w:val="%4."/>
      <w:lvlJc w:val="left"/>
      <w:pPr>
        <w:ind w:left="3335" w:hanging="360"/>
      </w:pPr>
    </w:lvl>
    <w:lvl w:ilvl="4" w:tplc="10090019" w:tentative="1">
      <w:start w:val="1"/>
      <w:numFmt w:val="lowerLetter"/>
      <w:lvlText w:val="%5."/>
      <w:lvlJc w:val="left"/>
      <w:pPr>
        <w:ind w:left="4055" w:hanging="360"/>
      </w:pPr>
    </w:lvl>
    <w:lvl w:ilvl="5" w:tplc="1009001B" w:tentative="1">
      <w:start w:val="1"/>
      <w:numFmt w:val="lowerRoman"/>
      <w:lvlText w:val="%6."/>
      <w:lvlJc w:val="right"/>
      <w:pPr>
        <w:ind w:left="4775" w:hanging="180"/>
      </w:pPr>
    </w:lvl>
    <w:lvl w:ilvl="6" w:tplc="1009000F" w:tentative="1">
      <w:start w:val="1"/>
      <w:numFmt w:val="decimal"/>
      <w:lvlText w:val="%7."/>
      <w:lvlJc w:val="left"/>
      <w:pPr>
        <w:ind w:left="5495" w:hanging="360"/>
      </w:pPr>
    </w:lvl>
    <w:lvl w:ilvl="7" w:tplc="10090019" w:tentative="1">
      <w:start w:val="1"/>
      <w:numFmt w:val="lowerLetter"/>
      <w:lvlText w:val="%8."/>
      <w:lvlJc w:val="left"/>
      <w:pPr>
        <w:ind w:left="6215" w:hanging="360"/>
      </w:pPr>
    </w:lvl>
    <w:lvl w:ilvl="8" w:tplc="1009001B" w:tentative="1">
      <w:start w:val="1"/>
      <w:numFmt w:val="lowerRoman"/>
      <w:lvlText w:val="%9."/>
      <w:lvlJc w:val="right"/>
      <w:pPr>
        <w:ind w:left="6935" w:hanging="180"/>
      </w:pPr>
    </w:lvl>
  </w:abstractNum>
  <w:abstractNum w:abstractNumId="26" w15:restartNumberingAfterBreak="0">
    <w:nsid w:val="5C311695"/>
    <w:multiLevelType w:val="hybridMultilevel"/>
    <w:tmpl w:val="2B08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2A3A47"/>
    <w:multiLevelType w:val="hybridMultilevel"/>
    <w:tmpl w:val="02363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0"/>
  </w:num>
  <w:num w:numId="18">
    <w:abstractNumId w:val="22"/>
  </w:num>
  <w:num w:numId="19">
    <w:abstractNumId w:val="28"/>
  </w:num>
  <w:num w:numId="20">
    <w:abstractNumId w:val="15"/>
  </w:num>
  <w:num w:numId="21">
    <w:abstractNumId w:val="10"/>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1"/>
  </w:num>
  <w:num w:numId="28">
    <w:abstractNumId w:val="25"/>
  </w:num>
  <w:num w:numId="29">
    <w:abstractNumId w:val="13"/>
  </w:num>
  <w:num w:numId="30">
    <w:abstractNumId w:val="12"/>
  </w:num>
  <w:num w:numId="31">
    <w:abstractNumId w:val="24"/>
  </w:num>
  <w:num w:numId="32">
    <w:abstractNumId w:val="17"/>
  </w:num>
  <w:num w:numId="33">
    <w:abstractNumId w:val="27"/>
  </w:num>
  <w:num w:numId="34">
    <w:abstractNumId w:val="10"/>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 w:numId="42">
    <w:abstractNumId w:val="21"/>
  </w:num>
  <w:num w:numId="43">
    <w:abstractNumId w:val="19"/>
  </w:num>
  <w:num w:numId="44">
    <w:abstractNumId w:val="10"/>
    <w:lvlOverride w:ilvl="0">
      <w:startOverride w:val="1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lvlOverride w:ilvl="0">
      <w:startOverride w:val="1"/>
    </w:lvlOverride>
    <w:lvlOverride w:ilvl="1">
      <w:startOverride w:val="3"/>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activeWritingStyle w:appName="MSWord" w:lang="es-ES_tradnl"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fr-BE" w:vendorID="64" w:dllVersion="6" w:nlCheck="1" w:checkStyle="0"/>
  <w:activeWritingStyle w:appName="MSWord" w:lang="es-419" w:vendorID="64" w:dllVersion="6" w:nlCheck="1" w:checkStyle="0"/>
  <w:activeWritingStyle w:appName="MSWord" w:lang="fr-FR" w:vendorID="64" w:dllVersion="6" w:nlCheck="1" w:checkStyle="0"/>
  <w:activeWritingStyle w:appName="MSWord" w:lang="es-MX" w:vendorID="64" w:dllVersion="6" w:nlCheck="1" w:checkStyle="0"/>
  <w:activeWritingStyle w:appName="MSWord" w:lang="fr-CA" w:vendorID="64" w:dllVersion="6" w:nlCheck="1" w:checkStyle="0"/>
  <w:activeWritingStyle w:appName="MSWord" w:lang="en-PH" w:vendorID="64" w:dllVersion="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PH"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fr-FR" w:vendorID="64" w:dllVersion="131078" w:nlCheck="1" w:checkStyle="0"/>
  <w:activeWritingStyle w:appName="MSWord" w:lang="es-419"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7806B5"/>
    <w:rsid w:val="00000B35"/>
    <w:rsid w:val="00000FED"/>
    <w:rsid w:val="00003420"/>
    <w:rsid w:val="0000434E"/>
    <w:rsid w:val="00010175"/>
    <w:rsid w:val="00011B71"/>
    <w:rsid w:val="00014D57"/>
    <w:rsid w:val="00014E87"/>
    <w:rsid w:val="000158E9"/>
    <w:rsid w:val="00020CA8"/>
    <w:rsid w:val="000211A9"/>
    <w:rsid w:val="000222D8"/>
    <w:rsid w:val="00023070"/>
    <w:rsid w:val="00024F17"/>
    <w:rsid w:val="00025897"/>
    <w:rsid w:val="00031260"/>
    <w:rsid w:val="00032998"/>
    <w:rsid w:val="00034B9F"/>
    <w:rsid w:val="0003681A"/>
    <w:rsid w:val="000372B7"/>
    <w:rsid w:val="00037C8E"/>
    <w:rsid w:val="000424E2"/>
    <w:rsid w:val="00044DF8"/>
    <w:rsid w:val="0004552D"/>
    <w:rsid w:val="0004568D"/>
    <w:rsid w:val="00045E25"/>
    <w:rsid w:val="00050966"/>
    <w:rsid w:val="00050F6E"/>
    <w:rsid w:val="00050FE4"/>
    <w:rsid w:val="00057085"/>
    <w:rsid w:val="00057D57"/>
    <w:rsid w:val="00061EC2"/>
    <w:rsid w:val="000626EB"/>
    <w:rsid w:val="000726F2"/>
    <w:rsid w:val="0007637F"/>
    <w:rsid w:val="00077778"/>
    <w:rsid w:val="00077A2D"/>
    <w:rsid w:val="00080ED0"/>
    <w:rsid w:val="000827D5"/>
    <w:rsid w:val="00085B8F"/>
    <w:rsid w:val="0008612C"/>
    <w:rsid w:val="00090374"/>
    <w:rsid w:val="00090481"/>
    <w:rsid w:val="000934E6"/>
    <w:rsid w:val="000A23A6"/>
    <w:rsid w:val="000A3826"/>
    <w:rsid w:val="000A3AEC"/>
    <w:rsid w:val="000A6C26"/>
    <w:rsid w:val="000A6FD9"/>
    <w:rsid w:val="000A7674"/>
    <w:rsid w:val="000B1DFB"/>
    <w:rsid w:val="000B2C63"/>
    <w:rsid w:val="000B50AD"/>
    <w:rsid w:val="000C4245"/>
    <w:rsid w:val="000C437B"/>
    <w:rsid w:val="000C5487"/>
    <w:rsid w:val="000D1088"/>
    <w:rsid w:val="000D376B"/>
    <w:rsid w:val="000D52A4"/>
    <w:rsid w:val="000D7C20"/>
    <w:rsid w:val="000E07BC"/>
    <w:rsid w:val="000E2C9D"/>
    <w:rsid w:val="000E3838"/>
    <w:rsid w:val="000E673A"/>
    <w:rsid w:val="000E6D14"/>
    <w:rsid w:val="000F1CD4"/>
    <w:rsid w:val="000F1D32"/>
    <w:rsid w:val="000F4103"/>
    <w:rsid w:val="000F6195"/>
    <w:rsid w:val="000F70A7"/>
    <w:rsid w:val="00102DE1"/>
    <w:rsid w:val="001056DB"/>
    <w:rsid w:val="00110117"/>
    <w:rsid w:val="00112406"/>
    <w:rsid w:val="00113CCA"/>
    <w:rsid w:val="00114C47"/>
    <w:rsid w:val="00114EAD"/>
    <w:rsid w:val="001175A4"/>
    <w:rsid w:val="00117E48"/>
    <w:rsid w:val="00120D8B"/>
    <w:rsid w:val="00122F25"/>
    <w:rsid w:val="0012390F"/>
    <w:rsid w:val="00130A33"/>
    <w:rsid w:val="00132A0D"/>
    <w:rsid w:val="00132E9E"/>
    <w:rsid w:val="00134C8C"/>
    <w:rsid w:val="0013596C"/>
    <w:rsid w:val="00135980"/>
    <w:rsid w:val="001369F0"/>
    <w:rsid w:val="0013743F"/>
    <w:rsid w:val="00142242"/>
    <w:rsid w:val="00146970"/>
    <w:rsid w:val="00147FF9"/>
    <w:rsid w:val="0015221F"/>
    <w:rsid w:val="00157C27"/>
    <w:rsid w:val="0016037D"/>
    <w:rsid w:val="00162358"/>
    <w:rsid w:val="00162D87"/>
    <w:rsid w:val="00164059"/>
    <w:rsid w:val="00164719"/>
    <w:rsid w:val="0016626C"/>
    <w:rsid w:val="00166FC4"/>
    <w:rsid w:val="001677AC"/>
    <w:rsid w:val="00170123"/>
    <w:rsid w:val="00175E0F"/>
    <w:rsid w:val="00176809"/>
    <w:rsid w:val="00176AF1"/>
    <w:rsid w:val="001804EA"/>
    <w:rsid w:val="001868A7"/>
    <w:rsid w:val="00186BEA"/>
    <w:rsid w:val="00190A61"/>
    <w:rsid w:val="00191DEE"/>
    <w:rsid w:val="001944B2"/>
    <w:rsid w:val="00196D38"/>
    <w:rsid w:val="001A3342"/>
    <w:rsid w:val="001A3E3D"/>
    <w:rsid w:val="001A5BE6"/>
    <w:rsid w:val="001A7049"/>
    <w:rsid w:val="001A7107"/>
    <w:rsid w:val="001A7AC1"/>
    <w:rsid w:val="001B1E40"/>
    <w:rsid w:val="001B2829"/>
    <w:rsid w:val="001B5399"/>
    <w:rsid w:val="001C764E"/>
    <w:rsid w:val="001D2B1A"/>
    <w:rsid w:val="001E0BB8"/>
    <w:rsid w:val="001E1052"/>
    <w:rsid w:val="001E21B1"/>
    <w:rsid w:val="001E2F93"/>
    <w:rsid w:val="001E3273"/>
    <w:rsid w:val="001E4554"/>
    <w:rsid w:val="001E61E5"/>
    <w:rsid w:val="001F2159"/>
    <w:rsid w:val="001F48FA"/>
    <w:rsid w:val="00200E65"/>
    <w:rsid w:val="00202CD6"/>
    <w:rsid w:val="0020399A"/>
    <w:rsid w:val="002066C6"/>
    <w:rsid w:val="00206C58"/>
    <w:rsid w:val="00210169"/>
    <w:rsid w:val="00210B8B"/>
    <w:rsid w:val="0021169A"/>
    <w:rsid w:val="00212344"/>
    <w:rsid w:val="00212677"/>
    <w:rsid w:val="00214863"/>
    <w:rsid w:val="002156B4"/>
    <w:rsid w:val="00216C5D"/>
    <w:rsid w:val="00222397"/>
    <w:rsid w:val="00226D17"/>
    <w:rsid w:val="00233941"/>
    <w:rsid w:val="00240448"/>
    <w:rsid w:val="00252419"/>
    <w:rsid w:val="00253222"/>
    <w:rsid w:val="00262847"/>
    <w:rsid w:val="00267A59"/>
    <w:rsid w:val="00271069"/>
    <w:rsid w:val="00271C9F"/>
    <w:rsid w:val="0027365F"/>
    <w:rsid w:val="00277AD1"/>
    <w:rsid w:val="00280ED1"/>
    <w:rsid w:val="00281BB2"/>
    <w:rsid w:val="00283EF3"/>
    <w:rsid w:val="00290CD6"/>
    <w:rsid w:val="0029290F"/>
    <w:rsid w:val="002933A2"/>
    <w:rsid w:val="00297FB1"/>
    <w:rsid w:val="002A0C85"/>
    <w:rsid w:val="002A109D"/>
    <w:rsid w:val="002A4B14"/>
    <w:rsid w:val="002A528D"/>
    <w:rsid w:val="002B254E"/>
    <w:rsid w:val="002B70FD"/>
    <w:rsid w:val="002B72E9"/>
    <w:rsid w:val="002C1828"/>
    <w:rsid w:val="002C6C00"/>
    <w:rsid w:val="002C7546"/>
    <w:rsid w:val="002C7996"/>
    <w:rsid w:val="002C7998"/>
    <w:rsid w:val="002D218D"/>
    <w:rsid w:val="002D5906"/>
    <w:rsid w:val="002E095F"/>
    <w:rsid w:val="002E312E"/>
    <w:rsid w:val="002E3754"/>
    <w:rsid w:val="002E65B6"/>
    <w:rsid w:val="002E7086"/>
    <w:rsid w:val="002E7EFF"/>
    <w:rsid w:val="002F02D2"/>
    <w:rsid w:val="002F1732"/>
    <w:rsid w:val="002F1DC4"/>
    <w:rsid w:val="002F1E53"/>
    <w:rsid w:val="002F2B61"/>
    <w:rsid w:val="002F2CAA"/>
    <w:rsid w:val="002F3894"/>
    <w:rsid w:val="0030052C"/>
    <w:rsid w:val="00300A91"/>
    <w:rsid w:val="00305FEC"/>
    <w:rsid w:val="00310D83"/>
    <w:rsid w:val="00310DCC"/>
    <w:rsid w:val="00316A32"/>
    <w:rsid w:val="00316E45"/>
    <w:rsid w:val="003208C3"/>
    <w:rsid w:val="00323BCA"/>
    <w:rsid w:val="00324D2C"/>
    <w:rsid w:val="003262CE"/>
    <w:rsid w:val="003306E1"/>
    <w:rsid w:val="00330A09"/>
    <w:rsid w:val="00331D3E"/>
    <w:rsid w:val="003320E4"/>
    <w:rsid w:val="00333B14"/>
    <w:rsid w:val="00334AE6"/>
    <w:rsid w:val="0033525D"/>
    <w:rsid w:val="00336980"/>
    <w:rsid w:val="003414F3"/>
    <w:rsid w:val="00342508"/>
    <w:rsid w:val="00343C1E"/>
    <w:rsid w:val="003446ED"/>
    <w:rsid w:val="003469D6"/>
    <w:rsid w:val="00351E2F"/>
    <w:rsid w:val="0035476B"/>
    <w:rsid w:val="0035613E"/>
    <w:rsid w:val="00357AC3"/>
    <w:rsid w:val="00360470"/>
    <w:rsid w:val="00363EE9"/>
    <w:rsid w:val="0037190F"/>
    <w:rsid w:val="00371AC5"/>
    <w:rsid w:val="00371B16"/>
    <w:rsid w:val="00373D29"/>
    <w:rsid w:val="00376128"/>
    <w:rsid w:val="00377351"/>
    <w:rsid w:val="0037742E"/>
    <w:rsid w:val="00377750"/>
    <w:rsid w:val="00377D56"/>
    <w:rsid w:val="00381A5F"/>
    <w:rsid w:val="00381F1D"/>
    <w:rsid w:val="00381FAF"/>
    <w:rsid w:val="0038245A"/>
    <w:rsid w:val="003840E6"/>
    <w:rsid w:val="00385CFC"/>
    <w:rsid w:val="003860D4"/>
    <w:rsid w:val="00390767"/>
    <w:rsid w:val="0039186F"/>
    <w:rsid w:val="003925EE"/>
    <w:rsid w:val="0039337A"/>
    <w:rsid w:val="00395C64"/>
    <w:rsid w:val="003A3189"/>
    <w:rsid w:val="003A3CA7"/>
    <w:rsid w:val="003B1AA0"/>
    <w:rsid w:val="003B32B1"/>
    <w:rsid w:val="003B33BD"/>
    <w:rsid w:val="003B33F4"/>
    <w:rsid w:val="003B3BBD"/>
    <w:rsid w:val="003B42C3"/>
    <w:rsid w:val="003B569D"/>
    <w:rsid w:val="003B5FC0"/>
    <w:rsid w:val="003B7A95"/>
    <w:rsid w:val="003C3C0E"/>
    <w:rsid w:val="003C50DF"/>
    <w:rsid w:val="003D078E"/>
    <w:rsid w:val="003D135A"/>
    <w:rsid w:val="003D2765"/>
    <w:rsid w:val="003D3ED1"/>
    <w:rsid w:val="003D42A6"/>
    <w:rsid w:val="003D4FAC"/>
    <w:rsid w:val="003E0DA0"/>
    <w:rsid w:val="003E7906"/>
    <w:rsid w:val="003F32FE"/>
    <w:rsid w:val="003F3C50"/>
    <w:rsid w:val="003F4E8A"/>
    <w:rsid w:val="003F7FD8"/>
    <w:rsid w:val="00403AD6"/>
    <w:rsid w:val="00404061"/>
    <w:rsid w:val="00404C48"/>
    <w:rsid w:val="00406A6A"/>
    <w:rsid w:val="00406B22"/>
    <w:rsid w:val="00407CDC"/>
    <w:rsid w:val="004150BF"/>
    <w:rsid w:val="0041537E"/>
    <w:rsid w:val="004156BD"/>
    <w:rsid w:val="00416067"/>
    <w:rsid w:val="00417A69"/>
    <w:rsid w:val="00421A28"/>
    <w:rsid w:val="004328A7"/>
    <w:rsid w:val="00434C74"/>
    <w:rsid w:val="00447402"/>
    <w:rsid w:val="00447466"/>
    <w:rsid w:val="00450482"/>
    <w:rsid w:val="00456EB4"/>
    <w:rsid w:val="00461370"/>
    <w:rsid w:val="00463800"/>
    <w:rsid w:val="004718F3"/>
    <w:rsid w:val="00472918"/>
    <w:rsid w:val="00473B0E"/>
    <w:rsid w:val="00475040"/>
    <w:rsid w:val="00476D0B"/>
    <w:rsid w:val="00476DC7"/>
    <w:rsid w:val="0048462C"/>
    <w:rsid w:val="00487B0A"/>
    <w:rsid w:val="00490D44"/>
    <w:rsid w:val="0049199D"/>
    <w:rsid w:val="00493D40"/>
    <w:rsid w:val="004967B6"/>
    <w:rsid w:val="004A1394"/>
    <w:rsid w:val="004A2B8B"/>
    <w:rsid w:val="004A504B"/>
    <w:rsid w:val="004A6911"/>
    <w:rsid w:val="004A6B5E"/>
    <w:rsid w:val="004B0107"/>
    <w:rsid w:val="004B52E1"/>
    <w:rsid w:val="004B54E0"/>
    <w:rsid w:val="004B7384"/>
    <w:rsid w:val="004C4007"/>
    <w:rsid w:val="004C4269"/>
    <w:rsid w:val="004C62BE"/>
    <w:rsid w:val="004D1BA6"/>
    <w:rsid w:val="004D2008"/>
    <w:rsid w:val="004D5132"/>
    <w:rsid w:val="004D6236"/>
    <w:rsid w:val="004D7F90"/>
    <w:rsid w:val="004E3AB9"/>
    <w:rsid w:val="004E4DBB"/>
    <w:rsid w:val="004E4E41"/>
    <w:rsid w:val="004E765B"/>
    <w:rsid w:val="004E777D"/>
    <w:rsid w:val="004E7F9C"/>
    <w:rsid w:val="004F1A57"/>
    <w:rsid w:val="004F2CCD"/>
    <w:rsid w:val="004F3493"/>
    <w:rsid w:val="004F5143"/>
    <w:rsid w:val="004F596E"/>
    <w:rsid w:val="004F62E7"/>
    <w:rsid w:val="0050089D"/>
    <w:rsid w:val="00504ADB"/>
    <w:rsid w:val="0051060F"/>
    <w:rsid w:val="00512B09"/>
    <w:rsid w:val="005140C9"/>
    <w:rsid w:val="00516D9C"/>
    <w:rsid w:val="00524F5B"/>
    <w:rsid w:val="005262B5"/>
    <w:rsid w:val="00527C31"/>
    <w:rsid w:val="00533796"/>
    <w:rsid w:val="00535CF0"/>
    <w:rsid w:val="00537343"/>
    <w:rsid w:val="00540E46"/>
    <w:rsid w:val="00541ADD"/>
    <w:rsid w:val="00550451"/>
    <w:rsid w:val="00550CE1"/>
    <w:rsid w:val="00555D75"/>
    <w:rsid w:val="00556FD6"/>
    <w:rsid w:val="00560DF0"/>
    <w:rsid w:val="00561E8F"/>
    <w:rsid w:val="0056759C"/>
    <w:rsid w:val="00567A8D"/>
    <w:rsid w:val="00573234"/>
    <w:rsid w:val="005740D1"/>
    <w:rsid w:val="0057738F"/>
    <w:rsid w:val="00580201"/>
    <w:rsid w:val="00580FF3"/>
    <w:rsid w:val="0059513E"/>
    <w:rsid w:val="005974A6"/>
    <w:rsid w:val="0059763D"/>
    <w:rsid w:val="005A0741"/>
    <w:rsid w:val="005A4D05"/>
    <w:rsid w:val="005A728E"/>
    <w:rsid w:val="005B22DB"/>
    <w:rsid w:val="005B23EB"/>
    <w:rsid w:val="005B2C3E"/>
    <w:rsid w:val="005B48FF"/>
    <w:rsid w:val="005B7EC6"/>
    <w:rsid w:val="005C06CA"/>
    <w:rsid w:val="005C0863"/>
    <w:rsid w:val="005C09B0"/>
    <w:rsid w:val="005C37CE"/>
    <w:rsid w:val="005C6FE8"/>
    <w:rsid w:val="005D0062"/>
    <w:rsid w:val="005D0A18"/>
    <w:rsid w:val="005D363F"/>
    <w:rsid w:val="005D3C0B"/>
    <w:rsid w:val="005D404A"/>
    <w:rsid w:val="005E1695"/>
    <w:rsid w:val="005E2E94"/>
    <w:rsid w:val="005E4114"/>
    <w:rsid w:val="005E54FF"/>
    <w:rsid w:val="005F0F31"/>
    <w:rsid w:val="005F199F"/>
    <w:rsid w:val="005F26FD"/>
    <w:rsid w:val="005F7555"/>
    <w:rsid w:val="006017DC"/>
    <w:rsid w:val="00604C15"/>
    <w:rsid w:val="00606A1E"/>
    <w:rsid w:val="00611A58"/>
    <w:rsid w:val="00611EF2"/>
    <w:rsid w:val="0061272A"/>
    <w:rsid w:val="00612A45"/>
    <w:rsid w:val="00614C94"/>
    <w:rsid w:val="006158D5"/>
    <w:rsid w:val="00621D13"/>
    <w:rsid w:val="00622416"/>
    <w:rsid w:val="0062380F"/>
    <w:rsid w:val="00625D83"/>
    <w:rsid w:val="00635FED"/>
    <w:rsid w:val="0063688C"/>
    <w:rsid w:val="00637D2D"/>
    <w:rsid w:val="00643C62"/>
    <w:rsid w:val="00646D83"/>
    <w:rsid w:val="006538A6"/>
    <w:rsid w:val="00657818"/>
    <w:rsid w:val="00661245"/>
    <w:rsid w:val="006623E7"/>
    <w:rsid w:val="00662B80"/>
    <w:rsid w:val="00667E1B"/>
    <w:rsid w:val="00670F6C"/>
    <w:rsid w:val="00671653"/>
    <w:rsid w:val="00674204"/>
    <w:rsid w:val="00681975"/>
    <w:rsid w:val="006852C7"/>
    <w:rsid w:val="006852CE"/>
    <w:rsid w:val="006863E3"/>
    <w:rsid w:val="006875AD"/>
    <w:rsid w:val="0069246D"/>
    <w:rsid w:val="006960E3"/>
    <w:rsid w:val="006A6AC1"/>
    <w:rsid w:val="006A7310"/>
    <w:rsid w:val="006B6424"/>
    <w:rsid w:val="006C02EB"/>
    <w:rsid w:val="006C1727"/>
    <w:rsid w:val="006C32FD"/>
    <w:rsid w:val="006C3714"/>
    <w:rsid w:val="006C39CE"/>
    <w:rsid w:val="006C5006"/>
    <w:rsid w:val="006C7AE9"/>
    <w:rsid w:val="006D0FCC"/>
    <w:rsid w:val="006D130D"/>
    <w:rsid w:val="006D21F5"/>
    <w:rsid w:val="006D5A7C"/>
    <w:rsid w:val="006D6C13"/>
    <w:rsid w:val="006D79D7"/>
    <w:rsid w:val="006E1E6E"/>
    <w:rsid w:val="006E1FC3"/>
    <w:rsid w:val="006E303E"/>
    <w:rsid w:val="006E3691"/>
    <w:rsid w:val="006E3900"/>
    <w:rsid w:val="00701D65"/>
    <w:rsid w:val="0070616B"/>
    <w:rsid w:val="00706295"/>
    <w:rsid w:val="0070646B"/>
    <w:rsid w:val="00706ED8"/>
    <w:rsid w:val="00706F23"/>
    <w:rsid w:val="00706FDA"/>
    <w:rsid w:val="00711F9A"/>
    <w:rsid w:val="00713810"/>
    <w:rsid w:val="00717FCD"/>
    <w:rsid w:val="00720ABF"/>
    <w:rsid w:val="00725768"/>
    <w:rsid w:val="007257C2"/>
    <w:rsid w:val="00726B55"/>
    <w:rsid w:val="007276A4"/>
    <w:rsid w:val="007303A5"/>
    <w:rsid w:val="00730B3E"/>
    <w:rsid w:val="007324A9"/>
    <w:rsid w:val="00732DE5"/>
    <w:rsid w:val="0073420B"/>
    <w:rsid w:val="00737C3B"/>
    <w:rsid w:val="0074019C"/>
    <w:rsid w:val="007429E0"/>
    <w:rsid w:val="00745244"/>
    <w:rsid w:val="007459B1"/>
    <w:rsid w:val="0074676A"/>
    <w:rsid w:val="00746E59"/>
    <w:rsid w:val="0074752C"/>
    <w:rsid w:val="0074760E"/>
    <w:rsid w:val="0074773B"/>
    <w:rsid w:val="007537AB"/>
    <w:rsid w:val="00754ABA"/>
    <w:rsid w:val="00756D59"/>
    <w:rsid w:val="007602E0"/>
    <w:rsid w:val="00761B65"/>
    <w:rsid w:val="0076567B"/>
    <w:rsid w:val="00766763"/>
    <w:rsid w:val="00771D9F"/>
    <w:rsid w:val="00772765"/>
    <w:rsid w:val="00773F89"/>
    <w:rsid w:val="007744BF"/>
    <w:rsid w:val="00774B89"/>
    <w:rsid w:val="007762F2"/>
    <w:rsid w:val="0078027D"/>
    <w:rsid w:val="007806B5"/>
    <w:rsid w:val="00796F55"/>
    <w:rsid w:val="007A0116"/>
    <w:rsid w:val="007A0D52"/>
    <w:rsid w:val="007A1546"/>
    <w:rsid w:val="007A198E"/>
    <w:rsid w:val="007A228C"/>
    <w:rsid w:val="007A2640"/>
    <w:rsid w:val="007A368E"/>
    <w:rsid w:val="007A5868"/>
    <w:rsid w:val="007B04CE"/>
    <w:rsid w:val="007B07B6"/>
    <w:rsid w:val="007B1777"/>
    <w:rsid w:val="007B6871"/>
    <w:rsid w:val="007B69E1"/>
    <w:rsid w:val="007B7A2F"/>
    <w:rsid w:val="007C20AE"/>
    <w:rsid w:val="007C3C11"/>
    <w:rsid w:val="007C3D33"/>
    <w:rsid w:val="007C3E81"/>
    <w:rsid w:val="007C4B7A"/>
    <w:rsid w:val="007C6B76"/>
    <w:rsid w:val="007C71A9"/>
    <w:rsid w:val="007D20FD"/>
    <w:rsid w:val="007D294A"/>
    <w:rsid w:val="007D3501"/>
    <w:rsid w:val="007D47D2"/>
    <w:rsid w:val="007D6EC0"/>
    <w:rsid w:val="007D72B5"/>
    <w:rsid w:val="007D7E1D"/>
    <w:rsid w:val="007E14DE"/>
    <w:rsid w:val="007E23A8"/>
    <w:rsid w:val="007F4E69"/>
    <w:rsid w:val="007F4F88"/>
    <w:rsid w:val="00801504"/>
    <w:rsid w:val="00801E69"/>
    <w:rsid w:val="00802C1D"/>
    <w:rsid w:val="00803110"/>
    <w:rsid w:val="00804D73"/>
    <w:rsid w:val="00805B80"/>
    <w:rsid w:val="0081028C"/>
    <w:rsid w:val="00812E23"/>
    <w:rsid w:val="00817C95"/>
    <w:rsid w:val="00825F3F"/>
    <w:rsid w:val="00831979"/>
    <w:rsid w:val="00832A68"/>
    <w:rsid w:val="00833636"/>
    <w:rsid w:val="00836F8E"/>
    <w:rsid w:val="008376CB"/>
    <w:rsid w:val="00845D1D"/>
    <w:rsid w:val="00851352"/>
    <w:rsid w:val="00857077"/>
    <w:rsid w:val="008612C6"/>
    <w:rsid w:val="00862201"/>
    <w:rsid w:val="00863230"/>
    <w:rsid w:val="008717D8"/>
    <w:rsid w:val="0087215C"/>
    <w:rsid w:val="0087278E"/>
    <w:rsid w:val="00872B24"/>
    <w:rsid w:val="00873621"/>
    <w:rsid w:val="00874A48"/>
    <w:rsid w:val="00875D25"/>
    <w:rsid w:val="0087613F"/>
    <w:rsid w:val="008769EC"/>
    <w:rsid w:val="00877781"/>
    <w:rsid w:val="00880E35"/>
    <w:rsid w:val="00882233"/>
    <w:rsid w:val="008826E1"/>
    <w:rsid w:val="00882BFC"/>
    <w:rsid w:val="008875FE"/>
    <w:rsid w:val="00887F8E"/>
    <w:rsid w:val="00891AF0"/>
    <w:rsid w:val="008945DF"/>
    <w:rsid w:val="00896234"/>
    <w:rsid w:val="00897E43"/>
    <w:rsid w:val="008A0221"/>
    <w:rsid w:val="008B4F68"/>
    <w:rsid w:val="008B72B5"/>
    <w:rsid w:val="008C0142"/>
    <w:rsid w:val="008C4587"/>
    <w:rsid w:val="008C5479"/>
    <w:rsid w:val="008C5738"/>
    <w:rsid w:val="008C5C0E"/>
    <w:rsid w:val="008C6183"/>
    <w:rsid w:val="008C7EAD"/>
    <w:rsid w:val="008D0CFE"/>
    <w:rsid w:val="008D1462"/>
    <w:rsid w:val="008D3D7C"/>
    <w:rsid w:val="008D6152"/>
    <w:rsid w:val="008D6EBE"/>
    <w:rsid w:val="008E1A59"/>
    <w:rsid w:val="008E1C3E"/>
    <w:rsid w:val="008E48D1"/>
    <w:rsid w:val="008E5A09"/>
    <w:rsid w:val="008F0F81"/>
    <w:rsid w:val="008F27BF"/>
    <w:rsid w:val="008F5CFA"/>
    <w:rsid w:val="00903B0C"/>
    <w:rsid w:val="0090436B"/>
    <w:rsid w:val="00906EF7"/>
    <w:rsid w:val="009142EC"/>
    <w:rsid w:val="0091507A"/>
    <w:rsid w:val="009154C3"/>
    <w:rsid w:val="00922891"/>
    <w:rsid w:val="00923540"/>
    <w:rsid w:val="00925C00"/>
    <w:rsid w:val="00926767"/>
    <w:rsid w:val="009267A7"/>
    <w:rsid w:val="00926A21"/>
    <w:rsid w:val="009272EE"/>
    <w:rsid w:val="00931F7B"/>
    <w:rsid w:val="009361D5"/>
    <w:rsid w:val="00937816"/>
    <w:rsid w:val="009400C7"/>
    <w:rsid w:val="009428A4"/>
    <w:rsid w:val="009502B3"/>
    <w:rsid w:val="00954FFE"/>
    <w:rsid w:val="0096477F"/>
    <w:rsid w:val="009659F4"/>
    <w:rsid w:val="00970D60"/>
    <w:rsid w:val="009710C1"/>
    <w:rsid w:val="00971A50"/>
    <w:rsid w:val="00972CF2"/>
    <w:rsid w:val="00977F69"/>
    <w:rsid w:val="00980087"/>
    <w:rsid w:val="009826EC"/>
    <w:rsid w:val="0098585E"/>
    <w:rsid w:val="00986594"/>
    <w:rsid w:val="009872A6"/>
    <w:rsid w:val="00987EBD"/>
    <w:rsid w:val="0099390E"/>
    <w:rsid w:val="00995375"/>
    <w:rsid w:val="009957B4"/>
    <w:rsid w:val="00995BA7"/>
    <w:rsid w:val="009960E5"/>
    <w:rsid w:val="00997D38"/>
    <w:rsid w:val="009A2819"/>
    <w:rsid w:val="009A2E5F"/>
    <w:rsid w:val="009A5088"/>
    <w:rsid w:val="009A52B7"/>
    <w:rsid w:val="009A6BA6"/>
    <w:rsid w:val="009A7ADC"/>
    <w:rsid w:val="009B04F1"/>
    <w:rsid w:val="009C0A6B"/>
    <w:rsid w:val="009C19B7"/>
    <w:rsid w:val="009C1F22"/>
    <w:rsid w:val="009C5ABB"/>
    <w:rsid w:val="009C5EBF"/>
    <w:rsid w:val="009C7B62"/>
    <w:rsid w:val="009D41BB"/>
    <w:rsid w:val="009D7C51"/>
    <w:rsid w:val="009E1019"/>
    <w:rsid w:val="009E196C"/>
    <w:rsid w:val="009E34E8"/>
    <w:rsid w:val="009E4A04"/>
    <w:rsid w:val="009F004F"/>
    <w:rsid w:val="009F31F9"/>
    <w:rsid w:val="009F36BF"/>
    <w:rsid w:val="009F6083"/>
    <w:rsid w:val="00A0520B"/>
    <w:rsid w:val="00A111B6"/>
    <w:rsid w:val="00A14A63"/>
    <w:rsid w:val="00A17F1D"/>
    <w:rsid w:val="00A2334C"/>
    <w:rsid w:val="00A24506"/>
    <w:rsid w:val="00A247AC"/>
    <w:rsid w:val="00A26D27"/>
    <w:rsid w:val="00A376EE"/>
    <w:rsid w:val="00A411F2"/>
    <w:rsid w:val="00A4207A"/>
    <w:rsid w:val="00A42A99"/>
    <w:rsid w:val="00A43059"/>
    <w:rsid w:val="00A43C44"/>
    <w:rsid w:val="00A50E5D"/>
    <w:rsid w:val="00A5151A"/>
    <w:rsid w:val="00A52F5A"/>
    <w:rsid w:val="00A56A98"/>
    <w:rsid w:val="00A57E0A"/>
    <w:rsid w:val="00A60880"/>
    <w:rsid w:val="00A64971"/>
    <w:rsid w:val="00A67A37"/>
    <w:rsid w:val="00A72104"/>
    <w:rsid w:val="00A731C4"/>
    <w:rsid w:val="00A823F6"/>
    <w:rsid w:val="00A832BA"/>
    <w:rsid w:val="00A83FAA"/>
    <w:rsid w:val="00A85BCA"/>
    <w:rsid w:val="00A85C1B"/>
    <w:rsid w:val="00A8719E"/>
    <w:rsid w:val="00A875B6"/>
    <w:rsid w:val="00A92309"/>
    <w:rsid w:val="00A93AD9"/>
    <w:rsid w:val="00A9672E"/>
    <w:rsid w:val="00A971B6"/>
    <w:rsid w:val="00A97D70"/>
    <w:rsid w:val="00AA0A89"/>
    <w:rsid w:val="00AA135A"/>
    <w:rsid w:val="00AA3EE5"/>
    <w:rsid w:val="00AA40E0"/>
    <w:rsid w:val="00AA6429"/>
    <w:rsid w:val="00AB15F7"/>
    <w:rsid w:val="00AB20AB"/>
    <w:rsid w:val="00AB2EC7"/>
    <w:rsid w:val="00AC01AA"/>
    <w:rsid w:val="00AC3D0D"/>
    <w:rsid w:val="00AC4F72"/>
    <w:rsid w:val="00AD04A4"/>
    <w:rsid w:val="00AD1734"/>
    <w:rsid w:val="00AD2279"/>
    <w:rsid w:val="00AD2D14"/>
    <w:rsid w:val="00AD4C1C"/>
    <w:rsid w:val="00AD7294"/>
    <w:rsid w:val="00AE1B44"/>
    <w:rsid w:val="00AE200F"/>
    <w:rsid w:val="00AF3DB2"/>
    <w:rsid w:val="00AF5A76"/>
    <w:rsid w:val="00AF741A"/>
    <w:rsid w:val="00B01ADB"/>
    <w:rsid w:val="00B02506"/>
    <w:rsid w:val="00B04161"/>
    <w:rsid w:val="00B056F9"/>
    <w:rsid w:val="00B06ADA"/>
    <w:rsid w:val="00B11E3D"/>
    <w:rsid w:val="00B164EF"/>
    <w:rsid w:val="00B17E82"/>
    <w:rsid w:val="00B17F04"/>
    <w:rsid w:val="00B257E0"/>
    <w:rsid w:val="00B27345"/>
    <w:rsid w:val="00B306F1"/>
    <w:rsid w:val="00B3071E"/>
    <w:rsid w:val="00B415BF"/>
    <w:rsid w:val="00B42900"/>
    <w:rsid w:val="00B43DBF"/>
    <w:rsid w:val="00B4575A"/>
    <w:rsid w:val="00B45D0E"/>
    <w:rsid w:val="00B53651"/>
    <w:rsid w:val="00B575BA"/>
    <w:rsid w:val="00B62374"/>
    <w:rsid w:val="00B63145"/>
    <w:rsid w:val="00B7094D"/>
    <w:rsid w:val="00B71608"/>
    <w:rsid w:val="00B7184A"/>
    <w:rsid w:val="00B71869"/>
    <w:rsid w:val="00B72113"/>
    <w:rsid w:val="00B747D4"/>
    <w:rsid w:val="00B76429"/>
    <w:rsid w:val="00B77664"/>
    <w:rsid w:val="00B80A17"/>
    <w:rsid w:val="00B8780A"/>
    <w:rsid w:val="00B9328A"/>
    <w:rsid w:val="00B956D4"/>
    <w:rsid w:val="00B96500"/>
    <w:rsid w:val="00B97446"/>
    <w:rsid w:val="00BA6E81"/>
    <w:rsid w:val="00BA7432"/>
    <w:rsid w:val="00BB0C8D"/>
    <w:rsid w:val="00BB35A5"/>
    <w:rsid w:val="00BB379C"/>
    <w:rsid w:val="00BB52A2"/>
    <w:rsid w:val="00BB535F"/>
    <w:rsid w:val="00BC1AA0"/>
    <w:rsid w:val="00BC2495"/>
    <w:rsid w:val="00BC3E53"/>
    <w:rsid w:val="00BC564F"/>
    <w:rsid w:val="00BC7EB9"/>
    <w:rsid w:val="00BD0C47"/>
    <w:rsid w:val="00BD1547"/>
    <w:rsid w:val="00BD25A0"/>
    <w:rsid w:val="00BD2643"/>
    <w:rsid w:val="00BD49DE"/>
    <w:rsid w:val="00BD56B1"/>
    <w:rsid w:val="00BD6558"/>
    <w:rsid w:val="00BE7436"/>
    <w:rsid w:val="00BF17C8"/>
    <w:rsid w:val="00BF26DF"/>
    <w:rsid w:val="00BF2F76"/>
    <w:rsid w:val="00BF3022"/>
    <w:rsid w:val="00BF3214"/>
    <w:rsid w:val="00BF5573"/>
    <w:rsid w:val="00BF7765"/>
    <w:rsid w:val="00C05ED2"/>
    <w:rsid w:val="00C15867"/>
    <w:rsid w:val="00C17492"/>
    <w:rsid w:val="00C20D05"/>
    <w:rsid w:val="00C2296D"/>
    <w:rsid w:val="00C23155"/>
    <w:rsid w:val="00C25F65"/>
    <w:rsid w:val="00C26F0A"/>
    <w:rsid w:val="00C27240"/>
    <w:rsid w:val="00C32DB3"/>
    <w:rsid w:val="00C332C0"/>
    <w:rsid w:val="00C37613"/>
    <w:rsid w:val="00C40C41"/>
    <w:rsid w:val="00C4171E"/>
    <w:rsid w:val="00C417AD"/>
    <w:rsid w:val="00C418EB"/>
    <w:rsid w:val="00C419BB"/>
    <w:rsid w:val="00C41A5E"/>
    <w:rsid w:val="00C43F77"/>
    <w:rsid w:val="00C45885"/>
    <w:rsid w:val="00C46C63"/>
    <w:rsid w:val="00C46CC5"/>
    <w:rsid w:val="00C47C07"/>
    <w:rsid w:val="00C50F22"/>
    <w:rsid w:val="00C55B20"/>
    <w:rsid w:val="00C573BD"/>
    <w:rsid w:val="00C5750C"/>
    <w:rsid w:val="00C57971"/>
    <w:rsid w:val="00C610A8"/>
    <w:rsid w:val="00C61349"/>
    <w:rsid w:val="00C62BC2"/>
    <w:rsid w:val="00C65798"/>
    <w:rsid w:val="00C65BD7"/>
    <w:rsid w:val="00C7503F"/>
    <w:rsid w:val="00C7520F"/>
    <w:rsid w:val="00C76BA4"/>
    <w:rsid w:val="00C8056B"/>
    <w:rsid w:val="00C83A48"/>
    <w:rsid w:val="00C83D9C"/>
    <w:rsid w:val="00C85865"/>
    <w:rsid w:val="00C85E85"/>
    <w:rsid w:val="00C95BD5"/>
    <w:rsid w:val="00CA12D4"/>
    <w:rsid w:val="00CA2EAE"/>
    <w:rsid w:val="00CA4AC1"/>
    <w:rsid w:val="00CA4E20"/>
    <w:rsid w:val="00CA6C69"/>
    <w:rsid w:val="00CB0316"/>
    <w:rsid w:val="00CB0ABC"/>
    <w:rsid w:val="00CB0B11"/>
    <w:rsid w:val="00CB1E45"/>
    <w:rsid w:val="00CB28A1"/>
    <w:rsid w:val="00CB426A"/>
    <w:rsid w:val="00CB4EB6"/>
    <w:rsid w:val="00CB5354"/>
    <w:rsid w:val="00CC2205"/>
    <w:rsid w:val="00CC38A9"/>
    <w:rsid w:val="00CC3C9E"/>
    <w:rsid w:val="00CC6A14"/>
    <w:rsid w:val="00CC70A3"/>
    <w:rsid w:val="00CD21DB"/>
    <w:rsid w:val="00CD305F"/>
    <w:rsid w:val="00CD4442"/>
    <w:rsid w:val="00CD53C3"/>
    <w:rsid w:val="00CD574E"/>
    <w:rsid w:val="00CD5EC9"/>
    <w:rsid w:val="00CD6A87"/>
    <w:rsid w:val="00CE09BA"/>
    <w:rsid w:val="00CE0C77"/>
    <w:rsid w:val="00CE2545"/>
    <w:rsid w:val="00CE3AD4"/>
    <w:rsid w:val="00CE4C22"/>
    <w:rsid w:val="00CE74DC"/>
    <w:rsid w:val="00CF2D3B"/>
    <w:rsid w:val="00CF3E0B"/>
    <w:rsid w:val="00CF41EC"/>
    <w:rsid w:val="00CF4CC9"/>
    <w:rsid w:val="00CF550D"/>
    <w:rsid w:val="00CF5583"/>
    <w:rsid w:val="00CF56C8"/>
    <w:rsid w:val="00CF5797"/>
    <w:rsid w:val="00CF5D04"/>
    <w:rsid w:val="00CF5F02"/>
    <w:rsid w:val="00CF7E70"/>
    <w:rsid w:val="00D04DE4"/>
    <w:rsid w:val="00D06120"/>
    <w:rsid w:val="00D063F1"/>
    <w:rsid w:val="00D14925"/>
    <w:rsid w:val="00D14F22"/>
    <w:rsid w:val="00D22A18"/>
    <w:rsid w:val="00D232CA"/>
    <w:rsid w:val="00D308D3"/>
    <w:rsid w:val="00D30FE1"/>
    <w:rsid w:val="00D320CC"/>
    <w:rsid w:val="00D3288D"/>
    <w:rsid w:val="00D36611"/>
    <w:rsid w:val="00D4107A"/>
    <w:rsid w:val="00D4741C"/>
    <w:rsid w:val="00D52D5B"/>
    <w:rsid w:val="00D57918"/>
    <w:rsid w:val="00D657D1"/>
    <w:rsid w:val="00D73DC6"/>
    <w:rsid w:val="00D74C1A"/>
    <w:rsid w:val="00D754C1"/>
    <w:rsid w:val="00D77393"/>
    <w:rsid w:val="00D77A35"/>
    <w:rsid w:val="00D81B3E"/>
    <w:rsid w:val="00D845EE"/>
    <w:rsid w:val="00D90C70"/>
    <w:rsid w:val="00D90E49"/>
    <w:rsid w:val="00D914B3"/>
    <w:rsid w:val="00D93748"/>
    <w:rsid w:val="00D94E8A"/>
    <w:rsid w:val="00D96ADE"/>
    <w:rsid w:val="00D96ED6"/>
    <w:rsid w:val="00DA05FF"/>
    <w:rsid w:val="00DA0CE2"/>
    <w:rsid w:val="00DA4715"/>
    <w:rsid w:val="00DA510C"/>
    <w:rsid w:val="00DA63ED"/>
    <w:rsid w:val="00DB0392"/>
    <w:rsid w:val="00DB73F5"/>
    <w:rsid w:val="00DC2D4E"/>
    <w:rsid w:val="00DC3A17"/>
    <w:rsid w:val="00DC64C2"/>
    <w:rsid w:val="00DC6A10"/>
    <w:rsid w:val="00DC6D11"/>
    <w:rsid w:val="00DE070E"/>
    <w:rsid w:val="00DE3914"/>
    <w:rsid w:val="00DE657E"/>
    <w:rsid w:val="00DE6D4E"/>
    <w:rsid w:val="00DF4704"/>
    <w:rsid w:val="00DF5AE2"/>
    <w:rsid w:val="00E0025F"/>
    <w:rsid w:val="00E024AA"/>
    <w:rsid w:val="00E04B07"/>
    <w:rsid w:val="00E1029E"/>
    <w:rsid w:val="00E14C84"/>
    <w:rsid w:val="00E15889"/>
    <w:rsid w:val="00E17B7C"/>
    <w:rsid w:val="00E2299C"/>
    <w:rsid w:val="00E250F1"/>
    <w:rsid w:val="00E266CB"/>
    <w:rsid w:val="00E2796A"/>
    <w:rsid w:val="00E3345B"/>
    <w:rsid w:val="00E3550D"/>
    <w:rsid w:val="00E4460A"/>
    <w:rsid w:val="00E46908"/>
    <w:rsid w:val="00E50F23"/>
    <w:rsid w:val="00E52497"/>
    <w:rsid w:val="00E52838"/>
    <w:rsid w:val="00E53271"/>
    <w:rsid w:val="00E55458"/>
    <w:rsid w:val="00E613A8"/>
    <w:rsid w:val="00E614E0"/>
    <w:rsid w:val="00E63BED"/>
    <w:rsid w:val="00E713C5"/>
    <w:rsid w:val="00E73725"/>
    <w:rsid w:val="00E73F1F"/>
    <w:rsid w:val="00E73F7F"/>
    <w:rsid w:val="00E77443"/>
    <w:rsid w:val="00E77645"/>
    <w:rsid w:val="00E80D29"/>
    <w:rsid w:val="00E81A30"/>
    <w:rsid w:val="00E85409"/>
    <w:rsid w:val="00E86BE3"/>
    <w:rsid w:val="00E908BB"/>
    <w:rsid w:val="00E92CFE"/>
    <w:rsid w:val="00E92DB4"/>
    <w:rsid w:val="00E9378A"/>
    <w:rsid w:val="00E947FA"/>
    <w:rsid w:val="00E956FC"/>
    <w:rsid w:val="00EA3BCC"/>
    <w:rsid w:val="00EA429F"/>
    <w:rsid w:val="00EA4F9E"/>
    <w:rsid w:val="00EA5FC9"/>
    <w:rsid w:val="00EA63CA"/>
    <w:rsid w:val="00EA69A6"/>
    <w:rsid w:val="00EA6D3B"/>
    <w:rsid w:val="00EA6E18"/>
    <w:rsid w:val="00EB00AD"/>
    <w:rsid w:val="00EB136C"/>
    <w:rsid w:val="00EB163C"/>
    <w:rsid w:val="00EB3C61"/>
    <w:rsid w:val="00EB480E"/>
    <w:rsid w:val="00EB4C37"/>
    <w:rsid w:val="00EB5EC6"/>
    <w:rsid w:val="00EB6F59"/>
    <w:rsid w:val="00EB7FC9"/>
    <w:rsid w:val="00EC0FED"/>
    <w:rsid w:val="00EC1CB1"/>
    <w:rsid w:val="00EC3969"/>
    <w:rsid w:val="00ED04E8"/>
    <w:rsid w:val="00ED126B"/>
    <w:rsid w:val="00ED27E8"/>
    <w:rsid w:val="00ED5999"/>
    <w:rsid w:val="00ED5B08"/>
    <w:rsid w:val="00ED5C34"/>
    <w:rsid w:val="00ED7137"/>
    <w:rsid w:val="00EE12EA"/>
    <w:rsid w:val="00EE4877"/>
    <w:rsid w:val="00EE5571"/>
    <w:rsid w:val="00EF06EA"/>
    <w:rsid w:val="00EF50B8"/>
    <w:rsid w:val="00EF6569"/>
    <w:rsid w:val="00EF7561"/>
    <w:rsid w:val="00EF7609"/>
    <w:rsid w:val="00F01C7C"/>
    <w:rsid w:val="00F020D7"/>
    <w:rsid w:val="00F06540"/>
    <w:rsid w:val="00F10C2C"/>
    <w:rsid w:val="00F11B2B"/>
    <w:rsid w:val="00F126AB"/>
    <w:rsid w:val="00F1298E"/>
    <w:rsid w:val="00F16F20"/>
    <w:rsid w:val="00F17895"/>
    <w:rsid w:val="00F17DAA"/>
    <w:rsid w:val="00F17DFA"/>
    <w:rsid w:val="00F200B2"/>
    <w:rsid w:val="00F201EF"/>
    <w:rsid w:val="00F21088"/>
    <w:rsid w:val="00F23ADB"/>
    <w:rsid w:val="00F265D7"/>
    <w:rsid w:val="00F30C0C"/>
    <w:rsid w:val="00F327E7"/>
    <w:rsid w:val="00F35746"/>
    <w:rsid w:val="00F35FA2"/>
    <w:rsid w:val="00F36A79"/>
    <w:rsid w:val="00F3758F"/>
    <w:rsid w:val="00F42532"/>
    <w:rsid w:val="00F4429B"/>
    <w:rsid w:val="00F447C7"/>
    <w:rsid w:val="00F457F9"/>
    <w:rsid w:val="00F5041D"/>
    <w:rsid w:val="00F51F14"/>
    <w:rsid w:val="00F5211B"/>
    <w:rsid w:val="00F54810"/>
    <w:rsid w:val="00F54D1F"/>
    <w:rsid w:val="00F54E8A"/>
    <w:rsid w:val="00F55174"/>
    <w:rsid w:val="00F554A9"/>
    <w:rsid w:val="00F6024D"/>
    <w:rsid w:val="00F63AF8"/>
    <w:rsid w:val="00F656FE"/>
    <w:rsid w:val="00F660D5"/>
    <w:rsid w:val="00F66EEB"/>
    <w:rsid w:val="00F674C3"/>
    <w:rsid w:val="00F7061C"/>
    <w:rsid w:val="00F716FD"/>
    <w:rsid w:val="00F71FF8"/>
    <w:rsid w:val="00F7433C"/>
    <w:rsid w:val="00F7559B"/>
    <w:rsid w:val="00F76131"/>
    <w:rsid w:val="00F80355"/>
    <w:rsid w:val="00F848CD"/>
    <w:rsid w:val="00F87C43"/>
    <w:rsid w:val="00F87DE5"/>
    <w:rsid w:val="00F902F9"/>
    <w:rsid w:val="00F9032E"/>
    <w:rsid w:val="00F9057A"/>
    <w:rsid w:val="00F91B72"/>
    <w:rsid w:val="00F92AC5"/>
    <w:rsid w:val="00F957D5"/>
    <w:rsid w:val="00F95B0C"/>
    <w:rsid w:val="00F964C1"/>
    <w:rsid w:val="00FA65D2"/>
    <w:rsid w:val="00FA7927"/>
    <w:rsid w:val="00FB0484"/>
    <w:rsid w:val="00FB0C81"/>
    <w:rsid w:val="00FB1BB6"/>
    <w:rsid w:val="00FC2200"/>
    <w:rsid w:val="00FC2540"/>
    <w:rsid w:val="00FC28A1"/>
    <w:rsid w:val="00FC2D61"/>
    <w:rsid w:val="00FC5695"/>
    <w:rsid w:val="00FD216C"/>
    <w:rsid w:val="00FD48F3"/>
    <w:rsid w:val="00FD5DBD"/>
    <w:rsid w:val="00FE0359"/>
    <w:rsid w:val="00FE2783"/>
    <w:rsid w:val="00FF0204"/>
    <w:rsid w:val="00FF033E"/>
    <w:rsid w:val="00FF2370"/>
    <w:rsid w:val="00FF255E"/>
    <w:rsid w:val="00FF3AED"/>
    <w:rsid w:val="00FF60CA"/>
    <w:rsid w:val="00FF75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FDED9D"/>
  <w15:docId w15:val="{7526CD22-C8B6-4192-BC24-2A0E14BA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C8"/>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link w:val="Heading4Char"/>
    <w:qFormat/>
    <w:rsid w:val="007B6871"/>
    <w:pPr>
      <w:keepNext/>
      <w:numPr>
        <w:ilvl w:val="3"/>
        <w:numId w:val="1"/>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locked/>
    <w:rsid w:val="009A6BA6"/>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C32DB3"/>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C32DB3"/>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C32DB3"/>
    <w:rPr>
      <w:vertAlign w:val="superscript"/>
    </w:rPr>
  </w:style>
  <w:style w:type="paragraph" w:customStyle="1" w:styleId="a--">
    <w:name w:val="a-(-)"/>
    <w:basedOn w:val="Normal"/>
    <w:rsid w:val="008C0142"/>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locked/>
    <w:rsid w:val="00F964C1"/>
    <w:rPr>
      <w:sz w:val="22"/>
      <w:szCs w:val="22"/>
      <w:lang w:val="en-GB"/>
    </w:rPr>
  </w:style>
  <w:style w:type="table" w:customStyle="1" w:styleId="TableGrid10">
    <w:name w:val="Table Grid1"/>
    <w:basedOn w:val="TableNormal"/>
    <w:next w:val="TableGrid"/>
    <w:rsid w:val="00371AC5"/>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92CFE"/>
    <w:rPr>
      <w:sz w:val="22"/>
      <w:szCs w:val="22"/>
      <w:lang w:val="en-GB"/>
    </w:rPr>
  </w:style>
  <w:style w:type="character" w:customStyle="1" w:styleId="HeaderChar">
    <w:name w:val="Header Char"/>
    <w:link w:val="Header"/>
    <w:rsid w:val="00606A1E"/>
    <w:rPr>
      <w:sz w:val="22"/>
      <w:szCs w:val="22"/>
      <w:lang w:val="en-GB"/>
    </w:rPr>
  </w:style>
  <w:style w:type="numbering" w:customStyle="1" w:styleId="NoList1">
    <w:name w:val="No List1"/>
    <w:next w:val="NoList"/>
    <w:uiPriority w:val="99"/>
    <w:semiHidden/>
    <w:unhideWhenUsed/>
    <w:rsid w:val="005E2E94"/>
  </w:style>
  <w:style w:type="character" w:styleId="Hyperlink">
    <w:name w:val="Hyperlink"/>
    <w:basedOn w:val="DefaultParagraphFont"/>
    <w:uiPriority w:val="99"/>
    <w:semiHidden/>
    <w:unhideWhenUsed/>
    <w:rsid w:val="005E2E94"/>
    <w:rPr>
      <w:color w:val="0563C1"/>
      <w:u w:val="single"/>
    </w:rPr>
  </w:style>
  <w:style w:type="character" w:styleId="FollowedHyperlink">
    <w:name w:val="FollowedHyperlink"/>
    <w:basedOn w:val="DefaultParagraphFont"/>
    <w:uiPriority w:val="99"/>
    <w:semiHidden/>
    <w:unhideWhenUsed/>
    <w:rsid w:val="005E2E94"/>
    <w:rPr>
      <w:color w:val="954F72"/>
      <w:u w:val="single"/>
    </w:rPr>
  </w:style>
  <w:style w:type="paragraph" w:customStyle="1" w:styleId="msonormal0">
    <w:name w:val="msonormal"/>
    <w:basedOn w:val="Normal"/>
    <w:rsid w:val="005E2E94"/>
    <w:pPr>
      <w:spacing w:before="100" w:beforeAutospacing="1" w:after="100" w:afterAutospacing="1"/>
      <w:jc w:val="left"/>
    </w:pPr>
    <w:rPr>
      <w:sz w:val="24"/>
      <w:szCs w:val="24"/>
      <w:lang w:val="en-CA" w:eastAsia="en-CA"/>
    </w:rPr>
  </w:style>
  <w:style w:type="paragraph" w:customStyle="1" w:styleId="xl63">
    <w:name w:val="xl63"/>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4">
    <w:name w:val="xl64"/>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65">
    <w:name w:val="xl65"/>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6">
    <w:name w:val="xl66"/>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67">
    <w:name w:val="xl67"/>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68">
    <w:name w:val="xl68"/>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69">
    <w:name w:val="xl69"/>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CA" w:eastAsia="en-CA"/>
    </w:rPr>
  </w:style>
  <w:style w:type="paragraph" w:customStyle="1" w:styleId="xl70">
    <w:name w:val="xl70"/>
    <w:basedOn w:val="Normal"/>
    <w:rsid w:val="005E2E94"/>
    <w:pPr>
      <w:spacing w:before="100" w:beforeAutospacing="1" w:after="100" w:afterAutospacing="1"/>
      <w:jc w:val="left"/>
    </w:pPr>
    <w:rPr>
      <w:b/>
      <w:bCs/>
      <w:sz w:val="18"/>
      <w:szCs w:val="18"/>
      <w:lang w:val="en-CA" w:eastAsia="en-CA"/>
    </w:rPr>
  </w:style>
  <w:style w:type="paragraph" w:customStyle="1" w:styleId="xl71">
    <w:name w:val="xl71"/>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lang w:val="en-CA" w:eastAsia="en-CA"/>
    </w:rPr>
  </w:style>
  <w:style w:type="paragraph" w:customStyle="1" w:styleId="xl72">
    <w:name w:val="xl72"/>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n-CA" w:eastAsia="en-CA"/>
    </w:rPr>
  </w:style>
  <w:style w:type="paragraph" w:customStyle="1" w:styleId="xl73">
    <w:name w:val="xl73"/>
    <w:basedOn w:val="Normal"/>
    <w:rsid w:val="005E2E94"/>
    <w:pPr>
      <w:spacing w:before="100" w:beforeAutospacing="1" w:after="100" w:afterAutospacing="1"/>
      <w:jc w:val="left"/>
    </w:pPr>
    <w:rPr>
      <w:b/>
      <w:bCs/>
      <w:sz w:val="18"/>
      <w:szCs w:val="18"/>
      <w:lang w:val="en-CA" w:eastAsia="en-CA"/>
    </w:rPr>
  </w:style>
  <w:style w:type="paragraph" w:customStyle="1" w:styleId="xl74">
    <w:name w:val="xl74"/>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5">
    <w:name w:val="xl75"/>
    <w:basedOn w:val="Normal"/>
    <w:rsid w:val="005E2E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color w:val="FF0000"/>
      <w:sz w:val="18"/>
      <w:szCs w:val="18"/>
      <w:lang w:val="en-CA" w:eastAsia="en-CA"/>
    </w:rPr>
  </w:style>
  <w:style w:type="paragraph" w:customStyle="1" w:styleId="xl76">
    <w:name w:val="xl76"/>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7">
    <w:name w:val="xl77"/>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8">
    <w:name w:val="xl78"/>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CA" w:eastAsia="en-CA"/>
    </w:rPr>
  </w:style>
  <w:style w:type="paragraph" w:customStyle="1" w:styleId="xl79">
    <w:name w:val="xl79"/>
    <w:basedOn w:val="Normal"/>
    <w:rsid w:val="005E2E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18"/>
      <w:szCs w:val="18"/>
      <w:lang w:val="en-CA" w:eastAsia="en-CA"/>
    </w:rPr>
  </w:style>
  <w:style w:type="paragraph" w:styleId="Revision">
    <w:name w:val="Revision"/>
    <w:hidden/>
    <w:uiPriority w:val="99"/>
    <w:semiHidden/>
    <w:rsid w:val="005E2E94"/>
    <w:rPr>
      <w:sz w:val="22"/>
      <w:szCs w:val="22"/>
      <w:lang w:val="en-GB"/>
    </w:rPr>
  </w:style>
  <w:style w:type="paragraph" w:styleId="ListParagraph">
    <w:name w:val="List Paragraph"/>
    <w:basedOn w:val="Normal"/>
    <w:uiPriority w:val="34"/>
    <w:qFormat/>
    <w:rsid w:val="00B415BF"/>
    <w:pPr>
      <w:ind w:left="720"/>
      <w:contextualSpacing/>
    </w:pPr>
  </w:style>
  <w:style w:type="character" w:customStyle="1" w:styleId="fontstyle01">
    <w:name w:val="fontstyle01"/>
    <w:basedOn w:val="DefaultParagraphFont"/>
    <w:rsid w:val="00B415BF"/>
    <w:rPr>
      <w:rFonts w:ascii="MetaPlusBook-Roman-Identity-H" w:hAnsi="MetaPlusBook-Roman-Identity-H" w:hint="default"/>
      <w:b w:val="0"/>
      <w:bCs w:val="0"/>
      <w:i w:val="0"/>
      <w:iCs w:val="0"/>
      <w:color w:val="231F20"/>
      <w:sz w:val="20"/>
      <w:szCs w:val="20"/>
    </w:rPr>
  </w:style>
  <w:style w:type="table" w:customStyle="1" w:styleId="TableGrid20">
    <w:name w:val="Table Grid2"/>
    <w:basedOn w:val="TableNormal"/>
    <w:next w:val="TableGrid"/>
    <w:rsid w:val="00980087"/>
    <w:pPr>
      <w:jc w:val="both"/>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17DAA"/>
    <w:rPr>
      <w:i/>
      <w:iCs/>
    </w:rPr>
  </w:style>
  <w:style w:type="character" w:customStyle="1" w:styleId="Heading4Char">
    <w:name w:val="Heading 4 Char"/>
    <w:aliases w:val="Heading 11 Char,para 4 Char,Título 41 Char,Heading 41 Char,heading 4 Char,标题 41 Char"/>
    <w:basedOn w:val="DefaultParagraphFont"/>
    <w:link w:val="Heading4"/>
    <w:rsid w:val="000E2C9D"/>
    <w:rPr>
      <w:sz w:val="22"/>
      <w:szCs w:val="22"/>
      <w:lang w:val="en-GB"/>
    </w:rPr>
  </w:style>
  <w:style w:type="character" w:customStyle="1" w:styleId="Heading5Char">
    <w:name w:val="Heading 5 Char"/>
    <w:basedOn w:val="DefaultParagraphFont"/>
    <w:link w:val="Heading5"/>
    <w:rsid w:val="000E2C9D"/>
    <w:rPr>
      <w:sz w:val="22"/>
      <w:szCs w:val="22"/>
      <w:lang w:val="en-GB"/>
    </w:rPr>
  </w:style>
  <w:style w:type="character" w:customStyle="1" w:styleId="Heading6Char">
    <w:name w:val="Heading 6 Char"/>
    <w:basedOn w:val="DefaultParagraphFont"/>
    <w:link w:val="Heading6"/>
    <w:rsid w:val="000E2C9D"/>
    <w:rPr>
      <w:rFonts w:ascii="Arial" w:hAnsi="Arial"/>
      <w:i/>
      <w:sz w:val="22"/>
      <w:szCs w:val="22"/>
      <w:lang w:val="en-GB"/>
    </w:rPr>
  </w:style>
  <w:style w:type="character" w:customStyle="1" w:styleId="Heading7Char">
    <w:name w:val="Heading 7 Char"/>
    <w:basedOn w:val="DefaultParagraphFont"/>
    <w:link w:val="Heading7"/>
    <w:rsid w:val="000E2C9D"/>
    <w:rPr>
      <w:rFonts w:ascii="Arial" w:hAnsi="Arial"/>
      <w:sz w:val="22"/>
      <w:szCs w:val="22"/>
      <w:lang w:val="en-GB"/>
    </w:rPr>
  </w:style>
  <w:style w:type="character" w:customStyle="1" w:styleId="Heading8Char">
    <w:name w:val="Heading 8 Char"/>
    <w:basedOn w:val="DefaultParagraphFont"/>
    <w:link w:val="Heading8"/>
    <w:rsid w:val="000E2C9D"/>
    <w:rPr>
      <w:b/>
      <w:sz w:val="22"/>
      <w:szCs w:val="22"/>
      <w:lang w:val="en-GB"/>
    </w:rPr>
  </w:style>
  <w:style w:type="character" w:customStyle="1" w:styleId="Heading9Char">
    <w:name w:val="Heading 9 Char"/>
    <w:basedOn w:val="DefaultParagraphFont"/>
    <w:link w:val="Heading9"/>
    <w:rsid w:val="000E2C9D"/>
    <w:rPr>
      <w:rFonts w:ascii="Arial" w:hAnsi="Arial"/>
      <w:i/>
      <w:sz w:val="18"/>
      <w:szCs w:val="22"/>
      <w:lang w:val="en-GB"/>
    </w:rPr>
  </w:style>
  <w:style w:type="character" w:customStyle="1" w:styleId="BodyText3Char">
    <w:name w:val="Body Text 3 Char"/>
    <w:basedOn w:val="DefaultParagraphFont"/>
    <w:link w:val="BodyText3"/>
    <w:semiHidden/>
    <w:rsid w:val="000E2C9D"/>
    <w:rPr>
      <w:sz w:val="16"/>
      <w:szCs w:val="16"/>
      <w:lang w:val="en-GB"/>
    </w:rPr>
  </w:style>
  <w:style w:type="character" w:customStyle="1" w:styleId="BodyTextIndent3Char">
    <w:name w:val="Body Text Indent 3 Char"/>
    <w:basedOn w:val="DefaultParagraphFont"/>
    <w:link w:val="BodyTextIndent3"/>
    <w:semiHidden/>
    <w:rsid w:val="000E2C9D"/>
    <w:rPr>
      <w:sz w:val="16"/>
      <w:szCs w:val="16"/>
      <w:lang w:val="en-GB"/>
    </w:rPr>
  </w:style>
  <w:style w:type="character" w:customStyle="1" w:styleId="PlainTextChar">
    <w:name w:val="Plain Text Char"/>
    <w:basedOn w:val="DefaultParagraphFont"/>
    <w:link w:val="PlainText"/>
    <w:semiHidden/>
    <w:rsid w:val="000E2C9D"/>
    <w:rPr>
      <w:rFonts w:ascii="Courier New" w:hAnsi="Courier New" w:cs="Courier New"/>
      <w:szCs w:val="22"/>
      <w:lang w:val="en-GB"/>
    </w:rPr>
  </w:style>
  <w:style w:type="character" w:customStyle="1" w:styleId="SubtitleChar">
    <w:name w:val="Subtitle Char"/>
    <w:basedOn w:val="DefaultParagraphFont"/>
    <w:link w:val="Subtitle"/>
    <w:rsid w:val="000E2C9D"/>
    <w:rPr>
      <w:rFonts w:ascii="Arial" w:hAnsi="Arial" w:cs="Arial"/>
      <w:sz w:val="22"/>
      <w:szCs w:val="22"/>
      <w:lang w:val="en-GB"/>
    </w:rPr>
  </w:style>
  <w:style w:type="character" w:customStyle="1" w:styleId="TitleChar">
    <w:name w:val="Title Char"/>
    <w:basedOn w:val="DefaultParagraphFont"/>
    <w:link w:val="Title"/>
    <w:rsid w:val="000E2C9D"/>
    <w:rPr>
      <w:rFonts w:ascii="Arial" w:hAnsi="Arial" w:cs="Arial"/>
      <w:b/>
      <w:bCs/>
      <w:kern w:val="28"/>
      <w:sz w:val="22"/>
      <w:szCs w:val="22"/>
      <w:lang w:val="en-GB"/>
    </w:rPr>
  </w:style>
  <w:style w:type="character" w:customStyle="1" w:styleId="DateChar">
    <w:name w:val="Date Char"/>
    <w:basedOn w:val="DefaultParagraphFont"/>
    <w:link w:val="Date"/>
    <w:rsid w:val="000E2C9D"/>
    <w:rPr>
      <w:sz w:val="22"/>
      <w:szCs w:val="22"/>
      <w:lang w:val="en-GB"/>
    </w:rPr>
  </w:style>
  <w:style w:type="paragraph" w:customStyle="1" w:styleId="xl80">
    <w:name w:val="xl80"/>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color w:val="000000"/>
      <w:sz w:val="24"/>
      <w:szCs w:val="24"/>
      <w:lang w:val="en-CA" w:eastAsia="en-CA"/>
    </w:rPr>
  </w:style>
  <w:style w:type="paragraph" w:customStyle="1" w:styleId="xl81">
    <w:name w:val="xl81"/>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2">
    <w:name w:val="xl82"/>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color w:val="203764"/>
      <w:lang w:val="en-CA" w:eastAsia="en-CA"/>
    </w:rPr>
  </w:style>
  <w:style w:type="paragraph" w:customStyle="1" w:styleId="xl83">
    <w:name w:val="xl83"/>
    <w:basedOn w:val="Normal"/>
    <w:rsid w:val="000E2C9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Calibri" w:hAnsi="Calibri" w:cs="Calibri"/>
      <w:b/>
      <w:bCs/>
      <w:lang w:val="en-CA" w:eastAsia="en-CA"/>
    </w:rPr>
  </w:style>
  <w:style w:type="paragraph" w:customStyle="1" w:styleId="xl84">
    <w:name w:val="xl84"/>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85">
    <w:name w:val="xl85"/>
    <w:basedOn w:val="Normal"/>
    <w:rsid w:val="000E2C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Calibri" w:hAnsi="Calibri" w:cs="Calibri"/>
      <w:sz w:val="24"/>
      <w:szCs w:val="24"/>
      <w:lang w:val="en-CA" w:eastAsia="en-CA"/>
    </w:rPr>
  </w:style>
  <w:style w:type="paragraph" w:customStyle="1" w:styleId="xl86">
    <w:name w:val="xl86"/>
    <w:basedOn w:val="Normal"/>
    <w:rsid w:val="000E2C9D"/>
    <w:pPr>
      <w:spacing w:before="100" w:beforeAutospacing="1" w:after="100" w:afterAutospacing="1"/>
      <w:jc w:val="center"/>
      <w:textAlignment w:val="center"/>
    </w:pPr>
    <w:rPr>
      <w:sz w:val="24"/>
      <w:szCs w:val="24"/>
      <w:lang w:val="en-CA" w:eastAsia="en-CA"/>
    </w:rPr>
  </w:style>
  <w:style w:type="paragraph" w:customStyle="1" w:styleId="xl87">
    <w:name w:val="xl87"/>
    <w:basedOn w:val="Normal"/>
    <w:rsid w:val="000E2C9D"/>
    <w:pPr>
      <w:spacing w:before="100" w:beforeAutospacing="1" w:after="100" w:afterAutospacing="1"/>
      <w:jc w:val="left"/>
      <w:textAlignment w:val="center"/>
    </w:pPr>
    <w:rPr>
      <w:sz w:val="24"/>
      <w:szCs w:val="24"/>
      <w:lang w:val="en-CA" w:eastAsia="en-CA"/>
    </w:rPr>
  </w:style>
  <w:style w:type="paragraph" w:customStyle="1" w:styleId="xl88">
    <w:name w:val="xl88"/>
    <w:basedOn w:val="Normal"/>
    <w:rsid w:val="000E2C9D"/>
    <w:pPr>
      <w:spacing w:before="100" w:beforeAutospacing="1" w:after="100" w:afterAutospacing="1"/>
      <w:jc w:val="left"/>
    </w:pPr>
    <w:rPr>
      <w:sz w:val="24"/>
      <w:szCs w:val="24"/>
      <w:lang w:val="en-CA" w:eastAsia="en-CA"/>
    </w:rPr>
  </w:style>
  <w:style w:type="paragraph" w:customStyle="1" w:styleId="xl90">
    <w:name w:val="xl90"/>
    <w:basedOn w:val="Normal"/>
    <w:rsid w:val="000E2C9D"/>
    <w:pPr>
      <w:spacing w:before="100" w:beforeAutospacing="1" w:after="100" w:afterAutospacing="1"/>
      <w:jc w:val="center"/>
      <w:textAlignment w:val="center"/>
    </w:pPr>
    <w:rPr>
      <w:b/>
      <w:bCs/>
      <w:sz w:val="24"/>
      <w:szCs w:val="24"/>
      <w:lang w:val="en-CA" w:eastAsia="en-CA"/>
    </w:rPr>
  </w:style>
  <w:style w:type="paragraph" w:customStyle="1" w:styleId="xl91">
    <w:name w:val="xl91"/>
    <w:basedOn w:val="Normal"/>
    <w:rsid w:val="000E2C9D"/>
    <w:pPr>
      <w:shd w:val="clear" w:color="000000" w:fill="D9D9D9"/>
      <w:spacing w:before="100" w:beforeAutospacing="1" w:after="100" w:afterAutospacing="1"/>
      <w:jc w:val="center"/>
      <w:textAlignment w:val="top"/>
    </w:pPr>
    <w:rPr>
      <w:b/>
      <w:bCs/>
      <w:sz w:val="28"/>
      <w:szCs w:val="28"/>
      <w:lang w:val="en-CA" w:eastAsia="en-CA"/>
    </w:rPr>
  </w:style>
  <w:style w:type="paragraph" w:customStyle="1" w:styleId="xl92">
    <w:name w:val="xl92"/>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24"/>
      <w:szCs w:val="24"/>
      <w:lang w:val="en-CA" w:eastAsia="en-CA"/>
    </w:rPr>
  </w:style>
  <w:style w:type="paragraph" w:customStyle="1" w:styleId="xl93">
    <w:name w:val="xl93"/>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94">
    <w:name w:val="xl94"/>
    <w:basedOn w:val="Normal"/>
    <w:rsid w:val="000E2C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val="en-CA" w:eastAsia="en-CA"/>
    </w:rPr>
  </w:style>
  <w:style w:type="paragraph" w:customStyle="1" w:styleId="xl95">
    <w:name w:val="xl95"/>
    <w:basedOn w:val="Normal"/>
    <w:rsid w:val="000E2C9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6">
    <w:name w:val="xl96"/>
    <w:basedOn w:val="Normal"/>
    <w:rsid w:val="000E2C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Calibri" w:hAnsi="Calibri" w:cs="Calibri"/>
      <w:sz w:val="24"/>
      <w:szCs w:val="24"/>
      <w:lang w:val="en-CA" w:eastAsia="en-CA"/>
    </w:rPr>
  </w:style>
  <w:style w:type="paragraph" w:customStyle="1" w:styleId="xl97">
    <w:name w:val="xl97"/>
    <w:basedOn w:val="Normal"/>
    <w:rsid w:val="000E2C9D"/>
    <w:pPr>
      <w:pBdr>
        <w:top w:val="single" w:sz="4" w:space="0" w:color="auto"/>
        <w:left w:val="single" w:sz="4" w:space="0" w:color="auto"/>
        <w:bottom w:val="single" w:sz="4" w:space="0" w:color="auto"/>
      </w:pBdr>
      <w:shd w:val="clear" w:color="000000" w:fill="D9E1F2"/>
      <w:spacing w:before="100" w:beforeAutospacing="1" w:after="100" w:afterAutospacing="1"/>
      <w:jc w:val="center"/>
      <w:textAlignment w:val="center"/>
    </w:pPr>
    <w:rPr>
      <w:b/>
      <w:bCs/>
      <w:sz w:val="28"/>
      <w:szCs w:val="28"/>
      <w:lang w:val="en-CA" w:eastAsia="en-CA"/>
    </w:rPr>
  </w:style>
  <w:style w:type="paragraph" w:customStyle="1" w:styleId="xl98">
    <w:name w:val="xl98"/>
    <w:basedOn w:val="Normal"/>
    <w:rsid w:val="000E2C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99">
    <w:name w:val="xl99"/>
    <w:basedOn w:val="Normal"/>
    <w:rsid w:val="000E2C9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4"/>
      <w:szCs w:val="24"/>
      <w:lang w:val="en-CA" w:eastAsia="en-CA"/>
    </w:rPr>
  </w:style>
  <w:style w:type="paragraph" w:customStyle="1" w:styleId="xl100">
    <w:name w:val="xl100"/>
    <w:basedOn w:val="Normal"/>
    <w:rsid w:val="000E2C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lang w:val="en-CA" w:eastAsia="en-CA"/>
    </w:rPr>
  </w:style>
  <w:style w:type="paragraph" w:customStyle="1" w:styleId="xl101">
    <w:name w:val="xl101"/>
    <w:basedOn w:val="Normal"/>
    <w:rsid w:val="000E2C9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Calibri" w:hAnsi="Calibri" w:cs="Calibri"/>
      <w:b/>
      <w:bCs/>
      <w:color w:val="203764"/>
      <w:sz w:val="24"/>
      <w:szCs w:val="24"/>
      <w:lang w:val="en-CA" w:eastAsia="en-CA"/>
    </w:rPr>
  </w:style>
  <w:style w:type="paragraph" w:customStyle="1" w:styleId="xl102">
    <w:name w:val="xl102"/>
    <w:basedOn w:val="Normal"/>
    <w:rsid w:val="000E2C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32"/>
      <w:szCs w:val="32"/>
      <w:lang w:val="en-CA" w:eastAsia="en-CA"/>
    </w:rPr>
  </w:style>
  <w:style w:type="paragraph" w:customStyle="1" w:styleId="xl103">
    <w:name w:val="xl103"/>
    <w:basedOn w:val="Normal"/>
    <w:rsid w:val="000E2C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32"/>
      <w:szCs w:val="32"/>
      <w:lang w:val="en-CA" w:eastAsia="en-CA"/>
    </w:rPr>
  </w:style>
  <w:style w:type="paragraph" w:customStyle="1" w:styleId="xl104">
    <w:name w:val="xl104"/>
    <w:basedOn w:val="Normal"/>
    <w:rsid w:val="000E2C9D"/>
    <w:pPr>
      <w:spacing w:before="100" w:beforeAutospacing="1" w:after="100" w:afterAutospacing="1"/>
      <w:jc w:val="left"/>
      <w:textAlignment w:val="top"/>
    </w:pPr>
    <w:rPr>
      <w:sz w:val="32"/>
      <w:szCs w:val="32"/>
      <w:lang w:val="en-CA" w:eastAsia="en-CA"/>
    </w:rPr>
  </w:style>
  <w:style w:type="paragraph" w:customStyle="1" w:styleId="xl105">
    <w:name w:val="xl105"/>
    <w:basedOn w:val="Normal"/>
    <w:rsid w:val="000E2C9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top"/>
    </w:pPr>
    <w:rPr>
      <w:sz w:val="32"/>
      <w:szCs w:val="32"/>
      <w:lang w:val="en-CA" w:eastAsia="en-CA"/>
    </w:rPr>
  </w:style>
  <w:style w:type="paragraph" w:styleId="NoSpacing">
    <w:name w:val="No Spacing"/>
    <w:link w:val="NoSpacingChar"/>
    <w:uiPriority w:val="1"/>
    <w:qFormat/>
    <w:rsid w:val="008C5479"/>
    <w:pPr>
      <w:jc w:val="both"/>
    </w:pPr>
    <w:rPr>
      <w:sz w:val="22"/>
      <w:szCs w:val="22"/>
      <w:lang w:val="en-GB"/>
    </w:rPr>
  </w:style>
  <w:style w:type="character" w:customStyle="1" w:styleId="NoSpacingChar">
    <w:name w:val="No Spacing Char"/>
    <w:basedOn w:val="DefaultParagraphFont"/>
    <w:link w:val="NoSpacing"/>
    <w:uiPriority w:val="1"/>
    <w:locked/>
    <w:rsid w:val="008C5479"/>
    <w:rPr>
      <w:sz w:val="22"/>
      <w:szCs w:val="22"/>
      <w:lang w:val="en-GB"/>
    </w:rPr>
  </w:style>
  <w:style w:type="character" w:customStyle="1" w:styleId="Heading3CharChar1">
    <w:name w:val="Heading 3 Char Char1"/>
    <w:aliases w:val="Heading 3 Char Char1 Char Char"/>
    <w:basedOn w:val="DefaultParagraphFont"/>
    <w:locked/>
    <w:rsid w:val="009E1019"/>
    <w:rPr>
      <w:lang w:val="en-GB"/>
    </w:rPr>
  </w:style>
  <w:style w:type="paragraph" w:customStyle="1" w:styleId="StyleHeading1Para1Heading1CharHeading1Char3CharHeadin">
    <w:name w:val="Style Heading 1Para (1)Heading 1 CharHeading 1 Char3 CharHeadin..."/>
    <w:basedOn w:val="Heading1"/>
    <w:uiPriority w:val="99"/>
    <w:rsid w:val="009E1019"/>
    <w:pPr>
      <w:numPr>
        <w:numId w:val="0"/>
      </w:numPr>
      <w:tabs>
        <w:tab w:val="left" w:pos="720"/>
      </w:tabs>
    </w:pPr>
    <w:rPr>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6402">
      <w:bodyDiv w:val="1"/>
      <w:marLeft w:val="0"/>
      <w:marRight w:val="0"/>
      <w:marTop w:val="0"/>
      <w:marBottom w:val="0"/>
      <w:divBdr>
        <w:top w:val="none" w:sz="0" w:space="0" w:color="auto"/>
        <w:left w:val="none" w:sz="0" w:space="0" w:color="auto"/>
        <w:bottom w:val="none" w:sz="0" w:space="0" w:color="auto"/>
        <w:right w:val="none" w:sz="0" w:space="0" w:color="auto"/>
      </w:divBdr>
    </w:div>
    <w:div w:id="771626088">
      <w:bodyDiv w:val="1"/>
      <w:marLeft w:val="0"/>
      <w:marRight w:val="0"/>
      <w:marTop w:val="0"/>
      <w:marBottom w:val="0"/>
      <w:divBdr>
        <w:top w:val="none" w:sz="0" w:space="0" w:color="auto"/>
        <w:left w:val="none" w:sz="0" w:space="0" w:color="auto"/>
        <w:bottom w:val="none" w:sz="0" w:space="0" w:color="auto"/>
        <w:right w:val="none" w:sz="0" w:space="0" w:color="auto"/>
      </w:divBdr>
    </w:div>
    <w:div w:id="978609857">
      <w:bodyDiv w:val="1"/>
      <w:marLeft w:val="0"/>
      <w:marRight w:val="0"/>
      <w:marTop w:val="0"/>
      <w:marBottom w:val="0"/>
      <w:divBdr>
        <w:top w:val="none" w:sz="0" w:space="0" w:color="auto"/>
        <w:left w:val="none" w:sz="0" w:space="0" w:color="auto"/>
        <w:bottom w:val="none" w:sz="0" w:space="0" w:color="auto"/>
        <w:right w:val="none" w:sz="0" w:space="0" w:color="auto"/>
      </w:divBdr>
    </w:div>
    <w:div w:id="1568682583">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6.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customXml" Target="../customXml/item2.xml"/><Relationship Id="rId20" Type="http://schemas.openxmlformats.org/officeDocument/2006/relationships/header" Target="header5.xml"/><Relationship Id="rId41"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erin\Desktop\85%20ExCom\References\Templates\Eec85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4131ACC863C4CBCCC233143506327" ma:contentTypeVersion="2" ma:contentTypeDescription="Create a new document." ma:contentTypeScope="" ma:versionID="26ea6887eafcd2303a147d91da7b0ce2">
  <xsd:schema xmlns:xsd="http://www.w3.org/2001/XMLSchema" xmlns:p="http://schemas.microsoft.com/office/2006/metadata/properties" xmlns:ns2="8662b4aa-cf42-4f00-a3f0-9d3b4acad230" xmlns:ns3="310e179b-1379-4e79-9b74-d5a32b1812d3" targetNamespace="http://schemas.microsoft.com/office/2006/metadata/properties" ma:root="true" ma:fieldsID="1af4cf771546dc1ce13f690658318891"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UNEP/OzL.Pro/ExCom/87/9</Document_x0020_Number>
  </documentManagement>
</p:properties>
</file>

<file path=customXml/itemProps1.xml><?xml version="1.0" encoding="utf-8"?>
<ds:datastoreItem xmlns:ds="http://schemas.openxmlformats.org/officeDocument/2006/customXml" ds:itemID="{D4CD4EEF-269C-4A45-A3E1-8786F5658E8C}"/>
</file>

<file path=customXml/itemProps2.xml><?xml version="1.0" encoding="utf-8"?>
<ds:datastoreItem xmlns:ds="http://schemas.openxmlformats.org/officeDocument/2006/customXml" ds:itemID="{AD3FCB72-97BE-4AF2-B307-3751690B998E}"/>
</file>

<file path=customXml/itemProps3.xml><?xml version="1.0" encoding="utf-8"?>
<ds:datastoreItem xmlns:ds="http://schemas.openxmlformats.org/officeDocument/2006/customXml" ds:itemID="{1DB052F0-01E0-4F91-AA16-D74FE644A8AE}"/>
</file>

<file path=customXml/itemProps4.xml><?xml version="1.0" encoding="utf-8"?>
<ds:datastoreItem xmlns:ds="http://schemas.openxmlformats.org/officeDocument/2006/customXml" ds:itemID="{728D71E2-083B-45C0-A780-ACFAC7F5E743}"/>
</file>

<file path=docProps/app.xml><?xml version="1.0" encoding="utf-8"?>
<Properties xmlns="http://schemas.openxmlformats.org/officeDocument/2006/extended-properties" xmlns:vt="http://schemas.openxmlformats.org/officeDocument/2006/docPropsVTypes">
  <Template>Eec85G</Template>
  <TotalTime>966</TotalTime>
  <Pages>98</Pages>
  <Words>39136</Words>
  <Characters>223079</Characters>
  <Application>Microsoft Office Word</Application>
  <DocSecurity>0</DocSecurity>
  <Lines>1858</Lines>
  <Paragraphs>523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Rapports de situation et rapports sur les projets comportant des exigences particulières de remise de rapports</vt:lpstr>
      <vt:lpstr>Reports on projects with specific reporting requirements</vt:lpstr>
    </vt:vector>
  </TitlesOfParts>
  <Company>UNMFS</Company>
  <LinksUpToDate>false</LinksUpToDate>
  <CharactersWithSpaces>261692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de situation et rapports sur les projets comportant des exigences particulières de remise de rapports</dc:title>
  <dc:creator>Joel Pare-Julien</dc:creator>
  <cp:lastModifiedBy>HB</cp:lastModifiedBy>
  <cp:revision>30</cp:revision>
  <cp:lastPrinted>2021-06-30T18:20:00Z</cp:lastPrinted>
  <dcterms:created xsi:type="dcterms:W3CDTF">2021-06-28T19:08:00Z</dcterms:created>
  <dcterms:modified xsi:type="dcterms:W3CDTF">2021-07-05T15:23:00Z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UNEP/OzL.Pro/ExCom/87/9</vt:lpwstr>
  </property>
  <property fmtid="{D5CDD505-2E9C-101B-9397-08002B2CF9AE}" pid="3" name="Revision date">
    <vt:lpwstr>06/19/2021</vt:lpwstr>
  </property>
  <property fmtid="{D5CDD505-2E9C-101B-9397-08002B2CF9AE}" pid="4" name="ContentTypeId">
    <vt:lpwstr>0x0101006D54131ACC863C4CBCCC233143506327</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