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295A4D" w:rsidTr="00CF1839">
        <w:trPr>
          <w:trHeight w:val="720"/>
        </w:trPr>
        <w:tc>
          <w:tcPr>
            <w:tcW w:w="5490" w:type="dxa"/>
            <w:gridSpan w:val="2"/>
            <w:tcBorders>
              <w:bottom w:val="single" w:sz="18" w:space="0" w:color="auto"/>
            </w:tcBorders>
          </w:tcPr>
          <w:p w:rsidR="00C15867" w:rsidRPr="00295A4D" w:rsidRDefault="00C15867" w:rsidP="00520F9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295A4D">
              <w:rPr>
                <w:rFonts w:ascii="Univers" w:hAnsi="Univers"/>
                <w:b/>
                <w:sz w:val="28"/>
                <w:szCs w:val="28"/>
                <w:lang w:val="en-CA"/>
              </w:rPr>
              <w:t>UNITED</w:t>
            </w:r>
            <w:r w:rsidRPr="00295A4D">
              <w:rPr>
                <w:rFonts w:ascii="Univers" w:hAnsi="Univers"/>
                <w:b/>
                <w:sz w:val="28"/>
                <w:szCs w:val="28"/>
                <w:lang w:val="en-CA"/>
              </w:rPr>
              <w:br/>
              <w:t>NATIONS</w:t>
            </w:r>
          </w:p>
        </w:tc>
        <w:tc>
          <w:tcPr>
            <w:tcW w:w="4590" w:type="dxa"/>
            <w:tcBorders>
              <w:bottom w:val="single" w:sz="18" w:space="0" w:color="auto"/>
            </w:tcBorders>
          </w:tcPr>
          <w:p w:rsidR="00C15867" w:rsidRPr="00295A4D" w:rsidRDefault="00C15867" w:rsidP="00520F93">
            <w:pPr>
              <w:jc w:val="right"/>
              <w:rPr>
                <w:sz w:val="52"/>
                <w:szCs w:val="52"/>
                <w:lang w:val="en-CA"/>
              </w:rPr>
            </w:pPr>
            <w:r w:rsidRPr="00295A4D">
              <w:rPr>
                <w:rFonts w:ascii="Univers Bold" w:hAnsi="Univers Bold"/>
                <w:b/>
                <w:sz w:val="72"/>
                <w:lang w:val="en-CA"/>
              </w:rPr>
              <w:t>EP</w:t>
            </w:r>
          </w:p>
        </w:tc>
      </w:tr>
      <w:tr w:rsidR="00C15867" w:rsidRPr="00295A4D" w:rsidTr="00CF1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295A4D" w:rsidRDefault="00E52838" w:rsidP="00520F93">
            <w:pPr>
              <w:spacing w:before="120"/>
              <w:rPr>
                <w:lang w:val="en-CA"/>
              </w:rPr>
            </w:pPr>
            <w:r w:rsidRPr="00295A4D">
              <w:rPr>
                <w:noProof/>
                <w:lang w:val="en-CA" w:eastAsia="en-CA"/>
              </w:rPr>
              <mc:AlternateContent>
                <mc:Choice Requires="wpg">
                  <w:drawing>
                    <wp:anchor distT="0" distB="0" distL="114300" distR="114300" simplePos="0" relativeHeight="251660288" behindDoc="0" locked="0" layoutInCell="1" allowOverlap="1" wp14:anchorId="2AB21F48" wp14:editId="0E66D132">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3ADF2594"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rsidR="00C15867" w:rsidRPr="00295A4D" w:rsidRDefault="00C15867" w:rsidP="00520F9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295A4D">
              <w:rPr>
                <w:rFonts w:ascii="Univers" w:hAnsi="Univers"/>
                <w:b/>
                <w:sz w:val="32"/>
                <w:lang w:val="en-CA"/>
              </w:rPr>
              <w:t>United Nations</w:t>
            </w:r>
          </w:p>
          <w:p w:rsidR="00C15867" w:rsidRPr="00295A4D" w:rsidRDefault="00C15867" w:rsidP="00520F9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295A4D">
              <w:rPr>
                <w:rFonts w:ascii="Univers" w:hAnsi="Univers"/>
                <w:b/>
                <w:sz w:val="32"/>
                <w:lang w:val="en-CA"/>
              </w:rPr>
              <w:t>Environment</w:t>
            </w:r>
          </w:p>
          <w:p w:rsidR="00C15867" w:rsidRPr="00295A4D" w:rsidRDefault="00C15867" w:rsidP="00520F9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295A4D">
              <w:rPr>
                <w:rFonts w:ascii="Univers" w:hAnsi="Univers"/>
                <w:b/>
                <w:sz w:val="32"/>
                <w:lang w:val="en-CA"/>
              </w:rPr>
              <w:t>Programme</w:t>
            </w:r>
          </w:p>
          <w:p w:rsidR="00C15867" w:rsidRPr="00295A4D" w:rsidRDefault="00C15867" w:rsidP="00520F93">
            <w:pPr>
              <w:spacing w:before="720"/>
              <w:ind w:left="158"/>
              <w:rPr>
                <w:lang w:val="en-CA"/>
              </w:rPr>
            </w:pPr>
          </w:p>
        </w:tc>
        <w:tc>
          <w:tcPr>
            <w:tcW w:w="4590" w:type="dxa"/>
            <w:tcBorders>
              <w:top w:val="nil"/>
              <w:left w:val="nil"/>
              <w:bottom w:val="single" w:sz="36" w:space="0" w:color="auto"/>
              <w:right w:val="nil"/>
            </w:tcBorders>
          </w:tcPr>
          <w:p w:rsidR="00C15867" w:rsidRPr="00295A4D" w:rsidRDefault="00C15867" w:rsidP="00520F93">
            <w:pPr>
              <w:rPr>
                <w:lang w:val="en-CA"/>
              </w:rPr>
            </w:pPr>
            <w:r w:rsidRPr="00295A4D">
              <w:rPr>
                <w:lang w:val="en-CA"/>
              </w:rPr>
              <w:t>Distr.</w:t>
            </w:r>
          </w:p>
          <w:p w:rsidR="00923540" w:rsidRPr="00295A4D" w:rsidRDefault="00923540" w:rsidP="00923540">
            <w:pPr>
              <w:rPr>
                <w:lang w:val="en-CA"/>
              </w:rPr>
            </w:pPr>
            <w:r w:rsidRPr="00295A4D">
              <w:rPr>
                <w:lang w:val="en-CA"/>
              </w:rPr>
              <w:t>GENERAL</w:t>
            </w:r>
          </w:p>
          <w:p w:rsidR="00C15867" w:rsidRPr="00295A4D" w:rsidRDefault="00C15867" w:rsidP="00520F93">
            <w:pPr>
              <w:rPr>
                <w:lang w:val="en-CA"/>
              </w:rPr>
            </w:pPr>
          </w:p>
          <w:p w:rsidR="00C15867" w:rsidRPr="00295A4D" w:rsidRDefault="00C15867" w:rsidP="00520F93">
            <w:pPr>
              <w:rPr>
                <w:lang w:val="en-CA"/>
              </w:rPr>
            </w:pPr>
          </w:p>
          <w:p w:rsidR="00C15867" w:rsidRPr="00295A4D" w:rsidRDefault="007321E3" w:rsidP="00520F93">
            <w:pPr>
              <w:rPr>
                <w:lang w:val="en-CA"/>
              </w:rPr>
            </w:pPr>
            <w:r w:rsidRPr="00295A4D">
              <w:rPr>
                <w:lang w:val="en-CA"/>
              </w:rPr>
              <w:fldChar w:fldCharType="begin"/>
            </w:r>
            <w:r w:rsidRPr="00295A4D">
              <w:rPr>
                <w:lang w:val="en-CA"/>
              </w:rPr>
              <w:instrText xml:space="preserve"> DOCPROPERTY "Document number"  \* MERGEFORMAT </w:instrText>
            </w:r>
            <w:r w:rsidRPr="00295A4D">
              <w:rPr>
                <w:lang w:val="en-CA"/>
              </w:rPr>
              <w:fldChar w:fldCharType="separate"/>
            </w:r>
            <w:r w:rsidR="00081D8C">
              <w:rPr>
                <w:lang w:val="en-CA"/>
              </w:rPr>
              <w:t>UNEP/</w:t>
            </w:r>
            <w:proofErr w:type="spellStart"/>
            <w:r w:rsidR="00081D8C">
              <w:rPr>
                <w:lang w:val="en-CA"/>
              </w:rPr>
              <w:t>OzL.Pro</w:t>
            </w:r>
            <w:proofErr w:type="spellEnd"/>
            <w:r w:rsidR="00081D8C">
              <w:rPr>
                <w:lang w:val="en-CA"/>
              </w:rPr>
              <w:t>/</w:t>
            </w:r>
            <w:proofErr w:type="spellStart"/>
            <w:r w:rsidR="00081D8C">
              <w:rPr>
                <w:lang w:val="en-CA"/>
              </w:rPr>
              <w:t>ExCom</w:t>
            </w:r>
            <w:proofErr w:type="spellEnd"/>
            <w:r w:rsidR="00081D8C">
              <w:rPr>
                <w:lang w:val="en-CA"/>
              </w:rPr>
              <w:t>/87/47</w:t>
            </w:r>
            <w:r w:rsidRPr="00295A4D">
              <w:rPr>
                <w:lang w:val="en-CA"/>
              </w:rPr>
              <w:fldChar w:fldCharType="end"/>
            </w:r>
          </w:p>
          <w:p w:rsidR="00C15867" w:rsidRPr="00295A4D" w:rsidRDefault="00BC2495" w:rsidP="00520F93">
            <w:pPr>
              <w:rPr>
                <w:lang w:val="en-CA"/>
              </w:rPr>
            </w:pPr>
            <w:r w:rsidRPr="00295A4D">
              <w:rPr>
                <w:lang w:val="en-CA"/>
              </w:rPr>
              <w:fldChar w:fldCharType="begin"/>
            </w:r>
            <w:r w:rsidR="00851352" w:rsidRPr="00295A4D">
              <w:rPr>
                <w:lang w:val="en-CA"/>
              </w:rPr>
              <w:instrText xml:space="preserve"> DOCPROPERTY "Revision date" \@ "d MMMM YYYY"  \* MERGEFORMAT </w:instrText>
            </w:r>
            <w:r w:rsidRPr="00295A4D">
              <w:rPr>
                <w:lang w:val="en-CA"/>
              </w:rPr>
              <w:fldChar w:fldCharType="separate"/>
            </w:r>
            <w:r w:rsidR="001C4373">
              <w:rPr>
                <w:lang w:val="en-CA"/>
              </w:rPr>
              <w:t>11 June 2021</w:t>
            </w:r>
            <w:r w:rsidRPr="00295A4D">
              <w:rPr>
                <w:lang w:val="en-CA"/>
              </w:rPr>
              <w:fldChar w:fldCharType="end"/>
            </w:r>
          </w:p>
          <w:p w:rsidR="00C15867" w:rsidRPr="00295A4D" w:rsidRDefault="00C15867" w:rsidP="00520F93">
            <w:pPr>
              <w:rPr>
                <w:caps/>
                <w:lang w:val="en-CA"/>
              </w:rPr>
            </w:pPr>
          </w:p>
          <w:p w:rsidR="00C15867" w:rsidRPr="00295A4D" w:rsidRDefault="00C15867" w:rsidP="00520F93">
            <w:pPr>
              <w:rPr>
                <w:lang w:val="en-CA"/>
              </w:rPr>
            </w:pPr>
            <w:r w:rsidRPr="00295A4D">
              <w:rPr>
                <w:lang w:val="en-CA"/>
              </w:rPr>
              <w:t>ORIGINAL: ENGLISH</w:t>
            </w:r>
          </w:p>
        </w:tc>
      </w:tr>
    </w:tbl>
    <w:p w:rsidR="00CF1839" w:rsidRPr="009B0D30" w:rsidRDefault="00CF1839" w:rsidP="00CF1839">
      <w:pPr>
        <w:jc w:val="left"/>
      </w:pPr>
      <w:r w:rsidRPr="009B0D30">
        <w:t>EXECUTIVE COMMITTEE OF</w:t>
      </w:r>
      <w:r w:rsidRPr="009B0D30">
        <w:br/>
        <w:t xml:space="preserve">  THE MULTILATERAL FUND FOR THE</w:t>
      </w:r>
      <w:r w:rsidRPr="009B0D30">
        <w:br/>
        <w:t xml:space="preserve">  IMPLEMENTATION OF THE MONTREAL PROTOCOL</w:t>
      </w:r>
      <w:r w:rsidRPr="009B0D30">
        <w:br/>
        <w:t>Eighty-seventh Meeting</w:t>
      </w:r>
    </w:p>
    <w:p w:rsidR="00CF1839" w:rsidRPr="009B0D30" w:rsidRDefault="00CF1839" w:rsidP="00CF1839">
      <w:pPr>
        <w:jc w:val="left"/>
      </w:pPr>
      <w:r w:rsidRPr="009B0D30">
        <w:t>Montreal, 28 June-2 July 2021</w:t>
      </w:r>
      <w:r>
        <w:rPr>
          <w:rStyle w:val="FootnoteReference"/>
        </w:rPr>
        <w:footnoteReference w:id="1"/>
      </w:r>
    </w:p>
    <w:p w:rsidR="00BF1064" w:rsidRPr="00CF1839" w:rsidRDefault="00BF1064" w:rsidP="00F93D2F">
      <w:pPr>
        <w:tabs>
          <w:tab w:val="left" w:pos="8280"/>
        </w:tabs>
        <w:jc w:val="center"/>
      </w:pPr>
    </w:p>
    <w:p w:rsidR="00BF1064" w:rsidRPr="00295A4D" w:rsidRDefault="00BF1064" w:rsidP="00F93D2F">
      <w:pPr>
        <w:tabs>
          <w:tab w:val="left" w:pos="8280"/>
        </w:tabs>
        <w:jc w:val="center"/>
        <w:rPr>
          <w:lang w:val="en-CA"/>
        </w:rPr>
      </w:pPr>
    </w:p>
    <w:p w:rsidR="007D6761" w:rsidRPr="00295A4D" w:rsidRDefault="007D6761" w:rsidP="00F93D2F">
      <w:pPr>
        <w:tabs>
          <w:tab w:val="left" w:pos="8280"/>
        </w:tabs>
        <w:jc w:val="center"/>
        <w:rPr>
          <w:lang w:val="en-CA"/>
        </w:rPr>
      </w:pPr>
    </w:p>
    <w:p w:rsidR="00F96CDA" w:rsidRDefault="00F96CDA" w:rsidP="00F96CDA">
      <w:pPr>
        <w:jc w:val="center"/>
        <w:rPr>
          <w:b/>
          <w:lang w:val="en-CA"/>
        </w:rPr>
      </w:pPr>
      <w:r>
        <w:rPr>
          <w:b/>
          <w:lang w:val="en-CA"/>
        </w:rPr>
        <w:t xml:space="preserve">ANALYSIS OF THE LEVEL AND MODALITIES OF FUNDING FOR HFC PHASE-DOWN </w:t>
      </w:r>
    </w:p>
    <w:p w:rsidR="00F96CDA" w:rsidRDefault="00F96CDA" w:rsidP="00F96CDA">
      <w:pPr>
        <w:jc w:val="center"/>
        <w:rPr>
          <w:b/>
          <w:lang w:val="en-CA"/>
        </w:rPr>
      </w:pPr>
      <w:r>
        <w:rPr>
          <w:b/>
          <w:lang w:val="en-CA"/>
        </w:rPr>
        <w:t>IN THE REFRIGERATION SERVICING SECTOR</w:t>
      </w:r>
      <w:r>
        <w:rPr>
          <w:lang w:val="en-CA"/>
        </w:rPr>
        <w:t xml:space="preserve"> </w:t>
      </w:r>
      <w:r>
        <w:rPr>
          <w:b/>
          <w:lang w:val="en-CA"/>
        </w:rPr>
        <w:t>(DECISIONS 83/65(b) AND 84/86(b)(ii))</w:t>
      </w:r>
    </w:p>
    <w:p w:rsidR="00F96CDA" w:rsidRDefault="00F96CDA" w:rsidP="00F96CDA">
      <w:pPr>
        <w:jc w:val="center"/>
        <w:rPr>
          <w:b/>
          <w:lang w:val="en-CA"/>
        </w:rPr>
      </w:pPr>
    </w:p>
    <w:p w:rsidR="00081D8C" w:rsidRDefault="00081D8C" w:rsidP="00F96CDA">
      <w:pPr>
        <w:jc w:val="center"/>
        <w:rPr>
          <w:b/>
          <w:lang w:val="en-CA"/>
        </w:rPr>
      </w:pPr>
    </w:p>
    <w:p w:rsidR="00940584" w:rsidRDefault="00F96CDA" w:rsidP="00940584">
      <w:pPr>
        <w:spacing w:after="240"/>
        <w:outlineLvl w:val="0"/>
      </w:pPr>
      <w:r>
        <w:rPr>
          <w:b/>
          <w:lang w:val="en-CA"/>
        </w:rPr>
        <w:t>Background</w:t>
      </w:r>
      <w:r w:rsidR="00940584" w:rsidRPr="00940584">
        <w:t xml:space="preserve"> </w:t>
      </w:r>
    </w:p>
    <w:p w:rsidR="005863C0" w:rsidRPr="005863C0" w:rsidRDefault="00F96CDA" w:rsidP="00940584">
      <w:pPr>
        <w:pStyle w:val="Heading1"/>
        <w:rPr>
          <w:lang w:val="en-CA"/>
        </w:rPr>
      </w:pPr>
      <w:r>
        <w:rPr>
          <w:lang w:val="en-CA"/>
        </w:rPr>
        <w:t>Since its 78</w:t>
      </w:r>
      <w:r>
        <w:rPr>
          <w:vertAlign w:val="superscript"/>
          <w:lang w:val="en-CA"/>
        </w:rPr>
        <w:t>th</w:t>
      </w:r>
      <w:r>
        <w:rPr>
          <w:lang w:val="en-CA"/>
        </w:rPr>
        <w:t xml:space="preserve"> meeting, the Executive Committee has been discussing matters related to the HFC phase</w:t>
      </w:r>
      <w:r w:rsidR="00081D8C">
        <w:rPr>
          <w:lang w:val="en-CA"/>
        </w:rPr>
        <w:noBreakHyphen/>
      </w:r>
      <w:r>
        <w:rPr>
          <w:lang w:val="en-CA"/>
        </w:rPr>
        <w:t xml:space="preserve">down in the refrigeration servicing sector, in the context of the development of the cost guidelines for the phase-down of HFCs. </w:t>
      </w:r>
    </w:p>
    <w:p w:rsidR="00F96CDA" w:rsidRDefault="00F96CDA" w:rsidP="00F96CDA">
      <w:pPr>
        <w:pStyle w:val="Heading1"/>
        <w:numPr>
          <w:ilvl w:val="0"/>
          <w:numId w:val="22"/>
        </w:numPr>
        <w:rPr>
          <w:lang w:val="en-CA"/>
        </w:rPr>
      </w:pPr>
      <w:r>
        <w:rPr>
          <w:lang w:val="en-CA"/>
        </w:rPr>
        <w:t>At its 80</w:t>
      </w:r>
      <w:r>
        <w:rPr>
          <w:vertAlign w:val="superscript"/>
          <w:lang w:val="en-CA"/>
        </w:rPr>
        <w:t>th</w:t>
      </w:r>
      <w:r>
        <w:rPr>
          <w:lang w:val="en-CA"/>
        </w:rPr>
        <w:t xml:space="preserve"> meeting, the Executive Committee:</w:t>
      </w:r>
    </w:p>
    <w:p w:rsidR="00F96CDA" w:rsidRDefault="00F96CDA" w:rsidP="00F96CDA">
      <w:pPr>
        <w:pStyle w:val="Heading2"/>
        <w:numPr>
          <w:ilvl w:val="1"/>
          <w:numId w:val="22"/>
        </w:numPr>
        <w:rPr>
          <w:lang w:val="en-CA"/>
        </w:rPr>
      </w:pPr>
      <w:r>
        <w:rPr>
          <w:lang w:val="en-CA"/>
        </w:rPr>
        <w:t>Included in the draft cost guidelines for the phase-down of HFCs the following categories under the refrigeration servicing sector eligible for funding: public awareness activities; policy development and implementation; certification programmes and training of technicians; training of customs officers; prevention of illegal trade of HFCs; and servicing tools, refrigerant testing equipment and recycling and recovery of HFCs;</w:t>
      </w:r>
      <w:r>
        <w:rPr>
          <w:rStyle w:val="FootnoteReference"/>
          <w:lang w:val="en-CA"/>
        </w:rPr>
        <w:footnoteReference w:id="2"/>
      </w:r>
      <w:r>
        <w:rPr>
          <w:lang w:val="en-CA"/>
        </w:rPr>
        <w:t xml:space="preserve"> and</w:t>
      </w:r>
    </w:p>
    <w:p w:rsidR="00F96CDA" w:rsidRDefault="00F96CDA" w:rsidP="00F96CDA">
      <w:pPr>
        <w:pStyle w:val="Heading2"/>
        <w:numPr>
          <w:ilvl w:val="1"/>
          <w:numId w:val="22"/>
        </w:numPr>
        <w:rPr>
          <w:lang w:val="en-CA"/>
        </w:rPr>
      </w:pPr>
      <w:r>
        <w:rPr>
          <w:lang w:val="en-CA"/>
        </w:rPr>
        <w:t>Requested the Secretariat to prepare a preliminary document for the 82</w:t>
      </w:r>
      <w:r>
        <w:rPr>
          <w:vertAlign w:val="superscript"/>
          <w:lang w:val="en-CA"/>
        </w:rPr>
        <w:t>nd</w:t>
      </w:r>
      <w:r>
        <w:rPr>
          <w:lang w:val="en-CA"/>
        </w:rPr>
        <w:t xml:space="preserve"> meeting, in cooperation with bilateral and implementing agencies, on all aspects related to the refrigeration servicing sector that support the HFC phase-down (decision 80/76(c)).</w:t>
      </w:r>
      <w:r>
        <w:rPr>
          <w:rStyle w:val="FootnoteReference"/>
          <w:lang w:val="en-CA"/>
        </w:rPr>
        <w:footnoteReference w:id="3"/>
      </w:r>
    </w:p>
    <w:p w:rsidR="00F96CDA" w:rsidRDefault="00F96CDA" w:rsidP="00081D8C">
      <w:pPr>
        <w:pStyle w:val="Heading1"/>
        <w:keepNext/>
        <w:keepLines/>
        <w:widowControl w:val="0"/>
        <w:numPr>
          <w:ilvl w:val="0"/>
          <w:numId w:val="22"/>
        </w:numPr>
        <w:rPr>
          <w:lang w:val="en-CA"/>
        </w:rPr>
      </w:pPr>
      <w:r>
        <w:rPr>
          <w:lang w:val="en-CA"/>
        </w:rPr>
        <w:lastRenderedPageBreak/>
        <w:t>At its 81</w:t>
      </w:r>
      <w:r>
        <w:rPr>
          <w:vertAlign w:val="superscript"/>
          <w:lang w:val="en-CA"/>
        </w:rPr>
        <w:t>st</w:t>
      </w:r>
      <w:r>
        <w:rPr>
          <w:lang w:val="en-CA"/>
        </w:rPr>
        <w:t xml:space="preserve"> meeting, the Executive Committee decided to consider, at the 82</w:t>
      </w:r>
      <w:r>
        <w:rPr>
          <w:vertAlign w:val="superscript"/>
          <w:lang w:val="en-CA"/>
        </w:rPr>
        <w:t>nd</w:t>
      </w:r>
      <w:r>
        <w:rPr>
          <w:lang w:val="en-CA"/>
        </w:rPr>
        <w:t xml:space="preserve"> meeting, the matter of prioritization of technical assistance and capacity building to address safety issues associated with alternatives with low and zero global-warming potential (GWP) for all sectors (paragraph</w:t>
      </w:r>
      <w:r w:rsidR="00081D8C">
        <w:rPr>
          <w:lang w:val="en-CA"/>
        </w:rPr>
        <w:t> </w:t>
      </w:r>
      <w:r>
        <w:rPr>
          <w:lang w:val="en-CA"/>
        </w:rPr>
        <w:t>23 of decision XXVIII/2), in light of the document being prepared by the Secretariat in response to decision 80/76 regarding aspects of refrigeration servicing sector that supported HFC phase-down (decision 81/67(c)).</w:t>
      </w:r>
    </w:p>
    <w:p w:rsidR="00F96CDA" w:rsidRDefault="00F96CDA" w:rsidP="00F96CDA">
      <w:pPr>
        <w:pStyle w:val="Heading1"/>
        <w:numPr>
          <w:ilvl w:val="0"/>
          <w:numId w:val="22"/>
        </w:numPr>
        <w:rPr>
          <w:lang w:val="en-CA"/>
        </w:rPr>
      </w:pPr>
      <w:r>
        <w:rPr>
          <w:lang w:val="en-CA"/>
        </w:rPr>
        <w:t>In response to decisions 80/76(c) and 81/67(c), the Secretariat submitted to the 82</w:t>
      </w:r>
      <w:r>
        <w:rPr>
          <w:vertAlign w:val="superscript"/>
          <w:lang w:val="en-CA"/>
        </w:rPr>
        <w:t>nd</w:t>
      </w:r>
      <w:r>
        <w:rPr>
          <w:lang w:val="en-CA"/>
        </w:rPr>
        <w:t> meeting document UNEP/OzL.Pro/ExCom/82/64 on all aspects related to the refrigeration servicing sector that support HFC phase-down. Following a discussion, the Executive Committee took note of the document.</w:t>
      </w:r>
    </w:p>
    <w:p w:rsidR="00F96CDA" w:rsidRDefault="00F96CDA" w:rsidP="00F96CDA">
      <w:pPr>
        <w:pStyle w:val="Heading1"/>
        <w:numPr>
          <w:ilvl w:val="0"/>
          <w:numId w:val="22"/>
        </w:numPr>
        <w:rPr>
          <w:lang w:val="en-CA"/>
        </w:rPr>
      </w:pPr>
      <w:r>
        <w:rPr>
          <w:lang w:val="en-CA"/>
        </w:rPr>
        <w:t>At its 83</w:t>
      </w:r>
      <w:r>
        <w:rPr>
          <w:vertAlign w:val="superscript"/>
          <w:lang w:val="en-CA"/>
        </w:rPr>
        <w:t>rd</w:t>
      </w:r>
      <w:r>
        <w:rPr>
          <w:lang w:val="en-CA"/>
        </w:rPr>
        <w:t xml:space="preserve"> meeting, the Executive Committee agreed to reconstitute the contact group on the development of the cost guidelines for the phase-down of HFCs in Article 5 countries. Following the report by the convener of the contact group, the Committee </w:t>
      </w:r>
      <w:r>
        <w:rPr>
          <w:i/>
          <w:lang w:val="en-CA"/>
        </w:rPr>
        <w:t xml:space="preserve">inter alia </w:t>
      </w:r>
      <w:r>
        <w:rPr>
          <w:lang w:val="en-CA"/>
        </w:rPr>
        <w:t>requested the Secretariat to prepare, for the 85</w:t>
      </w:r>
      <w:r>
        <w:rPr>
          <w:vertAlign w:val="superscript"/>
          <w:lang w:val="en-CA"/>
        </w:rPr>
        <w:t>th</w:t>
      </w:r>
      <w:r>
        <w:rPr>
          <w:lang w:val="en-CA"/>
        </w:rPr>
        <w:t> meeting, a document providing an analysis of the level and modalities of funding for HFC phase</w:t>
      </w:r>
      <w:r>
        <w:rPr>
          <w:lang w:val="en-CA"/>
        </w:rPr>
        <w:noBreakHyphen/>
        <w:t>down in the refrigeration servicing sector, in light of the information provided in document UNEP/OzL.Pro/ExCom/82/64 and guidance provided by the Executive Committee, including the flexibility that Article 5 countries had in implementing their servicing sector activities in line with their national circumstances and the planned and ongoing activities in their HCFC phase-out management plans (HPMPs) (decision 83/65(b)).</w:t>
      </w:r>
    </w:p>
    <w:p w:rsidR="00F96CDA" w:rsidRDefault="00F96CDA" w:rsidP="00F96CDA">
      <w:pPr>
        <w:pStyle w:val="Heading1"/>
        <w:numPr>
          <w:ilvl w:val="0"/>
          <w:numId w:val="22"/>
        </w:numPr>
        <w:rPr>
          <w:lang w:val="en-CA"/>
        </w:rPr>
      </w:pPr>
      <w:r>
        <w:rPr>
          <w:lang w:val="en-CA"/>
        </w:rPr>
        <w:t>At its 84</w:t>
      </w:r>
      <w:r>
        <w:rPr>
          <w:vertAlign w:val="superscript"/>
          <w:lang w:val="en-CA"/>
        </w:rPr>
        <w:t>th</w:t>
      </w:r>
      <w:r>
        <w:rPr>
          <w:lang w:val="en-CA"/>
        </w:rPr>
        <w:t xml:space="preserve"> meeting, the Executive Committee considered document UNEP/OzL.Pro/ExCom/84/65 on the analysis of the implications of parallel or integrated implementation of HCFC phase-out and HFC phase</w:t>
      </w:r>
      <w:r w:rsidR="00081D8C">
        <w:rPr>
          <w:lang w:val="en-CA"/>
        </w:rPr>
        <w:noBreakHyphen/>
      </w:r>
      <w:r>
        <w:rPr>
          <w:lang w:val="en-CA"/>
        </w:rPr>
        <w:t xml:space="preserve">down activities. During the discussion, members expressed appreciation for the analysis, and highlighted, in particular, the potential for synergies in the HCFC phase-out and HFC phase-down in the refrigeration servicing sector, while noting opportunities in the foam, room air-conditioner, commercial refrigeration and chiller manufacturing sectors; members also expressed an interest in further discussion of ways to support a cost-effective approach to HCFC phase-out and HFC phase-down activities. Subsequently, the Committee </w:t>
      </w:r>
      <w:r>
        <w:rPr>
          <w:i/>
          <w:lang w:val="en-CA"/>
        </w:rPr>
        <w:t xml:space="preserve">inter alia </w:t>
      </w:r>
      <w:r>
        <w:rPr>
          <w:lang w:val="en-CA"/>
        </w:rPr>
        <w:t>requested the Secretariat to take into account the opportunities for integrated implementation of the phase-out of HCFC and phase-down of HFCs in the refrigeration servicing sector when developing the document on an analysis of the level and modalities of funding for the HFC phase</w:t>
      </w:r>
      <w:r w:rsidR="00081D8C">
        <w:rPr>
          <w:lang w:val="en-CA"/>
        </w:rPr>
        <w:noBreakHyphen/>
      </w:r>
      <w:r>
        <w:rPr>
          <w:lang w:val="en-CA"/>
        </w:rPr>
        <w:t>down in the refrigeration servicing sector requested by decision 83/65 (decision 84/86(b)(ii)).</w:t>
      </w:r>
    </w:p>
    <w:p w:rsidR="00F96CDA" w:rsidRDefault="00F96CDA" w:rsidP="00F96CDA">
      <w:pPr>
        <w:pStyle w:val="Heading1"/>
        <w:numPr>
          <w:ilvl w:val="0"/>
          <w:numId w:val="0"/>
        </w:numPr>
        <w:tabs>
          <w:tab w:val="left" w:pos="720"/>
        </w:tabs>
        <w:rPr>
          <w:u w:val="single"/>
          <w:lang w:val="en-CA"/>
        </w:rPr>
      </w:pPr>
      <w:r>
        <w:rPr>
          <w:u w:val="single"/>
          <w:lang w:val="en-CA"/>
        </w:rPr>
        <w:t>Inter-agency coordination meeting (IACM)</w:t>
      </w:r>
      <w:r>
        <w:rPr>
          <w:rStyle w:val="FootnoteReference"/>
          <w:lang w:val="en-CA"/>
        </w:rPr>
        <w:footnoteReference w:id="4"/>
      </w:r>
    </w:p>
    <w:p w:rsidR="00F96CDA" w:rsidRDefault="00F96CDA" w:rsidP="00F96CDA">
      <w:pPr>
        <w:pStyle w:val="Heading1"/>
        <w:numPr>
          <w:ilvl w:val="0"/>
          <w:numId w:val="22"/>
        </w:numPr>
        <w:rPr>
          <w:lang w:val="en-CA"/>
        </w:rPr>
      </w:pPr>
      <w:r>
        <w:rPr>
          <w:lang w:val="en-CA"/>
        </w:rPr>
        <w:t xml:space="preserve">In addressing the request in decision 84/86(b)(ii), the Secretariat prepared an analysis of the level and modalities of funding for HFC phase-down in the refrigeration servicing sector, that would be discussed during the IACM. Bilateral and implementing agencies were requested to provide their views on: commonalities of HCFC phase-out and HFC phase-down activities in the refrigeration servicing sector that could be considered in the calculation of funding levels for the sector; additional eligible activities that have not been funded under the HPMPs, and a methodology to determine the funding levels per Article 5 country, based on previous experience under CFC and HCFC phase-out. </w:t>
      </w:r>
    </w:p>
    <w:p w:rsidR="00F96CDA" w:rsidRDefault="00F96CDA" w:rsidP="00CF1839">
      <w:pPr>
        <w:pStyle w:val="Heading1"/>
        <w:widowControl w:val="0"/>
        <w:numPr>
          <w:ilvl w:val="0"/>
          <w:numId w:val="22"/>
        </w:numPr>
        <w:rPr>
          <w:lang w:val="en-CA"/>
        </w:rPr>
      </w:pPr>
      <w:r>
        <w:rPr>
          <w:lang w:val="en-CA"/>
        </w:rPr>
        <w:t xml:space="preserve">During the discussions, UNDP indicated that the strategy for the refrigeration servicing sector, should be a unique strategy for the entire 2021-2030 period rather than several strategies that could be implemented in stages. Funding should be estimated on the basis of the overall strategy, with a greater disbursement at the beginning to allow building the infrastructure to adopt low-GWP alternatives. The critical activities to be implemented include the adoption of policies and standards, a refrigerant management plan ensuring proper coverage of training and certification of technicians, strategies for containment of refrigerants, pilot projects and training in installation of refrigeration and air-conditioning (RAC) equipment operating with low-GWP refrigerants, and sound disposal of unwanted refrigerants. Accordingly, funding for HFC phase-down should be increased, especially for low-volume consuming </w:t>
      </w:r>
      <w:r>
        <w:rPr>
          <w:lang w:val="en-CA"/>
        </w:rPr>
        <w:lastRenderedPageBreak/>
        <w:t xml:space="preserve">(LVC) countries. </w:t>
      </w:r>
    </w:p>
    <w:p w:rsidR="00F96CDA" w:rsidRDefault="00F96CDA" w:rsidP="00F96CDA">
      <w:pPr>
        <w:pStyle w:val="Heading1"/>
        <w:numPr>
          <w:ilvl w:val="0"/>
          <w:numId w:val="22"/>
        </w:numPr>
        <w:rPr>
          <w:lang w:val="en-CA"/>
        </w:rPr>
      </w:pPr>
      <w:r>
        <w:rPr>
          <w:lang w:val="en-CA"/>
        </w:rPr>
        <w:t>UNIDO indicated that flammability of refrigerants would be the main issue to be considered when introducing alternative technologies to HFCs. A staged approach would be preferable than a unique 10</w:t>
      </w:r>
      <w:r>
        <w:rPr>
          <w:lang w:val="en-CA"/>
        </w:rPr>
        <w:noBreakHyphen/>
        <w:t>year strategy, as it would allow to assess the success of the plan at the end of each stage and introduce remedial actions as required. UNIDO also suggested the need to define key activities to be included in the servicing sector. For LVC countries, the level of funding should be at least three times that approved under decision 74/50, which would allow for providing specialized training with a longer duration to cover the management of flammable refrigerants.</w:t>
      </w:r>
    </w:p>
    <w:p w:rsidR="00F96CDA" w:rsidRDefault="00F96CDA" w:rsidP="00F96CDA">
      <w:pPr>
        <w:pStyle w:val="Heading1"/>
        <w:numPr>
          <w:ilvl w:val="0"/>
          <w:numId w:val="22"/>
        </w:numPr>
        <w:rPr>
          <w:lang w:val="en-CA"/>
        </w:rPr>
      </w:pPr>
      <w:r>
        <w:rPr>
          <w:lang w:val="en-CA"/>
        </w:rPr>
        <w:t xml:space="preserve">UNEP emphasized that LVC countries will incur in additional costs to scale up the technicians’ certification systems that are currently being established under the HPMPs. </w:t>
      </w:r>
    </w:p>
    <w:p w:rsidR="00F96CDA" w:rsidRDefault="00F96CDA" w:rsidP="00F96CDA">
      <w:pPr>
        <w:spacing w:after="240"/>
        <w:outlineLvl w:val="0"/>
        <w:rPr>
          <w:u w:val="single"/>
          <w:lang w:val="en-CA"/>
        </w:rPr>
      </w:pPr>
      <w:r>
        <w:rPr>
          <w:u w:val="single"/>
          <w:lang w:val="en-CA"/>
        </w:rPr>
        <w:t>Structure of the document</w:t>
      </w:r>
    </w:p>
    <w:p w:rsidR="00F96CDA" w:rsidRDefault="00F96CDA" w:rsidP="00F96CDA">
      <w:pPr>
        <w:pStyle w:val="Heading1"/>
        <w:numPr>
          <w:ilvl w:val="0"/>
          <w:numId w:val="22"/>
        </w:numPr>
        <w:rPr>
          <w:lang w:val="en-CA"/>
        </w:rPr>
      </w:pPr>
      <w:r>
        <w:rPr>
          <w:lang w:val="en-CA"/>
        </w:rPr>
        <w:t>In response to decisions 83/65(b) and 84/86(b)(ii), the Secretariat has prepared the present document and submitted it to the 8</w:t>
      </w:r>
      <w:r w:rsidR="00CF1839">
        <w:rPr>
          <w:lang w:val="en-CA"/>
        </w:rPr>
        <w:t>7</w:t>
      </w:r>
      <w:r>
        <w:rPr>
          <w:vertAlign w:val="superscript"/>
          <w:lang w:val="en-CA"/>
        </w:rPr>
        <w:t>th</w:t>
      </w:r>
      <w:r>
        <w:rPr>
          <w:lang w:val="en-CA"/>
        </w:rPr>
        <w:t xml:space="preserve"> meeting.</w:t>
      </w:r>
      <w:r w:rsidR="00CF1839">
        <w:rPr>
          <w:rStyle w:val="FootnoteReference"/>
        </w:rPr>
        <w:footnoteReference w:id="5"/>
      </w:r>
      <w:r>
        <w:rPr>
          <w:lang w:val="en-CA"/>
        </w:rPr>
        <w:t xml:space="preserve"> </w:t>
      </w:r>
    </w:p>
    <w:p w:rsidR="00F96CDA" w:rsidRDefault="00F96CDA" w:rsidP="00F96CDA">
      <w:pPr>
        <w:pStyle w:val="Heading1"/>
        <w:numPr>
          <w:ilvl w:val="0"/>
          <w:numId w:val="22"/>
        </w:numPr>
        <w:rPr>
          <w:lang w:val="en-CA"/>
        </w:rPr>
      </w:pPr>
      <w:r>
        <w:rPr>
          <w:lang w:val="en-CA"/>
        </w:rPr>
        <w:t xml:space="preserve">The present document is based on document UNEP/OzL.Pro/ExCom/82/64, which </w:t>
      </w:r>
      <w:r>
        <w:rPr>
          <w:i/>
          <w:lang w:val="en-CA"/>
        </w:rPr>
        <w:t>inter alia</w:t>
      </w:r>
      <w:r>
        <w:rPr>
          <w:lang w:val="en-CA"/>
        </w:rPr>
        <w:t xml:space="preserve">: </w:t>
      </w:r>
    </w:p>
    <w:p w:rsidR="00F96CDA" w:rsidRDefault="00F96CDA" w:rsidP="00F96CDA">
      <w:pPr>
        <w:pStyle w:val="Heading2"/>
        <w:numPr>
          <w:ilvl w:val="1"/>
          <w:numId w:val="22"/>
        </w:numPr>
        <w:rPr>
          <w:lang w:val="en-CA"/>
        </w:rPr>
      </w:pPr>
      <w:r>
        <w:rPr>
          <w:lang w:val="en-CA"/>
        </w:rPr>
        <w:t>Describes the evolution of technical and financial assistance that has been provided to the refrigeration servicing sector since the inception of the Fund; presents an analysis of the characteristics of the RAC sectors; and identifies potential challenges for the phase</w:t>
      </w:r>
      <w:r>
        <w:rPr>
          <w:lang w:val="en-CA"/>
        </w:rPr>
        <w:noBreakHyphen/>
        <w:t>down of HFCs in the sector;</w:t>
      </w:r>
    </w:p>
    <w:p w:rsidR="00F96CDA" w:rsidRDefault="00F96CDA" w:rsidP="00F96CDA">
      <w:pPr>
        <w:pStyle w:val="Heading2"/>
        <w:numPr>
          <w:ilvl w:val="1"/>
          <w:numId w:val="22"/>
        </w:numPr>
        <w:rPr>
          <w:lang w:val="en-CA"/>
        </w:rPr>
      </w:pPr>
      <w:r>
        <w:rPr>
          <w:lang w:val="en-CA"/>
        </w:rPr>
        <w:t>Describes the capacity that has been established and strengthened in Article 5 countries in relation to: policy and regulatory frameworks including standards; training and certification of refrigeration technicians; and technical assistance including the provision of servicing tools for technicians, the establishment of recovery, recycling and reclamation schemes, the retrofitting of refrigeration systems, and the maintaining of energy efficiency;</w:t>
      </w:r>
    </w:p>
    <w:p w:rsidR="00F96CDA" w:rsidRDefault="00F96CDA" w:rsidP="00F96CDA">
      <w:pPr>
        <w:pStyle w:val="Heading2"/>
        <w:numPr>
          <w:ilvl w:val="1"/>
          <w:numId w:val="22"/>
        </w:numPr>
        <w:rPr>
          <w:lang w:val="en-CA"/>
        </w:rPr>
      </w:pPr>
      <w:r>
        <w:rPr>
          <w:lang w:val="en-CA"/>
        </w:rPr>
        <w:t>Presents an analysis of the information needed for the development of training and competency</w:t>
      </w:r>
      <w:r>
        <w:rPr>
          <w:lang w:val="en-CA"/>
        </w:rPr>
        <w:noBreakHyphen/>
        <w:t>based certification programmes for service technicians and customs officers; and</w:t>
      </w:r>
    </w:p>
    <w:p w:rsidR="00F96CDA" w:rsidRDefault="00F96CDA" w:rsidP="00F96CDA">
      <w:pPr>
        <w:pStyle w:val="Heading2"/>
        <w:numPr>
          <w:ilvl w:val="1"/>
          <w:numId w:val="22"/>
        </w:numPr>
        <w:rPr>
          <w:lang w:val="en-CA"/>
        </w:rPr>
      </w:pPr>
      <w:r>
        <w:rPr>
          <w:lang w:val="en-CA"/>
        </w:rPr>
        <w:t>Discusses how common training modules could be applied to the circumstances prevailing in Article 5 countries, and analyses how the global products that have been developed by UNEP in partnership with other international organizations, could support the activities in the refrigeration servicing sector.</w:t>
      </w:r>
    </w:p>
    <w:p w:rsidR="00F96CDA" w:rsidRDefault="00F96CDA" w:rsidP="00F96CDA">
      <w:pPr>
        <w:pStyle w:val="Heading1"/>
        <w:numPr>
          <w:ilvl w:val="0"/>
          <w:numId w:val="22"/>
        </w:numPr>
        <w:rPr>
          <w:lang w:val="en-CA"/>
        </w:rPr>
      </w:pPr>
      <w:r>
        <w:rPr>
          <w:lang w:val="en-CA"/>
        </w:rPr>
        <w:t xml:space="preserve">Although document UNEP/OzL.Pro/ExCom/82/64 described the activities, the modalities and funding levels that have been provided for the refrigeration servicing sector, it did not include an analysis of the level and modalities for funding the HFC phase-down in the refrigeration servicing sector, requested </w:t>
      </w:r>
      <w:r w:rsidR="007C1B59">
        <w:rPr>
          <w:lang w:val="en-CA"/>
        </w:rPr>
        <w:t>by</w:t>
      </w:r>
      <w:r>
        <w:rPr>
          <w:lang w:val="en-CA"/>
        </w:rPr>
        <w:t xml:space="preserve"> decision 83/65(b). On that basis, the present document is supplementary to document</w:t>
      </w:r>
      <w:r w:rsidR="007C1B59">
        <w:rPr>
          <w:lang w:val="en-CA"/>
        </w:rPr>
        <w:t> </w:t>
      </w:r>
      <w:r>
        <w:rPr>
          <w:lang w:val="en-CA"/>
        </w:rPr>
        <w:t>UNEP/OzL.Pro/ExCom/82/64.</w:t>
      </w:r>
    </w:p>
    <w:p w:rsidR="00F96CDA" w:rsidRDefault="00F96CDA" w:rsidP="00F96CDA">
      <w:pPr>
        <w:pStyle w:val="Heading1"/>
        <w:widowControl w:val="0"/>
        <w:numPr>
          <w:ilvl w:val="0"/>
          <w:numId w:val="22"/>
        </w:numPr>
        <w:rPr>
          <w:lang w:val="en-CA"/>
        </w:rPr>
      </w:pPr>
      <w:r>
        <w:rPr>
          <w:lang w:val="en-CA"/>
        </w:rPr>
        <w:t>In addition to document UNEP/OzL.Pro/ExCom/82/64, the Secretariat extracted information from the following sources:</w:t>
      </w:r>
    </w:p>
    <w:p w:rsidR="00F96CDA" w:rsidRDefault="00F96CDA" w:rsidP="00081D8C">
      <w:pPr>
        <w:pStyle w:val="Heading2"/>
        <w:keepNext/>
        <w:widowControl/>
        <w:numPr>
          <w:ilvl w:val="1"/>
          <w:numId w:val="22"/>
        </w:numPr>
        <w:rPr>
          <w:lang w:val="en-CA"/>
        </w:rPr>
      </w:pPr>
      <w:r>
        <w:rPr>
          <w:lang w:val="en-CA"/>
        </w:rPr>
        <w:lastRenderedPageBreak/>
        <w:t>The document on key considerations for developing a methodology for establishing the starting point for sustained aggregate reductions for the consumption and production sectors under the Kigali Amendment (decision 81/67(e)),</w:t>
      </w:r>
      <w:r>
        <w:rPr>
          <w:rStyle w:val="FootnoteReference"/>
          <w:lang w:val="en-CA"/>
        </w:rPr>
        <w:footnoteReference w:id="6"/>
      </w:r>
      <w:r>
        <w:rPr>
          <w:lang w:val="en-CA"/>
        </w:rPr>
        <w:t xml:space="preserve"> in particular the discussion related to the role of the starting point in the servicing sector, considering </w:t>
      </w:r>
      <w:r>
        <w:rPr>
          <w:i/>
          <w:lang w:val="en-CA"/>
        </w:rPr>
        <w:t xml:space="preserve">inter alia </w:t>
      </w:r>
      <w:r>
        <w:rPr>
          <w:lang w:val="en-CA"/>
        </w:rPr>
        <w:t>that the initial years of the phase-down of HFCs will overlap with the phase-out of HCFCs, which for the majority of Article 5 countries would be mainly used in the refrigeration servicing sector;</w:t>
      </w:r>
    </w:p>
    <w:p w:rsidR="00F96CDA" w:rsidRDefault="00F96CDA" w:rsidP="00F96CDA">
      <w:pPr>
        <w:pStyle w:val="Heading2"/>
        <w:numPr>
          <w:ilvl w:val="1"/>
          <w:numId w:val="22"/>
        </w:numPr>
        <w:rPr>
          <w:lang w:val="en-CA"/>
        </w:rPr>
      </w:pPr>
      <w:r>
        <w:rPr>
          <w:lang w:val="en-CA"/>
        </w:rPr>
        <w:t>The document presenting an analysis of the implications of parallel or integrated implementation of HCFC phase-out and HFC phase-down activities,</w:t>
      </w:r>
      <w:r>
        <w:rPr>
          <w:rStyle w:val="FootnoteReference"/>
          <w:lang w:val="en-CA"/>
        </w:rPr>
        <w:footnoteReference w:id="7"/>
      </w:r>
      <w:r>
        <w:rPr>
          <w:lang w:val="en-CA"/>
        </w:rPr>
        <w:t xml:space="preserve"> as the information, analysis, and discussion contained therein supplements</w:t>
      </w:r>
      <w:r>
        <w:rPr>
          <w:rStyle w:val="FootnoteReference"/>
          <w:lang w:val="en-CA"/>
        </w:rPr>
        <w:footnoteReference w:id="8"/>
      </w:r>
      <w:r>
        <w:rPr>
          <w:lang w:val="en-CA"/>
        </w:rPr>
        <w:t xml:space="preserve"> the present document; </w:t>
      </w:r>
    </w:p>
    <w:p w:rsidR="00F96CDA" w:rsidRDefault="00F96CDA" w:rsidP="00F96CDA">
      <w:pPr>
        <w:pStyle w:val="Heading2"/>
        <w:numPr>
          <w:ilvl w:val="1"/>
          <w:numId w:val="22"/>
        </w:numPr>
        <w:rPr>
          <w:lang w:val="en-CA"/>
        </w:rPr>
      </w:pPr>
      <w:r>
        <w:rPr>
          <w:lang w:val="en-CA"/>
        </w:rPr>
        <w:t>The document on potential strategies, policy measures and commitments, as well as projects and activities that could be integrated within stage I of HFCs phase-down plans for Article 5 countries,</w:t>
      </w:r>
      <w:r>
        <w:rPr>
          <w:rStyle w:val="FootnoteReference"/>
          <w:lang w:val="en-CA"/>
        </w:rPr>
        <w:footnoteReference w:id="9"/>
      </w:r>
      <w:r>
        <w:rPr>
          <w:lang w:val="en-CA"/>
        </w:rPr>
        <w:t xml:space="preserve"> as </w:t>
      </w:r>
      <w:r w:rsidR="007C1B59">
        <w:rPr>
          <w:lang w:val="en-CA"/>
        </w:rPr>
        <w:t xml:space="preserve">it </w:t>
      </w:r>
      <w:r>
        <w:rPr>
          <w:i/>
          <w:lang w:val="en-CA"/>
        </w:rPr>
        <w:t xml:space="preserve">inter alia </w:t>
      </w:r>
      <w:r>
        <w:rPr>
          <w:lang w:val="en-CA"/>
        </w:rPr>
        <w:t>describes the benefits for Article 5 countries of implementing an integrated strategy in the refrigeration servicing sector that addresses the reduction of HCFCs and HFCs, including the possibility of formulating a comprehensive plan that combines ozone and climate benefits, strengthening and/or expanding the existing infrastructure as needed, and combining the funding from HCFC phase-out and HFC phase</w:t>
      </w:r>
      <w:r>
        <w:rPr>
          <w:lang w:val="en-CA"/>
        </w:rPr>
        <w:noBreakHyphen/>
        <w:t>down reducing the number of synchronized tranches resulting in lower transaction costs for reporting and verifications;</w:t>
      </w:r>
    </w:p>
    <w:p w:rsidR="00F96CDA" w:rsidRDefault="00F96CDA" w:rsidP="00F96CDA">
      <w:pPr>
        <w:pStyle w:val="Heading2"/>
        <w:numPr>
          <w:ilvl w:val="1"/>
          <w:numId w:val="22"/>
        </w:numPr>
        <w:rPr>
          <w:lang w:val="en-CA"/>
        </w:rPr>
      </w:pPr>
      <w:r>
        <w:rPr>
          <w:lang w:val="en-CA"/>
        </w:rPr>
        <w:t>The draft guidelines for the preparation of HFC phase-down plans for Article 5 countries,</w:t>
      </w:r>
      <w:r>
        <w:rPr>
          <w:rStyle w:val="FootnoteReference"/>
          <w:lang w:val="en-CA"/>
        </w:rPr>
        <w:footnoteReference w:id="10"/>
      </w:r>
      <w:r>
        <w:rPr>
          <w:lang w:val="en-CA"/>
        </w:rPr>
        <w:t xml:space="preserve"> submitted to the 86</w:t>
      </w:r>
      <w:r>
        <w:rPr>
          <w:vertAlign w:val="superscript"/>
          <w:lang w:val="en-CA"/>
        </w:rPr>
        <w:t>th</w:t>
      </w:r>
      <w:r>
        <w:rPr>
          <w:lang w:val="en-CA"/>
        </w:rPr>
        <w:t xml:space="preserve"> meeting in response to decision 84/54(a),</w:t>
      </w:r>
      <w:r w:rsidR="00CF1839">
        <w:rPr>
          <w:rStyle w:val="FootnoteReference"/>
        </w:rPr>
        <w:footnoteReference w:id="11"/>
      </w:r>
      <w:r w:rsidR="00CF1839">
        <w:t xml:space="preserve"> </w:t>
      </w:r>
      <w:r>
        <w:rPr>
          <w:lang w:val="en-CA"/>
        </w:rPr>
        <w:t xml:space="preserve">noting that the resulting phase-down plans will include an overarching strategy, an action plan and a set of activities to meet initial reduction obligations for the phase-down of HFCs including in the refrigeration servicing sector; </w:t>
      </w:r>
    </w:p>
    <w:p w:rsidR="00F96CDA" w:rsidRDefault="00F96CDA" w:rsidP="00717123">
      <w:pPr>
        <w:pStyle w:val="Heading2"/>
        <w:widowControl/>
        <w:numPr>
          <w:ilvl w:val="1"/>
          <w:numId w:val="22"/>
        </w:numPr>
        <w:rPr>
          <w:lang w:val="en-CA"/>
        </w:rPr>
      </w:pPr>
      <w:r>
        <w:rPr>
          <w:lang w:val="en-CA"/>
        </w:rPr>
        <w:t>The document on ways to operationalize paragraph 16 of decision XXVIII/2, and paragraph</w:t>
      </w:r>
      <w:r w:rsidR="00081D8C">
        <w:rPr>
          <w:lang w:val="en-CA"/>
        </w:rPr>
        <w:t> </w:t>
      </w:r>
      <w:r>
        <w:rPr>
          <w:lang w:val="en-CA"/>
        </w:rPr>
        <w:t>2 of decision XXX/5,</w:t>
      </w:r>
      <w:r>
        <w:rPr>
          <w:rStyle w:val="FootnoteReference"/>
          <w:lang w:val="en-CA"/>
        </w:rPr>
        <w:footnoteReference w:id="12"/>
      </w:r>
      <w:r>
        <w:rPr>
          <w:lang w:val="en-CA"/>
        </w:rPr>
        <w:t xml:space="preserve"> being submitted to the 8</w:t>
      </w:r>
      <w:r w:rsidR="00CF1839">
        <w:rPr>
          <w:lang w:val="en-CA"/>
        </w:rPr>
        <w:t>7</w:t>
      </w:r>
      <w:r>
        <w:rPr>
          <w:vertAlign w:val="superscript"/>
          <w:lang w:val="en-CA"/>
        </w:rPr>
        <w:t>th</w:t>
      </w:r>
      <w:r>
        <w:rPr>
          <w:lang w:val="en-CA"/>
        </w:rPr>
        <w:t xml:space="preserve"> meeting in response to decision 84/88, as the document describes ways to increase the funding available under decision 74/50 for LVC countries, when needed, for: the introduction of low- and zero</w:t>
      </w:r>
      <w:r w:rsidR="00717123">
        <w:rPr>
          <w:lang w:val="en-CA"/>
        </w:rPr>
        <w:noBreakHyphen/>
      </w:r>
      <w:r>
        <w:rPr>
          <w:lang w:val="en-CA"/>
        </w:rPr>
        <w:t xml:space="preserve">GWP alternatives to HCFCs or HFCs and maintaining energy efficiency in the servicing/end-user sector, developing and enforcing policies and regulations to avoid the market penetration of energy-inefficient RAC equipment and </w:t>
      </w:r>
      <w:r w:rsidR="0009550D">
        <w:rPr>
          <w:lang w:val="en-CA"/>
        </w:rPr>
        <w:t xml:space="preserve">promoting penetration of </w:t>
      </w:r>
      <w:r w:rsidR="0009550D">
        <w:rPr>
          <w:lang w:val="en-CA"/>
        </w:rPr>
        <w:lastRenderedPageBreak/>
        <w:t>energy</w:t>
      </w:r>
      <w:r w:rsidR="00081D8C">
        <w:rPr>
          <w:lang w:val="en-CA"/>
        </w:rPr>
        <w:noBreakHyphen/>
      </w:r>
      <w:r>
        <w:rPr>
          <w:lang w:val="en-CA"/>
        </w:rPr>
        <w:t>efficient equipment, and taking into account the criteria, performance indicators, and funding mechanisms of servicing sector plans in HPMPs;</w:t>
      </w:r>
    </w:p>
    <w:p w:rsidR="00F96CDA" w:rsidRDefault="00F96CDA" w:rsidP="00EA1F9E">
      <w:pPr>
        <w:pStyle w:val="Heading2"/>
        <w:widowControl/>
        <w:numPr>
          <w:ilvl w:val="1"/>
          <w:numId w:val="22"/>
        </w:numPr>
        <w:rPr>
          <w:lang w:val="en-CA"/>
        </w:rPr>
      </w:pPr>
      <w:r>
        <w:rPr>
          <w:lang w:val="en-CA"/>
        </w:rPr>
        <w:t>The document presenting a synthesis report describing best practices and ways for the Executive Committee to consider operationalizing paragraph 24 of decision</w:t>
      </w:r>
      <w:r w:rsidR="00081D8C">
        <w:rPr>
          <w:lang w:val="en-CA"/>
        </w:rPr>
        <w:t> </w:t>
      </w:r>
      <w:r>
        <w:rPr>
          <w:lang w:val="en-CA"/>
        </w:rPr>
        <w:t>XXVIII/2,</w:t>
      </w:r>
      <w:r>
        <w:rPr>
          <w:rStyle w:val="FootnoteReference"/>
          <w:lang w:val="en-CA"/>
        </w:rPr>
        <w:footnoteReference w:id="13"/>
      </w:r>
      <w:r>
        <w:rPr>
          <w:lang w:val="en-CA"/>
        </w:rPr>
        <w:t xml:space="preserve"> as the document describes options when funding the environmentally sound management of waste ODS and other controlled substances, which are largely a result of the servicing of RAC equipment; and</w:t>
      </w:r>
    </w:p>
    <w:p w:rsidR="00F96CDA" w:rsidRDefault="00F96CDA" w:rsidP="00F96CDA">
      <w:pPr>
        <w:pStyle w:val="Heading2"/>
        <w:widowControl/>
        <w:numPr>
          <w:ilvl w:val="1"/>
          <w:numId w:val="22"/>
        </w:numPr>
        <w:rPr>
          <w:lang w:val="en-CA"/>
        </w:rPr>
      </w:pPr>
      <w:r>
        <w:rPr>
          <w:lang w:val="en-CA"/>
        </w:rPr>
        <w:t>The document on information relevant to the development of the cost guidelines for the phase</w:t>
      </w:r>
      <w:r w:rsidR="00081D8C">
        <w:rPr>
          <w:lang w:val="en-CA"/>
        </w:rPr>
        <w:noBreakHyphen/>
      </w:r>
      <w:r>
        <w:rPr>
          <w:lang w:val="en-CA"/>
        </w:rPr>
        <w:t>down of HFCs in Article 5 countries: enabling activities,</w:t>
      </w:r>
      <w:r>
        <w:rPr>
          <w:rStyle w:val="FootnoteReference"/>
          <w:lang w:val="en-CA"/>
        </w:rPr>
        <w:footnoteReference w:id="14"/>
      </w:r>
      <w:r>
        <w:rPr>
          <w:lang w:val="en-CA"/>
        </w:rPr>
        <w:t xml:space="preserve"> which </w:t>
      </w:r>
      <w:r>
        <w:rPr>
          <w:i/>
          <w:lang w:val="en-CA"/>
        </w:rPr>
        <w:t xml:space="preserve">inter alia </w:t>
      </w:r>
      <w:r>
        <w:rPr>
          <w:lang w:val="en-CA"/>
        </w:rPr>
        <w:t>reviewed all the policies and guidelines that have been adopted by the Executive Committee related to enabling activities (listed under paragraph 20 of decision XXVIII/2) to support the phase</w:t>
      </w:r>
      <w:r>
        <w:rPr>
          <w:lang w:val="en-CA"/>
        </w:rPr>
        <w:noBreakHyphen/>
        <w:t>out of controlled substances in Article 5 countries, several of which relates to the refrigeration servicing sector.</w:t>
      </w:r>
    </w:p>
    <w:p w:rsidR="00F96CDA" w:rsidRDefault="00F96CDA" w:rsidP="00F96CDA">
      <w:pPr>
        <w:pStyle w:val="Heading1"/>
        <w:numPr>
          <w:ilvl w:val="0"/>
          <w:numId w:val="22"/>
        </w:numPr>
        <w:rPr>
          <w:lang w:val="en-CA"/>
        </w:rPr>
      </w:pPr>
      <w:r>
        <w:rPr>
          <w:lang w:val="en-CA"/>
        </w:rPr>
        <w:t>In preparing this document, the Secretariat also gave due consideration to the comments and observations provided by the implementing agencies during the IACM held from 25 to 27</w:t>
      </w:r>
      <w:r w:rsidR="00081D8C">
        <w:rPr>
          <w:lang w:val="en-CA"/>
        </w:rPr>
        <w:t> </w:t>
      </w:r>
      <w:r>
        <w:rPr>
          <w:lang w:val="en-CA"/>
        </w:rPr>
        <w:t>February</w:t>
      </w:r>
      <w:r w:rsidR="00081D8C">
        <w:rPr>
          <w:lang w:val="en-CA"/>
        </w:rPr>
        <w:t> </w:t>
      </w:r>
      <w:r>
        <w:rPr>
          <w:lang w:val="en-CA"/>
        </w:rPr>
        <w:t>2020.</w:t>
      </w:r>
    </w:p>
    <w:p w:rsidR="00F96CDA" w:rsidRDefault="00F96CDA" w:rsidP="00F96CDA">
      <w:pPr>
        <w:pStyle w:val="Heading1"/>
        <w:numPr>
          <w:ilvl w:val="0"/>
          <w:numId w:val="22"/>
        </w:numPr>
        <w:rPr>
          <w:lang w:val="en-CA"/>
        </w:rPr>
      </w:pPr>
      <w:r>
        <w:rPr>
          <w:lang w:val="en-CA"/>
        </w:rPr>
        <w:t>The present document consists of the following sections:</w:t>
      </w:r>
    </w:p>
    <w:p w:rsidR="00F96CDA" w:rsidRDefault="00F96CDA" w:rsidP="00F96CDA">
      <w:pPr>
        <w:pStyle w:val="Heading2"/>
        <w:widowControl/>
        <w:numPr>
          <w:ilvl w:val="1"/>
          <w:numId w:val="22"/>
        </w:numPr>
        <w:rPr>
          <w:lang w:val="en-CA"/>
        </w:rPr>
      </w:pPr>
      <w:r>
        <w:rPr>
          <w:lang w:val="en-CA"/>
        </w:rPr>
        <w:t>Overview of assistance provided under the Multilateral Fund in the refrigeration servicing sector;</w:t>
      </w:r>
    </w:p>
    <w:p w:rsidR="00F96CDA" w:rsidRDefault="00F96CDA" w:rsidP="00F96CDA">
      <w:pPr>
        <w:pStyle w:val="Heading2"/>
        <w:numPr>
          <w:ilvl w:val="1"/>
          <w:numId w:val="22"/>
        </w:numPr>
        <w:rPr>
          <w:lang w:val="en-CA"/>
        </w:rPr>
      </w:pPr>
      <w:r>
        <w:rPr>
          <w:lang w:val="en-CA"/>
        </w:rPr>
        <w:t xml:space="preserve">Integrated HCFC and HFC compliance strategy for the refrigeration servicing sector; </w:t>
      </w:r>
    </w:p>
    <w:p w:rsidR="00F96CDA" w:rsidRPr="00BD71B5" w:rsidRDefault="00F96CDA" w:rsidP="00F96CDA">
      <w:pPr>
        <w:pStyle w:val="Heading2"/>
        <w:numPr>
          <w:ilvl w:val="1"/>
          <w:numId w:val="22"/>
        </w:numPr>
        <w:rPr>
          <w:lang w:val="en-CA"/>
        </w:rPr>
      </w:pPr>
      <w:r>
        <w:rPr>
          <w:lang w:val="en-CA"/>
        </w:rPr>
        <w:t xml:space="preserve">Modalities and levels of funding for the HFC phase-down in the refrigeration servicing </w:t>
      </w:r>
      <w:r w:rsidRPr="00BD71B5">
        <w:rPr>
          <w:lang w:val="en-CA"/>
        </w:rPr>
        <w:t>sector (stage I); and</w:t>
      </w:r>
    </w:p>
    <w:p w:rsidR="00F96CDA" w:rsidRPr="00BD71B5" w:rsidRDefault="00F96CDA" w:rsidP="00F96CDA">
      <w:pPr>
        <w:pStyle w:val="Heading2"/>
        <w:numPr>
          <w:ilvl w:val="1"/>
          <w:numId w:val="22"/>
        </w:numPr>
        <w:rPr>
          <w:lang w:val="en-CA"/>
        </w:rPr>
      </w:pPr>
      <w:r w:rsidRPr="00BD71B5">
        <w:rPr>
          <w:lang w:val="en-CA"/>
        </w:rPr>
        <w:t>Recommendation.</w:t>
      </w:r>
    </w:p>
    <w:p w:rsidR="00F96CDA" w:rsidRPr="00BD71B5" w:rsidRDefault="002245F8" w:rsidP="002245F8">
      <w:pPr>
        <w:pStyle w:val="Heading1"/>
        <w:numPr>
          <w:ilvl w:val="0"/>
          <w:numId w:val="22"/>
        </w:numPr>
        <w:rPr>
          <w:lang w:val="en-CA"/>
        </w:rPr>
      </w:pPr>
      <w:r w:rsidRPr="00BD71B5">
        <w:rPr>
          <w:lang w:val="en-CA"/>
        </w:rPr>
        <w:t>A</w:t>
      </w:r>
      <w:r w:rsidR="00F96CDA" w:rsidRPr="00BD71B5">
        <w:rPr>
          <w:lang w:val="en-CA"/>
        </w:rPr>
        <w:t xml:space="preserve">nnex </w:t>
      </w:r>
      <w:r w:rsidRPr="00BD71B5">
        <w:rPr>
          <w:lang w:val="en-CA"/>
        </w:rPr>
        <w:t>I to the present document presents an overview of potential modalities for integrating HCFC phase</w:t>
      </w:r>
      <w:r w:rsidR="00081D8C">
        <w:rPr>
          <w:lang w:val="en-CA"/>
        </w:rPr>
        <w:noBreakHyphen/>
      </w:r>
      <w:r w:rsidRPr="00BD71B5">
        <w:rPr>
          <w:lang w:val="en-CA"/>
        </w:rPr>
        <w:t>out and HFC phase-down activities in the refrigeration servicing sector.</w:t>
      </w:r>
    </w:p>
    <w:p w:rsidR="00F96CDA" w:rsidRDefault="00F96CDA" w:rsidP="00F96CDA">
      <w:pPr>
        <w:pStyle w:val="Heading2"/>
        <w:numPr>
          <w:ilvl w:val="0"/>
          <w:numId w:val="0"/>
        </w:numPr>
        <w:tabs>
          <w:tab w:val="left" w:pos="720"/>
        </w:tabs>
        <w:rPr>
          <w:b/>
          <w:lang w:val="en-CA"/>
        </w:rPr>
      </w:pPr>
      <w:r>
        <w:rPr>
          <w:b/>
          <w:lang w:val="en-CA"/>
        </w:rPr>
        <w:t>Overview of assistance provided under the Multilateral Fund in the refrigeration servicing sector</w:t>
      </w:r>
    </w:p>
    <w:p w:rsidR="00F96CDA" w:rsidRDefault="00F96CDA" w:rsidP="00F96CDA">
      <w:pPr>
        <w:pStyle w:val="Heading1"/>
        <w:numPr>
          <w:ilvl w:val="0"/>
          <w:numId w:val="22"/>
        </w:numPr>
        <w:rPr>
          <w:lang w:val="en-CA"/>
        </w:rPr>
      </w:pPr>
      <w:r>
        <w:rPr>
          <w:lang w:val="en-CA"/>
        </w:rPr>
        <w:t xml:space="preserve">Since its inception, the Multilateral Fund has provided assistance to Article 5 countries to phase out the controlled substances used in the refrigeration servicing sector. </w:t>
      </w:r>
    </w:p>
    <w:p w:rsidR="00F96CDA" w:rsidRDefault="00F96CDA" w:rsidP="00F96CDA">
      <w:pPr>
        <w:rPr>
          <w:u w:val="single"/>
          <w:lang w:val="en-CA"/>
        </w:rPr>
      </w:pPr>
      <w:r>
        <w:rPr>
          <w:u w:val="single"/>
          <w:lang w:val="en-CA"/>
        </w:rPr>
        <w:t>Funding levels and modalities for CFC phase-out in the refrigeration servicing sector</w:t>
      </w:r>
    </w:p>
    <w:p w:rsidR="00F96CDA" w:rsidRDefault="00F96CDA" w:rsidP="00F96CDA">
      <w:pPr>
        <w:rPr>
          <w:lang w:val="en-CA"/>
        </w:rPr>
      </w:pPr>
    </w:p>
    <w:p w:rsidR="00F96CDA" w:rsidRDefault="00F96CDA" w:rsidP="00F96CDA">
      <w:pPr>
        <w:pStyle w:val="Heading1"/>
        <w:numPr>
          <w:ilvl w:val="0"/>
          <w:numId w:val="22"/>
        </w:numPr>
        <w:rPr>
          <w:lang w:val="en-CA"/>
        </w:rPr>
      </w:pPr>
      <w:r>
        <w:rPr>
          <w:lang w:val="en-CA"/>
        </w:rPr>
        <w:t>The assistance was initially provided to implement stand-alone projects (e.g. drafting regulations to support the phase-out of CFCs, training to custom/enforcement officers, training of refrigeration technicians in good servicing practices; distribution of tools and equipment for technicians, refrigerant recovery and recycling schemes), without an overarching strategy and outside a management plan. The funding levels were approved on a case-by-case basis based on the project proposals submitted.</w:t>
      </w:r>
    </w:p>
    <w:p w:rsidR="00F96CDA" w:rsidRDefault="00F96CDA" w:rsidP="00F96CDA">
      <w:pPr>
        <w:pStyle w:val="Heading1"/>
        <w:numPr>
          <w:ilvl w:val="0"/>
          <w:numId w:val="22"/>
        </w:numPr>
        <w:rPr>
          <w:lang w:val="en-CA"/>
        </w:rPr>
      </w:pPr>
      <w:r>
        <w:rPr>
          <w:lang w:val="en-CA"/>
        </w:rPr>
        <w:t>As the CFC phase-out progressed, the stand-alone projects were subsumed into a holistic funding plan applicable to LVC countries: a refrigerant management plan (RMP). The RMP was a country</w:t>
      </w:r>
      <w:r w:rsidR="00081D8C">
        <w:rPr>
          <w:lang w:val="en-CA"/>
        </w:rPr>
        <w:noBreakHyphen/>
      </w:r>
      <w:r>
        <w:rPr>
          <w:lang w:val="en-CA"/>
        </w:rPr>
        <w:t xml:space="preserve">driven approach that allowed flexibility on the implementation of activities that would enable the relevant country to meet its compliance obligations under the Montreal Protocol. Subsequently, countries could submit an </w:t>
      </w:r>
      <w:r>
        <w:rPr>
          <w:lang w:val="en-CA"/>
        </w:rPr>
        <w:lastRenderedPageBreak/>
        <w:t>RMP update to achieve 50 per cent and 85 per cent reductions from the CFC consumption baseline in 2005 and 2007, respectively. Finally, to achieve the complete phase</w:t>
      </w:r>
      <w:r>
        <w:rPr>
          <w:lang w:val="en-CA"/>
        </w:rPr>
        <w:noBreakHyphen/>
        <w:t>out of CFCs, terminal phase</w:t>
      </w:r>
      <w:r w:rsidR="00081D8C">
        <w:rPr>
          <w:lang w:val="en-CA"/>
        </w:rPr>
        <w:noBreakHyphen/>
      </w:r>
      <w:r>
        <w:rPr>
          <w:lang w:val="en-CA"/>
        </w:rPr>
        <w:t>out management plans (TPMPs) were developed for LVC countries and national phase-out plans (NPPs) for non-LVC countries, as performance-based agreements following the country</w:t>
      </w:r>
      <w:r>
        <w:rPr>
          <w:lang w:val="en-CA"/>
        </w:rPr>
        <w:noBreakHyphen/>
        <w:t xml:space="preserve">driven approach. Funding for these plans was provided in tranches upon verification of compliance with specific consumption targets. </w:t>
      </w:r>
    </w:p>
    <w:p w:rsidR="00F96CDA" w:rsidRDefault="00F96CDA" w:rsidP="00F96CDA">
      <w:pPr>
        <w:pStyle w:val="Heading1"/>
        <w:widowControl w:val="0"/>
        <w:numPr>
          <w:ilvl w:val="0"/>
          <w:numId w:val="22"/>
        </w:numPr>
        <w:rPr>
          <w:lang w:val="en-CA"/>
        </w:rPr>
      </w:pPr>
      <w:r>
        <w:rPr>
          <w:lang w:val="en-CA"/>
        </w:rPr>
        <w:t>The funding levels for RMP updates, TPMPs and NPPs were pre</w:t>
      </w:r>
      <w:r>
        <w:rPr>
          <w:lang w:val="en-CA"/>
        </w:rPr>
        <w:noBreakHyphen/>
        <w:t>determined by the Executive Committee, rather than allocated on a case-by-case basis, and are summarized in Table 1.</w:t>
      </w:r>
      <w:r>
        <w:rPr>
          <w:sz w:val="18"/>
          <w:szCs w:val="18"/>
          <w:lang w:val="en-CA"/>
        </w:rPr>
        <w:t xml:space="preserve"> </w:t>
      </w:r>
    </w:p>
    <w:p w:rsidR="00F96CDA" w:rsidRDefault="00F96CDA" w:rsidP="00F96CDA">
      <w:pPr>
        <w:pStyle w:val="Heading1"/>
        <w:numPr>
          <w:ilvl w:val="0"/>
          <w:numId w:val="0"/>
        </w:numPr>
        <w:tabs>
          <w:tab w:val="left" w:pos="720"/>
        </w:tabs>
        <w:spacing w:after="0"/>
        <w:rPr>
          <w:b/>
          <w:lang w:val="en-CA"/>
        </w:rPr>
      </w:pPr>
      <w:r>
        <w:rPr>
          <w:b/>
          <w:lang w:val="en-CA"/>
        </w:rPr>
        <w:t xml:space="preserve">Table 1. Level and modalities of funds approved in the refrigeration servicing sector </w:t>
      </w:r>
    </w:p>
    <w:tbl>
      <w:tblPr>
        <w:tblStyle w:val="TableGrid"/>
        <w:tblW w:w="5050" w:type="pct"/>
        <w:tblLook w:val="04A0" w:firstRow="1" w:lastRow="0" w:firstColumn="1" w:lastColumn="0" w:noHBand="0" w:noVBand="1"/>
      </w:tblPr>
      <w:tblGrid>
        <w:gridCol w:w="1332"/>
        <w:gridCol w:w="878"/>
        <w:gridCol w:w="969"/>
        <w:gridCol w:w="1938"/>
        <w:gridCol w:w="2261"/>
        <w:gridCol w:w="2066"/>
      </w:tblGrid>
      <w:tr w:rsidR="00F96CDA" w:rsidTr="00B6630A">
        <w:trPr>
          <w:tblHeader/>
        </w:trPr>
        <w:tc>
          <w:tcPr>
            <w:tcW w:w="70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F96CDA" w:rsidRDefault="00F96CDA">
            <w:pPr>
              <w:jc w:val="center"/>
              <w:rPr>
                <w:b/>
                <w:sz w:val="20"/>
                <w:szCs w:val="20"/>
                <w:lang w:val="en-CA"/>
              </w:rPr>
            </w:pPr>
            <w:r>
              <w:rPr>
                <w:b/>
                <w:sz w:val="20"/>
                <w:szCs w:val="20"/>
                <w:lang w:val="en-CA"/>
              </w:rPr>
              <w:t>Modality</w:t>
            </w:r>
          </w:p>
        </w:tc>
        <w:tc>
          <w:tcPr>
            <w:tcW w:w="46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F96CDA" w:rsidRDefault="00F96CDA">
            <w:pPr>
              <w:jc w:val="center"/>
              <w:rPr>
                <w:b/>
                <w:sz w:val="20"/>
                <w:szCs w:val="20"/>
                <w:lang w:val="en-CA"/>
              </w:rPr>
            </w:pPr>
            <w:r>
              <w:rPr>
                <w:b/>
                <w:sz w:val="20"/>
                <w:szCs w:val="20"/>
                <w:lang w:val="en-CA"/>
              </w:rPr>
              <w:t>Years used</w:t>
            </w:r>
          </w:p>
        </w:tc>
        <w:tc>
          <w:tcPr>
            <w:tcW w:w="51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F96CDA" w:rsidRDefault="00F96CDA">
            <w:pPr>
              <w:jc w:val="center"/>
              <w:rPr>
                <w:b/>
                <w:sz w:val="20"/>
                <w:szCs w:val="20"/>
                <w:lang w:val="en-CA"/>
              </w:rPr>
            </w:pPr>
            <w:r>
              <w:rPr>
                <w:b/>
                <w:sz w:val="20"/>
                <w:szCs w:val="20"/>
                <w:lang w:val="en-CA"/>
              </w:rPr>
              <w:t>Target countries</w:t>
            </w:r>
          </w:p>
        </w:tc>
        <w:tc>
          <w:tcPr>
            <w:tcW w:w="1026"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F96CDA" w:rsidRDefault="00F96CDA">
            <w:pPr>
              <w:jc w:val="center"/>
              <w:rPr>
                <w:b/>
                <w:sz w:val="20"/>
                <w:szCs w:val="20"/>
                <w:lang w:val="en-CA"/>
              </w:rPr>
            </w:pPr>
            <w:r>
              <w:rPr>
                <w:b/>
                <w:sz w:val="20"/>
                <w:szCs w:val="20"/>
                <w:lang w:val="en-CA"/>
              </w:rPr>
              <w:t>Modality of funding</w:t>
            </w:r>
          </w:p>
        </w:tc>
        <w:tc>
          <w:tcPr>
            <w:tcW w:w="1197"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F96CDA" w:rsidRDefault="00F96CDA">
            <w:pPr>
              <w:jc w:val="center"/>
              <w:rPr>
                <w:b/>
                <w:sz w:val="20"/>
                <w:szCs w:val="20"/>
                <w:lang w:val="en-CA"/>
              </w:rPr>
            </w:pPr>
            <w:r>
              <w:rPr>
                <w:b/>
                <w:sz w:val="20"/>
                <w:szCs w:val="20"/>
                <w:lang w:val="en-CA"/>
              </w:rPr>
              <w:t>Level of funding</w:t>
            </w:r>
          </w:p>
        </w:tc>
        <w:tc>
          <w:tcPr>
            <w:tcW w:w="1094"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F96CDA" w:rsidRDefault="00F96CDA">
            <w:pPr>
              <w:jc w:val="center"/>
              <w:rPr>
                <w:b/>
                <w:sz w:val="20"/>
                <w:szCs w:val="20"/>
                <w:lang w:val="en-CA"/>
              </w:rPr>
            </w:pPr>
            <w:r>
              <w:rPr>
                <w:b/>
                <w:sz w:val="20"/>
                <w:szCs w:val="20"/>
                <w:lang w:val="en-CA"/>
              </w:rPr>
              <w:t>Commitment</w:t>
            </w:r>
          </w:p>
        </w:tc>
      </w:tr>
      <w:tr w:rsidR="00F96CDA" w:rsidTr="00B6630A">
        <w:tc>
          <w:tcPr>
            <w:tcW w:w="70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Stand-alone</w:t>
            </w:r>
          </w:p>
        </w:tc>
        <w:tc>
          <w:tcPr>
            <w:tcW w:w="46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1993 to 1997</w:t>
            </w:r>
          </w:p>
        </w:tc>
        <w:tc>
          <w:tcPr>
            <w:tcW w:w="51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LVC and non-LVC</w:t>
            </w:r>
          </w:p>
        </w:tc>
        <w:tc>
          <w:tcPr>
            <w:tcW w:w="1026"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F96CDA" w:rsidRDefault="00F96CDA">
            <w:pPr>
              <w:jc w:val="left"/>
              <w:rPr>
                <w:sz w:val="20"/>
                <w:szCs w:val="20"/>
                <w:lang w:val="en-CA"/>
              </w:rPr>
            </w:pPr>
            <w:r>
              <w:rPr>
                <w:sz w:val="20"/>
                <w:szCs w:val="20"/>
                <w:lang w:val="en-CA"/>
              </w:rPr>
              <w:t xml:space="preserve">Based on incremental cost of specific activities </w:t>
            </w:r>
          </w:p>
        </w:tc>
        <w:tc>
          <w:tcPr>
            <w:tcW w:w="1197"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Case-by-case basis</w:t>
            </w:r>
          </w:p>
        </w:tc>
        <w:tc>
          <w:tcPr>
            <w:tcW w:w="1094"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Reduce a specific tonnage of CFC consumption proposed in the project</w:t>
            </w:r>
          </w:p>
        </w:tc>
      </w:tr>
      <w:tr w:rsidR="00F96CDA" w:rsidTr="00B6630A">
        <w:tc>
          <w:tcPr>
            <w:tcW w:w="70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RMP</w:t>
            </w:r>
          </w:p>
        </w:tc>
        <w:tc>
          <w:tcPr>
            <w:tcW w:w="46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1997 to 2005</w:t>
            </w:r>
          </w:p>
        </w:tc>
        <w:tc>
          <w:tcPr>
            <w:tcW w:w="51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 xml:space="preserve">LVC and non-LVC </w:t>
            </w:r>
          </w:p>
        </w:tc>
        <w:tc>
          <w:tcPr>
            <w:tcW w:w="1026"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F96CDA" w:rsidRDefault="00F96CDA">
            <w:pPr>
              <w:jc w:val="left"/>
              <w:rPr>
                <w:sz w:val="20"/>
                <w:szCs w:val="20"/>
                <w:lang w:val="en-CA"/>
              </w:rPr>
            </w:pPr>
            <w:r>
              <w:rPr>
                <w:sz w:val="20"/>
                <w:szCs w:val="20"/>
                <w:lang w:val="en-CA"/>
              </w:rPr>
              <w:t>Based on incremental cost of specific activities</w:t>
            </w:r>
          </w:p>
        </w:tc>
        <w:tc>
          <w:tcPr>
            <w:tcW w:w="1197"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Case-by-case basis</w:t>
            </w:r>
          </w:p>
        </w:tc>
        <w:tc>
          <w:tcPr>
            <w:tcW w:w="1094"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Reduce a specific tonnage of CFC consumption proposed in the project, supported by a policy and regulatory framework, with phase</w:t>
            </w:r>
            <w:r>
              <w:rPr>
                <w:sz w:val="20"/>
                <w:szCs w:val="20"/>
                <w:lang w:val="en-CA"/>
              </w:rPr>
              <w:noBreakHyphen/>
              <w:t>out activities</w:t>
            </w:r>
          </w:p>
        </w:tc>
      </w:tr>
      <w:tr w:rsidR="00F96CDA" w:rsidTr="00B6630A">
        <w:tc>
          <w:tcPr>
            <w:tcW w:w="70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 xml:space="preserve">RMP update (decision 33/32) </w:t>
            </w:r>
          </w:p>
        </w:tc>
        <w:tc>
          <w:tcPr>
            <w:tcW w:w="46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 xml:space="preserve">2001 to 2006 </w:t>
            </w:r>
          </w:p>
        </w:tc>
        <w:tc>
          <w:tcPr>
            <w:tcW w:w="51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 xml:space="preserve">LVC and non-LVC </w:t>
            </w:r>
          </w:p>
        </w:tc>
        <w:tc>
          <w:tcPr>
            <w:tcW w:w="1026"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F96CDA" w:rsidRDefault="00F96CDA">
            <w:pPr>
              <w:jc w:val="left"/>
              <w:rPr>
                <w:sz w:val="20"/>
                <w:szCs w:val="20"/>
                <w:lang w:val="en-CA"/>
              </w:rPr>
            </w:pPr>
            <w:r>
              <w:rPr>
                <w:sz w:val="20"/>
                <w:szCs w:val="20"/>
                <w:lang w:val="en-CA"/>
              </w:rPr>
              <w:t xml:space="preserve">An increase to the funds approved for the RMP </w:t>
            </w:r>
          </w:p>
        </w:tc>
        <w:tc>
          <w:tcPr>
            <w:tcW w:w="1197"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Up to 50 per cent of the RMP approved value</w:t>
            </w:r>
          </w:p>
        </w:tc>
        <w:tc>
          <w:tcPr>
            <w:tcW w:w="1094"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rsidP="00081D8C">
            <w:pPr>
              <w:jc w:val="left"/>
              <w:rPr>
                <w:sz w:val="20"/>
                <w:szCs w:val="20"/>
                <w:lang w:val="en-CA"/>
              </w:rPr>
            </w:pPr>
            <w:r>
              <w:rPr>
                <w:sz w:val="20"/>
                <w:szCs w:val="20"/>
                <w:lang w:val="en-CA"/>
              </w:rPr>
              <w:t>To achieve the 50</w:t>
            </w:r>
            <w:r w:rsidR="00081D8C">
              <w:rPr>
                <w:sz w:val="20"/>
                <w:szCs w:val="20"/>
                <w:lang w:val="en-CA"/>
              </w:rPr>
              <w:t> </w:t>
            </w:r>
            <w:r>
              <w:rPr>
                <w:sz w:val="20"/>
                <w:szCs w:val="20"/>
                <w:lang w:val="en-CA"/>
              </w:rPr>
              <w:t>per</w:t>
            </w:r>
            <w:r w:rsidR="00081D8C">
              <w:rPr>
                <w:sz w:val="20"/>
                <w:szCs w:val="20"/>
                <w:lang w:val="en-CA"/>
              </w:rPr>
              <w:t> </w:t>
            </w:r>
            <w:r>
              <w:rPr>
                <w:sz w:val="20"/>
                <w:szCs w:val="20"/>
                <w:lang w:val="en-CA"/>
              </w:rPr>
              <w:t>cent (2005) and 85</w:t>
            </w:r>
            <w:r w:rsidR="00081D8C">
              <w:rPr>
                <w:sz w:val="20"/>
                <w:szCs w:val="20"/>
                <w:lang w:val="en-CA"/>
              </w:rPr>
              <w:t> </w:t>
            </w:r>
            <w:r>
              <w:rPr>
                <w:sz w:val="20"/>
                <w:szCs w:val="20"/>
                <w:lang w:val="en-CA"/>
              </w:rPr>
              <w:t>per</w:t>
            </w:r>
            <w:r w:rsidR="00081D8C">
              <w:rPr>
                <w:sz w:val="20"/>
                <w:szCs w:val="20"/>
                <w:lang w:val="en-CA"/>
              </w:rPr>
              <w:t> </w:t>
            </w:r>
            <w:r>
              <w:rPr>
                <w:sz w:val="20"/>
                <w:szCs w:val="20"/>
                <w:lang w:val="en-CA"/>
              </w:rPr>
              <w:t>cent (2007) reduction CFC phase</w:t>
            </w:r>
            <w:r w:rsidR="00081D8C">
              <w:rPr>
                <w:sz w:val="20"/>
                <w:szCs w:val="20"/>
                <w:lang w:val="en-CA"/>
              </w:rPr>
              <w:noBreakHyphen/>
            </w:r>
            <w:r>
              <w:rPr>
                <w:sz w:val="20"/>
                <w:szCs w:val="20"/>
                <w:lang w:val="en-CA"/>
              </w:rPr>
              <w:t>out targets</w:t>
            </w:r>
          </w:p>
        </w:tc>
      </w:tr>
      <w:tr w:rsidR="00F96CDA" w:rsidTr="00B6630A">
        <w:tc>
          <w:tcPr>
            <w:tcW w:w="70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TPMP (decision 45/54)</w:t>
            </w:r>
          </w:p>
        </w:tc>
        <w:tc>
          <w:tcPr>
            <w:tcW w:w="46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2005 to 2010</w:t>
            </w:r>
          </w:p>
        </w:tc>
        <w:tc>
          <w:tcPr>
            <w:tcW w:w="51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 xml:space="preserve">LVC </w:t>
            </w:r>
          </w:p>
        </w:tc>
        <w:tc>
          <w:tcPr>
            <w:tcW w:w="1026"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F96CDA" w:rsidRDefault="00F96CDA">
            <w:pPr>
              <w:jc w:val="left"/>
              <w:rPr>
                <w:sz w:val="20"/>
                <w:szCs w:val="20"/>
                <w:lang w:val="en-CA"/>
              </w:rPr>
            </w:pPr>
            <w:r>
              <w:rPr>
                <w:sz w:val="20"/>
                <w:szCs w:val="20"/>
                <w:lang w:val="en-CA"/>
              </w:rPr>
              <w:t>Funding based on CFC consumption baseline</w:t>
            </w:r>
          </w:p>
        </w:tc>
        <w:tc>
          <w:tcPr>
            <w:tcW w:w="1197" w:type="pct"/>
            <w:tcBorders>
              <w:top w:val="single" w:sz="4" w:space="0" w:color="auto"/>
              <w:left w:val="single" w:sz="4" w:space="0" w:color="auto"/>
              <w:bottom w:val="single" w:sz="4" w:space="0" w:color="auto"/>
              <w:right w:val="single" w:sz="4" w:space="0" w:color="auto"/>
            </w:tcBorders>
            <w:tcMar>
              <w:top w:w="29" w:type="dxa"/>
              <w:left w:w="58" w:type="dxa"/>
              <w:bottom w:w="29" w:type="dxa"/>
              <w:right w:w="0" w:type="dxa"/>
            </w:tcMar>
            <w:hideMark/>
          </w:tcPr>
          <w:p w:rsidR="00F96CDA" w:rsidRDefault="00F96CDA">
            <w:pPr>
              <w:jc w:val="left"/>
              <w:rPr>
                <w:sz w:val="20"/>
                <w:szCs w:val="20"/>
                <w:lang w:val="en-CA"/>
              </w:rPr>
            </w:pPr>
            <w:r>
              <w:rPr>
                <w:sz w:val="20"/>
                <w:szCs w:val="20"/>
                <w:lang w:val="en-CA"/>
              </w:rPr>
              <w:t>Below 15</w:t>
            </w:r>
            <w:r w:rsidR="00B04C62">
              <w:rPr>
                <w:sz w:val="20"/>
                <w:szCs w:val="20"/>
                <w:lang w:val="en-CA"/>
              </w:rPr>
              <w:t> mt</w:t>
            </w:r>
            <w:r>
              <w:rPr>
                <w:sz w:val="20"/>
                <w:szCs w:val="20"/>
                <w:lang w:val="en-CA"/>
              </w:rPr>
              <w:t xml:space="preserve">: </w:t>
            </w:r>
            <w:r w:rsidR="00B04C62">
              <w:rPr>
                <w:sz w:val="20"/>
                <w:szCs w:val="20"/>
                <w:lang w:val="en-CA"/>
              </w:rPr>
              <w:t>US $</w:t>
            </w:r>
            <w:r>
              <w:rPr>
                <w:sz w:val="20"/>
                <w:szCs w:val="20"/>
                <w:lang w:val="en-CA"/>
              </w:rPr>
              <w:t>205,000</w:t>
            </w:r>
          </w:p>
          <w:p w:rsidR="00F96CDA" w:rsidRDefault="00F96CDA">
            <w:pPr>
              <w:jc w:val="left"/>
              <w:rPr>
                <w:sz w:val="20"/>
                <w:szCs w:val="20"/>
                <w:lang w:val="en-CA"/>
              </w:rPr>
            </w:pPr>
            <w:r>
              <w:rPr>
                <w:sz w:val="20"/>
                <w:szCs w:val="20"/>
                <w:lang w:val="en-CA"/>
              </w:rPr>
              <w:t>15 to 30</w:t>
            </w:r>
            <w:r w:rsidR="00B04C62">
              <w:rPr>
                <w:sz w:val="20"/>
                <w:szCs w:val="20"/>
                <w:lang w:val="en-CA"/>
              </w:rPr>
              <w:t> mt</w:t>
            </w:r>
            <w:r>
              <w:rPr>
                <w:sz w:val="20"/>
                <w:szCs w:val="20"/>
                <w:lang w:val="en-CA"/>
              </w:rPr>
              <w:t xml:space="preserve">: </w:t>
            </w:r>
            <w:r w:rsidR="00B04C62">
              <w:rPr>
                <w:sz w:val="20"/>
                <w:szCs w:val="20"/>
                <w:lang w:val="en-CA"/>
              </w:rPr>
              <w:t>US $</w:t>
            </w:r>
            <w:r>
              <w:rPr>
                <w:sz w:val="20"/>
                <w:szCs w:val="20"/>
                <w:lang w:val="en-CA"/>
              </w:rPr>
              <w:t>295,000</w:t>
            </w:r>
          </w:p>
          <w:p w:rsidR="00F96CDA" w:rsidRDefault="00F96CDA">
            <w:pPr>
              <w:jc w:val="left"/>
              <w:rPr>
                <w:sz w:val="20"/>
                <w:szCs w:val="20"/>
                <w:lang w:val="en-CA"/>
              </w:rPr>
            </w:pPr>
            <w:r>
              <w:rPr>
                <w:sz w:val="20"/>
                <w:szCs w:val="20"/>
                <w:lang w:val="en-CA"/>
              </w:rPr>
              <w:t>30 to 60</w:t>
            </w:r>
            <w:r w:rsidR="00B04C62">
              <w:rPr>
                <w:sz w:val="20"/>
                <w:szCs w:val="20"/>
                <w:lang w:val="en-CA"/>
              </w:rPr>
              <w:t> mt</w:t>
            </w:r>
            <w:r>
              <w:rPr>
                <w:sz w:val="20"/>
                <w:szCs w:val="20"/>
                <w:lang w:val="en-CA"/>
              </w:rPr>
              <w:t xml:space="preserve">: </w:t>
            </w:r>
            <w:r w:rsidR="00B04C62">
              <w:rPr>
                <w:sz w:val="20"/>
                <w:szCs w:val="20"/>
                <w:lang w:val="en-CA"/>
              </w:rPr>
              <w:t>US $</w:t>
            </w:r>
            <w:r>
              <w:rPr>
                <w:sz w:val="20"/>
                <w:szCs w:val="20"/>
                <w:lang w:val="en-CA"/>
              </w:rPr>
              <w:t>345,000</w:t>
            </w:r>
          </w:p>
          <w:p w:rsidR="00F96CDA" w:rsidRDefault="00F96CDA">
            <w:pPr>
              <w:jc w:val="left"/>
              <w:rPr>
                <w:sz w:val="20"/>
                <w:szCs w:val="20"/>
                <w:lang w:val="en-CA"/>
              </w:rPr>
            </w:pPr>
            <w:r>
              <w:rPr>
                <w:sz w:val="20"/>
                <w:szCs w:val="20"/>
                <w:lang w:val="en-CA"/>
              </w:rPr>
              <w:t>60 to 120</w:t>
            </w:r>
            <w:r w:rsidR="00B04C62">
              <w:rPr>
                <w:sz w:val="20"/>
                <w:szCs w:val="20"/>
                <w:lang w:val="en-CA"/>
              </w:rPr>
              <w:t> mt</w:t>
            </w:r>
            <w:r>
              <w:rPr>
                <w:sz w:val="20"/>
                <w:szCs w:val="20"/>
                <w:lang w:val="en-CA"/>
              </w:rPr>
              <w:t xml:space="preserve">: </w:t>
            </w:r>
            <w:r w:rsidR="00B04C62">
              <w:rPr>
                <w:sz w:val="20"/>
                <w:szCs w:val="20"/>
                <w:lang w:val="en-CA"/>
              </w:rPr>
              <w:t>US $</w:t>
            </w:r>
            <w:r>
              <w:rPr>
                <w:sz w:val="20"/>
                <w:szCs w:val="20"/>
                <w:lang w:val="en-CA"/>
              </w:rPr>
              <w:t>520,000</w:t>
            </w:r>
          </w:p>
          <w:p w:rsidR="00F96CDA" w:rsidRDefault="00F96CDA">
            <w:pPr>
              <w:jc w:val="left"/>
              <w:rPr>
                <w:sz w:val="20"/>
                <w:szCs w:val="20"/>
                <w:lang w:val="en-CA"/>
              </w:rPr>
            </w:pPr>
            <w:r>
              <w:rPr>
                <w:sz w:val="20"/>
                <w:szCs w:val="20"/>
                <w:lang w:val="en-CA"/>
              </w:rPr>
              <w:t>Above 120</w:t>
            </w:r>
            <w:r w:rsidR="00B04C62">
              <w:rPr>
                <w:sz w:val="20"/>
                <w:szCs w:val="20"/>
                <w:lang w:val="en-CA"/>
              </w:rPr>
              <w:t> mt</w:t>
            </w:r>
            <w:r>
              <w:rPr>
                <w:sz w:val="20"/>
                <w:szCs w:val="20"/>
                <w:lang w:val="en-CA"/>
              </w:rPr>
              <w:t xml:space="preserve">: </w:t>
            </w:r>
            <w:r w:rsidR="00B04C62">
              <w:rPr>
                <w:sz w:val="20"/>
                <w:szCs w:val="20"/>
                <w:lang w:val="en-CA"/>
              </w:rPr>
              <w:t>US $</w:t>
            </w:r>
            <w:r>
              <w:rPr>
                <w:sz w:val="20"/>
                <w:szCs w:val="20"/>
                <w:lang w:val="en-CA"/>
              </w:rPr>
              <w:t>565,000</w:t>
            </w:r>
          </w:p>
        </w:tc>
        <w:tc>
          <w:tcPr>
            <w:tcW w:w="1094"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Performance-based; annual targets up to total CFC phase-out</w:t>
            </w:r>
          </w:p>
        </w:tc>
      </w:tr>
      <w:tr w:rsidR="00F96CDA" w:rsidTr="00B6630A">
        <w:tc>
          <w:tcPr>
            <w:tcW w:w="70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 xml:space="preserve">NPP </w:t>
            </w:r>
          </w:p>
        </w:tc>
        <w:tc>
          <w:tcPr>
            <w:tcW w:w="465"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2003 to 2010</w:t>
            </w:r>
          </w:p>
        </w:tc>
        <w:tc>
          <w:tcPr>
            <w:tcW w:w="51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 xml:space="preserve">Non-LVC </w:t>
            </w:r>
          </w:p>
        </w:tc>
        <w:tc>
          <w:tcPr>
            <w:tcW w:w="1026"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F96CDA" w:rsidRDefault="00F96CDA">
            <w:pPr>
              <w:jc w:val="left"/>
              <w:rPr>
                <w:sz w:val="20"/>
                <w:szCs w:val="20"/>
                <w:lang w:val="en-CA"/>
              </w:rPr>
            </w:pPr>
            <w:r>
              <w:rPr>
                <w:sz w:val="20"/>
                <w:szCs w:val="20"/>
                <w:lang w:val="en-CA"/>
              </w:rPr>
              <w:t>Fixed cost</w:t>
            </w:r>
            <w:r>
              <w:rPr>
                <w:sz w:val="20"/>
                <w:szCs w:val="20"/>
                <w:lang w:val="en-CA"/>
              </w:rPr>
              <w:noBreakHyphen/>
              <w:t xml:space="preserve">effectiveness threshold </w:t>
            </w:r>
          </w:p>
        </w:tc>
        <w:tc>
          <w:tcPr>
            <w:tcW w:w="1197"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B04C62">
            <w:pPr>
              <w:jc w:val="left"/>
              <w:rPr>
                <w:sz w:val="20"/>
                <w:szCs w:val="20"/>
                <w:lang w:val="en-CA"/>
              </w:rPr>
            </w:pPr>
            <w:r>
              <w:rPr>
                <w:sz w:val="20"/>
                <w:szCs w:val="20"/>
                <w:lang w:val="en-CA"/>
              </w:rPr>
              <w:t>US $</w:t>
            </w:r>
            <w:r w:rsidR="00F96CDA">
              <w:rPr>
                <w:sz w:val="20"/>
                <w:szCs w:val="20"/>
                <w:lang w:val="en-CA"/>
              </w:rPr>
              <w:t xml:space="preserve">5.00/kg </w:t>
            </w:r>
          </w:p>
        </w:tc>
        <w:tc>
          <w:tcPr>
            <w:tcW w:w="1094"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rsidR="00F96CDA" w:rsidRDefault="00F96CDA">
            <w:pPr>
              <w:jc w:val="left"/>
              <w:rPr>
                <w:sz w:val="20"/>
                <w:szCs w:val="20"/>
                <w:lang w:val="en-CA"/>
              </w:rPr>
            </w:pPr>
            <w:r>
              <w:rPr>
                <w:sz w:val="20"/>
                <w:szCs w:val="20"/>
                <w:lang w:val="en-CA"/>
              </w:rPr>
              <w:t>Performance-based; total CFC phase-out</w:t>
            </w:r>
          </w:p>
        </w:tc>
      </w:tr>
    </w:tbl>
    <w:p w:rsidR="00F96CDA" w:rsidRDefault="00F96CDA" w:rsidP="00F96CDA">
      <w:pPr>
        <w:outlineLvl w:val="0"/>
        <w:rPr>
          <w:u w:val="single"/>
          <w:lang w:val="en-CA"/>
        </w:rPr>
      </w:pPr>
    </w:p>
    <w:p w:rsidR="00F96CDA" w:rsidRDefault="00F96CDA" w:rsidP="00F96CDA">
      <w:pPr>
        <w:rPr>
          <w:u w:val="single"/>
          <w:lang w:val="en-CA"/>
        </w:rPr>
      </w:pPr>
      <w:r>
        <w:rPr>
          <w:u w:val="single"/>
          <w:lang w:val="en-CA"/>
        </w:rPr>
        <w:t>Funding levels and modalities for HCFC phase-out in the refrigeration servicing sector</w:t>
      </w:r>
    </w:p>
    <w:p w:rsidR="00F96CDA" w:rsidRDefault="00F96CDA" w:rsidP="00F96CDA">
      <w:pPr>
        <w:outlineLvl w:val="0"/>
        <w:rPr>
          <w:u w:val="single"/>
          <w:lang w:val="en-CA"/>
        </w:rPr>
      </w:pPr>
    </w:p>
    <w:p w:rsidR="00F96CDA" w:rsidRDefault="00F96CDA" w:rsidP="00F96CDA">
      <w:pPr>
        <w:pStyle w:val="Heading1"/>
        <w:numPr>
          <w:ilvl w:val="0"/>
          <w:numId w:val="22"/>
        </w:numPr>
        <w:rPr>
          <w:lang w:val="en-CA"/>
        </w:rPr>
      </w:pPr>
      <w:r>
        <w:rPr>
          <w:lang w:val="en-CA"/>
        </w:rPr>
        <w:t xml:space="preserve">The HCFC phase-out followed a similar approach to that used for the TPMPs and NPPs with the sole difference that the phase-out of HCFCs followed a staged approach, with each stage governed by a separate performance-based agreement and with specific cost guidelines. </w:t>
      </w:r>
    </w:p>
    <w:p w:rsidR="00F96CDA" w:rsidRDefault="00F96CDA" w:rsidP="00F96CDA">
      <w:pPr>
        <w:pStyle w:val="Heading1"/>
        <w:numPr>
          <w:ilvl w:val="0"/>
          <w:numId w:val="22"/>
        </w:numPr>
        <w:rPr>
          <w:lang w:val="en-CA"/>
        </w:rPr>
      </w:pPr>
      <w:r>
        <w:rPr>
          <w:lang w:val="en-CA"/>
        </w:rPr>
        <w:t>The funding levels and modalities for the phase</w:t>
      </w:r>
      <w:r>
        <w:rPr>
          <w:lang w:val="en-CA"/>
        </w:rPr>
        <w:noBreakHyphen/>
        <w:t>out of HCFCs in the refrigeration servicing sector were determined by decision 60/44 for stage I of the HPMPs, and decision 74/50 for stage II of the HPMPs. In line with these decisions:</w:t>
      </w:r>
    </w:p>
    <w:p w:rsidR="00F96CDA" w:rsidRDefault="00F96CDA" w:rsidP="00F96CDA">
      <w:pPr>
        <w:pStyle w:val="Heading2"/>
        <w:numPr>
          <w:ilvl w:val="1"/>
          <w:numId w:val="22"/>
        </w:numPr>
        <w:rPr>
          <w:lang w:val="en-CA"/>
        </w:rPr>
      </w:pPr>
      <w:r>
        <w:rPr>
          <w:lang w:val="en-CA"/>
        </w:rPr>
        <w:t>Funding levels for LVC countries (i.e., countries with HCFC consumption below 360 metric tonnes (mt) in the refrigeration servicing sector only) were agreed based on the HCFC baseline for compliance as shown in Table 2; and</w:t>
      </w:r>
    </w:p>
    <w:p w:rsidR="00F96CDA" w:rsidRDefault="00F96CDA" w:rsidP="00081D8C">
      <w:pPr>
        <w:pStyle w:val="Heading2"/>
        <w:keepNext/>
        <w:keepLines/>
        <w:widowControl/>
        <w:numPr>
          <w:ilvl w:val="1"/>
          <w:numId w:val="22"/>
        </w:numPr>
        <w:rPr>
          <w:lang w:val="en-CA"/>
        </w:rPr>
      </w:pPr>
      <w:r>
        <w:rPr>
          <w:lang w:val="en-CA"/>
        </w:rPr>
        <w:lastRenderedPageBreak/>
        <w:t xml:space="preserve">Funding for non-LVC countries was agreed at </w:t>
      </w:r>
      <w:r w:rsidR="00B04C62">
        <w:rPr>
          <w:lang w:val="en-CA"/>
        </w:rPr>
        <w:t>US $</w:t>
      </w:r>
      <w:r>
        <w:rPr>
          <w:lang w:val="en-CA"/>
        </w:rPr>
        <w:t xml:space="preserve">4.50/metric kg for stage I and </w:t>
      </w:r>
      <w:r w:rsidR="00B04C62">
        <w:rPr>
          <w:lang w:val="en-CA"/>
        </w:rPr>
        <w:t>US $</w:t>
      </w:r>
      <w:r>
        <w:rPr>
          <w:lang w:val="en-CA"/>
        </w:rPr>
        <w:t>4.80/metric kg for stage II.</w:t>
      </w:r>
    </w:p>
    <w:p w:rsidR="00F96CDA" w:rsidRDefault="00F96CDA" w:rsidP="00F96CDA">
      <w:pPr>
        <w:keepNext/>
        <w:outlineLvl w:val="0"/>
        <w:rPr>
          <w:lang w:val="en-CA"/>
        </w:rPr>
      </w:pPr>
      <w:r>
        <w:rPr>
          <w:b/>
          <w:lang w:val="en-CA"/>
        </w:rPr>
        <w:t>Table 2. Funding for HCFC phase-out in the refrigeration servicing sector for LVC countries</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337"/>
        <w:gridCol w:w="1337"/>
        <w:gridCol w:w="1338"/>
        <w:gridCol w:w="1337"/>
        <w:gridCol w:w="1337"/>
        <w:gridCol w:w="1338"/>
      </w:tblGrid>
      <w:tr w:rsidR="00F96CDA" w:rsidTr="00F96CDA">
        <w:trPr>
          <w:tblHeader/>
        </w:trPr>
        <w:tc>
          <w:tcPr>
            <w:tcW w:w="133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F96CDA" w:rsidRDefault="00F96CDA">
            <w:pPr>
              <w:widowControl w:val="0"/>
              <w:jc w:val="center"/>
              <w:rPr>
                <w:b/>
                <w:color w:val="000000" w:themeColor="text1"/>
                <w:sz w:val="20"/>
                <w:szCs w:val="20"/>
                <w:lang w:val="en-CA"/>
              </w:rPr>
            </w:pPr>
            <w:r>
              <w:rPr>
                <w:b/>
                <w:color w:val="000000" w:themeColor="text1"/>
                <w:sz w:val="20"/>
                <w:szCs w:val="20"/>
                <w:lang w:val="en-CA"/>
              </w:rPr>
              <w:t>HCFC baseline (mt)</w:t>
            </w:r>
            <w:r w:rsidR="00B6630A">
              <w:rPr>
                <w:b/>
                <w:color w:val="000000" w:themeColor="text1"/>
                <w:sz w:val="20"/>
                <w:szCs w:val="20"/>
                <w:lang w:val="en-CA"/>
              </w:rPr>
              <w:t>*</w:t>
            </w:r>
          </w:p>
        </w:tc>
        <w:tc>
          <w:tcPr>
            <w:tcW w:w="4012"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F96CDA" w:rsidRDefault="00F96CDA">
            <w:pPr>
              <w:keepNext/>
              <w:jc w:val="center"/>
              <w:rPr>
                <w:b/>
                <w:color w:val="000000" w:themeColor="text1"/>
                <w:sz w:val="20"/>
                <w:szCs w:val="20"/>
                <w:lang w:val="en-CA"/>
              </w:rPr>
            </w:pPr>
            <w:r>
              <w:rPr>
                <w:b/>
                <w:color w:val="000000" w:themeColor="text1"/>
                <w:sz w:val="20"/>
                <w:szCs w:val="20"/>
                <w:lang w:val="en-CA"/>
              </w:rPr>
              <w:t>Funding (</w:t>
            </w:r>
            <w:r w:rsidR="00B04C62">
              <w:rPr>
                <w:b/>
                <w:color w:val="000000" w:themeColor="text1"/>
                <w:sz w:val="20"/>
                <w:szCs w:val="20"/>
                <w:lang w:val="en-CA"/>
              </w:rPr>
              <w:t>US $</w:t>
            </w:r>
            <w:r>
              <w:rPr>
                <w:b/>
                <w:color w:val="000000" w:themeColor="text1"/>
                <w:sz w:val="20"/>
                <w:szCs w:val="20"/>
                <w:lang w:val="en-CA"/>
              </w:rPr>
              <w:t>)</w:t>
            </w:r>
          </w:p>
        </w:tc>
        <w:tc>
          <w:tcPr>
            <w:tcW w:w="133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96CDA" w:rsidRDefault="00F96CDA">
            <w:pPr>
              <w:keepNext/>
              <w:jc w:val="center"/>
              <w:rPr>
                <w:b/>
                <w:color w:val="000000" w:themeColor="text1"/>
                <w:sz w:val="20"/>
                <w:szCs w:val="20"/>
                <w:lang w:val="en-CA"/>
              </w:rPr>
            </w:pPr>
            <w:r>
              <w:rPr>
                <w:b/>
                <w:color w:val="000000" w:themeColor="text1"/>
                <w:sz w:val="20"/>
                <w:szCs w:val="20"/>
                <w:lang w:val="en-CA"/>
              </w:rPr>
              <w:t>No. of countries</w:t>
            </w:r>
          </w:p>
        </w:tc>
        <w:tc>
          <w:tcPr>
            <w:tcW w:w="1337" w:type="dxa"/>
            <w:vMerge w:val="restart"/>
            <w:tcBorders>
              <w:top w:val="single" w:sz="4" w:space="0" w:color="auto"/>
              <w:left w:val="nil"/>
              <w:bottom w:val="single" w:sz="4" w:space="0" w:color="auto"/>
              <w:right w:val="nil"/>
            </w:tcBorders>
            <w:tcMar>
              <w:top w:w="0" w:type="dxa"/>
              <w:left w:w="0" w:type="dxa"/>
              <w:bottom w:w="0" w:type="dxa"/>
              <w:right w:w="0" w:type="dxa"/>
            </w:tcMar>
            <w:vAlign w:val="center"/>
            <w:hideMark/>
          </w:tcPr>
          <w:p w:rsidR="00F96CDA" w:rsidRDefault="00F96CDA">
            <w:pPr>
              <w:keepNext/>
              <w:jc w:val="center"/>
              <w:rPr>
                <w:b/>
                <w:color w:val="000000"/>
                <w:sz w:val="20"/>
                <w:szCs w:val="20"/>
                <w:lang w:val="en-CA"/>
              </w:rPr>
            </w:pPr>
            <w:r>
              <w:rPr>
                <w:b/>
                <w:color w:val="000000"/>
                <w:sz w:val="20"/>
                <w:szCs w:val="20"/>
                <w:lang w:val="en-CA"/>
              </w:rPr>
              <w:t>Consumption</w:t>
            </w:r>
            <w:r w:rsidR="0009550D">
              <w:rPr>
                <w:b/>
                <w:color w:val="000000"/>
                <w:sz w:val="20"/>
                <w:szCs w:val="20"/>
                <w:lang w:val="en-CA"/>
              </w:rPr>
              <w:t xml:space="preserve"> </w:t>
            </w:r>
            <w:r>
              <w:rPr>
                <w:b/>
                <w:color w:val="000000"/>
                <w:sz w:val="20"/>
                <w:szCs w:val="20"/>
                <w:lang w:val="en-CA"/>
              </w:rPr>
              <w:t>(mt)*</w:t>
            </w:r>
            <w:r w:rsidR="00B6630A">
              <w:rPr>
                <w:b/>
                <w:color w:val="000000"/>
                <w:sz w:val="20"/>
                <w:szCs w:val="20"/>
                <w:lang w:val="en-CA"/>
              </w:rPr>
              <w:t>*</w:t>
            </w:r>
          </w:p>
        </w:tc>
        <w:tc>
          <w:tcPr>
            <w:tcW w:w="1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96CDA" w:rsidRDefault="00F96CDA">
            <w:pPr>
              <w:keepNext/>
              <w:jc w:val="center"/>
              <w:rPr>
                <w:b/>
                <w:color w:val="000000" w:themeColor="text1"/>
                <w:sz w:val="20"/>
                <w:szCs w:val="20"/>
                <w:lang w:val="en-CA"/>
              </w:rPr>
            </w:pPr>
            <w:r>
              <w:rPr>
                <w:b/>
                <w:color w:val="000000" w:themeColor="text1"/>
                <w:sz w:val="20"/>
                <w:szCs w:val="20"/>
                <w:lang w:val="en-CA"/>
              </w:rPr>
              <w:t>Estimated cost (</w:t>
            </w:r>
            <w:r w:rsidR="00B04C62">
              <w:rPr>
                <w:b/>
                <w:color w:val="000000" w:themeColor="text1"/>
                <w:sz w:val="20"/>
                <w:szCs w:val="20"/>
                <w:lang w:val="en-CA"/>
              </w:rPr>
              <w:t>US $</w:t>
            </w:r>
            <w:r>
              <w:rPr>
                <w:b/>
                <w:color w:val="000000" w:themeColor="text1"/>
                <w:sz w:val="20"/>
                <w:szCs w:val="20"/>
                <w:lang w:val="en-CA"/>
              </w:rPr>
              <w:t>)</w:t>
            </w:r>
          </w:p>
        </w:tc>
      </w:tr>
      <w:tr w:rsidR="00F96CDA" w:rsidTr="00F96CDA">
        <w:trPr>
          <w:tblHeader/>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F96CDA" w:rsidRDefault="00F96CDA">
            <w:pPr>
              <w:jc w:val="left"/>
              <w:rPr>
                <w:b/>
                <w:color w:val="000000" w:themeColor="text1"/>
                <w:sz w:val="20"/>
                <w:szCs w:val="20"/>
                <w:lang w:val="en-CA"/>
              </w:rPr>
            </w:pP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keepNext/>
              <w:jc w:val="center"/>
              <w:rPr>
                <w:color w:val="000000" w:themeColor="text1"/>
                <w:sz w:val="20"/>
                <w:szCs w:val="20"/>
                <w:lang w:val="en-CA"/>
              </w:rPr>
            </w:pPr>
            <w:r>
              <w:rPr>
                <w:b/>
                <w:color w:val="000000" w:themeColor="text1"/>
                <w:sz w:val="20"/>
                <w:szCs w:val="20"/>
                <w:lang w:val="en-CA"/>
              </w:rPr>
              <w:t>Up to 2020 (35% reduction)</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keepNext/>
              <w:jc w:val="center"/>
              <w:rPr>
                <w:color w:val="000000" w:themeColor="text1"/>
                <w:sz w:val="20"/>
                <w:szCs w:val="20"/>
                <w:lang w:val="en-CA"/>
              </w:rPr>
            </w:pPr>
            <w:r>
              <w:rPr>
                <w:b/>
                <w:color w:val="000000" w:themeColor="text1"/>
                <w:sz w:val="20"/>
                <w:szCs w:val="20"/>
                <w:lang w:val="en-CA"/>
              </w:rPr>
              <w:t>Up to 2025 (67.5% reduction</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keepNext/>
              <w:jc w:val="center"/>
              <w:rPr>
                <w:color w:val="000000" w:themeColor="text1"/>
                <w:sz w:val="20"/>
                <w:szCs w:val="20"/>
                <w:lang w:val="en-CA"/>
              </w:rPr>
            </w:pPr>
            <w:r>
              <w:rPr>
                <w:b/>
                <w:color w:val="000000" w:themeColor="text1"/>
                <w:sz w:val="20"/>
                <w:szCs w:val="20"/>
                <w:lang w:val="en-CA"/>
              </w:rPr>
              <w:t>Total HCFC phase-out</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96CDA" w:rsidRDefault="00F96CDA">
            <w:pPr>
              <w:jc w:val="left"/>
              <w:rPr>
                <w:b/>
                <w:color w:val="000000" w:themeColor="text1"/>
                <w:sz w:val="20"/>
                <w:szCs w:val="20"/>
                <w:lang w:val="en-CA"/>
              </w:rPr>
            </w:pPr>
          </w:p>
        </w:tc>
        <w:tc>
          <w:tcPr>
            <w:tcW w:w="1337" w:type="dxa"/>
            <w:vMerge/>
            <w:tcBorders>
              <w:top w:val="single" w:sz="4" w:space="0" w:color="auto"/>
              <w:left w:val="nil"/>
              <w:bottom w:val="single" w:sz="4" w:space="0" w:color="auto"/>
              <w:right w:val="nil"/>
            </w:tcBorders>
            <w:vAlign w:val="center"/>
            <w:hideMark/>
          </w:tcPr>
          <w:p w:rsidR="00F96CDA" w:rsidRDefault="00F96CDA">
            <w:pPr>
              <w:jc w:val="left"/>
              <w:rPr>
                <w:b/>
                <w:color w:val="000000"/>
                <w:sz w:val="20"/>
                <w:szCs w:val="20"/>
                <w:lang w:val="en-CA"/>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F96CDA" w:rsidRDefault="00F96CDA">
            <w:pPr>
              <w:jc w:val="left"/>
              <w:rPr>
                <w:b/>
                <w:color w:val="000000" w:themeColor="text1"/>
                <w:sz w:val="20"/>
                <w:szCs w:val="20"/>
                <w:lang w:val="en-CA"/>
              </w:rPr>
            </w:pP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&gt;0 &lt;15</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rsidP="00EA1F9E">
            <w:pPr>
              <w:keepNext/>
              <w:jc w:val="right"/>
              <w:rPr>
                <w:color w:val="000000" w:themeColor="text1"/>
                <w:sz w:val="20"/>
                <w:szCs w:val="20"/>
                <w:lang w:val="en-CA"/>
              </w:rPr>
            </w:pPr>
            <w:r>
              <w:rPr>
                <w:color w:val="000000" w:themeColor="text1"/>
                <w:sz w:val="20"/>
                <w:szCs w:val="20"/>
                <w:lang w:val="en-CA"/>
              </w:rPr>
              <w:t>205,</w:t>
            </w:r>
            <w:r w:rsidR="00EA1F9E">
              <w:rPr>
                <w:color w:val="000000" w:themeColor="text1"/>
                <w:sz w:val="20"/>
                <w:szCs w:val="20"/>
                <w:lang w:val="en-CA"/>
              </w:rPr>
              <w:t>62</w:t>
            </w:r>
            <w:r>
              <w:rPr>
                <w:color w:val="000000" w:themeColor="text1"/>
                <w:sz w:val="20"/>
                <w:szCs w:val="20"/>
                <w:lang w:val="en-CA"/>
              </w:rPr>
              <w:t>5</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396,500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587,500</w:t>
            </w:r>
          </w:p>
        </w:tc>
        <w:tc>
          <w:tcPr>
            <w:tcW w:w="1337"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sz w:val="20"/>
                <w:szCs w:val="20"/>
                <w:lang w:val="en-CA"/>
              </w:rPr>
            </w:pPr>
            <w:r>
              <w:rPr>
                <w:color w:val="000000"/>
                <w:sz w:val="20"/>
                <w:szCs w:val="20"/>
                <w:lang w:val="en-CA"/>
              </w:rPr>
              <w:t>21</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1,580</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12,337,500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15 &lt;40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262,500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506,250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750,000</w:t>
            </w:r>
          </w:p>
        </w:tc>
        <w:tc>
          <w:tcPr>
            <w:tcW w:w="1337"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sz w:val="20"/>
                <w:szCs w:val="20"/>
                <w:lang w:val="en-CA"/>
              </w:rPr>
            </w:pPr>
            <w:r>
              <w:rPr>
                <w:color w:val="000000"/>
                <w:sz w:val="20"/>
                <w:szCs w:val="20"/>
                <w:lang w:val="en-CA"/>
              </w:rPr>
              <w:t>17</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467</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12,750,000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40 &lt;80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280,000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540,000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800,000</w:t>
            </w:r>
          </w:p>
        </w:tc>
        <w:tc>
          <w:tcPr>
            <w:tcW w:w="1337"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sz w:val="20"/>
                <w:szCs w:val="20"/>
                <w:lang w:val="en-CA"/>
              </w:rPr>
            </w:pPr>
            <w:r>
              <w:rPr>
                <w:color w:val="000000"/>
                <w:sz w:val="20"/>
                <w:szCs w:val="20"/>
                <w:lang w:val="en-CA"/>
              </w:rPr>
              <w:t>13</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780</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10,400,000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80 &lt;120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315,000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607,500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themeColor="text1"/>
                <w:sz w:val="20"/>
                <w:szCs w:val="20"/>
                <w:lang w:val="en-CA"/>
              </w:rPr>
              <w:t>900,000</w:t>
            </w:r>
          </w:p>
        </w:tc>
        <w:tc>
          <w:tcPr>
            <w:tcW w:w="1337"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sz w:val="20"/>
                <w:szCs w:val="20"/>
                <w:lang w:val="en-CA"/>
              </w:rPr>
            </w:pPr>
            <w:r>
              <w:rPr>
                <w:color w:val="000000"/>
                <w:sz w:val="20"/>
                <w:szCs w:val="20"/>
                <w:lang w:val="en-CA"/>
              </w:rPr>
              <w:t>10</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1,000</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keepNext/>
              <w:jc w:val="right"/>
              <w:rPr>
                <w:color w:val="000000" w:themeColor="text1"/>
                <w:sz w:val="20"/>
                <w:szCs w:val="20"/>
                <w:lang w:val="en-CA"/>
              </w:rPr>
            </w:pPr>
            <w:r>
              <w:rPr>
                <w:color w:val="000000"/>
                <w:sz w:val="20"/>
                <w:szCs w:val="20"/>
                <w:lang w:val="en-CA"/>
              </w:rPr>
              <w:t>9,000,000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120 &lt;160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332,500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641,250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950,000</w:t>
            </w:r>
          </w:p>
        </w:tc>
        <w:tc>
          <w:tcPr>
            <w:tcW w:w="1337"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sz w:val="20"/>
                <w:szCs w:val="20"/>
                <w:lang w:val="en-CA"/>
              </w:rPr>
            </w:pPr>
            <w:r>
              <w:rPr>
                <w:color w:val="000000"/>
                <w:sz w:val="20"/>
                <w:szCs w:val="20"/>
                <w:lang w:val="en-CA"/>
              </w:rPr>
              <w:t>9</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1,260</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8,550,000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160 &lt;200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350,000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675,000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1,000,000</w:t>
            </w:r>
          </w:p>
        </w:tc>
        <w:tc>
          <w:tcPr>
            <w:tcW w:w="1337"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sz w:val="20"/>
                <w:szCs w:val="20"/>
                <w:lang w:val="en-CA"/>
              </w:rPr>
            </w:pPr>
            <w:r>
              <w:rPr>
                <w:color w:val="000000"/>
                <w:sz w:val="20"/>
                <w:szCs w:val="20"/>
                <w:lang w:val="en-CA"/>
              </w:rPr>
              <w:t>3</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540</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3,000,000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200 &lt;320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560,000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1,080,000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1,600,000</w:t>
            </w:r>
          </w:p>
        </w:tc>
        <w:tc>
          <w:tcPr>
            <w:tcW w:w="1337"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sz w:val="20"/>
                <w:szCs w:val="20"/>
                <w:lang w:val="en-CA"/>
              </w:rPr>
            </w:pPr>
            <w:r>
              <w:rPr>
                <w:color w:val="000000"/>
                <w:sz w:val="20"/>
                <w:szCs w:val="20"/>
                <w:lang w:val="en-CA"/>
              </w:rPr>
              <w:t>12</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3,120</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19,200,000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Default="00F96CDA">
            <w:pPr>
              <w:widowControl w:val="0"/>
              <w:rPr>
                <w:color w:val="000000" w:themeColor="text1"/>
                <w:sz w:val="20"/>
                <w:szCs w:val="20"/>
                <w:lang w:val="en-CA"/>
              </w:rPr>
            </w:pPr>
            <w:r>
              <w:rPr>
                <w:color w:val="000000" w:themeColor="text1"/>
                <w:sz w:val="20"/>
                <w:szCs w:val="20"/>
                <w:lang w:val="en-CA"/>
              </w:rPr>
              <w:t>320 &lt;360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630,000</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1,215,000</w:t>
            </w: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themeColor="text1"/>
                <w:sz w:val="20"/>
                <w:szCs w:val="20"/>
                <w:lang w:val="en-CA"/>
              </w:rPr>
              <w:t>1,800,000</w:t>
            </w:r>
          </w:p>
        </w:tc>
        <w:tc>
          <w:tcPr>
            <w:tcW w:w="1337"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sz w:val="20"/>
                <w:szCs w:val="20"/>
                <w:lang w:val="en-CA"/>
              </w:rPr>
            </w:pPr>
            <w:r>
              <w:rPr>
                <w:color w:val="000000"/>
                <w:sz w:val="20"/>
                <w:szCs w:val="20"/>
                <w:lang w:val="en-CA"/>
              </w:rPr>
              <w:t>2</w:t>
            </w:r>
          </w:p>
        </w:tc>
        <w:tc>
          <w:tcPr>
            <w:tcW w:w="1337" w:type="dxa"/>
            <w:tcBorders>
              <w:top w:val="single" w:sz="4" w:space="0" w:color="auto"/>
              <w:left w:val="nil"/>
              <w:bottom w:val="single" w:sz="4" w:space="0" w:color="auto"/>
              <w:right w:val="nil"/>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680</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Default="00F96CDA">
            <w:pPr>
              <w:widowControl w:val="0"/>
              <w:jc w:val="right"/>
              <w:rPr>
                <w:color w:val="000000" w:themeColor="text1"/>
                <w:sz w:val="20"/>
                <w:szCs w:val="20"/>
                <w:lang w:val="en-CA"/>
              </w:rPr>
            </w:pPr>
            <w:r>
              <w:rPr>
                <w:color w:val="000000"/>
                <w:sz w:val="20"/>
                <w:szCs w:val="20"/>
                <w:lang w:val="en-CA"/>
              </w:rPr>
              <w:t>3,600,000</w:t>
            </w:r>
          </w:p>
        </w:tc>
      </w:tr>
      <w:tr w:rsidR="00F96CDA" w:rsidTr="00F96CDA">
        <w:tc>
          <w:tcPr>
            <w:tcW w:w="133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rsidR="00F96CDA" w:rsidRPr="0009550D" w:rsidRDefault="00F96CDA">
            <w:pPr>
              <w:widowControl w:val="0"/>
              <w:rPr>
                <w:b/>
                <w:color w:val="000000" w:themeColor="text1"/>
                <w:sz w:val="20"/>
                <w:szCs w:val="20"/>
                <w:lang w:val="en-CA"/>
              </w:rPr>
            </w:pPr>
            <w:r w:rsidRPr="0009550D">
              <w:rPr>
                <w:b/>
                <w:color w:val="000000" w:themeColor="text1"/>
                <w:sz w:val="20"/>
                <w:szCs w:val="20"/>
                <w:lang w:val="en-CA"/>
              </w:rPr>
              <w:t>Total</w:t>
            </w: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tcPr>
          <w:p w:rsidR="00F96CDA" w:rsidRDefault="00F96CDA">
            <w:pPr>
              <w:widowControl w:val="0"/>
              <w:jc w:val="right"/>
              <w:rPr>
                <w:color w:val="000000" w:themeColor="text1"/>
                <w:sz w:val="20"/>
                <w:szCs w:val="20"/>
                <w:lang w:val="en-CA"/>
              </w:rPr>
            </w:pPr>
          </w:p>
        </w:tc>
        <w:tc>
          <w:tcPr>
            <w:tcW w:w="133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tcPr>
          <w:p w:rsidR="00F96CDA" w:rsidRDefault="00F96CDA">
            <w:pPr>
              <w:widowControl w:val="0"/>
              <w:jc w:val="right"/>
              <w:rPr>
                <w:color w:val="000000" w:themeColor="text1"/>
                <w:sz w:val="20"/>
                <w:szCs w:val="20"/>
                <w:lang w:val="en-CA"/>
              </w:rPr>
            </w:pPr>
          </w:p>
        </w:tc>
        <w:tc>
          <w:tcPr>
            <w:tcW w:w="133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tcPr>
          <w:p w:rsidR="00F96CDA" w:rsidRDefault="00F96CDA">
            <w:pPr>
              <w:widowControl w:val="0"/>
              <w:jc w:val="right"/>
              <w:rPr>
                <w:color w:val="000000" w:themeColor="text1"/>
                <w:sz w:val="20"/>
                <w:szCs w:val="20"/>
                <w:lang w:val="en-CA"/>
              </w:rPr>
            </w:pPr>
          </w:p>
        </w:tc>
        <w:tc>
          <w:tcPr>
            <w:tcW w:w="1337"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Pr="0009550D" w:rsidRDefault="00F96CDA">
            <w:pPr>
              <w:widowControl w:val="0"/>
              <w:jc w:val="right"/>
              <w:rPr>
                <w:b/>
                <w:color w:val="000000"/>
                <w:sz w:val="20"/>
                <w:szCs w:val="20"/>
                <w:lang w:val="en-CA"/>
              </w:rPr>
            </w:pPr>
            <w:r w:rsidRPr="0009550D">
              <w:rPr>
                <w:b/>
                <w:color w:val="000000"/>
                <w:sz w:val="20"/>
                <w:szCs w:val="20"/>
                <w:lang w:val="en-CA"/>
              </w:rPr>
              <w:t>87</w:t>
            </w:r>
          </w:p>
        </w:tc>
        <w:tc>
          <w:tcPr>
            <w:tcW w:w="1337" w:type="dxa"/>
            <w:tcBorders>
              <w:top w:val="single" w:sz="4" w:space="0" w:color="auto"/>
              <w:left w:val="nil"/>
              <w:bottom w:val="single" w:sz="4" w:space="0" w:color="auto"/>
              <w:right w:val="single" w:sz="4" w:space="0" w:color="auto"/>
            </w:tcBorders>
            <w:tcMar>
              <w:top w:w="0" w:type="dxa"/>
              <w:left w:w="58" w:type="dxa"/>
              <w:bottom w:w="0" w:type="dxa"/>
              <w:right w:w="173" w:type="dxa"/>
            </w:tcMar>
            <w:hideMark/>
          </w:tcPr>
          <w:p w:rsidR="00F96CDA" w:rsidRPr="0009550D" w:rsidRDefault="00B6630A">
            <w:pPr>
              <w:widowControl w:val="0"/>
              <w:jc w:val="right"/>
              <w:rPr>
                <w:b/>
                <w:color w:val="000000"/>
                <w:sz w:val="20"/>
                <w:szCs w:val="20"/>
                <w:lang w:val="en-CA"/>
              </w:rPr>
            </w:pPr>
            <w:r>
              <w:rPr>
                <w:b/>
                <w:color w:val="000000"/>
                <w:sz w:val="20"/>
                <w:szCs w:val="20"/>
                <w:lang w:val="en-CA"/>
              </w:rPr>
              <w:t>9,427</w:t>
            </w:r>
          </w:p>
        </w:tc>
        <w:tc>
          <w:tcPr>
            <w:tcW w:w="13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rsidR="00F96CDA" w:rsidRPr="0009550D" w:rsidRDefault="00F96CDA">
            <w:pPr>
              <w:widowControl w:val="0"/>
              <w:jc w:val="right"/>
              <w:rPr>
                <w:b/>
                <w:color w:val="000000" w:themeColor="text1"/>
                <w:sz w:val="20"/>
                <w:szCs w:val="20"/>
                <w:lang w:val="en-CA"/>
              </w:rPr>
            </w:pPr>
            <w:r w:rsidRPr="0009550D">
              <w:rPr>
                <w:b/>
                <w:color w:val="000000"/>
                <w:sz w:val="20"/>
                <w:szCs w:val="20"/>
                <w:lang w:val="en-CA"/>
              </w:rPr>
              <w:t>78,837,500</w:t>
            </w:r>
          </w:p>
        </w:tc>
      </w:tr>
    </w:tbl>
    <w:p w:rsidR="00B6630A" w:rsidRDefault="00B6630A" w:rsidP="00F96CDA">
      <w:pPr>
        <w:rPr>
          <w:sz w:val="19"/>
          <w:szCs w:val="19"/>
          <w:lang w:val="en-CA"/>
        </w:rPr>
      </w:pPr>
      <w:r>
        <w:rPr>
          <w:sz w:val="19"/>
          <w:szCs w:val="19"/>
          <w:lang w:val="en-CA"/>
        </w:rPr>
        <w:t>* Level of HCFC baseline consumption in the refrigeration servicing sector.</w:t>
      </w:r>
    </w:p>
    <w:p w:rsidR="00F96CDA" w:rsidRDefault="00F96CDA" w:rsidP="00F96CDA">
      <w:pPr>
        <w:rPr>
          <w:sz w:val="19"/>
          <w:szCs w:val="19"/>
          <w:lang w:val="en-CA"/>
        </w:rPr>
      </w:pPr>
      <w:r>
        <w:rPr>
          <w:sz w:val="19"/>
          <w:szCs w:val="19"/>
          <w:lang w:val="en-CA"/>
        </w:rPr>
        <w:t>*</w:t>
      </w:r>
      <w:r w:rsidR="00B6630A">
        <w:rPr>
          <w:sz w:val="19"/>
          <w:szCs w:val="19"/>
          <w:lang w:val="en-CA"/>
        </w:rPr>
        <w:t>*</w:t>
      </w:r>
      <w:r>
        <w:rPr>
          <w:sz w:val="19"/>
          <w:szCs w:val="19"/>
          <w:lang w:val="en-CA"/>
        </w:rPr>
        <w:t>Estimated consumption calculated as the average consumption in each group of countries multiplied by the number of countries in that group.</w:t>
      </w:r>
    </w:p>
    <w:p w:rsidR="00F96CDA" w:rsidRDefault="00F96CDA" w:rsidP="00F96CDA">
      <w:pPr>
        <w:rPr>
          <w:lang w:val="en-CA"/>
        </w:rPr>
      </w:pPr>
    </w:p>
    <w:p w:rsidR="00F96CDA" w:rsidRDefault="00F96CDA" w:rsidP="00F96CDA">
      <w:pPr>
        <w:pStyle w:val="Heading1"/>
        <w:numPr>
          <w:ilvl w:val="0"/>
          <w:numId w:val="22"/>
        </w:numPr>
        <w:rPr>
          <w:lang w:val="en-CA"/>
        </w:rPr>
      </w:pPr>
      <w:r>
        <w:rPr>
          <w:lang w:val="en-CA"/>
        </w:rPr>
        <w:t>Since the approval of the first HPMP at the 60</w:t>
      </w:r>
      <w:r>
        <w:rPr>
          <w:vertAlign w:val="superscript"/>
          <w:lang w:val="en-CA"/>
        </w:rPr>
        <w:t>th</w:t>
      </w:r>
      <w:r>
        <w:rPr>
          <w:lang w:val="en-CA"/>
        </w:rPr>
        <w:t xml:space="preserve"> meeting, the Executive Committee has approved stages I, II and III of HPMPs for 145, 7</w:t>
      </w:r>
      <w:r w:rsidR="009178DE">
        <w:rPr>
          <w:lang w:val="en-CA"/>
        </w:rPr>
        <w:t>3</w:t>
      </w:r>
      <w:r>
        <w:rPr>
          <w:lang w:val="en-CA"/>
        </w:rPr>
        <w:t xml:space="preserve"> and three Article 5 countries, respectively. An additional 50</w:t>
      </w:r>
      <w:r w:rsidR="0009550D">
        <w:rPr>
          <w:lang w:val="en-CA"/>
        </w:rPr>
        <w:t> </w:t>
      </w:r>
      <w:r>
        <w:rPr>
          <w:lang w:val="en-CA"/>
        </w:rPr>
        <w:t>countries are preparing stages II or III that will be submitted in future meetings. Implementation of the already approved HPMPs will result in the phase</w:t>
      </w:r>
      <w:r>
        <w:rPr>
          <w:lang w:val="en-CA"/>
        </w:rPr>
        <w:noBreakHyphen/>
        <w:t>out of approximately 71 per cent of the starting point for aggregate reduction of HCFC consumption, and 86 per cent of the consumption of HCFC</w:t>
      </w:r>
      <w:r w:rsidR="00CB5DB7">
        <w:rPr>
          <w:lang w:val="en-CA"/>
        </w:rPr>
        <w:t>-</w:t>
      </w:r>
      <w:r>
        <w:rPr>
          <w:lang w:val="en-CA"/>
        </w:rPr>
        <w:t>141b contained in imported pre-blended polyols.</w:t>
      </w:r>
      <w:r>
        <w:rPr>
          <w:rStyle w:val="FootnoteReference"/>
          <w:lang w:val="en-CA"/>
        </w:rPr>
        <w:footnoteReference w:id="15"/>
      </w:r>
    </w:p>
    <w:p w:rsidR="00F96CDA" w:rsidRDefault="00F96CDA" w:rsidP="00F96CDA">
      <w:pPr>
        <w:pStyle w:val="Heading1"/>
        <w:numPr>
          <w:ilvl w:val="0"/>
          <w:numId w:val="22"/>
        </w:numPr>
        <w:rPr>
          <w:lang w:val="en-CA"/>
        </w:rPr>
      </w:pPr>
      <w:r>
        <w:rPr>
          <w:lang w:val="en-CA"/>
        </w:rPr>
        <w:t>The total funding that has been approved in principle for the phase</w:t>
      </w:r>
      <w:r>
        <w:rPr>
          <w:lang w:val="en-CA"/>
        </w:rPr>
        <w:noBreakHyphen/>
        <w:t xml:space="preserve">out of HCFCs in the refrigeration servicing sector amounts to approximately </w:t>
      </w:r>
      <w:r w:rsidR="00B04C62">
        <w:rPr>
          <w:lang w:val="en-CA"/>
        </w:rPr>
        <w:t>US $</w:t>
      </w:r>
      <w:r>
        <w:rPr>
          <w:lang w:val="en-CA"/>
        </w:rPr>
        <w:t>192.</w:t>
      </w:r>
      <w:r w:rsidR="009178DE">
        <w:rPr>
          <w:lang w:val="en-CA"/>
        </w:rPr>
        <w:t>7</w:t>
      </w:r>
      <w:r>
        <w:rPr>
          <w:lang w:val="en-CA"/>
        </w:rPr>
        <w:t xml:space="preserve"> million (including </w:t>
      </w:r>
      <w:r w:rsidR="00B04C62">
        <w:rPr>
          <w:lang w:val="en-CA"/>
        </w:rPr>
        <w:t>US $</w:t>
      </w:r>
      <w:r>
        <w:rPr>
          <w:lang w:val="en-CA"/>
        </w:rPr>
        <w:t xml:space="preserve">24.0 million for one country). An additional amount of up to </w:t>
      </w:r>
      <w:r w:rsidR="00B04C62">
        <w:rPr>
          <w:lang w:val="en-CA"/>
        </w:rPr>
        <w:t>US $</w:t>
      </w:r>
      <w:r>
        <w:rPr>
          <w:lang w:val="en-CA"/>
        </w:rPr>
        <w:t xml:space="preserve">586.2 million (including up to </w:t>
      </w:r>
      <w:r w:rsidR="00B04C62">
        <w:rPr>
          <w:lang w:val="en-CA"/>
        </w:rPr>
        <w:t>US $</w:t>
      </w:r>
      <w:r>
        <w:rPr>
          <w:lang w:val="en-CA"/>
        </w:rPr>
        <w:t>155.7 million for one country) remains to be approved, noting that this amount might be lower after considering the funding eligibility of the remaining HCFC consumption in non-LVC countries, as funding is subject to the actual level of consumption at the time those countries submit the last stage of their HPMPs. The Secretariat notes that HCFC-22 consumption in a number of countries is decreasing faster than expected. Table 3 summarizes the funding available for phasing out HCFC in the servicing sector, based on the funding levels agreed in decision</w:t>
      </w:r>
      <w:r w:rsidR="00081D8C">
        <w:rPr>
          <w:lang w:val="en-CA"/>
        </w:rPr>
        <w:t> </w:t>
      </w:r>
      <w:r>
        <w:rPr>
          <w:lang w:val="en-CA"/>
        </w:rPr>
        <w:t>74/50.</w:t>
      </w:r>
    </w:p>
    <w:p w:rsidR="00F96CDA" w:rsidRPr="00A745CF" w:rsidRDefault="00F96CDA" w:rsidP="00F96CDA">
      <w:pPr>
        <w:rPr>
          <w:b/>
          <w:lang w:val="en-CA"/>
        </w:rPr>
      </w:pPr>
      <w:r w:rsidRPr="00A745CF">
        <w:rPr>
          <w:b/>
          <w:lang w:val="en-CA"/>
        </w:rPr>
        <w:t>Table 3. Funding for the phase</w:t>
      </w:r>
      <w:r w:rsidRPr="00A745CF">
        <w:rPr>
          <w:b/>
          <w:lang w:val="en-CA"/>
        </w:rPr>
        <w:noBreakHyphen/>
        <w:t xml:space="preserve">out of HCFCs in the refrigeration servicing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7"/>
        <w:gridCol w:w="1079"/>
        <w:gridCol w:w="1438"/>
        <w:gridCol w:w="2833"/>
        <w:gridCol w:w="2833"/>
      </w:tblGrid>
      <w:tr w:rsidR="00344513" w:rsidTr="0007517B">
        <w:tc>
          <w:tcPr>
            <w:tcW w:w="624" w:type="pct"/>
            <w:vMerge w:val="restart"/>
            <w:tcBorders>
              <w:top w:val="single" w:sz="4" w:space="0" w:color="auto"/>
              <w:left w:val="single" w:sz="4" w:space="0" w:color="auto"/>
              <w:bottom w:val="single" w:sz="4" w:space="0" w:color="auto"/>
              <w:right w:val="single" w:sz="4" w:space="0" w:color="auto"/>
            </w:tcBorders>
            <w:hideMark/>
          </w:tcPr>
          <w:p w:rsidR="00344513" w:rsidRDefault="00344513">
            <w:pPr>
              <w:jc w:val="center"/>
              <w:rPr>
                <w:b/>
                <w:bCs/>
                <w:color w:val="000000"/>
                <w:sz w:val="20"/>
                <w:szCs w:val="20"/>
                <w:lang w:val="en-CA"/>
              </w:rPr>
            </w:pPr>
            <w:r>
              <w:rPr>
                <w:b/>
                <w:bCs/>
                <w:color w:val="000000"/>
                <w:sz w:val="20"/>
                <w:szCs w:val="20"/>
                <w:lang w:val="en-CA"/>
              </w:rPr>
              <w:t>Countries</w:t>
            </w:r>
          </w:p>
        </w:tc>
        <w:tc>
          <w:tcPr>
            <w:tcW w:w="577" w:type="pct"/>
            <w:vMerge w:val="restart"/>
            <w:tcBorders>
              <w:top w:val="single" w:sz="4" w:space="0" w:color="auto"/>
              <w:left w:val="single" w:sz="4" w:space="0" w:color="auto"/>
              <w:bottom w:val="single" w:sz="4" w:space="0" w:color="auto"/>
              <w:right w:val="single" w:sz="4" w:space="0" w:color="auto"/>
            </w:tcBorders>
            <w:hideMark/>
          </w:tcPr>
          <w:p w:rsidR="00344513" w:rsidRDefault="00344513">
            <w:pPr>
              <w:jc w:val="center"/>
              <w:rPr>
                <w:b/>
                <w:bCs/>
                <w:color w:val="000000"/>
                <w:sz w:val="20"/>
                <w:szCs w:val="20"/>
                <w:lang w:val="en-CA"/>
              </w:rPr>
            </w:pPr>
            <w:r>
              <w:rPr>
                <w:b/>
                <w:bCs/>
                <w:color w:val="000000"/>
                <w:sz w:val="20"/>
                <w:szCs w:val="20"/>
                <w:lang w:val="en-CA"/>
              </w:rPr>
              <w:t>Number of countries</w:t>
            </w:r>
          </w:p>
        </w:tc>
        <w:tc>
          <w:tcPr>
            <w:tcW w:w="769" w:type="pct"/>
            <w:vMerge w:val="restart"/>
            <w:tcBorders>
              <w:top w:val="single" w:sz="4" w:space="0" w:color="auto"/>
              <w:left w:val="single" w:sz="4" w:space="0" w:color="auto"/>
              <w:bottom w:val="single" w:sz="4" w:space="0" w:color="auto"/>
              <w:right w:val="single" w:sz="4" w:space="0" w:color="auto"/>
            </w:tcBorders>
            <w:hideMark/>
          </w:tcPr>
          <w:p w:rsidR="00344513" w:rsidRDefault="00344513">
            <w:pPr>
              <w:jc w:val="center"/>
              <w:rPr>
                <w:b/>
                <w:bCs/>
                <w:color w:val="000000"/>
                <w:sz w:val="20"/>
                <w:szCs w:val="20"/>
                <w:lang w:val="en-CA"/>
              </w:rPr>
            </w:pPr>
            <w:r>
              <w:rPr>
                <w:b/>
                <w:bCs/>
                <w:color w:val="000000"/>
                <w:sz w:val="20"/>
                <w:szCs w:val="20"/>
                <w:lang w:val="en-CA"/>
              </w:rPr>
              <w:t>Baseline servicing sector (mt)*</w:t>
            </w:r>
          </w:p>
        </w:tc>
        <w:tc>
          <w:tcPr>
            <w:tcW w:w="3030" w:type="pct"/>
            <w:gridSpan w:val="2"/>
            <w:tcBorders>
              <w:top w:val="single" w:sz="4" w:space="0" w:color="auto"/>
              <w:left w:val="single" w:sz="4" w:space="0" w:color="auto"/>
              <w:bottom w:val="single" w:sz="4" w:space="0" w:color="auto"/>
              <w:right w:val="single" w:sz="4" w:space="0" w:color="auto"/>
            </w:tcBorders>
            <w:hideMark/>
          </w:tcPr>
          <w:p w:rsidR="00344513" w:rsidRDefault="00344513">
            <w:pPr>
              <w:jc w:val="center"/>
              <w:rPr>
                <w:b/>
                <w:bCs/>
                <w:color w:val="000000"/>
                <w:sz w:val="20"/>
                <w:szCs w:val="20"/>
                <w:lang w:val="en-CA"/>
              </w:rPr>
            </w:pPr>
            <w:r>
              <w:rPr>
                <w:b/>
                <w:bCs/>
                <w:color w:val="000000"/>
                <w:sz w:val="20"/>
                <w:szCs w:val="20"/>
                <w:lang w:val="en-CA"/>
              </w:rPr>
              <w:t>Total funding (US $)</w:t>
            </w:r>
          </w:p>
        </w:tc>
      </w:tr>
      <w:tr w:rsidR="00344513" w:rsidTr="0007517B">
        <w:tc>
          <w:tcPr>
            <w:tcW w:w="624" w:type="pct"/>
            <w:vMerge/>
            <w:tcBorders>
              <w:top w:val="single" w:sz="4" w:space="0" w:color="auto"/>
              <w:left w:val="single" w:sz="4" w:space="0" w:color="auto"/>
              <w:bottom w:val="single" w:sz="4" w:space="0" w:color="auto"/>
              <w:right w:val="single" w:sz="4" w:space="0" w:color="auto"/>
            </w:tcBorders>
            <w:vAlign w:val="center"/>
            <w:hideMark/>
          </w:tcPr>
          <w:p w:rsidR="00344513" w:rsidRDefault="00344513">
            <w:pPr>
              <w:jc w:val="left"/>
              <w:rPr>
                <w:b/>
                <w:bCs/>
                <w:color w:val="000000"/>
                <w:sz w:val="20"/>
                <w:szCs w:val="20"/>
                <w:lang w:val="en-CA"/>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344513" w:rsidRDefault="00344513">
            <w:pPr>
              <w:jc w:val="left"/>
              <w:rPr>
                <w:b/>
                <w:bCs/>
                <w:color w:val="000000"/>
                <w:sz w:val="20"/>
                <w:szCs w:val="20"/>
                <w:lang w:val="en-CA"/>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344513" w:rsidRDefault="00344513">
            <w:pPr>
              <w:jc w:val="left"/>
              <w:rPr>
                <w:b/>
                <w:bCs/>
                <w:color w:val="000000"/>
                <w:sz w:val="20"/>
                <w:szCs w:val="20"/>
                <w:lang w:val="en-CA"/>
              </w:rPr>
            </w:pPr>
          </w:p>
        </w:tc>
        <w:tc>
          <w:tcPr>
            <w:tcW w:w="1515" w:type="pct"/>
            <w:tcBorders>
              <w:top w:val="single" w:sz="4" w:space="0" w:color="auto"/>
              <w:left w:val="single" w:sz="4" w:space="0" w:color="auto"/>
              <w:bottom w:val="single" w:sz="4" w:space="0" w:color="auto"/>
              <w:right w:val="single" w:sz="4" w:space="0" w:color="auto"/>
            </w:tcBorders>
          </w:tcPr>
          <w:p w:rsidR="00344513" w:rsidRPr="0007517B" w:rsidRDefault="00344513">
            <w:pPr>
              <w:jc w:val="center"/>
              <w:rPr>
                <w:b/>
                <w:bCs/>
                <w:color w:val="000000"/>
                <w:sz w:val="20"/>
                <w:szCs w:val="20"/>
                <w:lang w:val="en-CA"/>
              </w:rPr>
            </w:pPr>
            <w:r w:rsidRPr="0007517B">
              <w:rPr>
                <w:b/>
                <w:bCs/>
                <w:color w:val="000000"/>
                <w:sz w:val="20"/>
                <w:szCs w:val="20"/>
                <w:lang w:val="en-CA"/>
              </w:rPr>
              <w:t>Approved in principle</w:t>
            </w:r>
            <w:r w:rsidR="00ED0A8F" w:rsidRPr="0007517B">
              <w:rPr>
                <w:b/>
                <w:bCs/>
                <w:color w:val="000000"/>
                <w:sz w:val="20"/>
                <w:szCs w:val="20"/>
                <w:lang w:val="en-CA"/>
              </w:rPr>
              <w:t xml:space="preserve"> as of </w:t>
            </w:r>
            <w:r w:rsidR="0009550D" w:rsidRPr="0007517B">
              <w:rPr>
                <w:b/>
                <w:bCs/>
                <w:color w:val="000000"/>
                <w:sz w:val="20"/>
                <w:szCs w:val="20"/>
                <w:lang w:val="en-CA"/>
              </w:rPr>
              <w:t xml:space="preserve">the </w:t>
            </w:r>
            <w:r w:rsidR="00ED0A8F" w:rsidRPr="0007517B">
              <w:rPr>
                <w:b/>
                <w:bCs/>
                <w:color w:val="000000"/>
                <w:sz w:val="20"/>
                <w:szCs w:val="20"/>
                <w:lang w:val="en-CA"/>
              </w:rPr>
              <w:t>86</w:t>
            </w:r>
            <w:r w:rsidR="00ED0A8F" w:rsidRPr="0007517B">
              <w:rPr>
                <w:b/>
                <w:bCs/>
                <w:color w:val="000000"/>
                <w:sz w:val="20"/>
                <w:szCs w:val="20"/>
                <w:vertAlign w:val="superscript"/>
                <w:lang w:val="en-CA"/>
              </w:rPr>
              <w:t>th</w:t>
            </w:r>
            <w:r w:rsidR="00ED0A8F" w:rsidRPr="0007517B">
              <w:rPr>
                <w:b/>
                <w:bCs/>
                <w:color w:val="000000"/>
                <w:sz w:val="20"/>
                <w:szCs w:val="20"/>
                <w:lang w:val="en-CA"/>
              </w:rPr>
              <w:t xml:space="preserve"> meeting</w:t>
            </w:r>
            <w:r w:rsidRPr="0007517B">
              <w:rPr>
                <w:b/>
                <w:bCs/>
                <w:color w:val="000000"/>
                <w:sz w:val="20"/>
                <w:szCs w:val="20"/>
                <w:lang w:val="en-CA"/>
              </w:rPr>
              <w:t>**</w:t>
            </w:r>
          </w:p>
        </w:tc>
        <w:tc>
          <w:tcPr>
            <w:tcW w:w="1515" w:type="pct"/>
            <w:tcBorders>
              <w:top w:val="single" w:sz="4" w:space="0" w:color="auto"/>
              <w:left w:val="single" w:sz="4" w:space="0" w:color="auto"/>
              <w:bottom w:val="single" w:sz="4" w:space="0" w:color="auto"/>
              <w:right w:val="single" w:sz="4" w:space="0" w:color="auto"/>
            </w:tcBorders>
            <w:hideMark/>
          </w:tcPr>
          <w:p w:rsidR="00344513" w:rsidRPr="0007517B" w:rsidRDefault="00344513">
            <w:pPr>
              <w:jc w:val="center"/>
              <w:rPr>
                <w:b/>
                <w:bCs/>
                <w:color w:val="000000"/>
                <w:sz w:val="20"/>
                <w:szCs w:val="20"/>
                <w:lang w:val="en-CA"/>
              </w:rPr>
            </w:pPr>
            <w:r w:rsidRPr="0007517B">
              <w:rPr>
                <w:b/>
                <w:bCs/>
                <w:color w:val="000000"/>
                <w:sz w:val="20"/>
                <w:szCs w:val="20"/>
                <w:lang w:val="en-CA"/>
              </w:rPr>
              <w:t>Still to be approved in principle based on decision 74/50</w:t>
            </w:r>
          </w:p>
        </w:tc>
      </w:tr>
      <w:tr w:rsidR="00344513" w:rsidTr="0007517B">
        <w:tc>
          <w:tcPr>
            <w:tcW w:w="624" w:type="pc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hideMark/>
          </w:tcPr>
          <w:p w:rsidR="00344513" w:rsidRDefault="00344513">
            <w:pPr>
              <w:jc w:val="left"/>
              <w:rPr>
                <w:color w:val="000000"/>
                <w:sz w:val="20"/>
                <w:szCs w:val="20"/>
                <w:lang w:val="en-CA"/>
              </w:rPr>
            </w:pPr>
            <w:r>
              <w:rPr>
                <w:color w:val="000000"/>
                <w:sz w:val="20"/>
                <w:szCs w:val="20"/>
                <w:lang w:val="en-CA"/>
              </w:rPr>
              <w:t>LVC</w:t>
            </w:r>
          </w:p>
        </w:tc>
        <w:tc>
          <w:tcPr>
            <w:tcW w:w="577" w:type="pct"/>
            <w:tcBorders>
              <w:top w:val="single" w:sz="4" w:space="0" w:color="auto"/>
              <w:left w:val="single" w:sz="4" w:space="0" w:color="auto"/>
              <w:bottom w:val="single" w:sz="4" w:space="0" w:color="auto"/>
              <w:right w:val="single" w:sz="4" w:space="0" w:color="auto"/>
            </w:tcBorders>
            <w:tcMar>
              <w:top w:w="0" w:type="dxa"/>
              <w:left w:w="0" w:type="dxa"/>
              <w:bottom w:w="0" w:type="dxa"/>
              <w:right w:w="202" w:type="dxa"/>
            </w:tcMar>
            <w:hideMark/>
          </w:tcPr>
          <w:p w:rsidR="00344513" w:rsidRDefault="00344513">
            <w:pPr>
              <w:jc w:val="right"/>
              <w:rPr>
                <w:color w:val="000000"/>
                <w:sz w:val="20"/>
                <w:szCs w:val="20"/>
                <w:lang w:val="en-CA"/>
              </w:rPr>
            </w:pPr>
            <w:r>
              <w:rPr>
                <w:color w:val="000000"/>
                <w:sz w:val="20"/>
                <w:szCs w:val="20"/>
                <w:lang w:val="en-CA"/>
              </w:rPr>
              <w:t>87</w:t>
            </w:r>
          </w:p>
        </w:tc>
        <w:tc>
          <w:tcPr>
            <w:tcW w:w="76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rsidR="00344513" w:rsidRDefault="00B92145">
            <w:pPr>
              <w:jc w:val="right"/>
              <w:rPr>
                <w:color w:val="000000"/>
                <w:sz w:val="20"/>
                <w:szCs w:val="20"/>
                <w:lang w:val="en-CA"/>
              </w:rPr>
            </w:pPr>
            <w:r>
              <w:rPr>
                <w:color w:val="000000"/>
                <w:sz w:val="20"/>
                <w:szCs w:val="20"/>
                <w:lang w:val="en-CA"/>
              </w:rPr>
              <w:t>9,427</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tcPr>
          <w:p w:rsidR="00344513" w:rsidRPr="0007517B" w:rsidRDefault="00344513">
            <w:pPr>
              <w:jc w:val="right"/>
              <w:rPr>
                <w:color w:val="000000"/>
                <w:sz w:val="20"/>
                <w:szCs w:val="20"/>
                <w:lang w:val="en-CA"/>
              </w:rPr>
            </w:pPr>
            <w:r w:rsidRPr="0007517B">
              <w:rPr>
                <w:color w:val="000000"/>
                <w:sz w:val="20"/>
                <w:szCs w:val="20"/>
                <w:lang w:val="en-CA"/>
              </w:rPr>
              <w:t>51,015,199</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rsidR="00344513" w:rsidRPr="0007517B" w:rsidRDefault="00344513">
            <w:pPr>
              <w:jc w:val="right"/>
              <w:rPr>
                <w:color w:val="000000"/>
                <w:sz w:val="20"/>
                <w:szCs w:val="20"/>
                <w:lang w:val="en-CA"/>
              </w:rPr>
            </w:pPr>
            <w:r w:rsidRPr="0007517B">
              <w:rPr>
                <w:color w:val="000000"/>
                <w:sz w:val="20"/>
                <w:szCs w:val="20"/>
                <w:lang w:val="en-CA"/>
              </w:rPr>
              <w:t>26,840,945</w:t>
            </w:r>
          </w:p>
        </w:tc>
      </w:tr>
      <w:tr w:rsidR="00344513" w:rsidTr="0007517B">
        <w:tc>
          <w:tcPr>
            <w:tcW w:w="624" w:type="pc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hideMark/>
          </w:tcPr>
          <w:p w:rsidR="00344513" w:rsidRDefault="00344513">
            <w:pPr>
              <w:rPr>
                <w:color w:val="000000"/>
                <w:sz w:val="20"/>
                <w:szCs w:val="20"/>
                <w:lang w:val="en-CA"/>
              </w:rPr>
            </w:pPr>
            <w:r>
              <w:rPr>
                <w:color w:val="000000"/>
                <w:sz w:val="20"/>
                <w:szCs w:val="20"/>
                <w:lang w:val="en-CA"/>
              </w:rPr>
              <w:t>Non-LVC</w:t>
            </w:r>
          </w:p>
        </w:tc>
        <w:tc>
          <w:tcPr>
            <w:tcW w:w="577" w:type="pct"/>
            <w:tcBorders>
              <w:top w:val="single" w:sz="4" w:space="0" w:color="auto"/>
              <w:left w:val="single" w:sz="4" w:space="0" w:color="auto"/>
              <w:bottom w:val="single" w:sz="4" w:space="0" w:color="auto"/>
              <w:right w:val="single" w:sz="4" w:space="0" w:color="auto"/>
            </w:tcBorders>
            <w:tcMar>
              <w:top w:w="0" w:type="dxa"/>
              <w:left w:w="0" w:type="dxa"/>
              <w:bottom w:w="0" w:type="dxa"/>
              <w:right w:w="202" w:type="dxa"/>
            </w:tcMar>
            <w:hideMark/>
          </w:tcPr>
          <w:p w:rsidR="00344513" w:rsidRDefault="00344513">
            <w:pPr>
              <w:jc w:val="right"/>
              <w:rPr>
                <w:color w:val="000000"/>
                <w:sz w:val="20"/>
                <w:szCs w:val="20"/>
                <w:lang w:val="en-CA"/>
              </w:rPr>
            </w:pPr>
            <w:r>
              <w:rPr>
                <w:color w:val="000000"/>
                <w:sz w:val="20"/>
                <w:szCs w:val="20"/>
                <w:lang w:val="en-CA"/>
              </w:rPr>
              <w:t>57</w:t>
            </w:r>
          </w:p>
        </w:tc>
        <w:tc>
          <w:tcPr>
            <w:tcW w:w="76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rsidR="00344513" w:rsidRDefault="00344513">
            <w:pPr>
              <w:jc w:val="right"/>
              <w:rPr>
                <w:color w:val="000000"/>
                <w:sz w:val="20"/>
                <w:szCs w:val="20"/>
                <w:lang w:val="en-CA"/>
              </w:rPr>
            </w:pPr>
            <w:r>
              <w:rPr>
                <w:color w:val="000000"/>
                <w:sz w:val="20"/>
                <w:szCs w:val="20"/>
                <w:lang w:val="en-CA"/>
              </w:rPr>
              <w:t>189,164</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tcPr>
          <w:p w:rsidR="00344513" w:rsidRPr="0007517B" w:rsidRDefault="00344513">
            <w:pPr>
              <w:jc w:val="right"/>
              <w:rPr>
                <w:color w:val="000000"/>
                <w:sz w:val="20"/>
                <w:szCs w:val="20"/>
                <w:lang w:val="en-CA"/>
              </w:rPr>
            </w:pPr>
            <w:r w:rsidRPr="0007517B">
              <w:rPr>
                <w:color w:val="000000"/>
                <w:sz w:val="20"/>
                <w:szCs w:val="20"/>
                <w:lang w:val="en-CA"/>
              </w:rPr>
              <w:t>***141,648,656</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rsidR="00344513" w:rsidRPr="0007517B" w:rsidRDefault="00344513">
            <w:pPr>
              <w:jc w:val="right"/>
              <w:rPr>
                <w:color w:val="000000"/>
                <w:sz w:val="20"/>
                <w:szCs w:val="20"/>
                <w:lang w:val="en-CA"/>
              </w:rPr>
            </w:pPr>
            <w:r w:rsidRPr="0007517B">
              <w:rPr>
                <w:color w:val="000000"/>
                <w:sz w:val="20"/>
                <w:szCs w:val="20"/>
                <w:lang w:val="en-CA"/>
              </w:rPr>
              <w:t>****559,356,013</w:t>
            </w:r>
          </w:p>
        </w:tc>
      </w:tr>
      <w:tr w:rsidR="00344513" w:rsidTr="0007517B">
        <w:tc>
          <w:tcPr>
            <w:tcW w:w="624" w:type="pc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hideMark/>
          </w:tcPr>
          <w:p w:rsidR="00344513" w:rsidRDefault="00344513">
            <w:pPr>
              <w:rPr>
                <w:b/>
                <w:bCs/>
                <w:color w:val="000000"/>
                <w:sz w:val="20"/>
                <w:szCs w:val="20"/>
                <w:lang w:val="en-CA"/>
              </w:rPr>
            </w:pPr>
            <w:r>
              <w:rPr>
                <w:b/>
                <w:bCs/>
                <w:color w:val="000000"/>
                <w:sz w:val="20"/>
                <w:szCs w:val="20"/>
                <w:lang w:val="en-CA"/>
              </w:rPr>
              <w:t>Total</w:t>
            </w:r>
          </w:p>
        </w:tc>
        <w:tc>
          <w:tcPr>
            <w:tcW w:w="577" w:type="pct"/>
            <w:tcBorders>
              <w:top w:val="single" w:sz="4" w:space="0" w:color="auto"/>
              <w:left w:val="single" w:sz="4" w:space="0" w:color="auto"/>
              <w:bottom w:val="single" w:sz="4" w:space="0" w:color="auto"/>
              <w:right w:val="single" w:sz="4" w:space="0" w:color="auto"/>
            </w:tcBorders>
            <w:tcMar>
              <w:top w:w="0" w:type="dxa"/>
              <w:left w:w="0" w:type="dxa"/>
              <w:bottom w:w="0" w:type="dxa"/>
              <w:right w:w="202" w:type="dxa"/>
            </w:tcMar>
            <w:hideMark/>
          </w:tcPr>
          <w:p w:rsidR="00344513" w:rsidRDefault="00344513">
            <w:pPr>
              <w:jc w:val="right"/>
              <w:rPr>
                <w:bCs/>
                <w:color w:val="000000"/>
                <w:sz w:val="20"/>
                <w:szCs w:val="20"/>
                <w:lang w:val="en-CA"/>
              </w:rPr>
            </w:pPr>
            <w:r>
              <w:rPr>
                <w:bCs/>
                <w:color w:val="000000"/>
                <w:sz w:val="20"/>
                <w:szCs w:val="20"/>
                <w:lang w:val="en-CA"/>
              </w:rPr>
              <w:t>144</w:t>
            </w:r>
          </w:p>
        </w:tc>
        <w:tc>
          <w:tcPr>
            <w:tcW w:w="76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rsidR="00344513" w:rsidRDefault="00344513">
            <w:pPr>
              <w:jc w:val="right"/>
              <w:rPr>
                <w:bCs/>
                <w:color w:val="000000"/>
                <w:sz w:val="20"/>
                <w:szCs w:val="20"/>
                <w:lang w:val="en-CA"/>
              </w:rPr>
            </w:pPr>
            <w:r>
              <w:rPr>
                <w:bCs/>
                <w:color w:val="000000"/>
                <w:sz w:val="20"/>
                <w:szCs w:val="20"/>
                <w:lang w:val="en-CA"/>
              </w:rPr>
              <w:t>19</w:t>
            </w:r>
            <w:r w:rsidR="00B92145">
              <w:rPr>
                <w:bCs/>
                <w:color w:val="000000"/>
                <w:sz w:val="20"/>
                <w:szCs w:val="20"/>
                <w:lang w:val="en-CA"/>
              </w:rPr>
              <w:t>8</w:t>
            </w:r>
            <w:r>
              <w:rPr>
                <w:bCs/>
                <w:color w:val="000000"/>
                <w:sz w:val="20"/>
                <w:szCs w:val="20"/>
                <w:lang w:val="en-CA"/>
              </w:rPr>
              <w:t>,</w:t>
            </w:r>
            <w:r w:rsidR="00B92145">
              <w:rPr>
                <w:bCs/>
                <w:color w:val="000000"/>
                <w:sz w:val="20"/>
                <w:szCs w:val="20"/>
                <w:lang w:val="en-CA"/>
              </w:rPr>
              <w:t>591</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tcPr>
          <w:p w:rsidR="00344513" w:rsidRDefault="00344513">
            <w:pPr>
              <w:jc w:val="right"/>
              <w:rPr>
                <w:bCs/>
                <w:color w:val="000000"/>
                <w:sz w:val="20"/>
                <w:szCs w:val="20"/>
                <w:lang w:val="en-CA"/>
              </w:rPr>
            </w:pPr>
            <w:r>
              <w:rPr>
                <w:bCs/>
                <w:color w:val="000000"/>
                <w:sz w:val="20"/>
                <w:szCs w:val="20"/>
                <w:lang w:val="en-CA"/>
              </w:rPr>
              <w:t>192,663,855</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rsidR="00344513" w:rsidRDefault="00344513">
            <w:pPr>
              <w:jc w:val="right"/>
              <w:rPr>
                <w:bCs/>
                <w:color w:val="000000"/>
                <w:sz w:val="20"/>
                <w:szCs w:val="20"/>
                <w:lang w:val="en-CA"/>
              </w:rPr>
            </w:pPr>
            <w:r>
              <w:rPr>
                <w:bCs/>
                <w:color w:val="000000"/>
                <w:sz w:val="20"/>
                <w:szCs w:val="20"/>
                <w:lang w:val="en-CA"/>
              </w:rPr>
              <w:t>586,196,958</w:t>
            </w:r>
          </w:p>
        </w:tc>
      </w:tr>
    </w:tbl>
    <w:p w:rsidR="00F96CDA" w:rsidRDefault="00F96CDA" w:rsidP="00F96CDA">
      <w:pPr>
        <w:rPr>
          <w:sz w:val="19"/>
          <w:szCs w:val="19"/>
          <w:lang w:val="en-CA"/>
        </w:rPr>
      </w:pPr>
      <w:r>
        <w:rPr>
          <w:sz w:val="19"/>
          <w:szCs w:val="19"/>
          <w:lang w:val="en-CA"/>
        </w:rPr>
        <w:t xml:space="preserve">* Portion of the baseline used in the refrigeration servicing sector based on the </w:t>
      </w:r>
      <w:r w:rsidR="0007517B">
        <w:rPr>
          <w:sz w:val="19"/>
          <w:szCs w:val="19"/>
          <w:lang w:val="en-CA"/>
        </w:rPr>
        <w:t>country programme</w:t>
      </w:r>
      <w:r>
        <w:rPr>
          <w:sz w:val="19"/>
          <w:szCs w:val="19"/>
          <w:lang w:val="en-CA"/>
        </w:rPr>
        <w:t xml:space="preserve"> report</w:t>
      </w:r>
      <w:r w:rsidR="00B92145">
        <w:rPr>
          <w:sz w:val="19"/>
          <w:szCs w:val="19"/>
          <w:lang w:val="en-CA"/>
        </w:rPr>
        <w:t>.</w:t>
      </w:r>
    </w:p>
    <w:p w:rsidR="00F96CDA" w:rsidRDefault="00F96CDA" w:rsidP="00F96CDA">
      <w:pPr>
        <w:rPr>
          <w:sz w:val="19"/>
          <w:szCs w:val="19"/>
          <w:lang w:val="en-CA"/>
        </w:rPr>
      </w:pPr>
      <w:r>
        <w:rPr>
          <w:sz w:val="19"/>
          <w:szCs w:val="19"/>
          <w:lang w:val="en-CA"/>
        </w:rPr>
        <w:t>** While this funding has been approved in principle, it has only been gradually released as tranches are submitted</w:t>
      </w:r>
      <w:r w:rsidR="00B92145">
        <w:rPr>
          <w:sz w:val="19"/>
          <w:szCs w:val="19"/>
          <w:lang w:val="en-CA"/>
        </w:rPr>
        <w:t>.</w:t>
      </w:r>
    </w:p>
    <w:p w:rsidR="00F96CDA" w:rsidRDefault="00F96CDA" w:rsidP="00F96CDA">
      <w:pPr>
        <w:rPr>
          <w:sz w:val="19"/>
          <w:szCs w:val="19"/>
          <w:lang w:val="en-CA"/>
        </w:rPr>
      </w:pPr>
      <w:r>
        <w:rPr>
          <w:sz w:val="19"/>
          <w:szCs w:val="19"/>
          <w:lang w:val="en-CA"/>
        </w:rPr>
        <w:t xml:space="preserve">*** Including </w:t>
      </w:r>
      <w:r w:rsidR="00B04C62">
        <w:rPr>
          <w:sz w:val="19"/>
          <w:szCs w:val="19"/>
          <w:lang w:val="en-CA"/>
        </w:rPr>
        <w:t>US $</w:t>
      </w:r>
      <w:r>
        <w:rPr>
          <w:sz w:val="19"/>
          <w:szCs w:val="19"/>
          <w:lang w:val="en-CA"/>
        </w:rPr>
        <w:t>23,982,237 for one Article 5 country</w:t>
      </w:r>
      <w:r w:rsidR="00B92145">
        <w:rPr>
          <w:sz w:val="19"/>
          <w:szCs w:val="19"/>
          <w:lang w:val="en-CA"/>
        </w:rPr>
        <w:t>.</w:t>
      </w:r>
    </w:p>
    <w:p w:rsidR="00F96CDA" w:rsidRDefault="00F96CDA" w:rsidP="00F96CDA">
      <w:pPr>
        <w:rPr>
          <w:sz w:val="19"/>
          <w:szCs w:val="19"/>
          <w:lang w:val="en-CA"/>
        </w:rPr>
      </w:pPr>
      <w:r>
        <w:rPr>
          <w:sz w:val="19"/>
          <w:szCs w:val="19"/>
          <w:lang w:val="en-CA"/>
        </w:rPr>
        <w:t xml:space="preserve">**** Including </w:t>
      </w:r>
      <w:r w:rsidR="00B04C62">
        <w:rPr>
          <w:sz w:val="19"/>
          <w:szCs w:val="19"/>
          <w:lang w:val="en-CA"/>
        </w:rPr>
        <w:t>US $</w:t>
      </w:r>
      <w:r>
        <w:rPr>
          <w:sz w:val="19"/>
          <w:szCs w:val="19"/>
          <w:lang w:val="en-CA"/>
        </w:rPr>
        <w:t>155,717,354, for one Article 5 country</w:t>
      </w:r>
      <w:r w:rsidR="00B92145">
        <w:rPr>
          <w:sz w:val="19"/>
          <w:szCs w:val="19"/>
          <w:lang w:val="en-CA"/>
        </w:rPr>
        <w:t>.</w:t>
      </w:r>
    </w:p>
    <w:p w:rsidR="00F96CDA" w:rsidRDefault="00F96CDA" w:rsidP="00F96CDA">
      <w:pPr>
        <w:rPr>
          <w:lang w:val="en-CA"/>
        </w:rPr>
      </w:pPr>
    </w:p>
    <w:p w:rsidR="00F96CDA" w:rsidRDefault="00F96CDA" w:rsidP="00081D8C">
      <w:pPr>
        <w:keepNext/>
        <w:keepLines/>
        <w:widowControl w:val="0"/>
        <w:rPr>
          <w:u w:val="single"/>
          <w:lang w:val="en-CA"/>
        </w:rPr>
      </w:pPr>
      <w:r>
        <w:rPr>
          <w:u w:val="single"/>
          <w:lang w:val="en-CA"/>
        </w:rPr>
        <w:lastRenderedPageBreak/>
        <w:t>Key achievements in the refrigeration servicing sector</w:t>
      </w:r>
    </w:p>
    <w:p w:rsidR="00F96CDA" w:rsidRDefault="00F96CDA" w:rsidP="00081D8C">
      <w:pPr>
        <w:keepNext/>
        <w:keepLines/>
        <w:widowControl w:val="0"/>
        <w:rPr>
          <w:lang w:val="en-CA"/>
        </w:rPr>
      </w:pPr>
    </w:p>
    <w:p w:rsidR="00F96CDA" w:rsidRDefault="00F96CDA" w:rsidP="00081D8C">
      <w:pPr>
        <w:pStyle w:val="Heading1"/>
        <w:keepNext/>
        <w:keepLines/>
        <w:widowControl w:val="0"/>
        <w:numPr>
          <w:ilvl w:val="0"/>
          <w:numId w:val="22"/>
        </w:numPr>
        <w:spacing w:after="120"/>
        <w:rPr>
          <w:lang w:val="en-CA"/>
        </w:rPr>
      </w:pPr>
      <w:r>
        <w:rPr>
          <w:lang w:val="en-CA"/>
        </w:rPr>
        <w:t>Through the technical and financial assistance provided to the refrigeration servicing sector, measures have been put in place to ensure the long</w:t>
      </w:r>
      <w:r>
        <w:rPr>
          <w:lang w:val="en-CA"/>
        </w:rPr>
        <w:noBreakHyphen/>
        <w:t>term sustainability of the activities being implemented.</w:t>
      </w:r>
      <w:r>
        <w:rPr>
          <w:rStyle w:val="FootnoteReference"/>
          <w:lang w:val="en-CA"/>
        </w:rPr>
        <w:footnoteReference w:id="16"/>
      </w:r>
      <w:r>
        <w:rPr>
          <w:lang w:val="en-CA"/>
        </w:rPr>
        <w:t xml:space="preserve"> Specifically, Article 5 countries have:</w:t>
      </w:r>
    </w:p>
    <w:p w:rsidR="00F96CDA" w:rsidRDefault="00F96CDA" w:rsidP="00F96CDA">
      <w:pPr>
        <w:pStyle w:val="Heading2"/>
        <w:numPr>
          <w:ilvl w:val="1"/>
          <w:numId w:val="22"/>
        </w:numPr>
        <w:rPr>
          <w:lang w:val="en-CA"/>
        </w:rPr>
      </w:pPr>
      <w:r>
        <w:rPr>
          <w:lang w:val="en-CA"/>
        </w:rPr>
        <w:t xml:space="preserve">Strengthened their national capacity related to customs and law enforcement authorities and their institutes, providing refrigerant identifiers and periodically updating the curricula of the training programmes for customs authorities; </w:t>
      </w:r>
    </w:p>
    <w:p w:rsidR="00F96CDA" w:rsidRDefault="00F96CDA" w:rsidP="00F96CDA">
      <w:pPr>
        <w:pStyle w:val="Heading2"/>
        <w:numPr>
          <w:ilvl w:val="1"/>
          <w:numId w:val="22"/>
        </w:numPr>
        <w:rPr>
          <w:lang w:val="en-CA"/>
        </w:rPr>
      </w:pPr>
      <w:r>
        <w:rPr>
          <w:lang w:val="en-CA"/>
        </w:rPr>
        <w:t>Enhanced their institutional capacity, allowing for training to a large number of refrigeration technicians, providing training equipment and tools to vocational/training institutions, periodically updating the curricula of training programmes, and developing schemes to certify the competency of technicians to implement good servicing practices, in some cases including servicing of equipment using flammable and toxic refrigerants;</w:t>
      </w:r>
    </w:p>
    <w:p w:rsidR="00F96CDA" w:rsidRDefault="00F96CDA" w:rsidP="00F96CDA">
      <w:pPr>
        <w:pStyle w:val="Heading2"/>
        <w:numPr>
          <w:ilvl w:val="1"/>
          <w:numId w:val="22"/>
        </w:numPr>
        <w:rPr>
          <w:lang w:val="en-CA"/>
        </w:rPr>
      </w:pPr>
      <w:r>
        <w:rPr>
          <w:lang w:val="en-CA"/>
        </w:rPr>
        <w:t>Established an infrastructure for recovery, recycling and in some cases, reclamation of refrigerants, mostly focused on HCFC-22; and</w:t>
      </w:r>
    </w:p>
    <w:p w:rsidR="00F96CDA" w:rsidRDefault="00F96CDA" w:rsidP="00F96CDA">
      <w:pPr>
        <w:pStyle w:val="Heading2"/>
        <w:numPr>
          <w:ilvl w:val="1"/>
          <w:numId w:val="22"/>
        </w:numPr>
        <w:rPr>
          <w:lang w:val="en-CA"/>
        </w:rPr>
      </w:pPr>
      <w:r>
        <w:rPr>
          <w:lang w:val="en-CA"/>
        </w:rPr>
        <w:t>Promoted and participated in the development and/or adaptation of codes of good service practices and standards to facilitate the introduction of equipment based on low-GWP alternative technologies and the management of refrigerants.</w:t>
      </w:r>
    </w:p>
    <w:p w:rsidR="00F96CDA" w:rsidRDefault="00F96CDA" w:rsidP="00F96CDA">
      <w:pPr>
        <w:keepNext/>
        <w:rPr>
          <w:b/>
          <w:lang w:val="en-CA"/>
        </w:rPr>
      </w:pPr>
      <w:r>
        <w:rPr>
          <w:b/>
          <w:lang w:val="en-CA"/>
        </w:rPr>
        <w:t>Integrated HCFCs and HFCs compliance strategy for the refrigeration servicing sector</w:t>
      </w:r>
      <w:r>
        <w:rPr>
          <w:rStyle w:val="FootnoteReference"/>
          <w:b/>
          <w:lang w:val="en-CA"/>
        </w:rPr>
        <w:footnoteReference w:id="17"/>
      </w:r>
    </w:p>
    <w:p w:rsidR="00F96CDA" w:rsidRDefault="00F96CDA" w:rsidP="00F96CDA">
      <w:pPr>
        <w:keepNext/>
        <w:rPr>
          <w:lang w:val="en-CA"/>
        </w:rPr>
      </w:pPr>
    </w:p>
    <w:p w:rsidR="00F96CDA" w:rsidRDefault="00F96CDA" w:rsidP="00F96CDA">
      <w:pPr>
        <w:pStyle w:val="Heading1"/>
        <w:numPr>
          <w:ilvl w:val="0"/>
          <w:numId w:val="22"/>
        </w:numPr>
        <w:rPr>
          <w:lang w:val="en-CA"/>
        </w:rPr>
      </w:pPr>
      <w:r>
        <w:rPr>
          <w:lang w:val="en-CA"/>
        </w:rPr>
        <w:t>During the 2021 to 2030 period, it is expected that Article 5 countries will be simultaneously implementing projects for phasing out HCFCs and phasing down HFCs to meet their compliance obligations of both group of substances as shown in Table 4. After 2030, Article 5 countries will be implementing activities to phase down HFCs and monitor the sustainability of the HCFC phase</w:t>
      </w:r>
      <w:r>
        <w:rPr>
          <w:lang w:val="en-CA"/>
        </w:rPr>
        <w:noBreakHyphen/>
        <w:t>out. Therefore, the 2021-2030 period is of critical importance given the linkages between HCFCs and HFCs.</w:t>
      </w:r>
    </w:p>
    <w:p w:rsidR="00F96CDA" w:rsidRPr="00A745CF" w:rsidRDefault="00F96CDA" w:rsidP="00147325">
      <w:pPr>
        <w:spacing w:before="120"/>
        <w:rPr>
          <w:b/>
          <w:lang w:val="en-CA"/>
        </w:rPr>
      </w:pPr>
      <w:r w:rsidRPr="00A745CF">
        <w:rPr>
          <w:b/>
          <w:lang w:val="en-CA"/>
        </w:rPr>
        <w:t>Table 4. Compliance obligations for HCFCs and HFCs for Article 5 countries</w:t>
      </w:r>
    </w:p>
    <w:tbl>
      <w:tblPr>
        <w:tblStyle w:val="TableGrid"/>
        <w:tblW w:w="9360" w:type="dxa"/>
        <w:tblLook w:val="04A0" w:firstRow="1" w:lastRow="0" w:firstColumn="1" w:lastColumn="0" w:noHBand="0" w:noVBand="1"/>
      </w:tblPr>
      <w:tblGrid>
        <w:gridCol w:w="1885"/>
        <w:gridCol w:w="3510"/>
        <w:gridCol w:w="3965"/>
      </w:tblGrid>
      <w:tr w:rsidR="00F96CDA" w:rsidTr="00F96CDA">
        <w:trPr>
          <w:tblHeader/>
        </w:trPr>
        <w:tc>
          <w:tcPr>
            <w:tcW w:w="1885" w:type="dxa"/>
            <w:tcBorders>
              <w:top w:val="single" w:sz="4" w:space="0" w:color="auto"/>
              <w:left w:val="single" w:sz="4" w:space="0" w:color="auto"/>
              <w:bottom w:val="single" w:sz="4" w:space="0" w:color="auto"/>
              <w:right w:val="single" w:sz="4" w:space="0" w:color="auto"/>
            </w:tcBorders>
            <w:tcMar>
              <w:top w:w="43" w:type="dxa"/>
              <w:left w:w="108" w:type="dxa"/>
              <w:bottom w:w="43" w:type="dxa"/>
              <w:right w:w="108" w:type="dxa"/>
            </w:tcMar>
            <w:hideMark/>
          </w:tcPr>
          <w:p w:rsidR="00F96CDA" w:rsidRDefault="00F96CDA">
            <w:pPr>
              <w:rPr>
                <w:b/>
                <w:sz w:val="20"/>
                <w:szCs w:val="20"/>
                <w:lang w:val="en-CA"/>
              </w:rPr>
            </w:pPr>
            <w:r>
              <w:rPr>
                <w:b/>
                <w:sz w:val="20"/>
                <w:szCs w:val="20"/>
                <w:lang w:val="en-CA"/>
              </w:rPr>
              <w:t>Description</w:t>
            </w:r>
          </w:p>
        </w:tc>
        <w:tc>
          <w:tcPr>
            <w:tcW w:w="3510" w:type="dxa"/>
            <w:tcBorders>
              <w:top w:val="single" w:sz="4" w:space="0" w:color="auto"/>
              <w:left w:val="single" w:sz="4" w:space="0" w:color="auto"/>
              <w:bottom w:val="single" w:sz="4" w:space="0" w:color="auto"/>
              <w:right w:val="single" w:sz="4" w:space="0" w:color="auto"/>
            </w:tcBorders>
            <w:tcMar>
              <w:top w:w="43" w:type="dxa"/>
              <w:left w:w="108" w:type="dxa"/>
              <w:bottom w:w="43" w:type="dxa"/>
              <w:right w:w="108" w:type="dxa"/>
            </w:tcMar>
            <w:hideMark/>
          </w:tcPr>
          <w:p w:rsidR="00F96CDA" w:rsidRDefault="00F96CDA">
            <w:pPr>
              <w:jc w:val="center"/>
              <w:rPr>
                <w:b/>
                <w:sz w:val="20"/>
                <w:szCs w:val="20"/>
                <w:lang w:val="en-CA"/>
              </w:rPr>
            </w:pPr>
            <w:r>
              <w:rPr>
                <w:b/>
                <w:sz w:val="20"/>
                <w:szCs w:val="20"/>
                <w:lang w:val="en-CA"/>
              </w:rPr>
              <w:t>HCFC</w:t>
            </w:r>
          </w:p>
        </w:tc>
        <w:tc>
          <w:tcPr>
            <w:tcW w:w="3965" w:type="dxa"/>
            <w:tcBorders>
              <w:top w:val="single" w:sz="4" w:space="0" w:color="auto"/>
              <w:left w:val="single" w:sz="4" w:space="0" w:color="auto"/>
              <w:bottom w:val="single" w:sz="4" w:space="0" w:color="auto"/>
              <w:right w:val="single" w:sz="4" w:space="0" w:color="auto"/>
            </w:tcBorders>
            <w:tcMar>
              <w:top w:w="43" w:type="dxa"/>
              <w:left w:w="108" w:type="dxa"/>
              <w:bottom w:w="43" w:type="dxa"/>
              <w:right w:w="108" w:type="dxa"/>
            </w:tcMar>
            <w:hideMark/>
          </w:tcPr>
          <w:p w:rsidR="00F96CDA" w:rsidRDefault="00F96CDA">
            <w:pPr>
              <w:jc w:val="center"/>
              <w:rPr>
                <w:b/>
                <w:sz w:val="20"/>
                <w:szCs w:val="20"/>
                <w:lang w:val="en-CA"/>
              </w:rPr>
            </w:pPr>
            <w:r>
              <w:rPr>
                <w:b/>
                <w:sz w:val="20"/>
                <w:szCs w:val="20"/>
                <w:lang w:val="en-CA"/>
              </w:rPr>
              <w:t>HFC</w:t>
            </w:r>
          </w:p>
        </w:tc>
      </w:tr>
      <w:tr w:rsidR="00F96CDA" w:rsidTr="00F96CDA">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jc w:val="left"/>
              <w:rPr>
                <w:sz w:val="20"/>
                <w:szCs w:val="20"/>
                <w:lang w:val="en-CA"/>
              </w:rPr>
            </w:pPr>
            <w:r>
              <w:rPr>
                <w:sz w:val="20"/>
                <w:szCs w:val="20"/>
                <w:lang w:val="en-CA"/>
              </w:rPr>
              <w:t>Baseline: aggregated consumption of substances</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jc w:val="left"/>
              <w:rPr>
                <w:sz w:val="20"/>
                <w:szCs w:val="20"/>
                <w:lang w:val="en-CA"/>
              </w:rPr>
            </w:pPr>
            <w:r>
              <w:rPr>
                <w:sz w:val="20"/>
                <w:szCs w:val="20"/>
                <w:lang w:val="en-CA"/>
              </w:rPr>
              <w:t>Annex C Group I (HCFC)</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jc w:val="left"/>
              <w:rPr>
                <w:sz w:val="20"/>
                <w:szCs w:val="20"/>
                <w:lang w:val="en-CA"/>
              </w:rPr>
            </w:pPr>
            <w:r>
              <w:rPr>
                <w:sz w:val="20"/>
                <w:szCs w:val="20"/>
                <w:lang w:val="en-CA"/>
              </w:rPr>
              <w:t>Annex F and (65 per cent of baseline) Annex C Group I. Two different baselines and phase</w:t>
            </w:r>
            <w:r>
              <w:rPr>
                <w:sz w:val="20"/>
                <w:szCs w:val="20"/>
                <w:lang w:val="en-CA"/>
              </w:rPr>
              <w:noBreakHyphen/>
              <w:t xml:space="preserve">out schedules </w:t>
            </w:r>
            <w:r>
              <w:rPr>
                <w:sz w:val="18"/>
                <w:szCs w:val="18"/>
                <w:lang w:val="en-CA"/>
              </w:rPr>
              <w:t>*</w:t>
            </w:r>
          </w:p>
        </w:tc>
      </w:tr>
      <w:tr w:rsidR="00F96CDA" w:rsidTr="00F96CDA">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jc w:val="left"/>
              <w:rPr>
                <w:sz w:val="20"/>
                <w:szCs w:val="20"/>
                <w:lang w:val="en-CA"/>
              </w:rPr>
            </w:pPr>
            <w:r>
              <w:rPr>
                <w:sz w:val="20"/>
                <w:szCs w:val="20"/>
                <w:lang w:val="en-CA"/>
              </w:rPr>
              <w:t>Base years</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jc w:val="left"/>
              <w:rPr>
                <w:sz w:val="20"/>
                <w:szCs w:val="20"/>
                <w:lang w:val="en-CA"/>
              </w:rPr>
            </w:pPr>
            <w:r>
              <w:rPr>
                <w:sz w:val="20"/>
                <w:szCs w:val="20"/>
                <w:lang w:val="en-CA"/>
              </w:rPr>
              <w:t>2009, 2010</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jc w:val="left"/>
              <w:rPr>
                <w:sz w:val="20"/>
                <w:szCs w:val="20"/>
                <w:lang w:val="en-CA"/>
              </w:rPr>
            </w:pPr>
            <w:r>
              <w:rPr>
                <w:sz w:val="20"/>
                <w:szCs w:val="20"/>
                <w:lang w:val="en-CA"/>
              </w:rPr>
              <w:t xml:space="preserve">Group 1: 2020, 2021, 2022 </w:t>
            </w:r>
          </w:p>
          <w:p w:rsidR="00F96CDA" w:rsidRDefault="00F96CDA">
            <w:pPr>
              <w:jc w:val="left"/>
              <w:rPr>
                <w:sz w:val="20"/>
                <w:szCs w:val="20"/>
                <w:lang w:val="en-CA"/>
              </w:rPr>
            </w:pPr>
            <w:r>
              <w:rPr>
                <w:sz w:val="20"/>
                <w:szCs w:val="20"/>
                <w:lang w:val="en-CA"/>
              </w:rPr>
              <w:t xml:space="preserve">Group 2: 2024, 2025, 2026 </w:t>
            </w:r>
          </w:p>
        </w:tc>
      </w:tr>
      <w:tr w:rsidR="00F96CDA" w:rsidTr="00F96CDA">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widowControl w:val="0"/>
              <w:jc w:val="left"/>
              <w:rPr>
                <w:sz w:val="20"/>
                <w:szCs w:val="20"/>
                <w:lang w:val="en-CA"/>
              </w:rPr>
            </w:pPr>
            <w:r>
              <w:rPr>
                <w:sz w:val="20"/>
                <w:szCs w:val="20"/>
                <w:lang w:val="en-CA"/>
              </w:rPr>
              <w:t xml:space="preserve">Number of controlled substances </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rsidP="00081D8C">
            <w:pPr>
              <w:keepNext/>
              <w:jc w:val="left"/>
              <w:rPr>
                <w:sz w:val="20"/>
                <w:szCs w:val="20"/>
                <w:lang w:val="en-CA"/>
              </w:rPr>
            </w:pPr>
            <w:r>
              <w:rPr>
                <w:sz w:val="20"/>
                <w:szCs w:val="20"/>
                <w:lang w:val="en-CA"/>
              </w:rPr>
              <w:t>40, of which HCFC-22, HCFC-141b and HCFC-142b represented over 99 per</w:t>
            </w:r>
            <w:r w:rsidR="00081D8C">
              <w:rPr>
                <w:sz w:val="20"/>
                <w:szCs w:val="20"/>
                <w:lang w:val="en-CA"/>
              </w:rPr>
              <w:t> </w:t>
            </w:r>
            <w:r>
              <w:rPr>
                <w:sz w:val="20"/>
                <w:szCs w:val="20"/>
                <w:lang w:val="en-CA"/>
              </w:rPr>
              <w:t>cent of the total consumption</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pPr>
              <w:keepNext/>
              <w:jc w:val="left"/>
              <w:rPr>
                <w:sz w:val="20"/>
                <w:szCs w:val="20"/>
                <w:lang w:val="en-CA"/>
              </w:rPr>
            </w:pPr>
            <w:r>
              <w:rPr>
                <w:sz w:val="20"/>
                <w:szCs w:val="20"/>
                <w:lang w:val="en-CA"/>
              </w:rPr>
              <w:t xml:space="preserve">17 in Annex F Group I, 1 in Group II </w:t>
            </w:r>
            <w:r>
              <w:rPr>
                <w:sz w:val="18"/>
                <w:szCs w:val="18"/>
                <w:lang w:val="en-CA"/>
              </w:rPr>
              <w:t>**</w:t>
            </w:r>
          </w:p>
          <w:p w:rsidR="00F96CDA" w:rsidRDefault="00F96CDA">
            <w:pPr>
              <w:keepNext/>
              <w:jc w:val="left"/>
              <w:rPr>
                <w:sz w:val="20"/>
                <w:szCs w:val="20"/>
                <w:lang w:val="en-CA"/>
              </w:rPr>
            </w:pPr>
            <w:r>
              <w:rPr>
                <w:sz w:val="20"/>
                <w:szCs w:val="20"/>
                <w:lang w:val="en-CA"/>
              </w:rPr>
              <w:t>The most highly consumed are five pure substances (mainly HFC-134a and to a lesser extent HFC</w:t>
            </w:r>
            <w:r>
              <w:rPr>
                <w:sz w:val="20"/>
                <w:szCs w:val="20"/>
                <w:lang w:val="en-CA"/>
              </w:rPr>
              <w:noBreakHyphen/>
              <w:t>152a, HFC</w:t>
            </w:r>
            <w:r>
              <w:rPr>
                <w:sz w:val="20"/>
                <w:szCs w:val="20"/>
                <w:lang w:val="en-CA"/>
              </w:rPr>
              <w:noBreakHyphen/>
              <w:t>245fa, HFC</w:t>
            </w:r>
            <w:r>
              <w:rPr>
                <w:sz w:val="20"/>
                <w:szCs w:val="20"/>
                <w:lang w:val="en-CA"/>
              </w:rPr>
              <w:noBreakHyphen/>
              <w:t>365mfc, HFC</w:t>
            </w:r>
            <w:r>
              <w:rPr>
                <w:sz w:val="20"/>
                <w:szCs w:val="20"/>
                <w:lang w:val="en-CA"/>
              </w:rPr>
              <w:noBreakHyphen/>
              <w:t>227ea), and four blends (R-410A, R</w:t>
            </w:r>
            <w:r>
              <w:rPr>
                <w:sz w:val="20"/>
                <w:szCs w:val="20"/>
                <w:lang w:val="en-CA"/>
              </w:rPr>
              <w:noBreakHyphen/>
              <w:t>407C, R</w:t>
            </w:r>
            <w:r>
              <w:rPr>
                <w:sz w:val="20"/>
                <w:szCs w:val="20"/>
                <w:lang w:val="en-CA"/>
              </w:rPr>
              <w:noBreakHyphen/>
              <w:t>404A, R-507A), containing two or more of HFC</w:t>
            </w:r>
            <w:r>
              <w:rPr>
                <w:sz w:val="20"/>
                <w:szCs w:val="20"/>
                <w:lang w:val="en-CA"/>
              </w:rPr>
              <w:noBreakHyphen/>
              <w:t>32, HFC-125, HFC-134a, HFC</w:t>
            </w:r>
            <w:r>
              <w:rPr>
                <w:sz w:val="20"/>
                <w:szCs w:val="20"/>
                <w:lang w:val="en-CA"/>
              </w:rPr>
              <w:noBreakHyphen/>
              <w:t>143a</w:t>
            </w:r>
          </w:p>
        </w:tc>
      </w:tr>
      <w:tr w:rsidR="00F96CDA" w:rsidTr="00F96CDA">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rsidP="00147325">
            <w:pPr>
              <w:rPr>
                <w:sz w:val="20"/>
                <w:szCs w:val="20"/>
                <w:lang w:val="en-CA"/>
              </w:rPr>
            </w:pPr>
            <w:r>
              <w:rPr>
                <w:sz w:val="20"/>
                <w:szCs w:val="20"/>
                <w:lang w:val="en-CA"/>
              </w:rPr>
              <w:t>Schedule</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rsidP="00147325">
            <w:pPr>
              <w:jc w:val="left"/>
              <w:rPr>
                <w:sz w:val="20"/>
                <w:szCs w:val="20"/>
                <w:lang w:val="en-CA"/>
              </w:rPr>
            </w:pPr>
            <w:r>
              <w:rPr>
                <w:sz w:val="20"/>
                <w:szCs w:val="20"/>
                <w:lang w:val="en-CA"/>
              </w:rPr>
              <w:t>Reduction steps:</w:t>
            </w:r>
          </w:p>
          <w:p w:rsidR="00F96CDA" w:rsidRDefault="00F96CDA" w:rsidP="00147325">
            <w:pPr>
              <w:pStyle w:val="ListParagraph"/>
              <w:numPr>
                <w:ilvl w:val="0"/>
                <w:numId w:val="33"/>
              </w:numPr>
              <w:ind w:left="144" w:hanging="144"/>
              <w:jc w:val="left"/>
              <w:rPr>
                <w:sz w:val="20"/>
                <w:szCs w:val="20"/>
                <w:lang w:val="en-CA"/>
              </w:rPr>
            </w:pPr>
            <w:r>
              <w:rPr>
                <w:sz w:val="20"/>
                <w:szCs w:val="20"/>
                <w:lang w:val="en-CA"/>
              </w:rPr>
              <w:t>2013–2014: 0 per cent of the baseline</w:t>
            </w:r>
          </w:p>
          <w:p w:rsidR="00F96CDA" w:rsidRDefault="00F96CDA" w:rsidP="00147325">
            <w:pPr>
              <w:pStyle w:val="ListParagraph"/>
              <w:numPr>
                <w:ilvl w:val="0"/>
                <w:numId w:val="33"/>
              </w:numPr>
              <w:ind w:left="144" w:hanging="144"/>
              <w:jc w:val="left"/>
              <w:rPr>
                <w:sz w:val="20"/>
                <w:szCs w:val="20"/>
                <w:lang w:val="en-CA"/>
              </w:rPr>
            </w:pPr>
            <w:r>
              <w:rPr>
                <w:sz w:val="20"/>
                <w:szCs w:val="20"/>
                <w:lang w:val="en-CA"/>
              </w:rPr>
              <w:t>2015–2019: 10 per cent of the baseline</w:t>
            </w:r>
          </w:p>
          <w:p w:rsidR="00F96CDA" w:rsidRDefault="00F96CDA" w:rsidP="00147325">
            <w:pPr>
              <w:pStyle w:val="ListParagraph"/>
              <w:numPr>
                <w:ilvl w:val="0"/>
                <w:numId w:val="33"/>
              </w:numPr>
              <w:ind w:left="144" w:hanging="144"/>
              <w:jc w:val="left"/>
              <w:rPr>
                <w:sz w:val="20"/>
                <w:szCs w:val="20"/>
                <w:lang w:val="en-CA"/>
              </w:rPr>
            </w:pPr>
            <w:r>
              <w:rPr>
                <w:sz w:val="20"/>
                <w:szCs w:val="20"/>
                <w:lang w:val="en-CA"/>
              </w:rPr>
              <w:t>2020–2024: 35 per cent of the baseline</w:t>
            </w:r>
          </w:p>
          <w:p w:rsidR="00F96CDA" w:rsidRDefault="00F96CDA" w:rsidP="00147325">
            <w:pPr>
              <w:pStyle w:val="ListParagraph"/>
              <w:numPr>
                <w:ilvl w:val="0"/>
                <w:numId w:val="33"/>
              </w:numPr>
              <w:ind w:left="144" w:hanging="144"/>
              <w:jc w:val="left"/>
              <w:rPr>
                <w:sz w:val="20"/>
                <w:szCs w:val="20"/>
                <w:lang w:val="en-CA"/>
              </w:rPr>
            </w:pPr>
            <w:r>
              <w:rPr>
                <w:sz w:val="20"/>
                <w:szCs w:val="20"/>
                <w:lang w:val="en-CA"/>
              </w:rPr>
              <w:lastRenderedPageBreak/>
              <w:t>2025–2029: 67.5 per cent of the baseline</w:t>
            </w:r>
          </w:p>
          <w:p w:rsidR="00F96CDA" w:rsidRDefault="00F96CDA" w:rsidP="00147325">
            <w:pPr>
              <w:pStyle w:val="ListParagraph"/>
              <w:numPr>
                <w:ilvl w:val="0"/>
                <w:numId w:val="33"/>
              </w:numPr>
              <w:ind w:left="123" w:hanging="123"/>
              <w:jc w:val="left"/>
              <w:rPr>
                <w:sz w:val="20"/>
                <w:szCs w:val="20"/>
                <w:lang w:val="en-CA"/>
              </w:rPr>
            </w:pPr>
            <w:r>
              <w:rPr>
                <w:sz w:val="20"/>
                <w:szCs w:val="20"/>
                <w:lang w:val="en-CA"/>
              </w:rPr>
              <w:t xml:space="preserve">2030, thereafter: 100 per cent reduction for the baseline*** </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rsidR="00F96CDA" w:rsidRDefault="00F96CDA" w:rsidP="00147325">
            <w:pPr>
              <w:jc w:val="left"/>
              <w:rPr>
                <w:sz w:val="19"/>
                <w:szCs w:val="19"/>
                <w:lang w:val="en-CA"/>
              </w:rPr>
            </w:pPr>
            <w:r>
              <w:rPr>
                <w:sz w:val="19"/>
                <w:szCs w:val="19"/>
                <w:lang w:val="en-CA"/>
              </w:rPr>
              <w:lastRenderedPageBreak/>
              <w:t xml:space="preserve">Group 1: </w:t>
            </w:r>
          </w:p>
          <w:p w:rsidR="00F96CDA" w:rsidRDefault="00F96CDA" w:rsidP="00147325">
            <w:pPr>
              <w:pStyle w:val="ListParagraph"/>
              <w:numPr>
                <w:ilvl w:val="0"/>
                <w:numId w:val="34"/>
              </w:numPr>
              <w:ind w:left="138" w:hanging="138"/>
              <w:jc w:val="left"/>
              <w:rPr>
                <w:sz w:val="19"/>
                <w:szCs w:val="19"/>
                <w:lang w:val="en-CA"/>
              </w:rPr>
            </w:pPr>
            <w:r>
              <w:rPr>
                <w:sz w:val="19"/>
                <w:szCs w:val="19"/>
                <w:lang w:val="en-CA"/>
              </w:rPr>
              <w:t xml:space="preserve">2024–2028: 100 per cent of baseline </w:t>
            </w:r>
          </w:p>
          <w:p w:rsidR="00F96CDA" w:rsidRDefault="00F96CDA" w:rsidP="00147325">
            <w:pPr>
              <w:pStyle w:val="ListParagraph"/>
              <w:numPr>
                <w:ilvl w:val="0"/>
                <w:numId w:val="34"/>
              </w:numPr>
              <w:ind w:left="138" w:hanging="138"/>
              <w:jc w:val="left"/>
              <w:rPr>
                <w:sz w:val="19"/>
                <w:szCs w:val="19"/>
                <w:lang w:val="en-CA"/>
              </w:rPr>
            </w:pPr>
            <w:r>
              <w:rPr>
                <w:sz w:val="19"/>
                <w:szCs w:val="19"/>
                <w:lang w:val="en-CA"/>
              </w:rPr>
              <w:t xml:space="preserve">2029–2034: 90 per cent of baseline </w:t>
            </w:r>
          </w:p>
          <w:p w:rsidR="00F96CDA" w:rsidRDefault="00F96CDA" w:rsidP="00147325">
            <w:pPr>
              <w:pStyle w:val="ListParagraph"/>
              <w:numPr>
                <w:ilvl w:val="0"/>
                <w:numId w:val="34"/>
              </w:numPr>
              <w:ind w:left="138" w:hanging="138"/>
              <w:jc w:val="left"/>
              <w:rPr>
                <w:sz w:val="19"/>
                <w:szCs w:val="19"/>
                <w:lang w:val="en-CA"/>
              </w:rPr>
            </w:pPr>
            <w:r>
              <w:rPr>
                <w:sz w:val="19"/>
                <w:szCs w:val="19"/>
                <w:lang w:val="en-CA"/>
              </w:rPr>
              <w:t xml:space="preserve">2035–2039: 70 per cent of baseline </w:t>
            </w:r>
          </w:p>
          <w:p w:rsidR="00F96CDA" w:rsidRDefault="00F96CDA" w:rsidP="00147325">
            <w:pPr>
              <w:pStyle w:val="ListParagraph"/>
              <w:numPr>
                <w:ilvl w:val="0"/>
                <w:numId w:val="34"/>
              </w:numPr>
              <w:ind w:left="138" w:hanging="138"/>
              <w:jc w:val="left"/>
              <w:rPr>
                <w:sz w:val="19"/>
                <w:szCs w:val="19"/>
                <w:lang w:val="en-CA"/>
              </w:rPr>
            </w:pPr>
            <w:r>
              <w:rPr>
                <w:sz w:val="19"/>
                <w:szCs w:val="19"/>
                <w:lang w:val="en-CA"/>
              </w:rPr>
              <w:t xml:space="preserve">2040–2044: 50 per cent of baseline </w:t>
            </w:r>
          </w:p>
          <w:p w:rsidR="00F96CDA" w:rsidRDefault="00F96CDA" w:rsidP="00147325">
            <w:pPr>
              <w:pStyle w:val="ListParagraph"/>
              <w:numPr>
                <w:ilvl w:val="0"/>
                <w:numId w:val="34"/>
              </w:numPr>
              <w:ind w:left="138" w:hanging="138"/>
              <w:jc w:val="left"/>
              <w:rPr>
                <w:sz w:val="19"/>
                <w:szCs w:val="19"/>
                <w:lang w:val="en-CA"/>
              </w:rPr>
            </w:pPr>
            <w:r>
              <w:rPr>
                <w:sz w:val="19"/>
                <w:szCs w:val="19"/>
                <w:lang w:val="en-CA"/>
              </w:rPr>
              <w:lastRenderedPageBreak/>
              <w:t xml:space="preserve">2045 and thereafter: 20 per cent of baseline. </w:t>
            </w:r>
          </w:p>
          <w:p w:rsidR="00F96CDA" w:rsidRDefault="00F96CDA" w:rsidP="00147325">
            <w:pPr>
              <w:jc w:val="left"/>
              <w:rPr>
                <w:sz w:val="19"/>
                <w:szCs w:val="19"/>
                <w:lang w:val="en-CA"/>
              </w:rPr>
            </w:pPr>
            <w:r>
              <w:rPr>
                <w:sz w:val="19"/>
                <w:szCs w:val="19"/>
                <w:lang w:val="en-CA"/>
              </w:rPr>
              <w:t>Group 2:</w:t>
            </w:r>
          </w:p>
          <w:p w:rsidR="00F96CDA" w:rsidRDefault="00F96CDA" w:rsidP="00147325">
            <w:pPr>
              <w:pStyle w:val="ListParagraph"/>
              <w:numPr>
                <w:ilvl w:val="0"/>
                <w:numId w:val="35"/>
              </w:numPr>
              <w:ind w:left="138" w:hanging="138"/>
              <w:jc w:val="left"/>
              <w:rPr>
                <w:sz w:val="19"/>
                <w:szCs w:val="19"/>
                <w:lang w:val="en-CA"/>
              </w:rPr>
            </w:pPr>
            <w:r>
              <w:rPr>
                <w:sz w:val="19"/>
                <w:szCs w:val="19"/>
                <w:lang w:val="en-CA"/>
              </w:rPr>
              <w:t>2028–2031: 100 per cent of baseline</w:t>
            </w:r>
          </w:p>
          <w:p w:rsidR="00F96CDA" w:rsidRDefault="00F96CDA" w:rsidP="00147325">
            <w:pPr>
              <w:pStyle w:val="ListParagraph"/>
              <w:numPr>
                <w:ilvl w:val="0"/>
                <w:numId w:val="35"/>
              </w:numPr>
              <w:ind w:left="138" w:hanging="138"/>
              <w:jc w:val="left"/>
              <w:rPr>
                <w:sz w:val="19"/>
                <w:szCs w:val="19"/>
                <w:lang w:val="en-CA"/>
              </w:rPr>
            </w:pPr>
            <w:r>
              <w:rPr>
                <w:sz w:val="19"/>
                <w:szCs w:val="19"/>
                <w:lang w:val="en-CA"/>
              </w:rPr>
              <w:t>2032–2036: 90 per cent of baseline</w:t>
            </w:r>
          </w:p>
          <w:p w:rsidR="00F96CDA" w:rsidRDefault="00F96CDA" w:rsidP="00147325">
            <w:pPr>
              <w:pStyle w:val="ListParagraph"/>
              <w:numPr>
                <w:ilvl w:val="0"/>
                <w:numId w:val="35"/>
              </w:numPr>
              <w:ind w:left="138" w:hanging="138"/>
              <w:jc w:val="left"/>
              <w:rPr>
                <w:sz w:val="19"/>
                <w:szCs w:val="19"/>
                <w:lang w:val="en-CA"/>
              </w:rPr>
            </w:pPr>
            <w:r>
              <w:rPr>
                <w:sz w:val="19"/>
                <w:szCs w:val="19"/>
                <w:lang w:val="en-CA"/>
              </w:rPr>
              <w:t>2037–2041: 80 per cent of baseline</w:t>
            </w:r>
          </w:p>
          <w:p w:rsidR="00F96CDA" w:rsidRDefault="00F96CDA" w:rsidP="00147325">
            <w:pPr>
              <w:pStyle w:val="ListParagraph"/>
              <w:numPr>
                <w:ilvl w:val="0"/>
                <w:numId w:val="35"/>
              </w:numPr>
              <w:ind w:left="138" w:hanging="138"/>
              <w:jc w:val="left"/>
              <w:rPr>
                <w:sz w:val="19"/>
                <w:szCs w:val="19"/>
                <w:lang w:val="en-CA"/>
              </w:rPr>
            </w:pPr>
            <w:r>
              <w:rPr>
                <w:sz w:val="19"/>
                <w:szCs w:val="19"/>
                <w:lang w:val="en-CA"/>
              </w:rPr>
              <w:t>2042</w:t>
            </w:r>
            <w:r>
              <w:rPr>
                <w:sz w:val="19"/>
                <w:szCs w:val="19"/>
                <w:lang w:val="en-CA"/>
              </w:rPr>
              <w:noBreakHyphen/>
              <w:t>2046: 70 per cent of baseline</w:t>
            </w:r>
          </w:p>
          <w:p w:rsidR="00F96CDA" w:rsidRDefault="00F96CDA" w:rsidP="00A80CB0">
            <w:pPr>
              <w:pStyle w:val="ListParagraph"/>
              <w:numPr>
                <w:ilvl w:val="0"/>
                <w:numId w:val="35"/>
              </w:numPr>
              <w:ind w:left="138" w:hanging="138"/>
              <w:jc w:val="left"/>
              <w:rPr>
                <w:sz w:val="20"/>
                <w:szCs w:val="20"/>
                <w:lang w:val="en-CA"/>
              </w:rPr>
            </w:pPr>
            <w:r>
              <w:rPr>
                <w:sz w:val="19"/>
                <w:szCs w:val="19"/>
                <w:lang w:val="en-CA"/>
              </w:rPr>
              <w:t>2047 and thereafter: 15 per cent of baseline</w:t>
            </w:r>
          </w:p>
        </w:tc>
      </w:tr>
    </w:tbl>
    <w:p w:rsidR="00F96CDA" w:rsidRDefault="00F96CDA" w:rsidP="00F96CDA">
      <w:pPr>
        <w:rPr>
          <w:lang w:val="en-CA"/>
        </w:rPr>
      </w:pPr>
      <w:r>
        <w:rPr>
          <w:sz w:val="18"/>
          <w:szCs w:val="18"/>
          <w:lang w:val="en-CA"/>
        </w:rPr>
        <w:lastRenderedPageBreak/>
        <w:t>* Group 1 countries: all Article 5 countries except for the 10 countries in group 2. Group 2 countries: Bahrain, India, Islamic Republic of Iran, Iraq, Kuwait, Oman, Pakistan, Qatar, Saudi Arabia, and the United Arab Emirates.</w:t>
      </w:r>
    </w:p>
    <w:p w:rsidR="00F96CDA" w:rsidRDefault="00F96CDA" w:rsidP="00F96CDA">
      <w:pPr>
        <w:rPr>
          <w:sz w:val="18"/>
          <w:szCs w:val="18"/>
          <w:lang w:val="en-CA"/>
        </w:rPr>
      </w:pPr>
      <w:r>
        <w:rPr>
          <w:sz w:val="18"/>
          <w:szCs w:val="18"/>
          <w:lang w:val="en-CA"/>
        </w:rPr>
        <w:t>** HFC-23, with a GWP of 14,800, is mainly a by-product of the production of HCFC-22.</w:t>
      </w:r>
    </w:p>
    <w:p w:rsidR="00F96CDA" w:rsidRDefault="00F96CDA" w:rsidP="00F96CDA">
      <w:pPr>
        <w:rPr>
          <w:sz w:val="18"/>
          <w:szCs w:val="18"/>
          <w:lang w:val="en-CA"/>
        </w:rPr>
      </w:pPr>
      <w:r>
        <w:rPr>
          <w:sz w:val="18"/>
          <w:szCs w:val="18"/>
          <w:lang w:val="en-CA"/>
        </w:rPr>
        <w:t>***Countries may exceed that limit on consumption any year between 2030 and 2040 so long as the average annual consumption for such 10-year period does not exceed 2.5 per cent of the HCFC consumption baseline and provided that such consumption shall be restricted to specific uses determined by paragraph 8 (</w:t>
      </w:r>
      <w:proofErr w:type="spellStart"/>
      <w:r>
        <w:rPr>
          <w:sz w:val="18"/>
          <w:szCs w:val="18"/>
          <w:lang w:val="en-CA"/>
        </w:rPr>
        <w:t>ter</w:t>
      </w:r>
      <w:proofErr w:type="spellEnd"/>
      <w:r>
        <w:rPr>
          <w:sz w:val="18"/>
          <w:szCs w:val="18"/>
          <w:lang w:val="en-CA"/>
        </w:rPr>
        <w:t>)(e) of Article 5 of the Montreal Protocol.</w:t>
      </w:r>
    </w:p>
    <w:p w:rsidR="00F96CDA" w:rsidRDefault="00F96CDA" w:rsidP="00F96CDA">
      <w:pPr>
        <w:rPr>
          <w:szCs w:val="18"/>
          <w:lang w:val="en-CA"/>
        </w:rPr>
      </w:pPr>
    </w:p>
    <w:p w:rsidR="00F96CDA" w:rsidRDefault="00F96CDA" w:rsidP="00F96CDA">
      <w:pPr>
        <w:pStyle w:val="Heading1"/>
        <w:numPr>
          <w:ilvl w:val="0"/>
          <w:numId w:val="22"/>
        </w:numPr>
        <w:rPr>
          <w:lang w:val="en-CA"/>
        </w:rPr>
      </w:pPr>
      <w:r>
        <w:rPr>
          <w:lang w:val="en-CA"/>
        </w:rPr>
        <w:t xml:space="preserve">The overlapping schedules of HCFC phase-out and HFC phase-down presents an opportunity to develop an integrated cost-effective strategy that addresses the reduction of both groups of substances, using the existing infrastructure supported under the Multilateral Fund, and avoiding duplication of efforts. </w:t>
      </w:r>
    </w:p>
    <w:p w:rsidR="00F96CDA" w:rsidRPr="0007517B" w:rsidRDefault="00F96CDA" w:rsidP="00F96CDA">
      <w:pPr>
        <w:pStyle w:val="Heading1"/>
        <w:numPr>
          <w:ilvl w:val="0"/>
          <w:numId w:val="22"/>
        </w:numPr>
        <w:rPr>
          <w:lang w:val="en-CA"/>
        </w:rPr>
      </w:pPr>
      <w:r>
        <w:rPr>
          <w:lang w:val="en-CA"/>
        </w:rPr>
        <w:t xml:space="preserve">Particularly for the refrigeration servicing sector, the majority of the activities already being implemented </w:t>
      </w:r>
      <w:r w:rsidR="00917211">
        <w:rPr>
          <w:lang w:val="en-CA"/>
        </w:rPr>
        <w:t xml:space="preserve">and planned </w:t>
      </w:r>
      <w:r>
        <w:rPr>
          <w:lang w:val="en-CA"/>
        </w:rPr>
        <w:t>for the phase-out of HCFCs</w:t>
      </w:r>
      <w:r>
        <w:rPr>
          <w:rStyle w:val="FootnoteReference"/>
          <w:lang w:val="en-CA"/>
        </w:rPr>
        <w:footnoteReference w:id="18"/>
      </w:r>
      <w:r>
        <w:rPr>
          <w:lang w:val="en-CA"/>
        </w:rPr>
        <w:t xml:space="preserve"> will have an impact on the reduction of consumption of HFCs. Additional efforts </w:t>
      </w:r>
      <w:r w:rsidRPr="0007517B">
        <w:rPr>
          <w:lang w:val="en-CA"/>
        </w:rPr>
        <w:t>might be needed</w:t>
      </w:r>
      <w:r w:rsidR="00917211" w:rsidRPr="0007517B">
        <w:rPr>
          <w:lang w:val="en-CA"/>
        </w:rPr>
        <w:t xml:space="preserve"> in the sector</w:t>
      </w:r>
      <w:r w:rsidRPr="0007517B">
        <w:rPr>
          <w:lang w:val="en-CA"/>
        </w:rPr>
        <w:t xml:space="preserve"> during the first years of the HFC phase</w:t>
      </w:r>
      <w:r w:rsidR="00081D8C">
        <w:rPr>
          <w:lang w:val="en-CA"/>
        </w:rPr>
        <w:noBreakHyphen/>
      </w:r>
      <w:r w:rsidRPr="0007517B">
        <w:rPr>
          <w:lang w:val="en-CA"/>
        </w:rPr>
        <w:t xml:space="preserve">down for, </w:t>
      </w:r>
      <w:r w:rsidRPr="0007517B">
        <w:rPr>
          <w:i/>
          <w:lang w:val="en-CA"/>
        </w:rPr>
        <w:t>inter alia</w:t>
      </w:r>
      <w:r w:rsidRPr="0007517B">
        <w:rPr>
          <w:lang w:val="en-CA"/>
        </w:rPr>
        <w:t>:</w:t>
      </w:r>
    </w:p>
    <w:p w:rsidR="00F96CDA" w:rsidRDefault="00F96CDA" w:rsidP="00F96CDA">
      <w:pPr>
        <w:pStyle w:val="Heading2"/>
        <w:numPr>
          <w:ilvl w:val="1"/>
          <w:numId w:val="22"/>
        </w:numPr>
        <w:rPr>
          <w:lang w:val="en-CA"/>
        </w:rPr>
      </w:pPr>
      <w:r>
        <w:rPr>
          <w:lang w:val="en-CA"/>
        </w:rPr>
        <w:t xml:space="preserve">Strengthening regulatory frameworks for refrigerant management through </w:t>
      </w:r>
      <w:r>
        <w:rPr>
          <w:i/>
          <w:lang w:val="en-CA"/>
        </w:rPr>
        <w:t xml:space="preserve">inter alia </w:t>
      </w:r>
      <w:r>
        <w:rPr>
          <w:lang w:val="en-CA"/>
        </w:rPr>
        <w:t xml:space="preserve">updating the operational import/export licensing systems to include HFCs (which are currently not included in the existing Harmonized System), which should be in place by 1 January 2021 for Article 5 countries that have ratified the Kigali Amendment; establishing import/export quota systems; issuing regulations for the certification of technicians; limiting the access to refrigerants only to trained/certified technicians and licensed service workshops; labelling of refrigerants, record keeping, monitoring and reporting; and capacity building for authorities and stakeholders; </w:t>
      </w:r>
    </w:p>
    <w:p w:rsidR="00F96CDA" w:rsidRDefault="00F96CDA" w:rsidP="00F96CDA">
      <w:pPr>
        <w:pStyle w:val="Heading2"/>
        <w:numPr>
          <w:ilvl w:val="1"/>
          <w:numId w:val="22"/>
        </w:numPr>
        <w:rPr>
          <w:lang w:val="en-CA"/>
        </w:rPr>
      </w:pPr>
      <w:r>
        <w:rPr>
          <w:lang w:val="en-CA"/>
        </w:rPr>
        <w:t>Developing, revising or adopting standards, codes and norms that could facilitate the adoption, operation, management and servicing of refrigeration technologies based on low</w:t>
      </w:r>
      <w:r>
        <w:rPr>
          <w:lang w:val="en-CA"/>
        </w:rPr>
        <w:noBreakHyphen/>
        <w:t>GWP refrigerants, noting that a large number of these refrigerants are flammable and/or toxic;</w:t>
      </w:r>
    </w:p>
    <w:p w:rsidR="00F96CDA" w:rsidRDefault="00F96CDA" w:rsidP="00F96CDA">
      <w:pPr>
        <w:pStyle w:val="Heading2"/>
        <w:numPr>
          <w:ilvl w:val="1"/>
          <w:numId w:val="22"/>
        </w:numPr>
        <w:rPr>
          <w:lang w:val="en-CA"/>
        </w:rPr>
      </w:pPr>
      <w:r>
        <w:rPr>
          <w:lang w:val="en-CA"/>
        </w:rPr>
        <w:t xml:space="preserve">Strengthening and updating the mechanisms in place to report consumption and production (where applicable) of controlled </w:t>
      </w:r>
      <w:r w:rsidRPr="0007517B">
        <w:rPr>
          <w:lang w:val="en-CA"/>
        </w:rPr>
        <w:t xml:space="preserve">substances, noting the increased amount and variety of controlled substances, which include a large portion of HFC-based blends, </w:t>
      </w:r>
      <w:r w:rsidR="00917211" w:rsidRPr="0007517B">
        <w:rPr>
          <w:lang w:val="en-CA"/>
        </w:rPr>
        <w:t>a wider set of applications where these substances are used (e.g., domestic refrigeration, mobile air</w:t>
      </w:r>
      <w:r w:rsidR="00CB7C91" w:rsidRPr="0007517B">
        <w:rPr>
          <w:lang w:val="en-CA"/>
        </w:rPr>
        <w:noBreakHyphen/>
      </w:r>
      <w:r w:rsidR="00917211" w:rsidRPr="0007517B">
        <w:rPr>
          <w:lang w:val="en-CA"/>
        </w:rPr>
        <w:t xml:space="preserve">conditioning and a </w:t>
      </w:r>
      <w:r w:rsidR="00137B48" w:rsidRPr="0007517B">
        <w:rPr>
          <w:lang w:val="en-CA"/>
        </w:rPr>
        <w:t>larger</w:t>
      </w:r>
      <w:r w:rsidR="00917211" w:rsidRPr="0007517B">
        <w:rPr>
          <w:lang w:val="en-CA"/>
        </w:rPr>
        <w:t xml:space="preserve"> set of commercial refrigeration systems), </w:t>
      </w:r>
      <w:r w:rsidRPr="0007517B">
        <w:rPr>
          <w:lang w:val="en-CA"/>
        </w:rPr>
        <w:t>as well as the measurement of compliance of HFC production and consumption</w:t>
      </w:r>
      <w:r>
        <w:rPr>
          <w:lang w:val="en-CA"/>
        </w:rPr>
        <w:t xml:space="preserve"> in CO</w:t>
      </w:r>
      <w:r>
        <w:rPr>
          <w:vertAlign w:val="subscript"/>
          <w:lang w:val="en-CA"/>
        </w:rPr>
        <w:t>2</w:t>
      </w:r>
      <w:r w:rsidR="00330E70">
        <w:rPr>
          <w:vertAlign w:val="subscript"/>
          <w:lang w:val="en-CA"/>
        </w:rPr>
        <w:t>-</w:t>
      </w:r>
      <w:r>
        <w:rPr>
          <w:lang w:val="en-CA"/>
        </w:rPr>
        <w:t xml:space="preserve">equivalent tonnes; </w:t>
      </w:r>
    </w:p>
    <w:p w:rsidR="00F96CDA" w:rsidRDefault="00F96CDA" w:rsidP="00F96CDA">
      <w:pPr>
        <w:pStyle w:val="Heading2"/>
        <w:numPr>
          <w:ilvl w:val="1"/>
          <w:numId w:val="22"/>
        </w:numPr>
        <w:rPr>
          <w:lang w:val="en-CA"/>
        </w:rPr>
      </w:pPr>
      <w:r>
        <w:rPr>
          <w:lang w:val="en-CA"/>
        </w:rPr>
        <w:t xml:space="preserve">Reviewing and periodically updating the curricula of the training programmes for customs and enforcement officers, addressing the obligations under the Montreal Protocol including </w:t>
      </w:r>
      <w:r>
        <w:rPr>
          <w:lang w:val="en-CA"/>
        </w:rPr>
        <w:lastRenderedPageBreak/>
        <w:t xml:space="preserve">its Kigali Amendment; </w:t>
      </w:r>
    </w:p>
    <w:p w:rsidR="00F96CDA" w:rsidRPr="0007517B" w:rsidRDefault="00F96CDA" w:rsidP="00F96CDA">
      <w:pPr>
        <w:pStyle w:val="Heading2"/>
        <w:numPr>
          <w:ilvl w:val="1"/>
          <w:numId w:val="22"/>
        </w:numPr>
        <w:rPr>
          <w:lang w:val="en-CA"/>
        </w:rPr>
      </w:pPr>
      <w:r>
        <w:rPr>
          <w:lang w:val="en-CA"/>
        </w:rPr>
        <w:t xml:space="preserve">Strengthening the capacity of vocational training systems and certification bodies by periodically reviewing the curricula of the training programmes to address good servicing practices and safety issues related to the management of flammable and/or toxic refrigerants, noting the increasing number of more technologically advanced RAC equipment based on a variety of refrigerants with different operating characteristics related to pressure, flammability and toxicity; and strengthening </w:t>
      </w:r>
      <w:r w:rsidR="00330E70">
        <w:rPr>
          <w:lang w:val="en-CA"/>
        </w:rPr>
        <w:t>RAC</w:t>
      </w:r>
      <w:r>
        <w:rPr>
          <w:lang w:val="en-CA"/>
        </w:rPr>
        <w:t xml:space="preserve"> associations, ensuring their engagement in the </w:t>
      </w:r>
      <w:r w:rsidRPr="0007517B">
        <w:rPr>
          <w:lang w:val="en-CA"/>
        </w:rPr>
        <w:t xml:space="preserve">implementation of activities related to the servicing sector; </w:t>
      </w:r>
    </w:p>
    <w:p w:rsidR="00F96CDA" w:rsidRPr="0007517B" w:rsidRDefault="00F96CDA" w:rsidP="00F96CDA">
      <w:pPr>
        <w:pStyle w:val="Heading2"/>
        <w:widowControl/>
        <w:numPr>
          <w:ilvl w:val="1"/>
          <w:numId w:val="22"/>
        </w:numPr>
        <w:rPr>
          <w:lang w:val="en-CA"/>
        </w:rPr>
      </w:pPr>
      <w:r w:rsidRPr="0007517B">
        <w:rPr>
          <w:lang w:val="en-CA"/>
        </w:rPr>
        <w:t xml:space="preserve">Developing or strengthening self-sustained refrigerant containment strategies to ensure that installed refrigeration equipment can continue operating until end-of-life; assessing </w:t>
      </w:r>
      <w:r w:rsidR="00137B48" w:rsidRPr="0007517B">
        <w:rPr>
          <w:lang w:val="en-CA"/>
        </w:rPr>
        <w:t>and start adapting the existing infrastructure for</w:t>
      </w:r>
      <w:r w:rsidRPr="0007517B">
        <w:rPr>
          <w:lang w:val="en-CA"/>
        </w:rPr>
        <w:t xml:space="preserve"> recovering, recycling and reclaiming refrigerants</w:t>
      </w:r>
      <w:r w:rsidR="00137B48" w:rsidRPr="0007517B">
        <w:rPr>
          <w:lang w:val="en-CA"/>
        </w:rPr>
        <w:t xml:space="preserve"> to operate with a wider set of </w:t>
      </w:r>
      <w:r w:rsidR="009C3E64" w:rsidRPr="0007517B">
        <w:rPr>
          <w:lang w:val="en-CA"/>
        </w:rPr>
        <w:t>RAC</w:t>
      </w:r>
      <w:r w:rsidR="00137B48" w:rsidRPr="0007517B">
        <w:rPr>
          <w:lang w:val="en-CA"/>
        </w:rPr>
        <w:t xml:space="preserve"> systems, refrigerants and blends;</w:t>
      </w:r>
      <w:r w:rsidR="00CB7C91" w:rsidRPr="0007517B">
        <w:rPr>
          <w:lang w:val="en-CA"/>
        </w:rPr>
        <w:t xml:space="preserve"> </w:t>
      </w:r>
    </w:p>
    <w:p w:rsidR="00F96CDA" w:rsidRPr="0007517B" w:rsidRDefault="00F96CDA" w:rsidP="00F96CDA">
      <w:pPr>
        <w:pStyle w:val="Heading2"/>
        <w:numPr>
          <w:ilvl w:val="1"/>
          <w:numId w:val="22"/>
        </w:numPr>
        <w:rPr>
          <w:lang w:val="en-CA"/>
        </w:rPr>
      </w:pPr>
      <w:r w:rsidRPr="0007517B">
        <w:rPr>
          <w:lang w:val="en-CA"/>
        </w:rPr>
        <w:t>Strengthening technical support for the assembly, installation and initial</w:t>
      </w:r>
      <w:r w:rsidRPr="0007517B">
        <w:rPr>
          <w:lang w:val="en-CA"/>
        </w:rPr>
        <w:noBreakHyphen/>
        <w:t>refrigerant</w:t>
      </w:r>
      <w:r w:rsidRPr="0007517B">
        <w:rPr>
          <w:lang w:val="en-CA"/>
        </w:rPr>
        <w:noBreakHyphen/>
        <w:t>charge sub</w:t>
      </w:r>
      <w:r w:rsidRPr="0007517B">
        <w:rPr>
          <w:lang w:val="en-CA"/>
        </w:rPr>
        <w:noBreakHyphen/>
        <w:t>sector as it could influence the introduction of technologies in local markets; and</w:t>
      </w:r>
    </w:p>
    <w:p w:rsidR="00F96CDA" w:rsidRPr="0007517B" w:rsidRDefault="00F96CDA" w:rsidP="00F96CDA">
      <w:pPr>
        <w:pStyle w:val="Heading2"/>
        <w:numPr>
          <w:ilvl w:val="1"/>
          <w:numId w:val="22"/>
        </w:numPr>
        <w:rPr>
          <w:lang w:val="en-CA"/>
        </w:rPr>
      </w:pPr>
      <w:r w:rsidRPr="0007517B">
        <w:rPr>
          <w:lang w:val="en-CA"/>
        </w:rPr>
        <w:t>Combining the funding from HCFC phase-out and HFC phase-down to implement more comprehensive</w:t>
      </w:r>
      <w:r w:rsidR="00CB7C91" w:rsidRPr="0007517B">
        <w:rPr>
          <w:lang w:val="en-CA"/>
        </w:rPr>
        <w:t>,</w:t>
      </w:r>
      <w:r w:rsidRPr="0007517B">
        <w:rPr>
          <w:lang w:val="en-CA"/>
        </w:rPr>
        <w:t xml:space="preserve"> longer-term activities that will have a broader impact; reducing the number of funding tranches being concurrently implemented, with lower transaction costs for reporting and verifications.</w:t>
      </w:r>
    </w:p>
    <w:p w:rsidR="002245F8" w:rsidRPr="0007517B" w:rsidRDefault="00F96CDA" w:rsidP="009379B3">
      <w:pPr>
        <w:pStyle w:val="Heading1"/>
        <w:numPr>
          <w:ilvl w:val="0"/>
          <w:numId w:val="22"/>
        </w:numPr>
        <w:rPr>
          <w:lang w:val="en-CA"/>
        </w:rPr>
      </w:pPr>
      <w:r w:rsidRPr="0007517B">
        <w:rPr>
          <w:lang w:val="en-CA"/>
        </w:rPr>
        <w:t xml:space="preserve">Additional activities </w:t>
      </w:r>
      <w:r w:rsidR="00917211" w:rsidRPr="0007517B">
        <w:rPr>
          <w:lang w:val="en-CA"/>
        </w:rPr>
        <w:t xml:space="preserve">in the refrigeration servicing sector </w:t>
      </w:r>
      <w:r w:rsidRPr="0007517B">
        <w:rPr>
          <w:lang w:val="en-CA"/>
        </w:rPr>
        <w:t xml:space="preserve">will be dependent on the priorities established by each Article 5 country. </w:t>
      </w:r>
      <w:r w:rsidR="002245F8" w:rsidRPr="0007517B">
        <w:rPr>
          <w:lang w:val="en-CA"/>
        </w:rPr>
        <w:t>Annex I presents an overview of potential modalities for integrating HCFC phase-out and HFC phase-down activities in the sector.</w:t>
      </w:r>
    </w:p>
    <w:p w:rsidR="004A10C2" w:rsidRPr="004A10C2" w:rsidRDefault="004A10C2" w:rsidP="004A10C2">
      <w:pPr>
        <w:rPr>
          <w:u w:val="single"/>
          <w:lang w:val="en-CA"/>
        </w:rPr>
      </w:pPr>
      <w:r w:rsidRPr="004A10C2">
        <w:rPr>
          <w:u w:val="single"/>
          <w:lang w:val="en-CA"/>
        </w:rPr>
        <w:t xml:space="preserve">Additional </w:t>
      </w:r>
      <w:r w:rsidR="005705E7">
        <w:rPr>
          <w:u w:val="single"/>
          <w:lang w:val="en-CA"/>
        </w:rPr>
        <w:t>ongoing discussions related to</w:t>
      </w:r>
      <w:r w:rsidRPr="004A10C2">
        <w:rPr>
          <w:u w:val="single"/>
          <w:lang w:val="en-CA"/>
        </w:rPr>
        <w:t xml:space="preserve"> the refrigeration servicing sector</w:t>
      </w:r>
    </w:p>
    <w:p w:rsidR="004A10C2" w:rsidRPr="004A10C2" w:rsidRDefault="004A10C2" w:rsidP="004A10C2">
      <w:pPr>
        <w:rPr>
          <w:lang w:val="en-CA"/>
        </w:rPr>
      </w:pPr>
    </w:p>
    <w:p w:rsidR="005A3ABE" w:rsidRPr="0007517B" w:rsidRDefault="004A10C2" w:rsidP="0066680D">
      <w:pPr>
        <w:pStyle w:val="Heading1"/>
        <w:rPr>
          <w:lang w:val="en-CA"/>
        </w:rPr>
      </w:pPr>
      <w:r w:rsidRPr="00231605">
        <w:rPr>
          <w:lang w:val="en-CA"/>
        </w:rPr>
        <w:t>In adopting the Kigali Amendment, the Parties asked the Executive Committee to increase in relation to the servicing sector, the funding available under decision 74/50 for LVC countries when needed for the introduction of alternatives to HCFCs with low- and/or zero</w:t>
      </w:r>
      <w:r w:rsidRPr="00231605">
        <w:rPr>
          <w:lang w:val="en-CA"/>
        </w:rPr>
        <w:noBreakHyphen/>
        <w:t>GWP refrigerants and maintaining energy efficiency in the servicing/end-user sector (paragraph 16 of decision XXVIII/2). From the 82</w:t>
      </w:r>
      <w:r w:rsidRPr="00231605">
        <w:rPr>
          <w:vertAlign w:val="superscript"/>
          <w:lang w:val="en-CA"/>
        </w:rPr>
        <w:t>nd</w:t>
      </w:r>
      <w:r w:rsidRPr="00231605">
        <w:rPr>
          <w:lang w:val="en-CA"/>
        </w:rPr>
        <w:t xml:space="preserve"> to the 84</w:t>
      </w:r>
      <w:r w:rsidRPr="00231605">
        <w:rPr>
          <w:vertAlign w:val="superscript"/>
          <w:lang w:val="en-CA"/>
        </w:rPr>
        <w:t>th</w:t>
      </w:r>
      <w:r w:rsidR="001B49D0">
        <w:rPr>
          <w:lang w:val="en-CA"/>
        </w:rPr>
        <w:t xml:space="preserve"> </w:t>
      </w:r>
      <w:r w:rsidRPr="00231605">
        <w:rPr>
          <w:lang w:val="en-CA"/>
        </w:rPr>
        <w:t>meetings, the Executive Committee held discussions on this matter, as summarized in document</w:t>
      </w:r>
      <w:r w:rsidR="00CB7C91">
        <w:rPr>
          <w:lang w:val="en-CA"/>
        </w:rPr>
        <w:t> </w:t>
      </w:r>
      <w:r w:rsidRPr="00231605">
        <w:rPr>
          <w:lang w:val="en-CA"/>
        </w:rPr>
        <w:t>UNEP/OzL.Pro/ExCom/86/92</w:t>
      </w:r>
      <w:r w:rsidR="00802EEF">
        <w:rPr>
          <w:rStyle w:val="FootnoteReference"/>
          <w:lang w:val="en-CA"/>
        </w:rPr>
        <w:footnoteReference w:id="19"/>
      </w:r>
      <w:r w:rsidRPr="00231605">
        <w:rPr>
          <w:lang w:val="en-CA"/>
        </w:rPr>
        <w:t xml:space="preserve"> submitted to the 86</w:t>
      </w:r>
      <w:r w:rsidRPr="00231605">
        <w:rPr>
          <w:vertAlign w:val="superscript"/>
          <w:lang w:val="en-CA"/>
        </w:rPr>
        <w:t>th</w:t>
      </w:r>
      <w:r w:rsidRPr="00231605">
        <w:rPr>
          <w:lang w:val="en-CA"/>
        </w:rPr>
        <w:t xml:space="preserve"> meeting. </w:t>
      </w:r>
      <w:r w:rsidR="00E23B04" w:rsidRPr="00231605">
        <w:rPr>
          <w:lang w:val="en-CA"/>
        </w:rPr>
        <w:t xml:space="preserve">In that document, the Secretariat had invited </w:t>
      </w:r>
      <w:r w:rsidRPr="00231605">
        <w:rPr>
          <w:lang w:val="en-CA"/>
        </w:rPr>
        <w:t xml:space="preserve">the Executive Committee </w:t>
      </w:r>
      <w:r w:rsidRPr="00AD4127">
        <w:rPr>
          <w:lang w:val="en-CA"/>
        </w:rPr>
        <w:t>if it wishes</w:t>
      </w:r>
      <w:r w:rsidRPr="00231605">
        <w:rPr>
          <w:lang w:val="en-CA"/>
        </w:rPr>
        <w:t xml:space="preserve"> to consider the information and analysis contained in the present document, while finalising its discussions on the ways to operationalize paragraph 16 of decision</w:t>
      </w:r>
      <w:r w:rsidR="00CB7C91">
        <w:rPr>
          <w:lang w:val="en-CA"/>
        </w:rPr>
        <w:t> </w:t>
      </w:r>
      <w:r w:rsidRPr="00231605">
        <w:rPr>
          <w:lang w:val="en-CA"/>
        </w:rPr>
        <w:t>XXVIII/2, and paragraph 2 of decision XXX/5</w:t>
      </w:r>
      <w:r w:rsidR="00E23B04" w:rsidRPr="00231605">
        <w:rPr>
          <w:lang w:val="en-CA"/>
        </w:rPr>
        <w:t xml:space="preserve">, given the close relationship between the two </w:t>
      </w:r>
      <w:r w:rsidR="00E23B04" w:rsidRPr="0007517B">
        <w:rPr>
          <w:lang w:val="en-CA"/>
        </w:rPr>
        <w:t>documents</w:t>
      </w:r>
      <w:r w:rsidRPr="0007517B">
        <w:rPr>
          <w:lang w:val="en-CA"/>
        </w:rPr>
        <w:t xml:space="preserve">. </w:t>
      </w:r>
    </w:p>
    <w:p w:rsidR="005A3ABE" w:rsidRPr="00636AA8" w:rsidRDefault="005A3ABE" w:rsidP="005A3ABE">
      <w:pPr>
        <w:pStyle w:val="Heading1"/>
        <w:rPr>
          <w:lang w:val="en-CA"/>
        </w:rPr>
      </w:pPr>
      <w:r w:rsidRPr="0007517B">
        <w:rPr>
          <w:lang w:val="en-CA"/>
        </w:rPr>
        <w:t xml:space="preserve">In this regard, the Secretariat notes that if additional funding would be provided under HPMPs, the activities related to maintaining energy efficiency in the servicing/end-user sector would be applicable only for HCFC-based equipment. However, if the additional funding would be provided following an integrated approach for HCFC phase-out and HFC phase-down, the funding would be applicable for all RAC </w:t>
      </w:r>
      <w:r w:rsidRPr="00636AA8">
        <w:rPr>
          <w:lang w:val="en-CA"/>
        </w:rPr>
        <w:t>equipment in operation (i.e., HCFC- and HFC-based refrigerants).</w:t>
      </w:r>
    </w:p>
    <w:p w:rsidR="007E43A9" w:rsidRPr="00636AA8" w:rsidRDefault="007E43A9" w:rsidP="007C7E18">
      <w:pPr>
        <w:pStyle w:val="Heading1"/>
        <w:rPr>
          <w:lang w:val="en-CA"/>
        </w:rPr>
      </w:pPr>
      <w:r w:rsidRPr="00636AA8">
        <w:rPr>
          <w:lang w:val="en-CA"/>
        </w:rPr>
        <w:t>Also, in adopting the Kigali Amendment, the Parties asked the Executive Committee to consider funding the cost-effective management of stockpiles of used or unwanted controlled substances, including destruction (paragraph 24 of decision XXVIII/2).</w:t>
      </w:r>
      <w:r w:rsidR="00CA0681" w:rsidRPr="00636AA8">
        <w:rPr>
          <w:rStyle w:val="FootnoteReference"/>
          <w:lang w:val="en-CA"/>
        </w:rPr>
        <w:footnoteReference w:id="20"/>
      </w:r>
      <w:r w:rsidRPr="00636AA8">
        <w:rPr>
          <w:lang w:val="en-CA"/>
        </w:rPr>
        <w:t xml:space="preserve"> At its 84</w:t>
      </w:r>
      <w:r w:rsidRPr="00636AA8">
        <w:rPr>
          <w:vertAlign w:val="superscript"/>
          <w:lang w:val="en-CA"/>
        </w:rPr>
        <w:t>th</w:t>
      </w:r>
      <w:r w:rsidRPr="00636AA8">
        <w:rPr>
          <w:lang w:val="en-CA"/>
        </w:rPr>
        <w:t xml:space="preserve"> meeting, the Committee </w:t>
      </w:r>
      <w:r w:rsidRPr="00636AA8">
        <w:rPr>
          <w:i/>
          <w:lang w:val="en-CA"/>
        </w:rPr>
        <w:t>inter alia</w:t>
      </w:r>
      <w:r w:rsidRPr="00636AA8">
        <w:rPr>
          <w:lang w:val="en-CA"/>
        </w:rPr>
        <w:t xml:space="preserve"> requested the Secretariat to prepare for the 85</w:t>
      </w:r>
      <w:r w:rsidRPr="00636AA8">
        <w:rPr>
          <w:vertAlign w:val="superscript"/>
          <w:lang w:val="en-CA"/>
        </w:rPr>
        <w:t>th</w:t>
      </w:r>
      <w:r w:rsidRPr="00636AA8">
        <w:rPr>
          <w:lang w:val="en-CA"/>
        </w:rPr>
        <w:t xml:space="preserve"> meeting a synthesis report describing best practices and ways for the </w:t>
      </w:r>
      <w:r w:rsidRPr="00636AA8">
        <w:rPr>
          <w:lang w:val="en-CA"/>
        </w:rPr>
        <w:lastRenderedPageBreak/>
        <w:t>Executive Committee to consider operationalizing paragraph 24 of decision XXVIII/2, taking into account, the final report on the evaluation of the pilot demonstration projects on ODS disposal and destruction,</w:t>
      </w:r>
      <w:r w:rsidRPr="00636AA8">
        <w:rPr>
          <w:rStyle w:val="FootnoteReference"/>
          <w:lang w:val="en-CA"/>
        </w:rPr>
        <w:footnoteReference w:id="21"/>
      </w:r>
      <w:r w:rsidRPr="00636AA8">
        <w:rPr>
          <w:lang w:val="en-CA"/>
        </w:rPr>
        <w:t xml:space="preserve"> and the synthesis report on pilot ODS disposal projects;</w:t>
      </w:r>
      <w:r w:rsidRPr="00636AA8">
        <w:rPr>
          <w:rStyle w:val="FootnoteReference"/>
          <w:lang w:val="en-CA"/>
        </w:rPr>
        <w:footnoteReference w:id="22"/>
      </w:r>
      <w:r w:rsidR="00D846B1" w:rsidRPr="00636AA8">
        <w:rPr>
          <w:lang w:val="en-CA"/>
        </w:rPr>
        <w:t xml:space="preserve"> o</w:t>
      </w:r>
      <w:r w:rsidRPr="00636AA8">
        <w:rPr>
          <w:lang w:val="en-CA"/>
        </w:rPr>
        <w:t xml:space="preserve">ther relevant projects implemented in </w:t>
      </w:r>
      <w:r w:rsidR="00D846B1" w:rsidRPr="00636AA8">
        <w:rPr>
          <w:lang w:val="en-CA"/>
        </w:rPr>
        <w:t>HPMPs</w:t>
      </w:r>
      <w:r w:rsidRPr="00636AA8">
        <w:rPr>
          <w:lang w:val="en-CA"/>
        </w:rPr>
        <w:t>;</w:t>
      </w:r>
      <w:r w:rsidR="00D846B1" w:rsidRPr="00636AA8">
        <w:rPr>
          <w:lang w:val="en-CA"/>
        </w:rPr>
        <w:t xml:space="preserve"> l</w:t>
      </w:r>
      <w:r w:rsidRPr="00636AA8">
        <w:rPr>
          <w:lang w:val="en-CA"/>
        </w:rPr>
        <w:t>essons learned from existing infrastructure and policies that could be used to establish the cost</w:t>
      </w:r>
      <w:r w:rsidR="00081D8C">
        <w:rPr>
          <w:lang w:val="en-CA"/>
        </w:rPr>
        <w:noBreakHyphen/>
      </w:r>
      <w:r w:rsidRPr="00636AA8">
        <w:rPr>
          <w:lang w:val="en-CA"/>
        </w:rPr>
        <w:t>effective management of stockpiles of used or unwanted controlled substances; and</w:t>
      </w:r>
      <w:r w:rsidR="00D846B1" w:rsidRPr="00636AA8">
        <w:rPr>
          <w:lang w:val="en-CA"/>
        </w:rPr>
        <w:t xml:space="preserve"> e</w:t>
      </w:r>
      <w:r w:rsidRPr="00636AA8">
        <w:rPr>
          <w:lang w:val="en-CA"/>
        </w:rPr>
        <w:t>xternal funding opportunities and existing disposal programmes and partnerships (decision 84/87(b)).</w:t>
      </w:r>
    </w:p>
    <w:p w:rsidR="004A10C2" w:rsidRPr="00636AA8" w:rsidRDefault="00D846B1" w:rsidP="007C7E18">
      <w:pPr>
        <w:pStyle w:val="Heading1"/>
        <w:numPr>
          <w:ilvl w:val="0"/>
          <w:numId w:val="1"/>
        </w:numPr>
        <w:rPr>
          <w:lang w:val="en-CA"/>
        </w:rPr>
      </w:pPr>
      <w:r w:rsidRPr="00636AA8">
        <w:rPr>
          <w:lang w:val="en-CA"/>
        </w:rPr>
        <w:t>In response to decision 84/87(b), document UNEP/OzL.Pro/</w:t>
      </w:r>
      <w:r w:rsidRPr="00750116">
        <w:rPr>
          <w:lang w:val="en-CA"/>
        </w:rPr>
        <w:t>ExCom/86/</w:t>
      </w:r>
      <w:r w:rsidR="00330E70" w:rsidRPr="00750116">
        <w:rPr>
          <w:lang w:val="en-CA"/>
        </w:rPr>
        <w:t>90</w:t>
      </w:r>
      <w:r w:rsidR="00802EEF" w:rsidRPr="00750116">
        <w:rPr>
          <w:rStyle w:val="FootnoteReference"/>
          <w:lang w:val="en-CA"/>
        </w:rPr>
        <w:footnoteReference w:id="23"/>
      </w:r>
      <w:r w:rsidRPr="00750116">
        <w:rPr>
          <w:lang w:val="en-CA"/>
        </w:rPr>
        <w:t xml:space="preserve"> </w:t>
      </w:r>
      <w:r w:rsidR="00802EEF" w:rsidRPr="00750116">
        <w:rPr>
          <w:lang w:val="en-CA"/>
        </w:rPr>
        <w:t>was</w:t>
      </w:r>
      <w:r w:rsidRPr="00750116">
        <w:rPr>
          <w:lang w:val="en-CA"/>
        </w:rPr>
        <w:t xml:space="preserve"> submitted to the 86</w:t>
      </w:r>
      <w:r w:rsidRPr="00750116">
        <w:rPr>
          <w:vertAlign w:val="superscript"/>
          <w:lang w:val="en-CA"/>
        </w:rPr>
        <w:t>th</w:t>
      </w:r>
      <w:r w:rsidR="00081D8C" w:rsidRPr="00750116">
        <w:rPr>
          <w:lang w:val="en-CA"/>
        </w:rPr>
        <w:t> </w:t>
      </w:r>
      <w:r w:rsidRPr="00750116">
        <w:rPr>
          <w:lang w:val="en-CA"/>
        </w:rPr>
        <w:t>meeting. The document notes that the majority of activities already being implemented in the refrigeration servicing sector under ongoing HPMPs and future HFC phase-down plans</w:t>
      </w:r>
      <w:r w:rsidRPr="00636AA8">
        <w:rPr>
          <w:lang w:val="en-CA"/>
        </w:rPr>
        <w:t xml:space="preserve"> provide opportunities for considering the development of an integrated approach for the sustainable and cost</w:t>
      </w:r>
      <w:r w:rsidR="00330E70" w:rsidRPr="00636AA8">
        <w:rPr>
          <w:lang w:val="en-CA"/>
        </w:rPr>
        <w:noBreakHyphen/>
      </w:r>
      <w:r w:rsidRPr="00636AA8">
        <w:rPr>
          <w:lang w:val="en-CA"/>
        </w:rPr>
        <w:t xml:space="preserve">effective management of unwanted controlled substances to prevent harmful emissions to the environment. Including a strategy for the environmentally sound management of waste ODS and other controlled substances </w:t>
      </w:r>
      <w:r w:rsidR="00DA0F26" w:rsidRPr="00636AA8">
        <w:rPr>
          <w:lang w:val="en-CA"/>
        </w:rPr>
        <w:t xml:space="preserve">when economically feasible </w:t>
      </w:r>
      <w:r w:rsidRPr="00636AA8">
        <w:rPr>
          <w:lang w:val="en-CA"/>
        </w:rPr>
        <w:t xml:space="preserve">will ensure that all aspects of management of the refrigerant until its disposal </w:t>
      </w:r>
      <w:r w:rsidR="00CA0681" w:rsidRPr="00636AA8">
        <w:rPr>
          <w:lang w:val="en-CA"/>
        </w:rPr>
        <w:t xml:space="preserve">are </w:t>
      </w:r>
      <w:r w:rsidRPr="00636AA8">
        <w:rPr>
          <w:lang w:val="en-CA"/>
        </w:rPr>
        <w:t xml:space="preserve">fully considered. </w:t>
      </w:r>
    </w:p>
    <w:p w:rsidR="00DD577F" w:rsidRPr="00295A4D" w:rsidRDefault="00B21330" w:rsidP="00F30C89">
      <w:pPr>
        <w:keepNext/>
        <w:rPr>
          <w:b/>
          <w:lang w:val="en-CA"/>
        </w:rPr>
      </w:pPr>
      <w:r w:rsidRPr="00295A4D">
        <w:rPr>
          <w:b/>
          <w:lang w:val="en-CA"/>
        </w:rPr>
        <w:t>Modalit</w:t>
      </w:r>
      <w:r w:rsidR="00CD096D">
        <w:rPr>
          <w:b/>
          <w:lang w:val="en-CA"/>
        </w:rPr>
        <w:t>ies</w:t>
      </w:r>
      <w:r w:rsidRPr="00295A4D">
        <w:rPr>
          <w:b/>
          <w:lang w:val="en-CA"/>
        </w:rPr>
        <w:t xml:space="preserve"> and </w:t>
      </w:r>
      <w:r w:rsidR="00CD096D">
        <w:rPr>
          <w:b/>
          <w:lang w:val="en-CA"/>
        </w:rPr>
        <w:t xml:space="preserve">levels of </w:t>
      </w:r>
      <w:r w:rsidR="001B0CC1" w:rsidRPr="00295A4D">
        <w:rPr>
          <w:b/>
          <w:lang w:val="en-CA"/>
        </w:rPr>
        <w:t xml:space="preserve">funding </w:t>
      </w:r>
      <w:r w:rsidRPr="00295A4D">
        <w:rPr>
          <w:b/>
          <w:lang w:val="en-CA"/>
        </w:rPr>
        <w:t>for H</w:t>
      </w:r>
      <w:r w:rsidR="00DD577F" w:rsidRPr="00295A4D">
        <w:rPr>
          <w:b/>
          <w:lang w:val="en-CA"/>
        </w:rPr>
        <w:t xml:space="preserve">FC </w:t>
      </w:r>
      <w:r w:rsidR="00D65758" w:rsidRPr="00295A4D">
        <w:rPr>
          <w:b/>
          <w:lang w:val="en-CA"/>
        </w:rPr>
        <w:t>phase-down</w:t>
      </w:r>
      <w:r w:rsidR="00DD577F" w:rsidRPr="00295A4D">
        <w:rPr>
          <w:b/>
          <w:lang w:val="en-CA"/>
        </w:rPr>
        <w:t xml:space="preserve"> in the refrigeration servicing sector</w:t>
      </w:r>
      <w:r w:rsidR="005705E7">
        <w:rPr>
          <w:b/>
          <w:lang w:val="en-CA"/>
        </w:rPr>
        <w:t xml:space="preserve"> (stage I)</w:t>
      </w:r>
    </w:p>
    <w:p w:rsidR="00DD577F" w:rsidRPr="00295A4D" w:rsidRDefault="00DD577F" w:rsidP="00F30C89">
      <w:pPr>
        <w:keepNext/>
        <w:rPr>
          <w:lang w:val="en-CA"/>
        </w:rPr>
      </w:pPr>
    </w:p>
    <w:p w:rsidR="00993C40" w:rsidRPr="003859BE" w:rsidRDefault="001B0CC1" w:rsidP="00CE3F8F">
      <w:pPr>
        <w:pStyle w:val="Heading1"/>
        <w:rPr>
          <w:lang w:val="en-CA"/>
        </w:rPr>
      </w:pPr>
      <w:r w:rsidRPr="003859BE">
        <w:rPr>
          <w:lang w:val="en-CA"/>
        </w:rPr>
        <w:t xml:space="preserve">The modality and </w:t>
      </w:r>
      <w:r w:rsidR="00CD096D" w:rsidRPr="003859BE">
        <w:rPr>
          <w:lang w:val="en-CA"/>
        </w:rPr>
        <w:t xml:space="preserve">levels of </w:t>
      </w:r>
      <w:r w:rsidRPr="003859BE">
        <w:rPr>
          <w:lang w:val="en-CA"/>
        </w:rPr>
        <w:t xml:space="preserve">funding proposed for the phase-down of HFCs in the refrigeration servicing sector, </w:t>
      </w:r>
      <w:r w:rsidR="00CD096D" w:rsidRPr="003859BE">
        <w:rPr>
          <w:lang w:val="en-CA"/>
        </w:rPr>
        <w:t>are</w:t>
      </w:r>
      <w:r w:rsidRPr="003859BE">
        <w:rPr>
          <w:lang w:val="en-CA"/>
        </w:rPr>
        <w:t xml:space="preserve"> based on the extensive analysis </w:t>
      </w:r>
      <w:r w:rsidR="00993C40" w:rsidRPr="003859BE">
        <w:rPr>
          <w:lang w:val="en-CA"/>
        </w:rPr>
        <w:t xml:space="preserve">and information </w:t>
      </w:r>
      <w:r w:rsidRPr="003859BE">
        <w:rPr>
          <w:lang w:val="en-CA"/>
        </w:rPr>
        <w:t xml:space="preserve">contained in the various documents that have been considered by the Executive Committee (listed under the Background section of the present document), and the review of all the projects related to the servicing sector that have been approved, in particular under the HPMPs. </w:t>
      </w:r>
      <w:r w:rsidR="00993C40" w:rsidRPr="003859BE">
        <w:rPr>
          <w:lang w:val="en-CA"/>
        </w:rPr>
        <w:t>Specifically, the following facts were considered:</w:t>
      </w:r>
    </w:p>
    <w:p w:rsidR="00BC3EF8" w:rsidRPr="007F7E26" w:rsidRDefault="00BC3EF8" w:rsidP="00BC3EF8">
      <w:pPr>
        <w:pStyle w:val="Heading2"/>
        <w:rPr>
          <w:lang w:val="en-CA"/>
        </w:rPr>
      </w:pPr>
      <w:r w:rsidRPr="003859BE">
        <w:rPr>
          <w:lang w:val="en-CA"/>
        </w:rPr>
        <w:t xml:space="preserve">The need to meet the freeze </w:t>
      </w:r>
      <w:r w:rsidR="00453F79" w:rsidRPr="003859BE">
        <w:rPr>
          <w:lang w:val="en-CA"/>
        </w:rPr>
        <w:t xml:space="preserve">(all Article 5 countries) </w:t>
      </w:r>
      <w:r w:rsidRPr="003859BE">
        <w:rPr>
          <w:lang w:val="en-CA"/>
        </w:rPr>
        <w:t xml:space="preserve">and the 10 per cent reduction </w:t>
      </w:r>
      <w:r w:rsidR="00453F79" w:rsidRPr="003859BE">
        <w:rPr>
          <w:lang w:val="en-CA"/>
        </w:rPr>
        <w:t xml:space="preserve">(all Article 5 group 1 countries) </w:t>
      </w:r>
      <w:r w:rsidRPr="003859BE">
        <w:rPr>
          <w:lang w:val="en-CA"/>
        </w:rPr>
        <w:t xml:space="preserve">on HFC consumption where the actual levels of HFCs consumption, type of HFCs (pure or contained in blends) </w:t>
      </w:r>
      <w:r w:rsidR="00453F79" w:rsidRPr="003859BE">
        <w:rPr>
          <w:lang w:val="en-CA"/>
        </w:rPr>
        <w:t xml:space="preserve">being consumed </w:t>
      </w:r>
      <w:r w:rsidRPr="003859BE">
        <w:rPr>
          <w:lang w:val="en-CA"/>
        </w:rPr>
        <w:t xml:space="preserve">and </w:t>
      </w:r>
      <w:r w:rsidRPr="007F7E26">
        <w:rPr>
          <w:lang w:val="en-CA"/>
        </w:rPr>
        <w:t>their sectoral distribution, are unknown</w:t>
      </w:r>
      <w:r w:rsidR="00453F79" w:rsidRPr="007F7E26">
        <w:rPr>
          <w:lang w:val="en-CA"/>
        </w:rPr>
        <w:t>,</w:t>
      </w:r>
      <w:r w:rsidRPr="007F7E26">
        <w:rPr>
          <w:lang w:val="en-CA"/>
        </w:rPr>
        <w:t xml:space="preserve"> and the </w:t>
      </w:r>
      <w:r w:rsidR="00453F79" w:rsidRPr="007F7E26">
        <w:rPr>
          <w:lang w:val="en-CA"/>
        </w:rPr>
        <w:t xml:space="preserve">HFC </w:t>
      </w:r>
      <w:r w:rsidRPr="007F7E26">
        <w:rPr>
          <w:lang w:val="en-CA"/>
        </w:rPr>
        <w:t xml:space="preserve">baselines </w:t>
      </w:r>
      <w:r w:rsidR="00453F79" w:rsidRPr="007F7E26">
        <w:rPr>
          <w:lang w:val="en-CA"/>
        </w:rPr>
        <w:t>for compliance cannot be</w:t>
      </w:r>
      <w:r w:rsidR="00931DB7" w:rsidRPr="007F7E26">
        <w:rPr>
          <w:lang w:val="en-CA"/>
        </w:rPr>
        <w:t xml:space="preserve"> reliably </w:t>
      </w:r>
      <w:r w:rsidR="00453F79" w:rsidRPr="007F7E26">
        <w:rPr>
          <w:lang w:val="en-CA"/>
        </w:rPr>
        <w:t>forecast;</w:t>
      </w:r>
    </w:p>
    <w:p w:rsidR="00BC3EF8" w:rsidRPr="00295A4D" w:rsidRDefault="00993C40" w:rsidP="00993C40">
      <w:pPr>
        <w:pStyle w:val="Heading2"/>
        <w:rPr>
          <w:lang w:val="en-CA"/>
        </w:rPr>
      </w:pPr>
      <w:r w:rsidRPr="00295A4D">
        <w:rPr>
          <w:lang w:val="en-CA"/>
        </w:rPr>
        <w:t>The relevance of the servicing sector d</w:t>
      </w:r>
      <w:r w:rsidR="00926ECF" w:rsidRPr="00295A4D">
        <w:rPr>
          <w:lang w:val="en-CA"/>
        </w:rPr>
        <w:t>uring the 2020-2030 period</w:t>
      </w:r>
      <w:r w:rsidRPr="00295A4D">
        <w:rPr>
          <w:lang w:val="en-CA"/>
        </w:rPr>
        <w:t xml:space="preserve">, noting that for the majority of Article 5 countries the remaining HCFC consumption is solely or mainly used for servicing RAC equipment. Furthermore, </w:t>
      </w:r>
      <w:r w:rsidR="00F96CDA">
        <w:rPr>
          <w:lang w:val="en-CA"/>
        </w:rPr>
        <w:t xml:space="preserve">HFC </w:t>
      </w:r>
      <w:r w:rsidR="00926ECF" w:rsidRPr="00295A4D">
        <w:rPr>
          <w:lang w:val="en-CA"/>
        </w:rPr>
        <w:t>phase-</w:t>
      </w:r>
      <w:r w:rsidR="00C9752B">
        <w:rPr>
          <w:lang w:val="en-CA"/>
        </w:rPr>
        <w:t>down</w:t>
      </w:r>
      <w:r w:rsidR="00C9752B" w:rsidRPr="00295A4D">
        <w:rPr>
          <w:lang w:val="en-CA"/>
        </w:rPr>
        <w:t xml:space="preserve"> </w:t>
      </w:r>
      <w:r w:rsidR="00926ECF" w:rsidRPr="00295A4D">
        <w:rPr>
          <w:lang w:val="en-CA"/>
        </w:rPr>
        <w:t xml:space="preserve">activities in </w:t>
      </w:r>
      <w:r w:rsidRPr="00295A4D">
        <w:rPr>
          <w:lang w:val="en-CA"/>
        </w:rPr>
        <w:t xml:space="preserve">this </w:t>
      </w:r>
      <w:r w:rsidR="00926ECF" w:rsidRPr="00295A4D">
        <w:rPr>
          <w:lang w:val="en-CA"/>
        </w:rPr>
        <w:t>sector</w:t>
      </w:r>
      <w:r w:rsidR="005F7BA4">
        <w:rPr>
          <w:lang w:val="en-CA"/>
        </w:rPr>
        <w:t xml:space="preserve"> are expected</w:t>
      </w:r>
      <w:r w:rsidR="00FE2B4E">
        <w:rPr>
          <w:lang w:val="en-CA"/>
        </w:rPr>
        <w:t xml:space="preserve"> to</w:t>
      </w:r>
      <w:r w:rsidR="00926ECF" w:rsidRPr="00295A4D">
        <w:rPr>
          <w:lang w:val="en-CA"/>
        </w:rPr>
        <w:t xml:space="preserve"> be necessary for the majority of LVC countries and several non-LVC countries to meet their compliance obligations</w:t>
      </w:r>
      <w:r w:rsidR="00BC3EF8" w:rsidRPr="00295A4D">
        <w:rPr>
          <w:lang w:val="en-CA"/>
        </w:rPr>
        <w:t>, as HFCs are solely used for servicing RAC equipment;</w:t>
      </w:r>
    </w:p>
    <w:p w:rsidR="00F11E45" w:rsidRPr="00295A4D" w:rsidRDefault="002E7852" w:rsidP="00F11E45">
      <w:pPr>
        <w:pStyle w:val="Heading2"/>
        <w:rPr>
          <w:lang w:val="en-CA"/>
        </w:rPr>
      </w:pPr>
      <w:r w:rsidRPr="00295A4D">
        <w:rPr>
          <w:lang w:val="en-CA"/>
        </w:rPr>
        <w:t xml:space="preserve">The </w:t>
      </w:r>
      <w:r w:rsidR="00BC3EF8" w:rsidRPr="00295A4D">
        <w:rPr>
          <w:lang w:val="en-CA"/>
        </w:rPr>
        <w:t xml:space="preserve">full utilization of the </w:t>
      </w:r>
      <w:r w:rsidR="000E7B8F" w:rsidRPr="00295A4D">
        <w:rPr>
          <w:lang w:val="en-CA"/>
        </w:rPr>
        <w:t xml:space="preserve">regulatory framework and the </w:t>
      </w:r>
      <w:r w:rsidR="005F7BA4">
        <w:rPr>
          <w:lang w:val="en-CA"/>
        </w:rPr>
        <w:t xml:space="preserve">training </w:t>
      </w:r>
      <w:r w:rsidRPr="00295A4D">
        <w:rPr>
          <w:lang w:val="en-CA"/>
        </w:rPr>
        <w:t xml:space="preserve">infrastructure that </w:t>
      </w:r>
      <w:r w:rsidR="000E7B8F" w:rsidRPr="00295A4D">
        <w:rPr>
          <w:lang w:val="en-CA"/>
        </w:rPr>
        <w:t xml:space="preserve">has been established </w:t>
      </w:r>
      <w:r w:rsidR="00BC3EF8" w:rsidRPr="00295A4D">
        <w:rPr>
          <w:lang w:val="en-CA"/>
        </w:rPr>
        <w:t xml:space="preserve">since the inception of the Multilateral Fund and </w:t>
      </w:r>
      <w:r w:rsidR="000E7B8F" w:rsidRPr="00295A4D">
        <w:rPr>
          <w:lang w:val="en-CA"/>
        </w:rPr>
        <w:t>strengthened</w:t>
      </w:r>
      <w:r w:rsidR="00BC3EF8" w:rsidRPr="00295A4D">
        <w:rPr>
          <w:lang w:val="en-CA"/>
        </w:rPr>
        <w:t xml:space="preserve"> and expanded during the phase-out of HCFCs. This include </w:t>
      </w:r>
      <w:r w:rsidR="00BC3EF8" w:rsidRPr="00295A4D">
        <w:rPr>
          <w:i/>
          <w:lang w:val="en-CA"/>
        </w:rPr>
        <w:t>inter alia</w:t>
      </w:r>
      <w:r w:rsidR="00BC3EF8" w:rsidRPr="00295A4D">
        <w:rPr>
          <w:lang w:val="en-CA"/>
        </w:rPr>
        <w:t xml:space="preserve"> </w:t>
      </w:r>
      <w:r w:rsidR="000E7B8F" w:rsidRPr="00295A4D">
        <w:rPr>
          <w:lang w:val="en-CA"/>
        </w:rPr>
        <w:t xml:space="preserve">the </w:t>
      </w:r>
      <w:r w:rsidRPr="00295A4D">
        <w:rPr>
          <w:lang w:val="en-CA"/>
        </w:rPr>
        <w:t>training</w:t>
      </w:r>
      <w:r w:rsidR="000E7B8F" w:rsidRPr="00295A4D">
        <w:rPr>
          <w:lang w:val="en-CA"/>
        </w:rPr>
        <w:t xml:space="preserve">/vocational </w:t>
      </w:r>
      <w:r w:rsidRPr="00295A4D">
        <w:rPr>
          <w:lang w:val="en-CA"/>
        </w:rPr>
        <w:t xml:space="preserve">institutions </w:t>
      </w:r>
      <w:r w:rsidR="000E7B8F" w:rsidRPr="00295A4D">
        <w:rPr>
          <w:lang w:val="en-CA"/>
        </w:rPr>
        <w:t>for customs officer</w:t>
      </w:r>
      <w:r w:rsidR="00C9752B">
        <w:rPr>
          <w:lang w:val="en-CA"/>
        </w:rPr>
        <w:t>s</w:t>
      </w:r>
      <w:r w:rsidR="000E7B8F" w:rsidRPr="00295A4D">
        <w:rPr>
          <w:lang w:val="en-CA"/>
        </w:rPr>
        <w:t xml:space="preserve"> and </w:t>
      </w:r>
      <w:r w:rsidR="000E7B8F" w:rsidRPr="007F7E26">
        <w:rPr>
          <w:lang w:val="en-CA"/>
        </w:rPr>
        <w:t xml:space="preserve">refrigeration technicians </w:t>
      </w:r>
      <w:r w:rsidRPr="007F7E26">
        <w:rPr>
          <w:lang w:val="en-CA"/>
        </w:rPr>
        <w:t>that have</w:t>
      </w:r>
      <w:r w:rsidR="00C9752B" w:rsidRPr="007F7E26">
        <w:rPr>
          <w:lang w:val="en-CA"/>
        </w:rPr>
        <w:t xml:space="preserve"> been</w:t>
      </w:r>
      <w:r w:rsidRPr="007F7E26">
        <w:rPr>
          <w:lang w:val="en-CA"/>
        </w:rPr>
        <w:t xml:space="preserve"> </w:t>
      </w:r>
      <w:r w:rsidR="00BC3EF8" w:rsidRPr="007F7E26">
        <w:rPr>
          <w:lang w:val="en-CA"/>
        </w:rPr>
        <w:t>supported with equipment, tools and refrigerant identifie</w:t>
      </w:r>
      <w:r w:rsidR="00C9752B" w:rsidRPr="007F7E26">
        <w:rPr>
          <w:lang w:val="en-CA"/>
        </w:rPr>
        <w:t>r</w:t>
      </w:r>
      <w:r w:rsidR="00BC3EF8" w:rsidRPr="007F7E26">
        <w:rPr>
          <w:lang w:val="en-CA"/>
        </w:rPr>
        <w:t>s</w:t>
      </w:r>
      <w:r w:rsidR="007F7E26">
        <w:rPr>
          <w:lang w:val="en-CA"/>
        </w:rPr>
        <w:t>,</w:t>
      </w:r>
      <w:r w:rsidR="00931DB7" w:rsidRPr="007F7E26">
        <w:rPr>
          <w:lang w:val="en-CA"/>
        </w:rPr>
        <w:t xml:space="preserve"> and strengthened with updated curricula including good servicing practices and</w:t>
      </w:r>
      <w:r w:rsidR="007F7E26">
        <w:rPr>
          <w:lang w:val="en-CA"/>
        </w:rPr>
        <w:t>,</w:t>
      </w:r>
      <w:r w:rsidR="00931DB7" w:rsidRPr="007F7E26">
        <w:rPr>
          <w:lang w:val="en-CA"/>
        </w:rPr>
        <w:t xml:space="preserve"> in many cases</w:t>
      </w:r>
      <w:r w:rsidR="007F7E26">
        <w:rPr>
          <w:lang w:val="en-CA"/>
        </w:rPr>
        <w:t>,</w:t>
      </w:r>
      <w:r w:rsidR="00931DB7" w:rsidRPr="007F7E26">
        <w:rPr>
          <w:lang w:val="en-CA"/>
        </w:rPr>
        <w:t xml:space="preserve"> proper handling of flammable and toxic refrigerants</w:t>
      </w:r>
      <w:r w:rsidR="000E7B8F" w:rsidRPr="007F7E26">
        <w:rPr>
          <w:lang w:val="en-CA"/>
        </w:rPr>
        <w:t xml:space="preserve">; the </w:t>
      </w:r>
      <w:r w:rsidR="00BC3EF8" w:rsidRPr="007F7E26">
        <w:rPr>
          <w:lang w:val="en-CA"/>
        </w:rPr>
        <w:t>customs and enforcement officers that have been trained</w:t>
      </w:r>
      <w:r w:rsidR="00C9752B" w:rsidRPr="007F7E26">
        <w:rPr>
          <w:lang w:val="en-CA"/>
        </w:rPr>
        <w:t>;</w:t>
      </w:r>
      <w:r w:rsidR="00BC3EF8" w:rsidRPr="007F7E26">
        <w:rPr>
          <w:lang w:val="en-CA"/>
        </w:rPr>
        <w:t xml:space="preserve"> and the </w:t>
      </w:r>
      <w:r w:rsidRPr="007F7E26">
        <w:rPr>
          <w:lang w:val="en-CA"/>
        </w:rPr>
        <w:t xml:space="preserve">service technicians that have been trained </w:t>
      </w:r>
      <w:r w:rsidR="00BC3EF8" w:rsidRPr="007F7E26">
        <w:rPr>
          <w:lang w:val="en-CA"/>
        </w:rPr>
        <w:t>in good service practices and the proper</w:t>
      </w:r>
      <w:r w:rsidR="00BC3EF8" w:rsidRPr="00295A4D">
        <w:rPr>
          <w:lang w:val="en-CA"/>
        </w:rPr>
        <w:t xml:space="preserve"> handling of flammable and toxic refrigerants, </w:t>
      </w:r>
      <w:r w:rsidRPr="00295A4D">
        <w:rPr>
          <w:lang w:val="en-CA"/>
        </w:rPr>
        <w:t xml:space="preserve">and equipped with basic service </w:t>
      </w:r>
      <w:r w:rsidR="00BC3EF8" w:rsidRPr="00295A4D">
        <w:rPr>
          <w:lang w:val="en-CA"/>
        </w:rPr>
        <w:t>tools;</w:t>
      </w:r>
      <w:r w:rsidR="004D1B42" w:rsidRPr="00295A4D">
        <w:rPr>
          <w:lang w:val="en-CA"/>
        </w:rPr>
        <w:t xml:space="preserve"> </w:t>
      </w:r>
    </w:p>
    <w:p w:rsidR="00453F79" w:rsidRPr="00295A4D" w:rsidRDefault="00453F79" w:rsidP="00453F79">
      <w:pPr>
        <w:pStyle w:val="Heading2"/>
        <w:rPr>
          <w:lang w:val="en-CA"/>
        </w:rPr>
      </w:pPr>
      <w:r w:rsidRPr="00295A4D">
        <w:rPr>
          <w:lang w:val="en-CA"/>
        </w:rPr>
        <w:t xml:space="preserve">The demonstrated benefits for Article 5 countries of implementing an integrated strategy in the refrigeration servicing sector that addresses the reduction of HCFCs and HFCs, </w:t>
      </w:r>
      <w:r w:rsidRPr="00295A4D">
        <w:rPr>
          <w:lang w:val="en-CA"/>
        </w:rPr>
        <w:lastRenderedPageBreak/>
        <w:t>through a comprehensive plan that combines ozone and climate benefits and the funding from HC</w:t>
      </w:r>
      <w:r w:rsidR="004D1B42" w:rsidRPr="00295A4D">
        <w:rPr>
          <w:lang w:val="en-CA"/>
        </w:rPr>
        <w:t>FC phase-out and HFC phase down, following a performance-based multi</w:t>
      </w:r>
      <w:r w:rsidR="00081D8C">
        <w:rPr>
          <w:lang w:val="en-CA"/>
        </w:rPr>
        <w:noBreakHyphen/>
      </w:r>
      <w:r w:rsidR="004D1B42" w:rsidRPr="00295A4D">
        <w:rPr>
          <w:lang w:val="en-CA"/>
        </w:rPr>
        <w:t>staged approach</w:t>
      </w:r>
      <w:r w:rsidR="007D0F6C" w:rsidRPr="00295A4D">
        <w:rPr>
          <w:lang w:val="en-CA"/>
        </w:rPr>
        <w:t>,</w:t>
      </w:r>
      <w:r w:rsidR="00244096" w:rsidRPr="00295A4D">
        <w:rPr>
          <w:lang w:val="en-CA"/>
        </w:rPr>
        <w:t xml:space="preserve"> </w:t>
      </w:r>
      <w:r w:rsidR="00244096" w:rsidRPr="00F963D2">
        <w:rPr>
          <w:lang w:val="en-CA"/>
        </w:rPr>
        <w:t xml:space="preserve">rather than a set of stand-alone activities in </w:t>
      </w:r>
      <w:r w:rsidR="007D0F6C" w:rsidRPr="00F963D2">
        <w:rPr>
          <w:lang w:val="en-CA"/>
        </w:rPr>
        <w:t xml:space="preserve">the absence of a holistic approach for </w:t>
      </w:r>
      <w:r w:rsidR="00244096" w:rsidRPr="00F963D2">
        <w:rPr>
          <w:lang w:val="en-CA"/>
        </w:rPr>
        <w:t>the refrigeration servicing sector</w:t>
      </w:r>
      <w:r w:rsidR="00F96CDA">
        <w:rPr>
          <w:lang w:val="en-CA"/>
        </w:rPr>
        <w:t>;</w:t>
      </w:r>
      <w:r w:rsidR="007137CC">
        <w:rPr>
          <w:rStyle w:val="FootnoteReference"/>
          <w:lang w:val="en-CA"/>
        </w:rPr>
        <w:footnoteReference w:id="24"/>
      </w:r>
      <w:r w:rsidR="00A61777" w:rsidRPr="00295A4D">
        <w:rPr>
          <w:lang w:val="en-CA"/>
        </w:rPr>
        <w:t xml:space="preserve"> and</w:t>
      </w:r>
    </w:p>
    <w:p w:rsidR="004C0699" w:rsidRPr="007F7E26" w:rsidRDefault="00A61777" w:rsidP="004A10C2">
      <w:pPr>
        <w:pStyle w:val="Heading2"/>
        <w:rPr>
          <w:lang w:val="en-CA"/>
        </w:rPr>
      </w:pPr>
      <w:r w:rsidRPr="00295A4D">
        <w:rPr>
          <w:lang w:val="en-CA"/>
        </w:rPr>
        <w:t xml:space="preserve">The level of funding available during </w:t>
      </w:r>
      <w:r w:rsidRPr="007F7E26">
        <w:rPr>
          <w:lang w:val="en-CA"/>
        </w:rPr>
        <w:t xml:space="preserve">the </w:t>
      </w:r>
      <w:r w:rsidR="00B141EA" w:rsidRPr="007F7E26">
        <w:rPr>
          <w:lang w:val="en-CA"/>
        </w:rPr>
        <w:t>202</w:t>
      </w:r>
      <w:r w:rsidR="00B141EA">
        <w:rPr>
          <w:lang w:val="en-CA"/>
        </w:rPr>
        <w:t>1</w:t>
      </w:r>
      <w:r w:rsidRPr="007F7E26">
        <w:rPr>
          <w:lang w:val="en-CA"/>
        </w:rPr>
        <w:t>-2030 period for phasing out HCFCs in the refrigeration servicing sector in all Article 5 countries. As previously explained</w:t>
      </w:r>
      <w:r w:rsidR="00C9752B" w:rsidRPr="007F7E26">
        <w:rPr>
          <w:lang w:val="en-CA"/>
        </w:rPr>
        <w:t xml:space="preserve"> and shown in Table 3</w:t>
      </w:r>
      <w:r w:rsidRPr="007F7E26">
        <w:rPr>
          <w:lang w:val="en-CA"/>
        </w:rPr>
        <w:t xml:space="preserve">, </w:t>
      </w:r>
      <w:r w:rsidR="00B04C62" w:rsidRPr="007F7E26">
        <w:rPr>
          <w:lang w:val="en-CA"/>
        </w:rPr>
        <w:t>US $</w:t>
      </w:r>
      <w:r w:rsidRPr="007F7E26">
        <w:rPr>
          <w:lang w:val="en-CA"/>
        </w:rPr>
        <w:t>51</w:t>
      </w:r>
      <w:r w:rsidR="003E1E21" w:rsidRPr="007F7E26">
        <w:rPr>
          <w:lang w:val="en-CA"/>
        </w:rPr>
        <w:t>.</w:t>
      </w:r>
      <w:r w:rsidRPr="007F7E26">
        <w:rPr>
          <w:lang w:val="en-CA"/>
        </w:rPr>
        <w:t xml:space="preserve">0 million has been approved in principle </w:t>
      </w:r>
      <w:r w:rsidR="00344513" w:rsidRPr="007F7E26">
        <w:rPr>
          <w:lang w:val="en-CA"/>
        </w:rPr>
        <w:t xml:space="preserve">to LVC countries </w:t>
      </w:r>
      <w:r w:rsidRPr="007F7E26">
        <w:rPr>
          <w:lang w:val="en-CA"/>
        </w:rPr>
        <w:t xml:space="preserve">(with a large portion already disbursed) and </w:t>
      </w:r>
      <w:r w:rsidR="00B04C62" w:rsidRPr="007F7E26">
        <w:rPr>
          <w:lang w:val="en-CA"/>
        </w:rPr>
        <w:t>US $</w:t>
      </w:r>
      <w:r w:rsidRPr="007F7E26">
        <w:rPr>
          <w:lang w:val="en-CA"/>
        </w:rPr>
        <w:t>26</w:t>
      </w:r>
      <w:r w:rsidR="003A5DEE" w:rsidRPr="007F7E26">
        <w:rPr>
          <w:lang w:val="en-CA"/>
        </w:rPr>
        <w:t>.</w:t>
      </w:r>
      <w:r w:rsidRPr="007F7E26">
        <w:rPr>
          <w:lang w:val="en-CA"/>
        </w:rPr>
        <w:t>8 million is yet to be approved. For non</w:t>
      </w:r>
      <w:r w:rsidR="00081D8C">
        <w:rPr>
          <w:lang w:val="en-CA"/>
        </w:rPr>
        <w:noBreakHyphen/>
      </w:r>
      <w:r w:rsidRPr="007F7E26">
        <w:rPr>
          <w:lang w:val="en-CA"/>
        </w:rPr>
        <w:t xml:space="preserve">LVC countries, </w:t>
      </w:r>
      <w:r w:rsidR="00B04C62" w:rsidRPr="007F7E26">
        <w:rPr>
          <w:lang w:val="en-CA"/>
        </w:rPr>
        <w:t>US $</w:t>
      </w:r>
      <w:r w:rsidRPr="007F7E26">
        <w:rPr>
          <w:lang w:val="en-CA"/>
        </w:rPr>
        <w:t xml:space="preserve">141.6 </w:t>
      </w:r>
      <w:r w:rsidR="00DA0CCE">
        <w:rPr>
          <w:lang w:val="en-CA"/>
        </w:rPr>
        <w:t xml:space="preserve">million </w:t>
      </w:r>
      <w:r w:rsidRPr="007F7E26">
        <w:rPr>
          <w:lang w:val="en-CA"/>
        </w:rPr>
        <w:t xml:space="preserve">has been approved in principle (and </w:t>
      </w:r>
      <w:r w:rsidR="00FE2B4E" w:rsidRPr="007F7E26">
        <w:rPr>
          <w:lang w:val="en-CA"/>
        </w:rPr>
        <w:t xml:space="preserve">only </w:t>
      </w:r>
      <w:r w:rsidRPr="007F7E26">
        <w:rPr>
          <w:lang w:val="en-CA"/>
        </w:rPr>
        <w:t>part of it already disbursed</w:t>
      </w:r>
      <w:r w:rsidR="00244096" w:rsidRPr="007F7E26">
        <w:rPr>
          <w:lang w:val="en-CA"/>
        </w:rPr>
        <w:t>)</w:t>
      </w:r>
      <w:r w:rsidRPr="007F7E26">
        <w:rPr>
          <w:lang w:val="en-CA"/>
        </w:rPr>
        <w:t xml:space="preserve">, and up to </w:t>
      </w:r>
      <w:r w:rsidR="00B04C62" w:rsidRPr="007F7E26">
        <w:rPr>
          <w:lang w:val="en-CA"/>
        </w:rPr>
        <w:t>US $</w:t>
      </w:r>
      <w:r w:rsidRPr="007F7E26">
        <w:rPr>
          <w:lang w:val="en-CA"/>
        </w:rPr>
        <w:t>559.</w:t>
      </w:r>
      <w:r w:rsidR="00DA0CCE">
        <w:rPr>
          <w:lang w:val="en-CA"/>
        </w:rPr>
        <w:t>4</w:t>
      </w:r>
      <w:r w:rsidRPr="007F7E26">
        <w:rPr>
          <w:lang w:val="en-CA"/>
        </w:rPr>
        <w:t xml:space="preserve"> million</w:t>
      </w:r>
      <w:r w:rsidR="000A7B06" w:rsidRPr="007F7E26">
        <w:rPr>
          <w:rStyle w:val="FootnoteReference"/>
          <w:lang w:val="en-CA"/>
        </w:rPr>
        <w:footnoteReference w:id="25"/>
      </w:r>
      <w:r w:rsidRPr="007F7E26">
        <w:rPr>
          <w:lang w:val="en-CA"/>
        </w:rPr>
        <w:t xml:space="preserve"> is yet to be approved.</w:t>
      </w:r>
    </w:p>
    <w:p w:rsidR="00115DDA" w:rsidRPr="001F25D9" w:rsidRDefault="003B1411" w:rsidP="001F25D9">
      <w:pPr>
        <w:pStyle w:val="Heading1"/>
        <w:numPr>
          <w:ilvl w:val="0"/>
          <w:numId w:val="1"/>
        </w:numPr>
        <w:rPr>
          <w:lang w:val="en-CA"/>
        </w:rPr>
      </w:pPr>
      <w:r w:rsidRPr="007F7E26">
        <w:rPr>
          <w:lang w:val="en-CA"/>
        </w:rPr>
        <w:t xml:space="preserve">Taking into consideration the above facts, the Secretariat assessed </w:t>
      </w:r>
      <w:r w:rsidR="00EB3077" w:rsidRPr="007F7E26">
        <w:rPr>
          <w:lang w:val="en-CA"/>
        </w:rPr>
        <w:t xml:space="preserve">several </w:t>
      </w:r>
      <w:r w:rsidR="0065707F" w:rsidRPr="007F7E26">
        <w:rPr>
          <w:lang w:val="en-CA"/>
        </w:rPr>
        <w:t>modalities</w:t>
      </w:r>
      <w:r w:rsidR="002F78B4" w:rsidRPr="007F7E26">
        <w:rPr>
          <w:lang w:val="en-CA"/>
        </w:rPr>
        <w:t xml:space="preserve"> and levels of funding for HFC phase-down in the refrigeration servicing sector, </w:t>
      </w:r>
      <w:r w:rsidR="00EB3077" w:rsidRPr="007F7E26">
        <w:rPr>
          <w:lang w:val="en-CA"/>
        </w:rPr>
        <w:t>as describ</w:t>
      </w:r>
      <w:r w:rsidR="00EB3077">
        <w:rPr>
          <w:lang w:val="en-CA"/>
        </w:rPr>
        <w:t>ed below</w:t>
      </w:r>
      <w:r w:rsidRPr="00295A4D">
        <w:rPr>
          <w:lang w:val="en-CA"/>
        </w:rPr>
        <w:t xml:space="preserve">. </w:t>
      </w:r>
    </w:p>
    <w:p w:rsidR="0065707F" w:rsidRPr="0065707F" w:rsidRDefault="0065707F" w:rsidP="0065707F">
      <w:pPr>
        <w:rPr>
          <w:u w:val="single"/>
          <w:lang w:val="en-CA"/>
        </w:rPr>
      </w:pPr>
      <w:r w:rsidRPr="0065707F">
        <w:rPr>
          <w:u w:val="single"/>
          <w:lang w:val="en-CA"/>
        </w:rPr>
        <w:t>Modality 1</w:t>
      </w:r>
    </w:p>
    <w:p w:rsidR="0065707F" w:rsidRPr="0065707F" w:rsidRDefault="0065707F" w:rsidP="0065707F">
      <w:pPr>
        <w:rPr>
          <w:lang w:val="en-CA"/>
        </w:rPr>
      </w:pPr>
    </w:p>
    <w:p w:rsidR="006F660F" w:rsidRDefault="00FE2B4E" w:rsidP="003C0F7E">
      <w:pPr>
        <w:pStyle w:val="Heading1"/>
        <w:numPr>
          <w:ilvl w:val="0"/>
          <w:numId w:val="1"/>
        </w:numPr>
        <w:rPr>
          <w:lang w:val="en-CA"/>
        </w:rPr>
      </w:pPr>
      <w:r>
        <w:rPr>
          <w:lang w:val="en-CA"/>
        </w:rPr>
        <w:t>Given the uncertainties related to the cost of additional efforts to be undertaken to reduce HFC consumption to achieve the 10 per cent reduction target while completing the phase-out of HCFCs, o</w:t>
      </w:r>
      <w:r w:rsidR="007D0F6C" w:rsidRPr="00295A4D">
        <w:rPr>
          <w:lang w:val="en-CA"/>
        </w:rPr>
        <w:t xml:space="preserve">ne </w:t>
      </w:r>
      <w:r w:rsidR="0065707F">
        <w:rPr>
          <w:lang w:val="en-CA"/>
        </w:rPr>
        <w:t>modality</w:t>
      </w:r>
      <w:r>
        <w:rPr>
          <w:lang w:val="en-CA"/>
        </w:rPr>
        <w:t xml:space="preserve"> considered</w:t>
      </w:r>
      <w:r w:rsidR="003B1411" w:rsidRPr="00295A4D">
        <w:rPr>
          <w:lang w:val="en-CA"/>
        </w:rPr>
        <w:t>,</w:t>
      </w:r>
      <w:r w:rsidR="007D0F6C" w:rsidRPr="00295A4D">
        <w:rPr>
          <w:lang w:val="en-CA"/>
        </w:rPr>
        <w:t xml:space="preserve"> </w:t>
      </w:r>
      <w:r w:rsidR="003C0F7E" w:rsidRPr="00295A4D">
        <w:rPr>
          <w:lang w:val="en-CA"/>
        </w:rPr>
        <w:t xml:space="preserve">similar to </w:t>
      </w:r>
      <w:r w:rsidR="0065707F">
        <w:rPr>
          <w:lang w:val="en-CA"/>
        </w:rPr>
        <w:t xml:space="preserve">that </w:t>
      </w:r>
      <w:r w:rsidR="003365B5" w:rsidRPr="00295A4D">
        <w:rPr>
          <w:lang w:val="en-CA"/>
        </w:rPr>
        <w:t xml:space="preserve">followed prior to the approval of the first RMPs, </w:t>
      </w:r>
      <w:r w:rsidR="002A4330">
        <w:rPr>
          <w:lang w:val="en-CA"/>
        </w:rPr>
        <w:t xml:space="preserve">was to </w:t>
      </w:r>
      <w:r w:rsidR="007D0F6C" w:rsidRPr="00295A4D">
        <w:rPr>
          <w:lang w:val="en-CA"/>
        </w:rPr>
        <w:t>approv</w:t>
      </w:r>
      <w:r w:rsidR="002A4330">
        <w:rPr>
          <w:lang w:val="en-CA"/>
        </w:rPr>
        <w:t>e</w:t>
      </w:r>
      <w:r w:rsidR="003C0F7E" w:rsidRPr="00295A4D">
        <w:rPr>
          <w:lang w:val="en-CA"/>
        </w:rPr>
        <w:t xml:space="preserve"> stand</w:t>
      </w:r>
      <w:r w:rsidR="00CB7C91">
        <w:rPr>
          <w:lang w:val="en-CA"/>
        </w:rPr>
        <w:noBreakHyphen/>
      </w:r>
      <w:r w:rsidR="003C0F7E" w:rsidRPr="00295A4D">
        <w:rPr>
          <w:lang w:val="en-CA"/>
        </w:rPr>
        <w:t>alone activities</w:t>
      </w:r>
      <w:r w:rsidR="003B1411" w:rsidRPr="00295A4D">
        <w:rPr>
          <w:lang w:val="en-CA"/>
        </w:rPr>
        <w:t xml:space="preserve"> that would be required to phase-down the consumption of HFCs</w:t>
      </w:r>
      <w:r w:rsidR="007D0F6C" w:rsidRPr="00295A4D">
        <w:rPr>
          <w:lang w:val="en-CA"/>
        </w:rPr>
        <w:t>,</w:t>
      </w:r>
      <w:r w:rsidR="003C0F7E" w:rsidRPr="00295A4D">
        <w:rPr>
          <w:lang w:val="en-CA"/>
        </w:rPr>
        <w:t xml:space="preserve"> </w:t>
      </w:r>
      <w:r w:rsidR="003365B5" w:rsidRPr="00295A4D">
        <w:rPr>
          <w:lang w:val="en-CA"/>
        </w:rPr>
        <w:t xml:space="preserve">at a funding level </w:t>
      </w:r>
      <w:r w:rsidR="006A31ED">
        <w:rPr>
          <w:lang w:val="en-CA"/>
        </w:rPr>
        <w:t>commensurate</w:t>
      </w:r>
      <w:r w:rsidR="006A31ED" w:rsidRPr="00295A4D">
        <w:rPr>
          <w:lang w:val="en-CA"/>
        </w:rPr>
        <w:t xml:space="preserve"> </w:t>
      </w:r>
      <w:r w:rsidR="003365B5" w:rsidRPr="00295A4D">
        <w:rPr>
          <w:lang w:val="en-CA"/>
        </w:rPr>
        <w:t xml:space="preserve">to the activity being submitted. </w:t>
      </w:r>
    </w:p>
    <w:p w:rsidR="003C0F7E" w:rsidRPr="002F78B4" w:rsidRDefault="003C0F7E" w:rsidP="00055F3F">
      <w:pPr>
        <w:pStyle w:val="Heading1"/>
        <w:numPr>
          <w:ilvl w:val="0"/>
          <w:numId w:val="1"/>
        </w:numPr>
        <w:rPr>
          <w:lang w:val="en-CA"/>
        </w:rPr>
      </w:pPr>
      <w:r w:rsidRPr="00295A4D">
        <w:rPr>
          <w:lang w:val="en-CA"/>
        </w:rPr>
        <w:t xml:space="preserve">This </w:t>
      </w:r>
      <w:r w:rsidR="0065707F">
        <w:rPr>
          <w:lang w:val="en-CA"/>
        </w:rPr>
        <w:t xml:space="preserve">modality </w:t>
      </w:r>
      <w:r w:rsidR="007137CC">
        <w:rPr>
          <w:lang w:val="en-CA"/>
        </w:rPr>
        <w:t>c</w:t>
      </w:r>
      <w:r w:rsidR="007137CC" w:rsidRPr="00295A4D">
        <w:rPr>
          <w:lang w:val="en-CA"/>
        </w:rPr>
        <w:t>ould</w:t>
      </w:r>
      <w:r w:rsidR="007137CC">
        <w:rPr>
          <w:lang w:val="en-CA"/>
        </w:rPr>
        <w:t xml:space="preserve"> </w:t>
      </w:r>
      <w:r w:rsidR="00055F3F">
        <w:rPr>
          <w:lang w:val="en-CA"/>
        </w:rPr>
        <w:t xml:space="preserve">help ensure that Article 5 </w:t>
      </w:r>
      <w:r w:rsidR="00FE2B4E">
        <w:rPr>
          <w:lang w:val="en-CA"/>
        </w:rPr>
        <w:t xml:space="preserve">countries </w:t>
      </w:r>
      <w:r w:rsidR="007137CC">
        <w:rPr>
          <w:lang w:val="en-CA"/>
        </w:rPr>
        <w:t xml:space="preserve">present </w:t>
      </w:r>
      <w:r w:rsidR="00624D18">
        <w:rPr>
          <w:lang w:val="en-CA"/>
        </w:rPr>
        <w:t xml:space="preserve">in a </w:t>
      </w:r>
      <w:r w:rsidR="00BE3B7E">
        <w:rPr>
          <w:lang w:val="en-CA"/>
        </w:rPr>
        <w:t xml:space="preserve">sound </w:t>
      </w:r>
      <w:r w:rsidR="00624D18">
        <w:rPr>
          <w:lang w:val="en-CA"/>
        </w:rPr>
        <w:t xml:space="preserve">manner </w:t>
      </w:r>
      <w:r w:rsidRPr="00295A4D">
        <w:rPr>
          <w:lang w:val="en-CA"/>
        </w:rPr>
        <w:t>the additional effort required for HFC phase-down</w:t>
      </w:r>
      <w:r w:rsidR="00624D18">
        <w:rPr>
          <w:lang w:val="en-CA"/>
        </w:rPr>
        <w:t xml:space="preserve"> and </w:t>
      </w:r>
      <w:r w:rsidR="00D334F3">
        <w:rPr>
          <w:lang w:val="en-CA"/>
        </w:rPr>
        <w:t xml:space="preserve">its </w:t>
      </w:r>
      <w:r w:rsidR="00624D18">
        <w:rPr>
          <w:lang w:val="en-CA"/>
        </w:rPr>
        <w:t>associated cost</w:t>
      </w:r>
      <w:r w:rsidR="00FE2B4E">
        <w:rPr>
          <w:lang w:val="en-CA"/>
        </w:rPr>
        <w:t xml:space="preserve">. </w:t>
      </w:r>
      <w:r w:rsidR="00EA49DE">
        <w:rPr>
          <w:lang w:val="en-CA"/>
        </w:rPr>
        <w:t xml:space="preserve">However, </w:t>
      </w:r>
      <w:r w:rsidR="002F78B4">
        <w:rPr>
          <w:lang w:val="en-CA"/>
        </w:rPr>
        <w:t>it would</w:t>
      </w:r>
      <w:r w:rsidR="00EA49DE">
        <w:rPr>
          <w:lang w:val="en-CA"/>
        </w:rPr>
        <w:t xml:space="preserve"> </w:t>
      </w:r>
      <w:r w:rsidR="00BE3B7E">
        <w:rPr>
          <w:lang w:val="en-CA"/>
        </w:rPr>
        <w:t xml:space="preserve">limit following a holistic </w:t>
      </w:r>
      <w:r w:rsidR="00EA49DE">
        <w:rPr>
          <w:lang w:val="en-CA"/>
        </w:rPr>
        <w:t xml:space="preserve">strategy where </w:t>
      </w:r>
      <w:r w:rsidR="00BE3B7E">
        <w:rPr>
          <w:lang w:val="en-CA"/>
        </w:rPr>
        <w:t xml:space="preserve">similar </w:t>
      </w:r>
      <w:r w:rsidR="00EA49DE">
        <w:rPr>
          <w:lang w:val="en-CA"/>
        </w:rPr>
        <w:t xml:space="preserve">activities to </w:t>
      </w:r>
      <w:r w:rsidR="007137CC" w:rsidRPr="00295A4D">
        <w:rPr>
          <w:lang w:val="en-CA"/>
        </w:rPr>
        <w:t>phase</w:t>
      </w:r>
      <w:r w:rsidR="002A4330">
        <w:rPr>
          <w:lang w:val="en-CA"/>
        </w:rPr>
        <w:t xml:space="preserve"> </w:t>
      </w:r>
      <w:r w:rsidR="00EA49DE">
        <w:rPr>
          <w:lang w:val="en-CA"/>
        </w:rPr>
        <w:t>out</w:t>
      </w:r>
      <w:r w:rsidR="007137CC" w:rsidRPr="00295A4D">
        <w:rPr>
          <w:lang w:val="en-CA"/>
        </w:rPr>
        <w:t xml:space="preserve"> </w:t>
      </w:r>
      <w:r w:rsidR="00BE3B7E">
        <w:rPr>
          <w:lang w:val="en-CA"/>
        </w:rPr>
        <w:t xml:space="preserve">HCFCs </w:t>
      </w:r>
      <w:r w:rsidR="00CD6F31">
        <w:rPr>
          <w:lang w:val="en-CA"/>
        </w:rPr>
        <w:t xml:space="preserve">and phase </w:t>
      </w:r>
      <w:r w:rsidR="00EA49DE">
        <w:rPr>
          <w:lang w:val="en-CA"/>
        </w:rPr>
        <w:t>down</w:t>
      </w:r>
      <w:r w:rsidR="00BE3B7E">
        <w:rPr>
          <w:lang w:val="en-CA"/>
        </w:rPr>
        <w:t xml:space="preserve"> HFCs could be integrated and implemented (</w:t>
      </w:r>
      <w:r w:rsidR="00055F3F">
        <w:rPr>
          <w:lang w:val="en-CA"/>
        </w:rPr>
        <w:t xml:space="preserve">e.g., integrating HFC considerations in ongoing training programmes </w:t>
      </w:r>
      <w:r w:rsidR="00BE3B7E">
        <w:rPr>
          <w:lang w:val="en-CA"/>
        </w:rPr>
        <w:t xml:space="preserve">for phasing down HCFCs would be </w:t>
      </w:r>
      <w:r w:rsidR="00055F3F">
        <w:rPr>
          <w:lang w:val="en-CA"/>
        </w:rPr>
        <w:t xml:space="preserve">more cost-effective than implementing a new </w:t>
      </w:r>
      <w:r w:rsidR="002F78B4">
        <w:rPr>
          <w:lang w:val="en-CA"/>
        </w:rPr>
        <w:t xml:space="preserve">separate </w:t>
      </w:r>
      <w:r w:rsidR="00055F3F">
        <w:rPr>
          <w:lang w:val="en-CA"/>
        </w:rPr>
        <w:t>training programme only for HFCs)</w:t>
      </w:r>
      <w:r w:rsidR="00EC3D8B" w:rsidRPr="00055F3F">
        <w:rPr>
          <w:lang w:val="en-CA"/>
        </w:rPr>
        <w:t xml:space="preserve">. </w:t>
      </w:r>
      <w:r w:rsidR="00CD12B1" w:rsidRPr="002F78B4">
        <w:rPr>
          <w:lang w:val="en-CA"/>
        </w:rPr>
        <w:t>Furthermore,</w:t>
      </w:r>
      <w:r w:rsidR="001D1A73" w:rsidRPr="002F78B4">
        <w:rPr>
          <w:lang w:val="en-CA"/>
        </w:rPr>
        <w:t xml:space="preserve"> a stand-alone approach </w:t>
      </w:r>
      <w:r w:rsidR="00A65112" w:rsidRPr="002F78B4">
        <w:rPr>
          <w:lang w:val="en-CA"/>
        </w:rPr>
        <w:t xml:space="preserve">in the current context </w:t>
      </w:r>
      <w:r w:rsidR="001D1A73" w:rsidRPr="002F78B4">
        <w:rPr>
          <w:lang w:val="en-CA"/>
        </w:rPr>
        <w:t>would generate</w:t>
      </w:r>
      <w:r w:rsidR="00CD12B1" w:rsidRPr="002F78B4">
        <w:rPr>
          <w:lang w:val="en-CA"/>
        </w:rPr>
        <w:t xml:space="preserve"> </w:t>
      </w:r>
      <w:r w:rsidR="009D4C85" w:rsidRPr="002F78B4">
        <w:rPr>
          <w:lang w:val="en-CA"/>
        </w:rPr>
        <w:t xml:space="preserve">difficulties in </w:t>
      </w:r>
      <w:r w:rsidR="006A31ED" w:rsidRPr="002F78B4">
        <w:rPr>
          <w:lang w:val="en-CA"/>
        </w:rPr>
        <w:t>assessing the impact of different project components</w:t>
      </w:r>
      <w:r w:rsidR="001D1A73" w:rsidRPr="002F78B4">
        <w:rPr>
          <w:lang w:val="en-CA"/>
        </w:rPr>
        <w:t xml:space="preserve">, and </w:t>
      </w:r>
      <w:r w:rsidR="00BE3B7E">
        <w:rPr>
          <w:lang w:val="en-CA"/>
        </w:rPr>
        <w:t xml:space="preserve">would </w:t>
      </w:r>
      <w:r w:rsidRPr="002F78B4">
        <w:rPr>
          <w:lang w:val="en-CA"/>
        </w:rPr>
        <w:t xml:space="preserve">substantially increase the administrative workload of the Multilateral Fund </w:t>
      </w:r>
      <w:r w:rsidR="00567E76" w:rsidRPr="002F78B4">
        <w:rPr>
          <w:lang w:val="en-CA"/>
        </w:rPr>
        <w:t>institutions</w:t>
      </w:r>
      <w:r w:rsidR="001D1A73" w:rsidRPr="002F78B4">
        <w:rPr>
          <w:lang w:val="en-CA"/>
        </w:rPr>
        <w:t xml:space="preserve"> on individual </w:t>
      </w:r>
      <w:r w:rsidR="00AE221F" w:rsidRPr="002F78B4">
        <w:rPr>
          <w:lang w:val="en-CA"/>
        </w:rPr>
        <w:t>review, approval</w:t>
      </w:r>
      <w:r w:rsidR="001D1A73" w:rsidRPr="002F78B4">
        <w:rPr>
          <w:lang w:val="en-CA"/>
        </w:rPr>
        <w:t xml:space="preserve"> and monitoring of separate activities</w:t>
      </w:r>
      <w:r w:rsidR="00BE3B7E">
        <w:rPr>
          <w:lang w:val="en-CA"/>
        </w:rPr>
        <w:t>.</w:t>
      </w:r>
    </w:p>
    <w:p w:rsidR="006F660F" w:rsidRPr="006F660F" w:rsidRDefault="006F660F" w:rsidP="006F660F">
      <w:pPr>
        <w:rPr>
          <w:u w:val="single"/>
          <w:lang w:val="en-CA"/>
        </w:rPr>
      </w:pPr>
      <w:r w:rsidRPr="006F660F">
        <w:rPr>
          <w:u w:val="single"/>
          <w:lang w:val="en-CA"/>
        </w:rPr>
        <w:t>Modality 2</w:t>
      </w:r>
    </w:p>
    <w:p w:rsidR="006F660F" w:rsidRPr="006F660F" w:rsidRDefault="006F660F" w:rsidP="006F660F">
      <w:pPr>
        <w:rPr>
          <w:lang w:val="en-CA"/>
        </w:rPr>
      </w:pPr>
    </w:p>
    <w:p w:rsidR="006F660F" w:rsidRDefault="003C0F7E" w:rsidP="007C7E18">
      <w:pPr>
        <w:pStyle w:val="Heading1"/>
        <w:numPr>
          <w:ilvl w:val="0"/>
          <w:numId w:val="1"/>
        </w:numPr>
        <w:rPr>
          <w:lang w:val="en-CA"/>
        </w:rPr>
      </w:pPr>
      <w:r w:rsidRPr="006F660F">
        <w:rPr>
          <w:lang w:val="en-CA"/>
        </w:rPr>
        <w:t xml:space="preserve">Another </w:t>
      </w:r>
      <w:r w:rsidR="006F660F">
        <w:rPr>
          <w:lang w:val="en-CA"/>
        </w:rPr>
        <w:t xml:space="preserve">modality considered </w:t>
      </w:r>
      <w:r w:rsidRPr="006F660F">
        <w:rPr>
          <w:lang w:val="en-CA"/>
        </w:rPr>
        <w:t>was group</w:t>
      </w:r>
      <w:r w:rsidR="003B1411" w:rsidRPr="006F660F">
        <w:rPr>
          <w:lang w:val="en-CA"/>
        </w:rPr>
        <w:t>ing Article 5 countries according to their HCFC</w:t>
      </w:r>
      <w:r w:rsidRPr="006F660F">
        <w:rPr>
          <w:lang w:val="en-CA"/>
        </w:rPr>
        <w:t xml:space="preserve"> </w:t>
      </w:r>
      <w:r w:rsidR="003B1411" w:rsidRPr="006F660F">
        <w:rPr>
          <w:lang w:val="en-CA"/>
        </w:rPr>
        <w:t>baselines for compliance (used as a proxy in the absence of estimated/calculated HFC baselines)</w:t>
      </w:r>
      <w:r w:rsidR="001053DE" w:rsidRPr="006F660F">
        <w:rPr>
          <w:lang w:val="en-CA"/>
        </w:rPr>
        <w:t xml:space="preserve">, without differentiating LVC countries from non-LVC countries, with increasing funding levels </w:t>
      </w:r>
      <w:r w:rsidR="005F749C">
        <w:rPr>
          <w:lang w:val="en-CA"/>
        </w:rPr>
        <w:t xml:space="preserve">proportional to increases </w:t>
      </w:r>
      <w:r w:rsidR="00BB1012">
        <w:rPr>
          <w:lang w:val="en-CA"/>
        </w:rPr>
        <w:t>in</w:t>
      </w:r>
      <w:r w:rsidR="005F749C">
        <w:rPr>
          <w:lang w:val="en-CA"/>
        </w:rPr>
        <w:t xml:space="preserve"> their </w:t>
      </w:r>
      <w:r w:rsidR="001053DE" w:rsidRPr="006F660F">
        <w:rPr>
          <w:lang w:val="en-CA"/>
        </w:rPr>
        <w:t>HCFC baselines</w:t>
      </w:r>
      <w:r w:rsidR="006F660F">
        <w:rPr>
          <w:lang w:val="en-CA"/>
        </w:rPr>
        <w:t>. T</w:t>
      </w:r>
      <w:r w:rsidR="001053DE" w:rsidRPr="006F660F">
        <w:rPr>
          <w:lang w:val="en-CA"/>
        </w:rPr>
        <w:t xml:space="preserve">his </w:t>
      </w:r>
      <w:r w:rsidR="006F660F">
        <w:rPr>
          <w:lang w:val="en-CA"/>
        </w:rPr>
        <w:t xml:space="preserve">modality </w:t>
      </w:r>
      <w:r w:rsidR="001053DE" w:rsidRPr="006F660F">
        <w:rPr>
          <w:lang w:val="en-CA"/>
        </w:rPr>
        <w:t xml:space="preserve">is </w:t>
      </w:r>
      <w:r w:rsidRPr="006F660F">
        <w:rPr>
          <w:lang w:val="en-CA"/>
        </w:rPr>
        <w:t xml:space="preserve">similar </w:t>
      </w:r>
      <w:r w:rsidR="001053DE" w:rsidRPr="006F660F">
        <w:rPr>
          <w:lang w:val="en-CA"/>
        </w:rPr>
        <w:t xml:space="preserve">to the approach </w:t>
      </w:r>
      <w:r w:rsidRPr="006F660F">
        <w:rPr>
          <w:lang w:val="en-CA"/>
        </w:rPr>
        <w:t xml:space="preserve">used for </w:t>
      </w:r>
      <w:r w:rsidR="001053DE" w:rsidRPr="006F660F">
        <w:rPr>
          <w:lang w:val="en-CA"/>
        </w:rPr>
        <w:t xml:space="preserve">the </w:t>
      </w:r>
      <w:r w:rsidRPr="006F660F">
        <w:rPr>
          <w:lang w:val="en-CA"/>
        </w:rPr>
        <w:t>phase</w:t>
      </w:r>
      <w:r w:rsidR="001053DE" w:rsidRPr="006F660F">
        <w:rPr>
          <w:lang w:val="en-CA"/>
        </w:rPr>
        <w:t>-</w:t>
      </w:r>
      <w:r w:rsidRPr="006F660F">
        <w:rPr>
          <w:lang w:val="en-CA"/>
        </w:rPr>
        <w:t xml:space="preserve">out </w:t>
      </w:r>
      <w:r w:rsidR="001053DE" w:rsidRPr="006F660F">
        <w:rPr>
          <w:lang w:val="en-CA"/>
        </w:rPr>
        <w:t xml:space="preserve">of HCFCs </w:t>
      </w:r>
      <w:r w:rsidRPr="006F660F">
        <w:rPr>
          <w:lang w:val="en-CA"/>
        </w:rPr>
        <w:t>for LVC</w:t>
      </w:r>
      <w:r w:rsidR="001053DE" w:rsidRPr="006F660F">
        <w:rPr>
          <w:lang w:val="en-CA"/>
        </w:rPr>
        <w:t xml:space="preserve"> countries </w:t>
      </w:r>
      <w:r w:rsidRPr="006F660F">
        <w:rPr>
          <w:lang w:val="en-CA"/>
        </w:rPr>
        <w:t xml:space="preserve">in decision 60/44 </w:t>
      </w:r>
      <w:r w:rsidR="001053DE" w:rsidRPr="006F660F">
        <w:rPr>
          <w:lang w:val="en-CA"/>
        </w:rPr>
        <w:t>(</w:t>
      </w:r>
      <w:r w:rsidR="005F749C">
        <w:rPr>
          <w:lang w:val="en-CA"/>
        </w:rPr>
        <w:t xml:space="preserve">for </w:t>
      </w:r>
      <w:r w:rsidR="001053DE" w:rsidRPr="006F660F">
        <w:rPr>
          <w:lang w:val="en-CA"/>
        </w:rPr>
        <w:t xml:space="preserve">stage I of the HPMPs) </w:t>
      </w:r>
      <w:r w:rsidRPr="006F660F">
        <w:rPr>
          <w:lang w:val="en-CA"/>
        </w:rPr>
        <w:t xml:space="preserve">and </w:t>
      </w:r>
      <w:r w:rsidR="001053DE" w:rsidRPr="006F660F">
        <w:rPr>
          <w:lang w:val="en-CA"/>
        </w:rPr>
        <w:t xml:space="preserve">decision </w:t>
      </w:r>
      <w:r w:rsidRPr="006F660F">
        <w:rPr>
          <w:lang w:val="en-CA"/>
        </w:rPr>
        <w:t>74/50</w:t>
      </w:r>
      <w:r w:rsidR="001053DE" w:rsidRPr="006F660F">
        <w:rPr>
          <w:lang w:val="en-CA"/>
        </w:rPr>
        <w:t xml:space="preserve"> (</w:t>
      </w:r>
      <w:r w:rsidR="005F749C">
        <w:rPr>
          <w:lang w:val="en-CA"/>
        </w:rPr>
        <w:t xml:space="preserve">for </w:t>
      </w:r>
      <w:r w:rsidR="001053DE" w:rsidRPr="006F660F">
        <w:rPr>
          <w:lang w:val="en-CA"/>
        </w:rPr>
        <w:t>subsequent stages)</w:t>
      </w:r>
      <w:r w:rsidR="005F749C">
        <w:rPr>
          <w:lang w:val="en-CA"/>
        </w:rPr>
        <w:t>,</w:t>
      </w:r>
      <w:r w:rsidR="001053DE" w:rsidRPr="006F660F">
        <w:rPr>
          <w:lang w:val="en-CA"/>
        </w:rPr>
        <w:t xml:space="preserve"> and extended </w:t>
      </w:r>
      <w:r w:rsidRPr="006F660F">
        <w:rPr>
          <w:lang w:val="en-CA"/>
        </w:rPr>
        <w:t>to non-LVC</w:t>
      </w:r>
      <w:r w:rsidR="001053DE" w:rsidRPr="006F660F">
        <w:rPr>
          <w:lang w:val="en-CA"/>
        </w:rPr>
        <w:t xml:space="preserve"> countries</w:t>
      </w:r>
      <w:r w:rsidRPr="006F660F">
        <w:rPr>
          <w:lang w:val="en-CA"/>
        </w:rPr>
        <w:t xml:space="preserve"> instead of using a </w:t>
      </w:r>
      <w:r w:rsidR="001053DE" w:rsidRPr="006F660F">
        <w:rPr>
          <w:lang w:val="en-CA"/>
        </w:rPr>
        <w:t xml:space="preserve">unique </w:t>
      </w:r>
      <w:r w:rsidRPr="006F660F">
        <w:rPr>
          <w:lang w:val="en-CA"/>
        </w:rPr>
        <w:t xml:space="preserve">cost-effectiveness threshold (e.g., </w:t>
      </w:r>
      <w:r w:rsidR="00B04C62">
        <w:rPr>
          <w:lang w:val="en-CA"/>
        </w:rPr>
        <w:t>US $</w:t>
      </w:r>
      <w:r w:rsidRPr="006F660F">
        <w:rPr>
          <w:lang w:val="en-CA"/>
        </w:rPr>
        <w:t>4.80/kg)</w:t>
      </w:r>
      <w:r w:rsidR="001053DE" w:rsidRPr="006F660F">
        <w:rPr>
          <w:lang w:val="en-CA"/>
        </w:rPr>
        <w:t xml:space="preserve"> applicable to the HCFC consumption in the refrigeration servicing sector eligible for funding.</w:t>
      </w:r>
      <w:r w:rsidRPr="006F660F">
        <w:rPr>
          <w:lang w:val="en-CA"/>
        </w:rPr>
        <w:t xml:space="preserve"> </w:t>
      </w:r>
    </w:p>
    <w:p w:rsidR="006F660F" w:rsidRDefault="001053DE" w:rsidP="007C7E18">
      <w:pPr>
        <w:pStyle w:val="Heading1"/>
        <w:numPr>
          <w:ilvl w:val="0"/>
          <w:numId w:val="1"/>
        </w:numPr>
        <w:rPr>
          <w:lang w:val="en-CA"/>
        </w:rPr>
      </w:pPr>
      <w:r w:rsidRPr="006F660F">
        <w:rPr>
          <w:lang w:val="en-CA"/>
        </w:rPr>
        <w:t xml:space="preserve">This </w:t>
      </w:r>
      <w:r w:rsidR="006F660F">
        <w:rPr>
          <w:lang w:val="en-CA"/>
        </w:rPr>
        <w:t xml:space="preserve">modality would </w:t>
      </w:r>
      <w:r w:rsidRPr="006F660F">
        <w:rPr>
          <w:lang w:val="en-CA"/>
        </w:rPr>
        <w:t xml:space="preserve">allow for the development of a holistic strategy for addressing the phase-out of HCFCs and the phase-down of HFCs, </w:t>
      </w:r>
      <w:r w:rsidR="007278CD" w:rsidRPr="006F660F">
        <w:rPr>
          <w:lang w:val="en-CA"/>
        </w:rPr>
        <w:t xml:space="preserve">for </w:t>
      </w:r>
      <w:r w:rsidR="00427A8E" w:rsidRPr="006F660F">
        <w:rPr>
          <w:lang w:val="en-CA"/>
        </w:rPr>
        <w:t xml:space="preserve">implementing a number of </w:t>
      </w:r>
      <w:r w:rsidR="00E95490">
        <w:rPr>
          <w:lang w:val="en-CA"/>
        </w:rPr>
        <w:t>common</w:t>
      </w:r>
      <w:r w:rsidR="00E95490" w:rsidRPr="006F660F">
        <w:rPr>
          <w:lang w:val="en-CA"/>
        </w:rPr>
        <w:t xml:space="preserve"> </w:t>
      </w:r>
      <w:r w:rsidR="00427A8E" w:rsidRPr="006F660F">
        <w:rPr>
          <w:lang w:val="en-CA"/>
        </w:rPr>
        <w:t xml:space="preserve">activities addressing the two groups of controlled substances, </w:t>
      </w:r>
      <w:r w:rsidRPr="006F660F">
        <w:rPr>
          <w:lang w:val="en-CA"/>
        </w:rPr>
        <w:t xml:space="preserve">avoiding duplication of </w:t>
      </w:r>
      <w:r w:rsidR="0035214F">
        <w:rPr>
          <w:lang w:val="en-CA"/>
        </w:rPr>
        <w:t>efforts</w:t>
      </w:r>
      <w:r w:rsidR="0035214F" w:rsidRPr="006F660F">
        <w:rPr>
          <w:lang w:val="en-CA"/>
        </w:rPr>
        <w:t xml:space="preserve"> </w:t>
      </w:r>
      <w:r w:rsidR="00427A8E" w:rsidRPr="006F660F">
        <w:rPr>
          <w:lang w:val="en-CA"/>
        </w:rPr>
        <w:t xml:space="preserve">(and thus costs), and </w:t>
      </w:r>
      <w:r w:rsidR="00A47930">
        <w:rPr>
          <w:lang w:val="en-CA"/>
        </w:rPr>
        <w:t>streamlining the</w:t>
      </w:r>
      <w:r w:rsidR="00427A8E" w:rsidRPr="006F660F">
        <w:rPr>
          <w:lang w:val="en-CA"/>
        </w:rPr>
        <w:t xml:space="preserve"> administrative workload of the Multilateral Fund institutions.</w:t>
      </w:r>
    </w:p>
    <w:p w:rsidR="00AD335A" w:rsidRDefault="00EB3077" w:rsidP="007C7E18">
      <w:pPr>
        <w:pStyle w:val="Heading1"/>
        <w:numPr>
          <w:ilvl w:val="0"/>
          <w:numId w:val="1"/>
        </w:numPr>
        <w:rPr>
          <w:lang w:val="en-CA"/>
        </w:rPr>
      </w:pPr>
      <w:r w:rsidRPr="006F660F">
        <w:rPr>
          <w:lang w:val="en-CA"/>
        </w:rPr>
        <w:t xml:space="preserve">Although </w:t>
      </w:r>
      <w:r w:rsidR="00427A8E" w:rsidRPr="006F660F">
        <w:rPr>
          <w:lang w:val="en-CA"/>
        </w:rPr>
        <w:t>this would be the preferred modality for funding,</w:t>
      </w:r>
      <w:r w:rsidR="00874498">
        <w:rPr>
          <w:lang w:val="en-CA"/>
        </w:rPr>
        <w:t xml:space="preserve"> at present,</w:t>
      </w:r>
      <w:r w:rsidR="00427A8E" w:rsidRPr="006F660F">
        <w:rPr>
          <w:lang w:val="en-CA"/>
        </w:rPr>
        <w:t xml:space="preserve"> </w:t>
      </w:r>
      <w:r w:rsidRPr="006F660F">
        <w:rPr>
          <w:lang w:val="en-CA"/>
        </w:rPr>
        <w:t xml:space="preserve">in </w:t>
      </w:r>
      <w:r w:rsidR="003C0F7E" w:rsidRPr="006F660F">
        <w:rPr>
          <w:lang w:val="en-CA"/>
        </w:rPr>
        <w:t xml:space="preserve">the </w:t>
      </w:r>
      <w:r w:rsidR="00066B94" w:rsidRPr="006F660F">
        <w:rPr>
          <w:lang w:val="en-CA"/>
        </w:rPr>
        <w:t xml:space="preserve">absence of </w:t>
      </w:r>
      <w:r w:rsidR="00D67105" w:rsidRPr="006F660F">
        <w:rPr>
          <w:lang w:val="en-CA"/>
        </w:rPr>
        <w:t xml:space="preserve">the </w:t>
      </w:r>
      <w:r w:rsidR="00427A8E" w:rsidRPr="006F660F">
        <w:rPr>
          <w:lang w:val="en-CA"/>
        </w:rPr>
        <w:t>estimated/</w:t>
      </w:r>
      <w:r w:rsidR="00066B94" w:rsidRPr="006F660F">
        <w:rPr>
          <w:lang w:val="en-CA"/>
        </w:rPr>
        <w:t xml:space="preserve">established HFC baselines for compliance and </w:t>
      </w:r>
      <w:r w:rsidR="007278CD" w:rsidRPr="006F660F">
        <w:rPr>
          <w:lang w:val="en-CA"/>
        </w:rPr>
        <w:t xml:space="preserve">the </w:t>
      </w:r>
      <w:r w:rsidR="00066B94" w:rsidRPr="006F660F">
        <w:rPr>
          <w:lang w:val="en-CA"/>
        </w:rPr>
        <w:t xml:space="preserve">sectoral distribution </w:t>
      </w:r>
      <w:r w:rsidR="007278CD" w:rsidRPr="006F660F">
        <w:rPr>
          <w:lang w:val="en-CA"/>
        </w:rPr>
        <w:t xml:space="preserve">of HFCs </w:t>
      </w:r>
      <w:r w:rsidR="00066B94" w:rsidRPr="006F660F">
        <w:rPr>
          <w:lang w:val="en-CA"/>
        </w:rPr>
        <w:t xml:space="preserve">in the various </w:t>
      </w:r>
      <w:r w:rsidR="00066B94" w:rsidRPr="006F660F">
        <w:rPr>
          <w:lang w:val="en-CA"/>
        </w:rPr>
        <w:lastRenderedPageBreak/>
        <w:t xml:space="preserve">applications, </w:t>
      </w:r>
      <w:r w:rsidR="00427A8E" w:rsidRPr="006F660F">
        <w:rPr>
          <w:lang w:val="en-CA"/>
        </w:rPr>
        <w:t xml:space="preserve">it </w:t>
      </w:r>
      <w:r w:rsidRPr="006F660F">
        <w:rPr>
          <w:lang w:val="en-CA"/>
        </w:rPr>
        <w:t xml:space="preserve">is not possible </w:t>
      </w:r>
      <w:r w:rsidR="00427A8E" w:rsidRPr="006F660F">
        <w:rPr>
          <w:lang w:val="en-CA"/>
        </w:rPr>
        <w:t xml:space="preserve">to have a meaningful grouping of Article 5 countries </w:t>
      </w:r>
      <w:r w:rsidR="00751363">
        <w:rPr>
          <w:lang w:val="en-CA"/>
        </w:rPr>
        <w:t>(especially in the case of non-LVC</w:t>
      </w:r>
      <w:r w:rsidR="00002E58">
        <w:rPr>
          <w:lang w:val="en-CA"/>
        </w:rPr>
        <w:t xml:space="preserve"> countries</w:t>
      </w:r>
      <w:r w:rsidR="00751363">
        <w:rPr>
          <w:lang w:val="en-CA"/>
        </w:rPr>
        <w:t xml:space="preserve">) </w:t>
      </w:r>
      <w:r w:rsidR="00427A8E" w:rsidRPr="006F660F">
        <w:rPr>
          <w:lang w:val="en-CA"/>
        </w:rPr>
        <w:t xml:space="preserve">and establish the </w:t>
      </w:r>
      <w:r w:rsidRPr="006F660F">
        <w:rPr>
          <w:lang w:val="en-CA"/>
        </w:rPr>
        <w:t xml:space="preserve">associated </w:t>
      </w:r>
      <w:r w:rsidR="00427A8E" w:rsidRPr="006F660F">
        <w:rPr>
          <w:lang w:val="en-CA"/>
        </w:rPr>
        <w:t xml:space="preserve">funding levels to achieve compliance with the control obligations set under the Kigali Amendment. </w:t>
      </w:r>
    </w:p>
    <w:p w:rsidR="0065707F" w:rsidRDefault="0065707F" w:rsidP="00FA37B8">
      <w:pPr>
        <w:pStyle w:val="Heading1"/>
        <w:widowControl w:val="0"/>
        <w:rPr>
          <w:lang w:val="en-CA"/>
        </w:rPr>
      </w:pPr>
      <w:r w:rsidRPr="006F660F">
        <w:rPr>
          <w:lang w:val="en-CA"/>
        </w:rPr>
        <w:t>Furthermore,</w:t>
      </w:r>
      <w:r w:rsidR="00AD335A">
        <w:rPr>
          <w:lang w:val="en-CA"/>
        </w:rPr>
        <w:t xml:space="preserve"> </w:t>
      </w:r>
      <w:r w:rsidRPr="006F660F">
        <w:rPr>
          <w:lang w:val="en-CA"/>
        </w:rPr>
        <w:t xml:space="preserve">after 2030 Article 5 countries </w:t>
      </w:r>
      <w:r w:rsidR="00AD335A">
        <w:rPr>
          <w:lang w:val="en-CA"/>
        </w:rPr>
        <w:t>would have phased-out</w:t>
      </w:r>
      <w:r w:rsidR="00EB0712">
        <w:rPr>
          <w:lang w:val="en-CA"/>
        </w:rPr>
        <w:t xml:space="preserve"> HCFCs</w:t>
      </w:r>
      <w:r w:rsidR="00E15EE8">
        <w:rPr>
          <w:rStyle w:val="FootnoteReference"/>
          <w:lang w:val="en-CA"/>
        </w:rPr>
        <w:footnoteReference w:id="26"/>
      </w:r>
      <w:r w:rsidR="00AD335A">
        <w:rPr>
          <w:lang w:val="en-CA"/>
        </w:rPr>
        <w:t xml:space="preserve"> and activities in the refrigeration servicing sector would only be associated to the phase-down of HFCs</w:t>
      </w:r>
      <w:r w:rsidRPr="006F660F">
        <w:rPr>
          <w:lang w:val="en-CA"/>
        </w:rPr>
        <w:t xml:space="preserve">; at that </w:t>
      </w:r>
      <w:r w:rsidR="006F660F" w:rsidRPr="006F660F">
        <w:rPr>
          <w:lang w:val="en-CA"/>
        </w:rPr>
        <w:t>time,</w:t>
      </w:r>
      <w:r w:rsidRPr="006F660F">
        <w:rPr>
          <w:lang w:val="en-CA"/>
        </w:rPr>
        <w:t xml:space="preserve"> a thorough assessment of the modalities and levels of funds for phasing down HFC consumption in the servicing sector in future stages </w:t>
      </w:r>
      <w:r w:rsidR="00AD335A">
        <w:rPr>
          <w:lang w:val="en-CA"/>
        </w:rPr>
        <w:t>sh</w:t>
      </w:r>
      <w:r w:rsidRPr="006F660F">
        <w:rPr>
          <w:lang w:val="en-CA"/>
        </w:rPr>
        <w:t>ould be undertaken</w:t>
      </w:r>
      <w:r w:rsidR="00C2351F">
        <w:rPr>
          <w:lang w:val="en-CA"/>
        </w:rPr>
        <w:t xml:space="preserve"> based on the remaining HFC phase-down</w:t>
      </w:r>
      <w:r w:rsidR="009D4C85">
        <w:rPr>
          <w:lang w:val="en-CA"/>
        </w:rPr>
        <w:t xml:space="preserve"> needed</w:t>
      </w:r>
      <w:r w:rsidR="00C2351F">
        <w:rPr>
          <w:lang w:val="en-CA"/>
        </w:rPr>
        <w:t xml:space="preserve"> and the scenario of HFC </w:t>
      </w:r>
      <w:r w:rsidR="00EB0712">
        <w:rPr>
          <w:lang w:val="en-CA"/>
        </w:rPr>
        <w:t xml:space="preserve">uses and </w:t>
      </w:r>
      <w:r w:rsidR="00C2351F">
        <w:rPr>
          <w:lang w:val="en-CA"/>
        </w:rPr>
        <w:t>alternatives</w:t>
      </w:r>
      <w:r w:rsidR="00EB0712">
        <w:rPr>
          <w:lang w:val="en-CA"/>
        </w:rPr>
        <w:t xml:space="preserve"> available in the market</w:t>
      </w:r>
      <w:r w:rsidRPr="006F660F">
        <w:rPr>
          <w:lang w:val="en-CA"/>
        </w:rPr>
        <w:t>.</w:t>
      </w:r>
    </w:p>
    <w:p w:rsidR="006F660F" w:rsidRPr="006F660F" w:rsidRDefault="006F660F" w:rsidP="006F660F">
      <w:pPr>
        <w:rPr>
          <w:u w:val="single"/>
          <w:lang w:val="en-CA"/>
        </w:rPr>
      </w:pPr>
      <w:r w:rsidRPr="006F660F">
        <w:rPr>
          <w:u w:val="single"/>
          <w:lang w:val="en-CA"/>
        </w:rPr>
        <w:t>Modality 3</w:t>
      </w:r>
    </w:p>
    <w:p w:rsidR="006F660F" w:rsidRPr="006F660F" w:rsidRDefault="006F660F" w:rsidP="006F660F">
      <w:pPr>
        <w:rPr>
          <w:lang w:val="en-CA"/>
        </w:rPr>
      </w:pPr>
    </w:p>
    <w:p w:rsidR="006F660F" w:rsidRDefault="006F660F" w:rsidP="00C56B26">
      <w:pPr>
        <w:pStyle w:val="Heading1"/>
        <w:widowControl w:val="0"/>
        <w:rPr>
          <w:lang w:val="en-CA"/>
        </w:rPr>
      </w:pPr>
      <w:r>
        <w:rPr>
          <w:lang w:val="en-CA"/>
        </w:rPr>
        <w:t xml:space="preserve">This modality considered </w:t>
      </w:r>
      <w:r w:rsidR="00703601" w:rsidRPr="00295A4D">
        <w:rPr>
          <w:lang w:val="en-CA"/>
        </w:rPr>
        <w:t xml:space="preserve">extending </w:t>
      </w:r>
      <w:r w:rsidR="00F50467" w:rsidRPr="00295A4D">
        <w:rPr>
          <w:lang w:val="en-CA"/>
        </w:rPr>
        <w:t>the modalit</w:t>
      </w:r>
      <w:r w:rsidR="00084DF2">
        <w:rPr>
          <w:lang w:val="en-CA"/>
        </w:rPr>
        <w:t>y of funding</w:t>
      </w:r>
      <w:r w:rsidR="00F50467" w:rsidRPr="00295A4D">
        <w:rPr>
          <w:lang w:val="en-CA"/>
        </w:rPr>
        <w:t xml:space="preserve"> agreed under </w:t>
      </w:r>
      <w:r w:rsidR="00703601" w:rsidRPr="00295A4D">
        <w:rPr>
          <w:lang w:val="en-CA"/>
        </w:rPr>
        <w:t>decision 74/50</w:t>
      </w:r>
      <w:r w:rsidR="00084DF2">
        <w:rPr>
          <w:lang w:val="en-CA"/>
        </w:rPr>
        <w:t xml:space="preserve"> for the first stage of HFC phase-down plans when HCFC phase-out and HFC phase-down overlap</w:t>
      </w:r>
      <w:r w:rsidR="00C56B26">
        <w:rPr>
          <w:lang w:val="en-CA"/>
        </w:rPr>
        <w:t>.</w:t>
      </w:r>
      <w:r w:rsidR="009E093E">
        <w:rPr>
          <w:rStyle w:val="FootnoteReference"/>
          <w:lang w:val="en-CA"/>
        </w:rPr>
        <w:footnoteReference w:id="27"/>
      </w:r>
      <w:r w:rsidR="00D67105" w:rsidRPr="00295A4D">
        <w:rPr>
          <w:lang w:val="en-CA"/>
        </w:rPr>
        <w:t xml:space="preserve"> In the absence </w:t>
      </w:r>
      <w:r w:rsidR="00D67105" w:rsidRPr="007B739B">
        <w:rPr>
          <w:lang w:val="en-CA"/>
        </w:rPr>
        <w:t xml:space="preserve">of estimated/established HFC baselines, </w:t>
      </w:r>
      <w:r w:rsidR="00F13D30" w:rsidRPr="007B739B">
        <w:rPr>
          <w:lang w:val="en-CA"/>
        </w:rPr>
        <w:t>LVC countries</w:t>
      </w:r>
      <w:r w:rsidR="00D67105" w:rsidRPr="007B739B">
        <w:rPr>
          <w:lang w:val="en-CA"/>
        </w:rPr>
        <w:t xml:space="preserve"> were grouped according to their HCFC baselines (eight groups)</w:t>
      </w:r>
      <w:r w:rsidR="00703601" w:rsidRPr="007B739B">
        <w:rPr>
          <w:lang w:val="en-CA"/>
        </w:rPr>
        <w:t xml:space="preserve"> </w:t>
      </w:r>
      <w:r w:rsidR="00F50467" w:rsidRPr="007B739B">
        <w:rPr>
          <w:lang w:val="en-CA"/>
        </w:rPr>
        <w:t xml:space="preserve">with associated </w:t>
      </w:r>
      <w:r w:rsidR="00703601" w:rsidRPr="007B739B">
        <w:rPr>
          <w:lang w:val="en-CA"/>
        </w:rPr>
        <w:t>funding levels</w:t>
      </w:r>
      <w:r w:rsidR="00EB3077" w:rsidRPr="007B739B">
        <w:rPr>
          <w:lang w:val="en-CA"/>
        </w:rPr>
        <w:t xml:space="preserve">; and </w:t>
      </w:r>
      <w:r w:rsidR="00703601" w:rsidRPr="007B739B">
        <w:rPr>
          <w:lang w:val="en-CA"/>
        </w:rPr>
        <w:t>non-LVC countries</w:t>
      </w:r>
      <w:r w:rsidR="00F50467" w:rsidRPr="007B739B">
        <w:rPr>
          <w:lang w:val="en-CA"/>
        </w:rPr>
        <w:t xml:space="preserve"> </w:t>
      </w:r>
      <w:r w:rsidR="009E093E" w:rsidRPr="007B739B">
        <w:rPr>
          <w:lang w:val="en-CA"/>
        </w:rPr>
        <w:t xml:space="preserve">with </w:t>
      </w:r>
      <w:r w:rsidR="00002E58" w:rsidRPr="007B739B">
        <w:rPr>
          <w:lang w:val="en-CA"/>
        </w:rPr>
        <w:t xml:space="preserve">their </w:t>
      </w:r>
      <w:r w:rsidR="009E093E" w:rsidRPr="007B739B">
        <w:rPr>
          <w:lang w:val="en-CA"/>
        </w:rPr>
        <w:t>HCFC baseline</w:t>
      </w:r>
      <w:r w:rsidR="00002E58" w:rsidRPr="007B739B">
        <w:rPr>
          <w:lang w:val="en-CA"/>
        </w:rPr>
        <w:t>s</w:t>
      </w:r>
      <w:r w:rsidR="009E093E" w:rsidRPr="007B739B">
        <w:rPr>
          <w:lang w:val="en-CA"/>
        </w:rPr>
        <w:t xml:space="preserve"> below 2</w:t>
      </w:r>
      <w:r w:rsidR="0081173A" w:rsidRPr="007B739B">
        <w:rPr>
          <w:lang w:val="en-CA"/>
        </w:rPr>
        <w:t>5</w:t>
      </w:r>
      <w:r w:rsidR="009E093E" w:rsidRPr="007B739B">
        <w:rPr>
          <w:lang w:val="en-CA"/>
        </w:rPr>
        <w:t>,000</w:t>
      </w:r>
      <w:r w:rsidR="00B04C62" w:rsidRPr="007B739B">
        <w:rPr>
          <w:lang w:val="en-CA"/>
        </w:rPr>
        <w:t> mt</w:t>
      </w:r>
      <w:r w:rsidR="009E093E" w:rsidRPr="007B739B">
        <w:rPr>
          <w:lang w:val="en-CA"/>
        </w:rPr>
        <w:t xml:space="preserve"> </w:t>
      </w:r>
      <w:r w:rsidR="00EB3077" w:rsidRPr="007B739B">
        <w:rPr>
          <w:lang w:val="en-CA"/>
        </w:rPr>
        <w:t>were all considered in one group</w:t>
      </w:r>
      <w:r w:rsidR="007278CD" w:rsidRPr="007B739B">
        <w:rPr>
          <w:lang w:val="en-CA"/>
        </w:rPr>
        <w:t>, irrespective of their HCFC baselines,</w:t>
      </w:r>
      <w:r w:rsidR="00EB3077" w:rsidRPr="007B739B">
        <w:rPr>
          <w:lang w:val="en-CA"/>
        </w:rPr>
        <w:t xml:space="preserve"> with funding for phase</w:t>
      </w:r>
      <w:r w:rsidR="00002E58" w:rsidRPr="007B739B">
        <w:rPr>
          <w:lang w:val="en-CA"/>
        </w:rPr>
        <w:noBreakHyphen/>
      </w:r>
      <w:r w:rsidR="00EB3077" w:rsidRPr="007B739B">
        <w:rPr>
          <w:lang w:val="en-CA"/>
        </w:rPr>
        <w:t xml:space="preserve">out activities provided at </w:t>
      </w:r>
      <w:r w:rsidR="007278CD" w:rsidRPr="007B739B">
        <w:rPr>
          <w:lang w:val="en-CA"/>
        </w:rPr>
        <w:t xml:space="preserve">a </w:t>
      </w:r>
      <w:r w:rsidR="00EB3077" w:rsidRPr="007B739B">
        <w:rPr>
          <w:lang w:val="en-CA"/>
        </w:rPr>
        <w:t>fixed cost effectiveness</w:t>
      </w:r>
      <w:r w:rsidR="00703601" w:rsidRPr="007B739B">
        <w:rPr>
          <w:lang w:val="en-CA"/>
        </w:rPr>
        <w:t>.</w:t>
      </w:r>
      <w:r w:rsidR="009E093E" w:rsidRPr="007B739B">
        <w:rPr>
          <w:lang w:val="en-CA"/>
        </w:rPr>
        <w:t xml:space="preserve"> </w:t>
      </w:r>
      <w:r w:rsidR="00FD73C5" w:rsidRPr="007B739B">
        <w:rPr>
          <w:lang w:val="en-CA"/>
        </w:rPr>
        <w:t xml:space="preserve">Funding for </w:t>
      </w:r>
      <w:r w:rsidR="009E093E" w:rsidRPr="007B739B">
        <w:rPr>
          <w:lang w:val="en-CA"/>
        </w:rPr>
        <w:t>Article 5 countries with HCFC baseline above 2</w:t>
      </w:r>
      <w:r w:rsidR="0081173A" w:rsidRPr="007B739B">
        <w:rPr>
          <w:lang w:val="en-CA"/>
        </w:rPr>
        <w:t>5</w:t>
      </w:r>
      <w:r w:rsidR="009E093E" w:rsidRPr="007B739B">
        <w:rPr>
          <w:lang w:val="en-CA"/>
        </w:rPr>
        <w:t>,000</w:t>
      </w:r>
      <w:r w:rsidR="00B04C62" w:rsidRPr="007B739B">
        <w:rPr>
          <w:lang w:val="en-CA"/>
        </w:rPr>
        <w:t> mt</w:t>
      </w:r>
      <w:r w:rsidR="009E093E" w:rsidRPr="007B739B">
        <w:rPr>
          <w:lang w:val="en-CA"/>
        </w:rPr>
        <w:t xml:space="preserve"> would be</w:t>
      </w:r>
      <w:r w:rsidR="009E093E">
        <w:rPr>
          <w:lang w:val="en-CA"/>
        </w:rPr>
        <w:t xml:space="preserve"> considered on a case-by-case basis. </w:t>
      </w:r>
      <w:r w:rsidR="007278CD">
        <w:rPr>
          <w:lang w:val="en-CA"/>
        </w:rPr>
        <w:t xml:space="preserve">Similar to the previous </w:t>
      </w:r>
      <w:r>
        <w:rPr>
          <w:lang w:val="en-CA"/>
        </w:rPr>
        <w:t>modality</w:t>
      </w:r>
      <w:r w:rsidR="007278CD">
        <w:rPr>
          <w:lang w:val="en-CA"/>
        </w:rPr>
        <w:t xml:space="preserve">, this </w:t>
      </w:r>
      <w:r>
        <w:rPr>
          <w:lang w:val="en-CA"/>
        </w:rPr>
        <w:t xml:space="preserve">modality </w:t>
      </w:r>
      <w:r w:rsidR="007278CD" w:rsidRPr="00295A4D">
        <w:rPr>
          <w:lang w:val="en-CA"/>
        </w:rPr>
        <w:t xml:space="preserve">would allow for the development of a holistic </w:t>
      </w:r>
      <w:r w:rsidR="007278CD">
        <w:rPr>
          <w:lang w:val="en-CA"/>
        </w:rPr>
        <w:t>HCFC phase-out/HF</w:t>
      </w:r>
      <w:r w:rsidR="00084DF2">
        <w:rPr>
          <w:lang w:val="en-CA"/>
        </w:rPr>
        <w:t>C</w:t>
      </w:r>
      <w:r w:rsidR="007278CD">
        <w:rPr>
          <w:lang w:val="en-CA"/>
        </w:rPr>
        <w:t xml:space="preserve"> phase-down </w:t>
      </w:r>
      <w:r w:rsidR="007278CD" w:rsidRPr="00295A4D">
        <w:rPr>
          <w:lang w:val="en-CA"/>
        </w:rPr>
        <w:t xml:space="preserve">strategy, </w:t>
      </w:r>
      <w:r w:rsidR="007278CD">
        <w:rPr>
          <w:lang w:val="en-CA"/>
        </w:rPr>
        <w:t xml:space="preserve">for </w:t>
      </w:r>
      <w:r w:rsidR="007278CD" w:rsidRPr="00295A4D">
        <w:rPr>
          <w:lang w:val="en-CA"/>
        </w:rPr>
        <w:t xml:space="preserve">implementing </w:t>
      </w:r>
      <w:r w:rsidR="007278CD">
        <w:rPr>
          <w:lang w:val="en-CA"/>
        </w:rPr>
        <w:t xml:space="preserve">several </w:t>
      </w:r>
      <w:r w:rsidR="007278CD" w:rsidRPr="00295A4D">
        <w:rPr>
          <w:lang w:val="en-CA"/>
        </w:rPr>
        <w:t xml:space="preserve">activities addressing the two groups of controlled substances, avoiding duplication of </w:t>
      </w:r>
      <w:r w:rsidR="00257046">
        <w:rPr>
          <w:lang w:val="en-CA"/>
        </w:rPr>
        <w:t>efforts</w:t>
      </w:r>
      <w:r w:rsidR="007278CD" w:rsidRPr="00295A4D">
        <w:rPr>
          <w:lang w:val="en-CA"/>
        </w:rPr>
        <w:t xml:space="preserve">, and </w:t>
      </w:r>
      <w:r w:rsidR="00084DF2">
        <w:rPr>
          <w:lang w:val="en-CA"/>
        </w:rPr>
        <w:t>streamlining</w:t>
      </w:r>
      <w:r w:rsidR="00084DF2" w:rsidRPr="00295A4D">
        <w:rPr>
          <w:lang w:val="en-CA"/>
        </w:rPr>
        <w:t xml:space="preserve"> </w:t>
      </w:r>
      <w:r w:rsidR="007278CD" w:rsidRPr="00295A4D">
        <w:rPr>
          <w:lang w:val="en-CA"/>
        </w:rPr>
        <w:t>the administrative workload of the Fund institutions</w:t>
      </w:r>
      <w:r w:rsidR="007278CD">
        <w:rPr>
          <w:lang w:val="en-CA"/>
        </w:rPr>
        <w:t xml:space="preserve">. </w:t>
      </w:r>
    </w:p>
    <w:p w:rsidR="007278CD" w:rsidRDefault="007278CD" w:rsidP="007278CD">
      <w:pPr>
        <w:pStyle w:val="Heading1"/>
        <w:rPr>
          <w:lang w:val="en-CA"/>
        </w:rPr>
      </w:pPr>
      <w:r>
        <w:rPr>
          <w:lang w:val="en-CA"/>
        </w:rPr>
        <w:t xml:space="preserve">In the absence of </w:t>
      </w:r>
      <w:r w:rsidRPr="007278CD">
        <w:rPr>
          <w:lang w:val="en-CA"/>
        </w:rPr>
        <w:t>the estimated/established</w:t>
      </w:r>
      <w:r>
        <w:rPr>
          <w:lang w:val="en-CA"/>
        </w:rPr>
        <w:t xml:space="preserve"> HFC baselines and the sectoral distribution of HFCs, this is </w:t>
      </w:r>
      <w:r w:rsidR="004C4EAC">
        <w:rPr>
          <w:lang w:val="en-CA"/>
        </w:rPr>
        <w:t xml:space="preserve">the preferred </w:t>
      </w:r>
      <w:r w:rsidR="006F660F">
        <w:rPr>
          <w:lang w:val="en-CA"/>
        </w:rPr>
        <w:t xml:space="preserve">modality </w:t>
      </w:r>
      <w:r w:rsidR="004C4EAC">
        <w:rPr>
          <w:lang w:val="en-CA"/>
        </w:rPr>
        <w:t xml:space="preserve">to meet the freeze and the 10 per cent reduction of the HFC baselines, as the </w:t>
      </w:r>
      <w:r w:rsidR="00C24E0D">
        <w:rPr>
          <w:lang w:val="en-CA"/>
        </w:rPr>
        <w:t xml:space="preserve">grouping of countries and associated </w:t>
      </w:r>
      <w:r w:rsidR="004C4EAC">
        <w:rPr>
          <w:lang w:val="en-CA"/>
        </w:rPr>
        <w:t xml:space="preserve">funding </w:t>
      </w:r>
      <w:r w:rsidR="006F660F">
        <w:rPr>
          <w:lang w:val="en-CA"/>
        </w:rPr>
        <w:t xml:space="preserve">levels </w:t>
      </w:r>
      <w:r w:rsidR="00C24E0D">
        <w:rPr>
          <w:lang w:val="en-CA"/>
        </w:rPr>
        <w:t xml:space="preserve">of the ongoing HPMPs </w:t>
      </w:r>
      <w:r w:rsidR="00B71D56">
        <w:rPr>
          <w:lang w:val="en-CA"/>
        </w:rPr>
        <w:t>will remain, facilitating the integration of the phase-down/phase-out activities in the servicing sector.</w:t>
      </w:r>
    </w:p>
    <w:p w:rsidR="00802864" w:rsidRPr="007B739B" w:rsidRDefault="00B71D56" w:rsidP="008C1C16">
      <w:pPr>
        <w:pStyle w:val="Heading1"/>
        <w:rPr>
          <w:lang w:val="en-CA"/>
        </w:rPr>
      </w:pPr>
      <w:r w:rsidRPr="00F12103">
        <w:rPr>
          <w:lang w:val="en-CA"/>
        </w:rPr>
        <w:t xml:space="preserve">For LVC countries, the </w:t>
      </w:r>
      <w:r w:rsidR="00257046" w:rsidRPr="00F12103">
        <w:rPr>
          <w:lang w:val="en-CA"/>
        </w:rPr>
        <w:t xml:space="preserve">Secretariat considered that </w:t>
      </w:r>
      <w:r w:rsidR="006F660F" w:rsidRPr="00F12103">
        <w:rPr>
          <w:lang w:val="en-CA"/>
        </w:rPr>
        <w:t xml:space="preserve">additional </w:t>
      </w:r>
      <w:r w:rsidRPr="00F12103">
        <w:rPr>
          <w:lang w:val="en-CA"/>
        </w:rPr>
        <w:t xml:space="preserve">funding </w:t>
      </w:r>
      <w:r w:rsidR="00257046" w:rsidRPr="00F12103">
        <w:rPr>
          <w:lang w:val="en-CA"/>
        </w:rPr>
        <w:t>could</w:t>
      </w:r>
      <w:r w:rsidRPr="00F12103">
        <w:rPr>
          <w:lang w:val="en-CA"/>
        </w:rPr>
        <w:t xml:space="preserve"> be </w:t>
      </w:r>
      <w:r w:rsidR="0057387A" w:rsidRPr="00F12103">
        <w:rPr>
          <w:lang w:val="en-CA"/>
        </w:rPr>
        <w:t xml:space="preserve">up to </w:t>
      </w:r>
      <w:r w:rsidR="00265D59">
        <w:rPr>
          <w:lang w:val="en-CA"/>
        </w:rPr>
        <w:t>15</w:t>
      </w:r>
      <w:r w:rsidR="00265D59" w:rsidRPr="00F12103">
        <w:rPr>
          <w:lang w:val="en-CA"/>
        </w:rPr>
        <w:t xml:space="preserve"> </w:t>
      </w:r>
      <w:r w:rsidR="0057387A" w:rsidRPr="00F12103">
        <w:rPr>
          <w:lang w:val="en-CA"/>
        </w:rPr>
        <w:t>p</w:t>
      </w:r>
      <w:r w:rsidR="0057387A" w:rsidRPr="00B71D56">
        <w:rPr>
          <w:lang w:val="en-CA"/>
        </w:rPr>
        <w:t xml:space="preserve">er cent of the </w:t>
      </w:r>
      <w:r w:rsidR="003A5BA4" w:rsidRPr="00B71D56">
        <w:rPr>
          <w:lang w:val="en-CA"/>
        </w:rPr>
        <w:t xml:space="preserve">overall </w:t>
      </w:r>
      <w:r w:rsidR="0057387A" w:rsidRPr="00B71D56">
        <w:rPr>
          <w:lang w:val="en-CA"/>
        </w:rPr>
        <w:t xml:space="preserve">funding agreed under decision 74/50, </w:t>
      </w:r>
      <w:r w:rsidR="00697E51" w:rsidRPr="00B71D56">
        <w:rPr>
          <w:lang w:val="en-CA"/>
        </w:rPr>
        <w:t xml:space="preserve">on the understanding that the </w:t>
      </w:r>
      <w:r w:rsidRPr="00B71D56">
        <w:rPr>
          <w:lang w:val="en-CA"/>
        </w:rPr>
        <w:t xml:space="preserve">LVC </w:t>
      </w:r>
      <w:r w:rsidR="00697E51" w:rsidRPr="00B71D56">
        <w:rPr>
          <w:lang w:val="en-CA"/>
        </w:rPr>
        <w:t xml:space="preserve">countries commit to meet the freeze and the 10 per cent reduction of their HFC baselines. </w:t>
      </w:r>
      <w:r w:rsidR="006F660F">
        <w:rPr>
          <w:lang w:val="en-CA"/>
        </w:rPr>
        <w:t>T</w:t>
      </w:r>
      <w:r>
        <w:rPr>
          <w:lang w:val="en-CA"/>
        </w:rPr>
        <w:t xml:space="preserve">his </w:t>
      </w:r>
      <w:r w:rsidR="00697E51" w:rsidRPr="00B71D56">
        <w:rPr>
          <w:lang w:val="en-CA"/>
        </w:rPr>
        <w:t>funding</w:t>
      </w:r>
      <w:r w:rsidR="006F660F">
        <w:rPr>
          <w:lang w:val="en-CA"/>
        </w:rPr>
        <w:t xml:space="preserve">, which is </w:t>
      </w:r>
      <w:r w:rsidR="00C2351F">
        <w:rPr>
          <w:lang w:val="en-CA"/>
        </w:rPr>
        <w:t xml:space="preserve">around </w:t>
      </w:r>
      <w:r w:rsidR="00265D59">
        <w:rPr>
          <w:lang w:val="en-CA"/>
        </w:rPr>
        <w:t xml:space="preserve">one and a half </w:t>
      </w:r>
      <w:r w:rsidR="00C2351F">
        <w:rPr>
          <w:lang w:val="en-CA"/>
        </w:rPr>
        <w:t xml:space="preserve">times </w:t>
      </w:r>
      <w:r w:rsidR="0057387A" w:rsidRPr="00B71D56">
        <w:rPr>
          <w:lang w:val="en-CA"/>
        </w:rPr>
        <w:t>the funding approved to meet the 10 per cent reduction on HCFC consumption</w:t>
      </w:r>
      <w:r w:rsidR="00C2351F">
        <w:rPr>
          <w:lang w:val="en-CA"/>
        </w:rPr>
        <w:t xml:space="preserve"> under decision</w:t>
      </w:r>
      <w:r w:rsidR="00081D8C">
        <w:rPr>
          <w:lang w:val="en-CA"/>
        </w:rPr>
        <w:t> </w:t>
      </w:r>
      <w:r w:rsidR="00C2351F" w:rsidRPr="007643F3">
        <w:rPr>
          <w:lang w:val="en-CA"/>
        </w:rPr>
        <w:t>60/44</w:t>
      </w:r>
      <w:r w:rsidR="00697E51" w:rsidRPr="00B71D56">
        <w:rPr>
          <w:lang w:val="en-CA"/>
        </w:rPr>
        <w:t xml:space="preserve">, will allow LVC countries </w:t>
      </w:r>
      <w:r>
        <w:rPr>
          <w:lang w:val="en-CA"/>
        </w:rPr>
        <w:t xml:space="preserve">to </w:t>
      </w:r>
      <w:r w:rsidR="00697E51" w:rsidRPr="00B71D56">
        <w:rPr>
          <w:lang w:val="en-CA"/>
        </w:rPr>
        <w:t xml:space="preserve">address the challenges described in </w:t>
      </w:r>
      <w:r>
        <w:rPr>
          <w:lang w:val="en-CA"/>
        </w:rPr>
        <w:t>the documents related to the refrigeration servicing sector and the integrated/parallel implementation of the HCFC phase</w:t>
      </w:r>
      <w:r w:rsidR="00147325">
        <w:rPr>
          <w:lang w:val="en-CA"/>
        </w:rPr>
        <w:noBreakHyphen/>
      </w:r>
      <w:r>
        <w:rPr>
          <w:lang w:val="en-CA"/>
        </w:rPr>
        <w:t>out/HFC phase</w:t>
      </w:r>
      <w:r w:rsidR="00081D8C">
        <w:rPr>
          <w:lang w:val="en-CA"/>
        </w:rPr>
        <w:noBreakHyphen/>
      </w:r>
      <w:r>
        <w:rPr>
          <w:lang w:val="en-CA"/>
        </w:rPr>
        <w:t xml:space="preserve">down </w:t>
      </w:r>
      <w:r w:rsidRPr="00F12103">
        <w:rPr>
          <w:lang w:val="en-CA"/>
        </w:rPr>
        <w:t xml:space="preserve">referred </w:t>
      </w:r>
      <w:r w:rsidRPr="007B739B">
        <w:rPr>
          <w:lang w:val="en-CA"/>
        </w:rPr>
        <w:t xml:space="preserve">to under section Background </w:t>
      </w:r>
      <w:r w:rsidR="00BF50B6" w:rsidRPr="007B739B">
        <w:rPr>
          <w:lang w:val="en-CA"/>
        </w:rPr>
        <w:t xml:space="preserve">above, </w:t>
      </w:r>
      <w:r w:rsidRPr="007B739B">
        <w:rPr>
          <w:lang w:val="en-CA"/>
        </w:rPr>
        <w:t xml:space="preserve">and summarized in the present document. </w:t>
      </w:r>
    </w:p>
    <w:p w:rsidR="00BF50B6" w:rsidRPr="007B739B" w:rsidRDefault="00231605" w:rsidP="00231605">
      <w:pPr>
        <w:pStyle w:val="Heading1"/>
        <w:rPr>
          <w:lang w:val="en-CA"/>
        </w:rPr>
      </w:pPr>
      <w:r w:rsidRPr="007B739B">
        <w:rPr>
          <w:lang w:val="en-CA"/>
        </w:rPr>
        <w:t>In addition, within these funding levels</w:t>
      </w:r>
      <w:r w:rsidR="00CB7C91" w:rsidRPr="007B739B">
        <w:rPr>
          <w:lang w:val="en-CA"/>
        </w:rPr>
        <w:t>,</w:t>
      </w:r>
      <w:r w:rsidRPr="007B739B">
        <w:rPr>
          <w:lang w:val="en-CA"/>
        </w:rPr>
        <w:t xml:space="preserve"> the request by the Parties under paragraph 16 of decision</w:t>
      </w:r>
      <w:r w:rsidR="00CB7C91" w:rsidRPr="007B739B">
        <w:rPr>
          <w:lang w:val="en-CA"/>
        </w:rPr>
        <w:t> </w:t>
      </w:r>
      <w:r w:rsidRPr="007B739B">
        <w:rPr>
          <w:lang w:val="en-CA"/>
        </w:rPr>
        <w:t>XXVIII/2 (i.e., introduction of alternatives</w:t>
      </w:r>
      <w:r w:rsidR="00CB7C91" w:rsidRPr="007B739B">
        <w:rPr>
          <w:lang w:val="en-CA"/>
        </w:rPr>
        <w:t xml:space="preserve"> to HCFCs with low- and/or zero-</w:t>
      </w:r>
      <w:r w:rsidRPr="007B739B">
        <w:rPr>
          <w:lang w:val="en-CA"/>
        </w:rPr>
        <w:t>GWP refrigerants and maintaining energy efficiency in the servicing/end-user sector)</w:t>
      </w:r>
      <w:r w:rsidR="00265D59">
        <w:rPr>
          <w:lang w:val="en-CA"/>
        </w:rPr>
        <w:t xml:space="preserve"> </w:t>
      </w:r>
      <w:r w:rsidRPr="007B739B">
        <w:rPr>
          <w:lang w:val="en-CA"/>
        </w:rPr>
        <w:t>could be addressed.</w:t>
      </w:r>
    </w:p>
    <w:p w:rsidR="00A96491" w:rsidRPr="007B739B" w:rsidRDefault="00A96491" w:rsidP="007C7E18">
      <w:pPr>
        <w:pStyle w:val="Heading1"/>
        <w:numPr>
          <w:ilvl w:val="0"/>
          <w:numId w:val="1"/>
        </w:numPr>
        <w:rPr>
          <w:lang w:val="en-CA"/>
        </w:rPr>
      </w:pPr>
      <w:r w:rsidRPr="007B739B">
        <w:rPr>
          <w:lang w:val="en-CA"/>
        </w:rPr>
        <w:t xml:space="preserve">Table </w:t>
      </w:r>
      <w:r w:rsidR="0042682B" w:rsidRPr="007B739B">
        <w:rPr>
          <w:lang w:val="en-CA"/>
        </w:rPr>
        <w:t xml:space="preserve">5 </w:t>
      </w:r>
      <w:r w:rsidRPr="007B739B">
        <w:rPr>
          <w:lang w:val="en-CA"/>
        </w:rPr>
        <w:t>shows the level of funding proposed for stage I of the HFC phase-down plans for LVC countries.</w:t>
      </w:r>
    </w:p>
    <w:p w:rsidR="00A96491" w:rsidRPr="00295A4D" w:rsidRDefault="00A96491" w:rsidP="00A35F5A">
      <w:pPr>
        <w:pStyle w:val="Heading1"/>
        <w:numPr>
          <w:ilvl w:val="0"/>
          <w:numId w:val="0"/>
        </w:numPr>
        <w:spacing w:after="0"/>
        <w:rPr>
          <w:b/>
          <w:sz w:val="21"/>
          <w:szCs w:val="21"/>
          <w:lang w:val="en-CA"/>
        </w:rPr>
      </w:pPr>
      <w:r w:rsidRPr="00295A4D">
        <w:rPr>
          <w:b/>
          <w:sz w:val="21"/>
          <w:szCs w:val="21"/>
          <w:lang w:val="en-CA"/>
        </w:rPr>
        <w:t xml:space="preserve">Table 5. </w:t>
      </w:r>
      <w:r w:rsidR="00F82ED4">
        <w:rPr>
          <w:b/>
          <w:sz w:val="21"/>
          <w:szCs w:val="21"/>
          <w:lang w:val="en-CA"/>
        </w:rPr>
        <w:t xml:space="preserve">Funding levels </w:t>
      </w:r>
      <w:r w:rsidR="00A35F5A" w:rsidRPr="00295A4D">
        <w:rPr>
          <w:b/>
          <w:sz w:val="21"/>
          <w:szCs w:val="21"/>
          <w:lang w:val="en-CA"/>
        </w:rPr>
        <w:t xml:space="preserve">proposed </w:t>
      </w:r>
      <w:r w:rsidRPr="00295A4D">
        <w:rPr>
          <w:b/>
          <w:sz w:val="21"/>
          <w:szCs w:val="21"/>
          <w:lang w:val="en-CA"/>
        </w:rPr>
        <w:t>for stage I of the HFC phase-down plans in LVC countries</w:t>
      </w:r>
      <w:r w:rsidR="00295A4D" w:rsidRPr="00295A4D">
        <w:rPr>
          <w:b/>
          <w:sz w:val="21"/>
          <w:szCs w:val="21"/>
          <w:lang w:val="en-CA"/>
        </w:rPr>
        <w:t xml:space="preserve"> (</w:t>
      </w:r>
      <w:r w:rsidR="00B04C62">
        <w:rPr>
          <w:b/>
          <w:sz w:val="21"/>
          <w:szCs w:val="21"/>
          <w:lang w:val="en-CA"/>
        </w:rPr>
        <w:t>US $</w:t>
      </w:r>
      <w:r w:rsidR="00295A4D" w:rsidRPr="00295A4D">
        <w:rPr>
          <w:b/>
          <w:sz w:val="21"/>
          <w:szCs w:val="21"/>
          <w:lang w:val="en-CA"/>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8"/>
        <w:gridCol w:w="1676"/>
        <w:gridCol w:w="1677"/>
        <w:gridCol w:w="1677"/>
        <w:gridCol w:w="1676"/>
        <w:gridCol w:w="1676"/>
      </w:tblGrid>
      <w:tr w:rsidR="00295A4D" w:rsidRPr="00295A4D" w:rsidTr="00D11999">
        <w:trPr>
          <w:tblHeader/>
        </w:trPr>
        <w:tc>
          <w:tcPr>
            <w:tcW w:w="518" w:type="pct"/>
            <w:vMerge w:val="restart"/>
            <w:shd w:val="clear" w:color="auto" w:fill="auto"/>
            <w:noWrap/>
          </w:tcPr>
          <w:p w:rsidR="00295A4D" w:rsidRPr="00D11999" w:rsidRDefault="00295A4D" w:rsidP="00567E76">
            <w:pPr>
              <w:jc w:val="center"/>
              <w:rPr>
                <w:b/>
                <w:bCs/>
                <w:color w:val="000000"/>
                <w:sz w:val="19"/>
                <w:szCs w:val="19"/>
                <w:lang w:val="en-CA" w:eastAsia="es-419"/>
              </w:rPr>
            </w:pPr>
            <w:r w:rsidRPr="00D11999">
              <w:rPr>
                <w:b/>
                <w:bCs/>
                <w:color w:val="000000"/>
                <w:sz w:val="19"/>
                <w:szCs w:val="19"/>
                <w:lang w:val="en-CA" w:eastAsia="es-419"/>
              </w:rPr>
              <w:t>Baseline (mt)</w:t>
            </w:r>
          </w:p>
        </w:tc>
        <w:tc>
          <w:tcPr>
            <w:tcW w:w="1793" w:type="pct"/>
            <w:gridSpan w:val="2"/>
            <w:shd w:val="clear" w:color="auto" w:fill="auto"/>
            <w:noWrap/>
            <w:tcMar>
              <w:left w:w="0" w:type="dxa"/>
              <w:right w:w="0" w:type="dxa"/>
            </w:tcMar>
          </w:tcPr>
          <w:p w:rsidR="00295A4D" w:rsidRPr="00D11999" w:rsidRDefault="00295A4D" w:rsidP="00C2351F">
            <w:pPr>
              <w:jc w:val="center"/>
              <w:rPr>
                <w:b/>
                <w:bCs/>
                <w:color w:val="000000"/>
                <w:sz w:val="19"/>
                <w:szCs w:val="19"/>
                <w:lang w:val="en-CA" w:eastAsia="es-419"/>
              </w:rPr>
            </w:pPr>
            <w:r w:rsidRPr="00D11999">
              <w:rPr>
                <w:b/>
                <w:bCs/>
                <w:color w:val="000000"/>
                <w:sz w:val="19"/>
                <w:szCs w:val="19"/>
                <w:lang w:val="en-CA" w:eastAsia="es-419"/>
              </w:rPr>
              <w:t xml:space="preserve">HCFC </w:t>
            </w:r>
            <w:r w:rsidR="00D11999" w:rsidRPr="00D11999">
              <w:rPr>
                <w:b/>
                <w:bCs/>
                <w:color w:val="000000"/>
                <w:sz w:val="19"/>
                <w:szCs w:val="19"/>
                <w:lang w:val="en-CA" w:eastAsia="es-419"/>
              </w:rPr>
              <w:t xml:space="preserve">phase-out </w:t>
            </w:r>
            <w:r w:rsidRPr="00D11999">
              <w:rPr>
                <w:b/>
                <w:bCs/>
                <w:color w:val="000000"/>
                <w:sz w:val="19"/>
                <w:szCs w:val="19"/>
                <w:lang w:val="en-CA" w:eastAsia="es-419"/>
              </w:rPr>
              <w:t xml:space="preserve">funding </w:t>
            </w:r>
          </w:p>
        </w:tc>
        <w:tc>
          <w:tcPr>
            <w:tcW w:w="897" w:type="pct"/>
            <w:vMerge w:val="restart"/>
            <w:shd w:val="clear" w:color="auto" w:fill="auto"/>
            <w:noWrap/>
            <w:tcMar>
              <w:left w:w="0" w:type="dxa"/>
              <w:right w:w="0" w:type="dxa"/>
            </w:tcMar>
          </w:tcPr>
          <w:p w:rsidR="00295A4D" w:rsidRPr="00D11999" w:rsidRDefault="00257046" w:rsidP="00295A4D">
            <w:pPr>
              <w:jc w:val="center"/>
              <w:rPr>
                <w:b/>
                <w:bCs/>
                <w:color w:val="000000"/>
                <w:sz w:val="19"/>
                <w:szCs w:val="19"/>
                <w:lang w:val="en-CA" w:eastAsia="es-419"/>
              </w:rPr>
            </w:pPr>
            <w:r w:rsidRPr="00D11999">
              <w:rPr>
                <w:b/>
                <w:bCs/>
                <w:color w:val="000000"/>
                <w:sz w:val="19"/>
                <w:szCs w:val="19"/>
                <w:lang w:val="en-CA" w:eastAsia="es-419"/>
              </w:rPr>
              <w:t xml:space="preserve">Maximum </w:t>
            </w:r>
            <w:r w:rsidR="00295A4D" w:rsidRPr="00D11999">
              <w:rPr>
                <w:b/>
                <w:bCs/>
                <w:color w:val="000000"/>
                <w:sz w:val="19"/>
                <w:szCs w:val="19"/>
                <w:lang w:val="en-CA" w:eastAsia="es-419"/>
              </w:rPr>
              <w:t>HFC</w:t>
            </w:r>
            <w:r w:rsidR="00D11999" w:rsidRPr="00D11999">
              <w:rPr>
                <w:b/>
                <w:bCs/>
                <w:color w:val="000000"/>
                <w:sz w:val="19"/>
                <w:szCs w:val="19"/>
                <w:lang w:val="en-CA" w:eastAsia="es-419"/>
              </w:rPr>
              <w:t xml:space="preserve"> phase-down</w:t>
            </w:r>
            <w:r w:rsidR="00295A4D" w:rsidRPr="00D11999">
              <w:rPr>
                <w:b/>
                <w:bCs/>
                <w:color w:val="000000"/>
                <w:sz w:val="19"/>
                <w:szCs w:val="19"/>
                <w:lang w:val="en-CA" w:eastAsia="es-419"/>
              </w:rPr>
              <w:t xml:space="preserve"> funding</w:t>
            </w:r>
          </w:p>
          <w:p w:rsidR="00295A4D" w:rsidRPr="00D11999" w:rsidRDefault="00295A4D" w:rsidP="00295A4D">
            <w:pPr>
              <w:jc w:val="center"/>
              <w:rPr>
                <w:b/>
                <w:bCs/>
                <w:color w:val="000000"/>
                <w:sz w:val="19"/>
                <w:szCs w:val="19"/>
                <w:lang w:val="en-CA" w:eastAsia="es-419"/>
              </w:rPr>
            </w:pPr>
            <w:r w:rsidRPr="00D11999">
              <w:rPr>
                <w:b/>
                <w:bCs/>
                <w:color w:val="000000"/>
                <w:sz w:val="19"/>
                <w:szCs w:val="19"/>
                <w:lang w:val="en-CA" w:eastAsia="es-419"/>
              </w:rPr>
              <w:t>Stage I: 10%</w:t>
            </w:r>
          </w:p>
        </w:tc>
        <w:tc>
          <w:tcPr>
            <w:tcW w:w="896" w:type="pct"/>
            <w:vMerge w:val="restart"/>
            <w:shd w:val="clear" w:color="auto" w:fill="auto"/>
            <w:noWrap/>
            <w:tcMar>
              <w:left w:w="0" w:type="dxa"/>
              <w:right w:w="0" w:type="dxa"/>
            </w:tcMar>
          </w:tcPr>
          <w:p w:rsidR="00295A4D" w:rsidRPr="00D11999" w:rsidRDefault="00295A4D" w:rsidP="00295A4D">
            <w:pPr>
              <w:jc w:val="center"/>
              <w:rPr>
                <w:b/>
                <w:bCs/>
                <w:color w:val="000000"/>
                <w:sz w:val="19"/>
                <w:szCs w:val="19"/>
                <w:lang w:val="en-CA" w:eastAsia="es-419"/>
              </w:rPr>
            </w:pPr>
            <w:r w:rsidRPr="00D11999">
              <w:rPr>
                <w:b/>
                <w:bCs/>
                <w:color w:val="000000"/>
                <w:sz w:val="19"/>
                <w:szCs w:val="19"/>
                <w:lang w:val="en-CA" w:eastAsia="es-419"/>
              </w:rPr>
              <w:t>Number of countries*</w:t>
            </w:r>
          </w:p>
        </w:tc>
        <w:tc>
          <w:tcPr>
            <w:tcW w:w="896" w:type="pct"/>
            <w:vMerge w:val="restart"/>
            <w:shd w:val="clear" w:color="auto" w:fill="auto"/>
            <w:noWrap/>
            <w:tcMar>
              <w:left w:w="0" w:type="dxa"/>
              <w:right w:w="0" w:type="dxa"/>
            </w:tcMar>
          </w:tcPr>
          <w:p w:rsidR="00002E58" w:rsidRPr="00D11999" w:rsidRDefault="00295A4D" w:rsidP="00295A4D">
            <w:pPr>
              <w:jc w:val="center"/>
              <w:rPr>
                <w:b/>
                <w:bCs/>
                <w:color w:val="000000"/>
                <w:sz w:val="19"/>
                <w:szCs w:val="19"/>
                <w:lang w:val="en-CA" w:eastAsia="es-419"/>
              </w:rPr>
            </w:pPr>
            <w:r w:rsidRPr="00D11999">
              <w:rPr>
                <w:b/>
                <w:bCs/>
                <w:color w:val="000000"/>
                <w:sz w:val="19"/>
                <w:szCs w:val="19"/>
                <w:lang w:val="en-CA" w:eastAsia="es-419"/>
              </w:rPr>
              <w:t xml:space="preserve">Total funding </w:t>
            </w:r>
          </w:p>
          <w:p w:rsidR="00295A4D" w:rsidRPr="00D11999" w:rsidRDefault="00295A4D" w:rsidP="00D11999">
            <w:pPr>
              <w:jc w:val="center"/>
              <w:rPr>
                <w:b/>
                <w:bCs/>
                <w:color w:val="000000"/>
                <w:sz w:val="19"/>
                <w:szCs w:val="19"/>
                <w:lang w:val="en-CA" w:eastAsia="es-419"/>
              </w:rPr>
            </w:pPr>
            <w:r w:rsidRPr="00D11999">
              <w:rPr>
                <w:b/>
                <w:bCs/>
                <w:color w:val="000000"/>
                <w:sz w:val="19"/>
                <w:szCs w:val="19"/>
                <w:lang w:val="en-CA" w:eastAsia="es-419"/>
              </w:rPr>
              <w:t>stage I of HFC</w:t>
            </w:r>
            <w:r w:rsidR="00081D8C" w:rsidRPr="00D11999">
              <w:rPr>
                <w:b/>
                <w:bCs/>
                <w:color w:val="000000"/>
                <w:sz w:val="19"/>
                <w:szCs w:val="19"/>
                <w:lang w:val="en-CA" w:eastAsia="es-419"/>
              </w:rPr>
              <w:t xml:space="preserve"> phase-down</w:t>
            </w:r>
          </w:p>
        </w:tc>
      </w:tr>
      <w:tr w:rsidR="00295A4D" w:rsidRPr="00295A4D" w:rsidTr="00D11999">
        <w:trPr>
          <w:tblHeader/>
        </w:trPr>
        <w:tc>
          <w:tcPr>
            <w:tcW w:w="518" w:type="pct"/>
            <w:vMerge/>
            <w:shd w:val="clear" w:color="auto" w:fill="auto"/>
            <w:noWrap/>
            <w:hideMark/>
          </w:tcPr>
          <w:p w:rsidR="00295A4D" w:rsidRPr="00295A4D" w:rsidRDefault="00295A4D" w:rsidP="00567E76">
            <w:pPr>
              <w:jc w:val="center"/>
              <w:rPr>
                <w:b/>
                <w:bCs/>
                <w:color w:val="000000"/>
                <w:sz w:val="20"/>
                <w:szCs w:val="20"/>
                <w:lang w:val="en-CA" w:eastAsia="es-419"/>
              </w:rPr>
            </w:pPr>
          </w:p>
        </w:tc>
        <w:tc>
          <w:tcPr>
            <w:tcW w:w="896" w:type="pct"/>
            <w:shd w:val="clear" w:color="auto" w:fill="auto"/>
            <w:noWrap/>
            <w:tcMar>
              <w:left w:w="0" w:type="dxa"/>
              <w:right w:w="0" w:type="dxa"/>
            </w:tcMar>
            <w:hideMark/>
          </w:tcPr>
          <w:p w:rsidR="00C2351F" w:rsidRDefault="00295A4D" w:rsidP="00567E76">
            <w:pPr>
              <w:jc w:val="center"/>
              <w:rPr>
                <w:b/>
                <w:bCs/>
                <w:color w:val="000000"/>
                <w:sz w:val="20"/>
                <w:szCs w:val="20"/>
                <w:lang w:val="en-CA" w:eastAsia="es-419"/>
              </w:rPr>
            </w:pPr>
            <w:r w:rsidRPr="00295A4D">
              <w:rPr>
                <w:b/>
                <w:bCs/>
                <w:color w:val="000000"/>
                <w:sz w:val="20"/>
                <w:szCs w:val="20"/>
                <w:lang w:val="en-CA" w:eastAsia="es-419"/>
              </w:rPr>
              <w:t>Total</w:t>
            </w:r>
            <w:r w:rsidR="00C2351F">
              <w:rPr>
                <w:b/>
                <w:bCs/>
                <w:color w:val="000000"/>
                <w:sz w:val="20"/>
                <w:szCs w:val="20"/>
                <w:lang w:val="en-CA" w:eastAsia="es-419"/>
              </w:rPr>
              <w:t xml:space="preserve"> </w:t>
            </w:r>
          </w:p>
          <w:p w:rsidR="00295A4D" w:rsidRPr="00295A4D" w:rsidRDefault="00C2351F" w:rsidP="00567E76">
            <w:pPr>
              <w:jc w:val="center"/>
              <w:rPr>
                <w:b/>
                <w:bCs/>
                <w:color w:val="000000"/>
                <w:sz w:val="20"/>
                <w:szCs w:val="20"/>
                <w:lang w:val="en-CA" w:eastAsia="es-419"/>
              </w:rPr>
            </w:pPr>
            <w:r>
              <w:rPr>
                <w:b/>
                <w:bCs/>
                <w:color w:val="000000"/>
                <w:sz w:val="20"/>
                <w:szCs w:val="20"/>
                <w:lang w:val="en-CA" w:eastAsia="es-419"/>
              </w:rPr>
              <w:t>(decision 74/50)</w:t>
            </w:r>
          </w:p>
        </w:tc>
        <w:tc>
          <w:tcPr>
            <w:tcW w:w="897" w:type="pct"/>
            <w:tcMar>
              <w:left w:w="0" w:type="dxa"/>
              <w:right w:w="0" w:type="dxa"/>
            </w:tcMar>
          </w:tcPr>
          <w:p w:rsidR="00295A4D" w:rsidRPr="00295A4D" w:rsidRDefault="00295A4D" w:rsidP="00F82ED4">
            <w:pPr>
              <w:jc w:val="center"/>
              <w:rPr>
                <w:b/>
                <w:bCs/>
                <w:color w:val="000000"/>
                <w:sz w:val="20"/>
                <w:szCs w:val="20"/>
                <w:lang w:val="en-CA" w:eastAsia="es-419"/>
              </w:rPr>
            </w:pPr>
            <w:r w:rsidRPr="00295A4D">
              <w:rPr>
                <w:b/>
                <w:bCs/>
                <w:color w:val="000000"/>
                <w:sz w:val="20"/>
                <w:szCs w:val="20"/>
                <w:lang w:val="en-CA" w:eastAsia="es-419"/>
              </w:rPr>
              <w:t>Stage I: 10%</w:t>
            </w:r>
            <w:r w:rsidR="00C2351F">
              <w:rPr>
                <w:b/>
                <w:bCs/>
                <w:color w:val="000000"/>
                <w:sz w:val="20"/>
                <w:szCs w:val="20"/>
                <w:lang w:val="en-CA" w:eastAsia="es-419"/>
              </w:rPr>
              <w:t xml:space="preserve"> (decision 60/44)</w:t>
            </w:r>
          </w:p>
        </w:tc>
        <w:tc>
          <w:tcPr>
            <w:tcW w:w="897" w:type="pct"/>
            <w:vMerge/>
            <w:shd w:val="clear" w:color="auto" w:fill="auto"/>
            <w:noWrap/>
            <w:tcMar>
              <w:left w:w="0" w:type="dxa"/>
              <w:right w:w="0" w:type="dxa"/>
            </w:tcMar>
            <w:hideMark/>
          </w:tcPr>
          <w:p w:rsidR="00295A4D" w:rsidRPr="00295A4D" w:rsidRDefault="00295A4D" w:rsidP="00567E76">
            <w:pPr>
              <w:jc w:val="center"/>
              <w:rPr>
                <w:b/>
                <w:bCs/>
                <w:color w:val="000000"/>
                <w:sz w:val="20"/>
                <w:szCs w:val="20"/>
                <w:lang w:val="en-CA" w:eastAsia="es-419"/>
              </w:rPr>
            </w:pPr>
          </w:p>
        </w:tc>
        <w:tc>
          <w:tcPr>
            <w:tcW w:w="896" w:type="pct"/>
            <w:vMerge/>
            <w:shd w:val="clear" w:color="auto" w:fill="auto"/>
            <w:noWrap/>
            <w:tcMar>
              <w:left w:w="0" w:type="dxa"/>
              <w:right w:w="0" w:type="dxa"/>
            </w:tcMar>
            <w:hideMark/>
          </w:tcPr>
          <w:p w:rsidR="00295A4D" w:rsidRPr="00295A4D" w:rsidRDefault="00295A4D" w:rsidP="00567E76">
            <w:pPr>
              <w:jc w:val="center"/>
              <w:rPr>
                <w:b/>
                <w:bCs/>
                <w:color w:val="000000"/>
                <w:sz w:val="20"/>
                <w:szCs w:val="20"/>
                <w:lang w:val="en-CA" w:eastAsia="es-419"/>
              </w:rPr>
            </w:pPr>
          </w:p>
        </w:tc>
        <w:tc>
          <w:tcPr>
            <w:tcW w:w="896" w:type="pct"/>
            <w:vMerge/>
            <w:shd w:val="clear" w:color="auto" w:fill="auto"/>
            <w:noWrap/>
            <w:tcMar>
              <w:left w:w="0" w:type="dxa"/>
              <w:right w:w="0" w:type="dxa"/>
            </w:tcMar>
            <w:hideMark/>
          </w:tcPr>
          <w:p w:rsidR="00295A4D" w:rsidRPr="00295A4D" w:rsidRDefault="00295A4D" w:rsidP="00567E76">
            <w:pPr>
              <w:jc w:val="center"/>
              <w:rPr>
                <w:b/>
                <w:bCs/>
                <w:color w:val="000000"/>
                <w:sz w:val="20"/>
                <w:szCs w:val="20"/>
                <w:lang w:val="en-CA" w:eastAsia="es-419"/>
              </w:rPr>
            </w:pP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t>&gt;0 &lt;15</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587,500</w:t>
            </w:r>
          </w:p>
        </w:tc>
        <w:tc>
          <w:tcPr>
            <w:tcW w:w="897" w:type="pct"/>
            <w:shd w:val="clear" w:color="auto" w:fill="auto"/>
            <w:tcMar>
              <w:right w:w="202" w:type="dxa"/>
            </w:tcMar>
            <w:vAlign w:val="center"/>
          </w:tcPr>
          <w:p w:rsidR="00295A4D" w:rsidRPr="00D11999" w:rsidRDefault="00C2351F" w:rsidP="00295A4D">
            <w:pPr>
              <w:jc w:val="right"/>
              <w:rPr>
                <w:color w:val="000000"/>
                <w:sz w:val="19"/>
                <w:szCs w:val="19"/>
                <w:lang w:val="en-CA" w:eastAsia="es-419"/>
              </w:rPr>
            </w:pPr>
            <w:r w:rsidRPr="00D11999">
              <w:rPr>
                <w:color w:val="000000"/>
                <w:sz w:val="19"/>
                <w:szCs w:val="19"/>
                <w:lang w:val="en-CA" w:eastAsia="es-419"/>
              </w:rPr>
              <w:t>51,700</w:t>
            </w:r>
          </w:p>
        </w:tc>
        <w:tc>
          <w:tcPr>
            <w:tcW w:w="897" w:type="pct"/>
            <w:shd w:val="clear" w:color="auto" w:fill="auto"/>
            <w:noWrap/>
            <w:tcMar>
              <w:right w:w="202" w:type="dxa"/>
            </w:tcMar>
            <w:vAlign w:val="center"/>
            <w:hideMark/>
          </w:tcPr>
          <w:p w:rsidR="00295A4D" w:rsidRPr="00D11999" w:rsidRDefault="00B141EA" w:rsidP="00295A4D">
            <w:pPr>
              <w:jc w:val="right"/>
              <w:rPr>
                <w:color w:val="000000"/>
                <w:sz w:val="19"/>
                <w:szCs w:val="19"/>
                <w:lang w:val="en-CA" w:eastAsia="es-419"/>
              </w:rPr>
            </w:pPr>
            <w:r w:rsidRPr="00D11999">
              <w:rPr>
                <w:color w:val="000000"/>
                <w:sz w:val="19"/>
                <w:szCs w:val="19"/>
                <w:lang w:val="en-CA" w:eastAsia="es-419"/>
              </w:rPr>
              <w:t>88,125</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21</w:t>
            </w:r>
          </w:p>
        </w:tc>
        <w:tc>
          <w:tcPr>
            <w:tcW w:w="896"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1,850,625</w:t>
            </w: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t>15 &lt;40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750,000</w:t>
            </w:r>
          </w:p>
        </w:tc>
        <w:tc>
          <w:tcPr>
            <w:tcW w:w="897" w:type="pct"/>
            <w:shd w:val="clear" w:color="auto" w:fill="auto"/>
            <w:tcMar>
              <w:right w:w="202" w:type="dxa"/>
            </w:tcMar>
            <w:vAlign w:val="center"/>
          </w:tcPr>
          <w:p w:rsidR="00295A4D" w:rsidRPr="00D11999" w:rsidRDefault="00C2351F" w:rsidP="00C2351F">
            <w:pPr>
              <w:jc w:val="right"/>
              <w:rPr>
                <w:color w:val="000000"/>
                <w:sz w:val="19"/>
                <w:szCs w:val="19"/>
                <w:lang w:val="en-CA" w:eastAsia="es-419"/>
              </w:rPr>
            </w:pPr>
            <w:r w:rsidRPr="00D11999">
              <w:rPr>
                <w:color w:val="000000"/>
                <w:sz w:val="19"/>
                <w:szCs w:val="19"/>
                <w:lang w:val="en-CA" w:eastAsia="es-419"/>
              </w:rPr>
              <w:t>66,000</w:t>
            </w:r>
          </w:p>
        </w:tc>
        <w:tc>
          <w:tcPr>
            <w:tcW w:w="897" w:type="pct"/>
            <w:shd w:val="clear" w:color="auto" w:fill="auto"/>
            <w:noWrap/>
            <w:tcMar>
              <w:right w:w="202" w:type="dxa"/>
            </w:tcMar>
            <w:vAlign w:val="center"/>
            <w:hideMark/>
          </w:tcPr>
          <w:p w:rsidR="00B141EA" w:rsidRPr="00D11999" w:rsidRDefault="00B141EA" w:rsidP="00B141EA">
            <w:pPr>
              <w:jc w:val="right"/>
              <w:rPr>
                <w:color w:val="000000"/>
                <w:sz w:val="19"/>
                <w:szCs w:val="19"/>
                <w:lang w:val="en-CA" w:eastAsia="es-419"/>
              </w:rPr>
            </w:pPr>
            <w:r w:rsidRPr="00D11999">
              <w:rPr>
                <w:color w:val="000000"/>
                <w:sz w:val="19"/>
                <w:szCs w:val="19"/>
                <w:lang w:val="en-CA" w:eastAsia="es-419"/>
              </w:rPr>
              <w:t>112,500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17</w:t>
            </w:r>
          </w:p>
        </w:tc>
        <w:tc>
          <w:tcPr>
            <w:tcW w:w="896"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1,912,000</w:t>
            </w: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lastRenderedPageBreak/>
              <w:t>40 &lt;80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800,000</w:t>
            </w:r>
          </w:p>
        </w:tc>
        <w:tc>
          <w:tcPr>
            <w:tcW w:w="897" w:type="pct"/>
            <w:shd w:val="clear" w:color="auto" w:fill="auto"/>
            <w:tcMar>
              <w:right w:w="202" w:type="dxa"/>
            </w:tcMar>
            <w:vAlign w:val="center"/>
          </w:tcPr>
          <w:p w:rsidR="00295A4D" w:rsidRPr="00D11999" w:rsidRDefault="00C2351F" w:rsidP="00C2351F">
            <w:pPr>
              <w:jc w:val="right"/>
              <w:rPr>
                <w:color w:val="000000"/>
                <w:sz w:val="19"/>
                <w:szCs w:val="19"/>
                <w:lang w:val="en-CA" w:eastAsia="es-419"/>
              </w:rPr>
            </w:pPr>
            <w:r w:rsidRPr="00D11999">
              <w:rPr>
                <w:color w:val="000000"/>
                <w:sz w:val="19"/>
                <w:szCs w:val="19"/>
                <w:lang w:val="en-CA" w:eastAsia="es-419"/>
              </w:rPr>
              <w:t>88,000</w:t>
            </w:r>
          </w:p>
        </w:tc>
        <w:tc>
          <w:tcPr>
            <w:tcW w:w="897" w:type="pct"/>
            <w:shd w:val="clear" w:color="auto" w:fill="auto"/>
            <w:noWrap/>
            <w:tcMar>
              <w:right w:w="202" w:type="dxa"/>
            </w:tcMar>
            <w:vAlign w:val="center"/>
            <w:hideMark/>
          </w:tcPr>
          <w:p w:rsidR="00B141EA" w:rsidRPr="00D11999" w:rsidRDefault="00B141EA" w:rsidP="00B141EA">
            <w:pPr>
              <w:jc w:val="right"/>
              <w:rPr>
                <w:color w:val="000000"/>
                <w:sz w:val="19"/>
                <w:szCs w:val="19"/>
                <w:lang w:val="en-CA" w:eastAsia="es-419"/>
              </w:rPr>
            </w:pPr>
            <w:r w:rsidRPr="00D11999">
              <w:rPr>
                <w:color w:val="000000"/>
                <w:sz w:val="19"/>
                <w:szCs w:val="19"/>
                <w:lang w:val="en-CA" w:eastAsia="es-419"/>
              </w:rPr>
              <w:t>120,000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13</w:t>
            </w:r>
          </w:p>
        </w:tc>
        <w:tc>
          <w:tcPr>
            <w:tcW w:w="896"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1,560,000</w:t>
            </w: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t>80 &lt;120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900,000</w:t>
            </w:r>
          </w:p>
        </w:tc>
        <w:tc>
          <w:tcPr>
            <w:tcW w:w="897" w:type="pct"/>
            <w:shd w:val="clear" w:color="auto" w:fill="auto"/>
            <w:tcMar>
              <w:right w:w="202" w:type="dxa"/>
            </w:tcMar>
            <w:vAlign w:val="center"/>
          </w:tcPr>
          <w:p w:rsidR="00295A4D" w:rsidRPr="00D11999" w:rsidRDefault="00C2351F" w:rsidP="00295A4D">
            <w:pPr>
              <w:jc w:val="right"/>
              <w:rPr>
                <w:color w:val="000000"/>
                <w:sz w:val="19"/>
                <w:szCs w:val="19"/>
                <w:lang w:val="en-CA" w:eastAsia="es-419"/>
              </w:rPr>
            </w:pPr>
            <w:r w:rsidRPr="00D11999">
              <w:rPr>
                <w:color w:val="000000"/>
                <w:sz w:val="19"/>
                <w:szCs w:val="19"/>
                <w:lang w:val="en-CA" w:eastAsia="es-419"/>
              </w:rPr>
              <w:t>99,000</w:t>
            </w:r>
          </w:p>
        </w:tc>
        <w:tc>
          <w:tcPr>
            <w:tcW w:w="897" w:type="pct"/>
            <w:shd w:val="clear" w:color="auto" w:fill="auto"/>
            <w:noWrap/>
            <w:tcMar>
              <w:right w:w="202" w:type="dxa"/>
            </w:tcMar>
            <w:vAlign w:val="center"/>
            <w:hideMark/>
          </w:tcPr>
          <w:p w:rsidR="00B141EA" w:rsidRPr="00D11999" w:rsidRDefault="00B141EA" w:rsidP="00B141EA">
            <w:pPr>
              <w:jc w:val="right"/>
              <w:rPr>
                <w:color w:val="000000"/>
                <w:sz w:val="19"/>
                <w:szCs w:val="19"/>
                <w:lang w:val="en-CA" w:eastAsia="es-419"/>
              </w:rPr>
            </w:pPr>
            <w:r w:rsidRPr="00D11999">
              <w:rPr>
                <w:color w:val="000000"/>
                <w:sz w:val="19"/>
                <w:szCs w:val="19"/>
                <w:lang w:val="en-CA" w:eastAsia="es-419"/>
              </w:rPr>
              <w:t>135,000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10</w:t>
            </w:r>
          </w:p>
        </w:tc>
        <w:tc>
          <w:tcPr>
            <w:tcW w:w="896"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1,350,000</w:t>
            </w: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t>120 &lt;160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950,000</w:t>
            </w:r>
          </w:p>
        </w:tc>
        <w:tc>
          <w:tcPr>
            <w:tcW w:w="897" w:type="pct"/>
            <w:shd w:val="clear" w:color="auto" w:fill="auto"/>
            <w:tcMar>
              <w:right w:w="202" w:type="dxa"/>
            </w:tcMar>
            <w:vAlign w:val="center"/>
          </w:tcPr>
          <w:p w:rsidR="00295A4D" w:rsidRPr="00D11999" w:rsidRDefault="00C2351F" w:rsidP="00295A4D">
            <w:pPr>
              <w:jc w:val="right"/>
              <w:rPr>
                <w:color w:val="000000"/>
                <w:sz w:val="19"/>
                <w:szCs w:val="19"/>
                <w:lang w:val="en-CA" w:eastAsia="es-419"/>
              </w:rPr>
            </w:pPr>
            <w:r w:rsidRPr="00D11999">
              <w:rPr>
                <w:color w:val="000000"/>
                <w:sz w:val="19"/>
                <w:szCs w:val="19"/>
                <w:lang w:val="en-CA" w:eastAsia="es-419"/>
              </w:rPr>
              <w:t>104,500</w:t>
            </w:r>
          </w:p>
        </w:tc>
        <w:tc>
          <w:tcPr>
            <w:tcW w:w="897" w:type="pct"/>
            <w:shd w:val="clear" w:color="auto" w:fill="auto"/>
            <w:noWrap/>
            <w:tcMar>
              <w:right w:w="202" w:type="dxa"/>
            </w:tcMar>
            <w:vAlign w:val="center"/>
            <w:hideMark/>
          </w:tcPr>
          <w:p w:rsidR="00B141EA" w:rsidRPr="00D11999" w:rsidRDefault="00265D59" w:rsidP="00B141EA">
            <w:pPr>
              <w:jc w:val="right"/>
              <w:rPr>
                <w:color w:val="000000"/>
                <w:sz w:val="19"/>
                <w:szCs w:val="19"/>
                <w:lang w:val="en-CA" w:eastAsia="es-419"/>
              </w:rPr>
            </w:pPr>
            <w:r w:rsidRPr="00D11999">
              <w:rPr>
                <w:color w:val="000000"/>
                <w:sz w:val="19"/>
                <w:szCs w:val="19"/>
                <w:lang w:val="en-CA" w:eastAsia="es-419"/>
              </w:rPr>
              <w:t>142,500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9</w:t>
            </w:r>
          </w:p>
        </w:tc>
        <w:tc>
          <w:tcPr>
            <w:tcW w:w="896"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1,282,500</w:t>
            </w: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t>160 &lt;200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1,000,000</w:t>
            </w:r>
          </w:p>
        </w:tc>
        <w:tc>
          <w:tcPr>
            <w:tcW w:w="897" w:type="pct"/>
            <w:shd w:val="clear" w:color="auto" w:fill="auto"/>
            <w:tcMar>
              <w:right w:w="202" w:type="dxa"/>
            </w:tcMar>
            <w:vAlign w:val="center"/>
          </w:tcPr>
          <w:p w:rsidR="00295A4D" w:rsidRPr="00D11999" w:rsidRDefault="00C2351F" w:rsidP="00295A4D">
            <w:pPr>
              <w:jc w:val="right"/>
              <w:rPr>
                <w:color w:val="000000"/>
                <w:sz w:val="19"/>
                <w:szCs w:val="19"/>
                <w:lang w:val="en-CA" w:eastAsia="es-419"/>
              </w:rPr>
            </w:pPr>
            <w:r w:rsidRPr="00D11999">
              <w:rPr>
                <w:color w:val="000000"/>
                <w:sz w:val="19"/>
                <w:szCs w:val="19"/>
                <w:lang w:val="en-CA" w:eastAsia="es-419"/>
              </w:rPr>
              <w:t>110,000</w:t>
            </w:r>
          </w:p>
        </w:tc>
        <w:tc>
          <w:tcPr>
            <w:tcW w:w="897"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150,000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3</w:t>
            </w:r>
          </w:p>
        </w:tc>
        <w:tc>
          <w:tcPr>
            <w:tcW w:w="896" w:type="pct"/>
            <w:shd w:val="clear" w:color="auto" w:fill="auto"/>
            <w:noWrap/>
            <w:tcMar>
              <w:right w:w="202" w:type="dxa"/>
            </w:tcMar>
            <w:vAlign w:val="center"/>
            <w:hideMark/>
          </w:tcPr>
          <w:p w:rsidR="00295A4D" w:rsidRPr="00D11999" w:rsidRDefault="00265D59" w:rsidP="00265D59">
            <w:pPr>
              <w:jc w:val="right"/>
              <w:rPr>
                <w:color w:val="000000"/>
                <w:sz w:val="19"/>
                <w:szCs w:val="19"/>
                <w:lang w:val="en-CA" w:eastAsia="es-419"/>
              </w:rPr>
            </w:pPr>
            <w:r w:rsidRPr="00D11999">
              <w:rPr>
                <w:color w:val="000000"/>
                <w:sz w:val="19"/>
                <w:szCs w:val="19"/>
                <w:lang w:val="en-CA" w:eastAsia="es-419"/>
              </w:rPr>
              <w:t>450,000</w:t>
            </w: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t>200 &lt;320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1,600,000</w:t>
            </w:r>
          </w:p>
        </w:tc>
        <w:tc>
          <w:tcPr>
            <w:tcW w:w="897" w:type="pct"/>
            <w:shd w:val="clear" w:color="auto" w:fill="auto"/>
            <w:tcMar>
              <w:right w:w="202" w:type="dxa"/>
            </w:tcMar>
            <w:vAlign w:val="center"/>
          </w:tcPr>
          <w:p w:rsidR="00295A4D" w:rsidRPr="00D11999" w:rsidRDefault="00C2351F" w:rsidP="00295A4D">
            <w:pPr>
              <w:jc w:val="right"/>
              <w:rPr>
                <w:color w:val="000000"/>
                <w:sz w:val="19"/>
                <w:szCs w:val="19"/>
                <w:lang w:val="en-CA" w:eastAsia="es-419"/>
              </w:rPr>
            </w:pPr>
            <w:r w:rsidRPr="00D11999">
              <w:rPr>
                <w:color w:val="000000"/>
                <w:sz w:val="19"/>
                <w:szCs w:val="19"/>
                <w:lang w:val="en-CA" w:eastAsia="es-419"/>
              </w:rPr>
              <w:t>176,000</w:t>
            </w:r>
          </w:p>
        </w:tc>
        <w:tc>
          <w:tcPr>
            <w:tcW w:w="897"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240,000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12</w:t>
            </w:r>
          </w:p>
        </w:tc>
        <w:tc>
          <w:tcPr>
            <w:tcW w:w="896"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2,880,000</w:t>
            </w:r>
          </w:p>
        </w:tc>
      </w:tr>
      <w:tr w:rsidR="00295A4D" w:rsidRPr="00295A4D" w:rsidTr="00D11999">
        <w:tc>
          <w:tcPr>
            <w:tcW w:w="518" w:type="pct"/>
            <w:shd w:val="clear" w:color="auto" w:fill="auto"/>
            <w:noWrap/>
            <w:hideMark/>
          </w:tcPr>
          <w:p w:rsidR="00295A4D" w:rsidRPr="00D11999" w:rsidRDefault="00295A4D" w:rsidP="00A96491">
            <w:pPr>
              <w:jc w:val="left"/>
              <w:rPr>
                <w:color w:val="000000"/>
                <w:sz w:val="19"/>
                <w:szCs w:val="19"/>
                <w:lang w:val="en-CA" w:eastAsia="es-419"/>
              </w:rPr>
            </w:pPr>
            <w:r w:rsidRPr="00D11999">
              <w:rPr>
                <w:color w:val="000000"/>
                <w:sz w:val="19"/>
                <w:szCs w:val="19"/>
                <w:lang w:val="en-CA" w:eastAsia="es-419"/>
              </w:rPr>
              <w:t>320 &lt;360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1,800,000</w:t>
            </w:r>
          </w:p>
        </w:tc>
        <w:tc>
          <w:tcPr>
            <w:tcW w:w="897" w:type="pct"/>
            <w:shd w:val="clear" w:color="auto" w:fill="auto"/>
            <w:tcMar>
              <w:right w:w="202" w:type="dxa"/>
            </w:tcMar>
            <w:vAlign w:val="center"/>
          </w:tcPr>
          <w:p w:rsidR="00295A4D" w:rsidRPr="00D11999" w:rsidRDefault="00C2351F" w:rsidP="00295A4D">
            <w:pPr>
              <w:jc w:val="right"/>
              <w:rPr>
                <w:color w:val="000000"/>
                <w:sz w:val="19"/>
                <w:szCs w:val="19"/>
                <w:lang w:val="en-CA" w:eastAsia="es-419"/>
              </w:rPr>
            </w:pPr>
            <w:r w:rsidRPr="00D11999">
              <w:rPr>
                <w:color w:val="000000"/>
                <w:sz w:val="19"/>
                <w:szCs w:val="19"/>
                <w:lang w:val="en-CA" w:eastAsia="es-419"/>
              </w:rPr>
              <w:t>198,000</w:t>
            </w:r>
          </w:p>
        </w:tc>
        <w:tc>
          <w:tcPr>
            <w:tcW w:w="897" w:type="pct"/>
            <w:shd w:val="clear" w:color="auto" w:fill="auto"/>
            <w:noWrap/>
            <w:tcMar>
              <w:right w:w="202" w:type="dxa"/>
            </w:tcMar>
            <w:vAlign w:val="center"/>
            <w:hideMark/>
          </w:tcPr>
          <w:p w:rsidR="00265D59" w:rsidRPr="00D11999" w:rsidRDefault="00265D59" w:rsidP="00265D59">
            <w:pPr>
              <w:jc w:val="right"/>
              <w:rPr>
                <w:color w:val="000000"/>
                <w:sz w:val="19"/>
                <w:szCs w:val="19"/>
                <w:lang w:val="en-CA" w:eastAsia="es-419"/>
              </w:rPr>
            </w:pPr>
            <w:r w:rsidRPr="00D11999">
              <w:rPr>
                <w:color w:val="000000"/>
                <w:sz w:val="19"/>
                <w:szCs w:val="19"/>
                <w:lang w:val="en-CA" w:eastAsia="es-419"/>
              </w:rPr>
              <w:t>270,000</w:t>
            </w:r>
          </w:p>
        </w:tc>
        <w:tc>
          <w:tcPr>
            <w:tcW w:w="896" w:type="pct"/>
            <w:shd w:val="clear" w:color="auto" w:fill="auto"/>
            <w:noWrap/>
            <w:tcMar>
              <w:right w:w="202" w:type="dxa"/>
            </w:tcMar>
            <w:vAlign w:val="center"/>
            <w:hideMark/>
          </w:tcPr>
          <w:p w:rsidR="00295A4D" w:rsidRPr="00D11999" w:rsidRDefault="00295A4D" w:rsidP="00295A4D">
            <w:pPr>
              <w:jc w:val="right"/>
              <w:rPr>
                <w:color w:val="000000"/>
                <w:sz w:val="19"/>
                <w:szCs w:val="19"/>
                <w:lang w:val="en-CA" w:eastAsia="es-419"/>
              </w:rPr>
            </w:pPr>
            <w:r w:rsidRPr="00D11999">
              <w:rPr>
                <w:color w:val="000000"/>
                <w:sz w:val="19"/>
                <w:szCs w:val="19"/>
                <w:lang w:val="en-CA" w:eastAsia="es-419"/>
              </w:rPr>
              <w:t>2</w:t>
            </w:r>
          </w:p>
        </w:tc>
        <w:tc>
          <w:tcPr>
            <w:tcW w:w="896" w:type="pct"/>
            <w:shd w:val="clear" w:color="auto" w:fill="auto"/>
            <w:noWrap/>
            <w:tcMar>
              <w:right w:w="202" w:type="dxa"/>
            </w:tcMar>
            <w:vAlign w:val="center"/>
            <w:hideMark/>
          </w:tcPr>
          <w:p w:rsidR="00265D59" w:rsidRPr="00D11999" w:rsidRDefault="00265D59" w:rsidP="00295A4D">
            <w:pPr>
              <w:jc w:val="right"/>
              <w:rPr>
                <w:color w:val="000000"/>
                <w:sz w:val="19"/>
                <w:szCs w:val="19"/>
                <w:lang w:val="en-CA" w:eastAsia="es-419"/>
              </w:rPr>
            </w:pPr>
            <w:r w:rsidRPr="00D11999">
              <w:rPr>
                <w:color w:val="000000"/>
                <w:sz w:val="19"/>
                <w:szCs w:val="19"/>
                <w:lang w:val="en-CA" w:eastAsia="es-419"/>
              </w:rPr>
              <w:t>540,000</w:t>
            </w:r>
          </w:p>
        </w:tc>
      </w:tr>
    </w:tbl>
    <w:p w:rsidR="00570E52" w:rsidRPr="00D11999" w:rsidRDefault="001C5EB0" w:rsidP="001C5EB0">
      <w:pPr>
        <w:pStyle w:val="Heading1"/>
        <w:numPr>
          <w:ilvl w:val="0"/>
          <w:numId w:val="0"/>
        </w:numPr>
        <w:rPr>
          <w:sz w:val="18"/>
          <w:szCs w:val="19"/>
          <w:lang w:val="en-CA"/>
        </w:rPr>
      </w:pPr>
      <w:r w:rsidRPr="00D11999">
        <w:rPr>
          <w:sz w:val="18"/>
          <w:szCs w:val="19"/>
          <w:lang w:val="en-CA"/>
        </w:rPr>
        <w:t>*</w:t>
      </w:r>
      <w:r w:rsidR="00295A4D" w:rsidRPr="00D11999">
        <w:rPr>
          <w:sz w:val="18"/>
          <w:szCs w:val="19"/>
          <w:lang w:val="en-CA"/>
        </w:rPr>
        <w:t>S</w:t>
      </w:r>
      <w:r w:rsidRPr="00D11999">
        <w:rPr>
          <w:sz w:val="18"/>
          <w:szCs w:val="19"/>
          <w:lang w:val="en-CA"/>
        </w:rPr>
        <w:t xml:space="preserve">even non-LVC countries (Benin, Burkina Faso, Democratic Republic of </w:t>
      </w:r>
      <w:r w:rsidR="00736761" w:rsidRPr="00D11999">
        <w:rPr>
          <w:sz w:val="18"/>
          <w:szCs w:val="19"/>
          <w:lang w:val="en-CA"/>
        </w:rPr>
        <w:t xml:space="preserve">the </w:t>
      </w:r>
      <w:r w:rsidRPr="00D11999">
        <w:rPr>
          <w:sz w:val="18"/>
          <w:szCs w:val="19"/>
          <w:lang w:val="en-CA"/>
        </w:rPr>
        <w:t>Congo, Ecuador, Gabon, Madagascar and Togo)</w:t>
      </w:r>
      <w:r w:rsidR="00193C6C" w:rsidRPr="00D11999">
        <w:rPr>
          <w:sz w:val="18"/>
          <w:szCs w:val="19"/>
          <w:lang w:val="en-CA"/>
        </w:rPr>
        <w:t>,</w:t>
      </w:r>
      <w:r w:rsidR="00295A4D" w:rsidRPr="00D11999">
        <w:rPr>
          <w:sz w:val="18"/>
          <w:szCs w:val="19"/>
          <w:lang w:val="en-CA"/>
        </w:rPr>
        <w:t xml:space="preserve"> requested funding</w:t>
      </w:r>
      <w:r w:rsidR="00193C6C" w:rsidRPr="00D11999">
        <w:rPr>
          <w:sz w:val="18"/>
          <w:szCs w:val="19"/>
          <w:lang w:val="en-CA"/>
        </w:rPr>
        <w:t xml:space="preserve"> similar to countries with an HCFC baseline between 320 and 360</w:t>
      </w:r>
      <w:r w:rsidR="00B04C62" w:rsidRPr="00D11999">
        <w:rPr>
          <w:sz w:val="18"/>
          <w:szCs w:val="19"/>
          <w:lang w:val="en-CA"/>
        </w:rPr>
        <w:t> mt</w:t>
      </w:r>
      <w:r w:rsidR="00193C6C" w:rsidRPr="00D11999">
        <w:rPr>
          <w:sz w:val="18"/>
          <w:szCs w:val="19"/>
          <w:lang w:val="en-CA"/>
        </w:rPr>
        <w:t>.</w:t>
      </w:r>
      <w:r w:rsidRPr="00D11999">
        <w:rPr>
          <w:sz w:val="18"/>
          <w:szCs w:val="19"/>
          <w:lang w:val="en-CA"/>
        </w:rPr>
        <w:t xml:space="preserve"> </w:t>
      </w:r>
    </w:p>
    <w:p w:rsidR="008E7249" w:rsidRPr="0087079F" w:rsidRDefault="0057387A" w:rsidP="0087079F">
      <w:pPr>
        <w:pStyle w:val="Heading1"/>
        <w:rPr>
          <w:lang w:val="en-CA"/>
        </w:rPr>
      </w:pPr>
      <w:r w:rsidRPr="0087079F">
        <w:rPr>
          <w:lang w:val="en-CA"/>
        </w:rPr>
        <w:t xml:space="preserve">For </w:t>
      </w:r>
      <w:r w:rsidR="00451693" w:rsidRPr="0087079F">
        <w:rPr>
          <w:lang w:val="en-CA"/>
        </w:rPr>
        <w:t>many</w:t>
      </w:r>
      <w:r w:rsidR="00F82ED4" w:rsidRPr="0087079F">
        <w:rPr>
          <w:lang w:val="en-CA"/>
        </w:rPr>
        <w:t xml:space="preserve"> </w:t>
      </w:r>
      <w:r w:rsidRPr="0087079F">
        <w:rPr>
          <w:lang w:val="en-CA"/>
        </w:rPr>
        <w:t xml:space="preserve">non-LVC countries, </w:t>
      </w:r>
      <w:r w:rsidR="00C9495E" w:rsidRPr="0087079F">
        <w:rPr>
          <w:lang w:val="en-CA"/>
        </w:rPr>
        <w:t xml:space="preserve">it </w:t>
      </w:r>
      <w:r w:rsidR="00F82ED4" w:rsidRPr="0087079F">
        <w:rPr>
          <w:lang w:val="en-CA"/>
        </w:rPr>
        <w:t xml:space="preserve">could </w:t>
      </w:r>
      <w:r w:rsidR="00C9495E" w:rsidRPr="0087079F">
        <w:rPr>
          <w:lang w:val="en-CA"/>
        </w:rPr>
        <w:t>be expected that compliance with the freeze and the 10</w:t>
      </w:r>
      <w:r w:rsidR="00736761" w:rsidRPr="0087079F">
        <w:rPr>
          <w:lang w:val="en-CA"/>
        </w:rPr>
        <w:t> </w:t>
      </w:r>
      <w:r w:rsidR="00C9495E" w:rsidRPr="0087079F">
        <w:rPr>
          <w:lang w:val="en-CA"/>
        </w:rPr>
        <w:t>per</w:t>
      </w:r>
      <w:r w:rsidR="00736761" w:rsidRPr="0087079F">
        <w:rPr>
          <w:lang w:val="en-CA"/>
        </w:rPr>
        <w:t> </w:t>
      </w:r>
      <w:r w:rsidR="00C9495E" w:rsidRPr="0087079F">
        <w:rPr>
          <w:lang w:val="en-CA"/>
        </w:rPr>
        <w:t xml:space="preserve">cent reduction of the HFC baseline </w:t>
      </w:r>
      <w:r w:rsidR="00F82ED4" w:rsidRPr="0087079F">
        <w:rPr>
          <w:lang w:val="en-CA"/>
        </w:rPr>
        <w:t xml:space="preserve">could </w:t>
      </w:r>
      <w:r w:rsidR="00C9495E" w:rsidRPr="0087079F">
        <w:rPr>
          <w:lang w:val="en-CA"/>
        </w:rPr>
        <w:t xml:space="preserve">be met </w:t>
      </w:r>
      <w:r w:rsidR="00F82ED4" w:rsidRPr="0087079F">
        <w:rPr>
          <w:lang w:val="en-CA"/>
        </w:rPr>
        <w:t>solely</w:t>
      </w:r>
      <w:r w:rsidR="00B350FF" w:rsidRPr="0087079F">
        <w:rPr>
          <w:lang w:val="en-CA"/>
        </w:rPr>
        <w:t xml:space="preserve"> or mostly</w:t>
      </w:r>
      <w:r w:rsidR="00F82ED4" w:rsidRPr="0087079F">
        <w:rPr>
          <w:lang w:val="en-CA"/>
        </w:rPr>
        <w:t xml:space="preserve"> </w:t>
      </w:r>
      <w:r w:rsidR="00C9495E" w:rsidRPr="0087079F">
        <w:rPr>
          <w:lang w:val="en-CA"/>
        </w:rPr>
        <w:t>through the conversion of manufacturing enterprises</w:t>
      </w:r>
      <w:r w:rsidR="00F82ED4" w:rsidRPr="00E57EF4">
        <w:rPr>
          <w:lang w:val="en-CA"/>
        </w:rPr>
        <w:t xml:space="preserve">. </w:t>
      </w:r>
      <w:r w:rsidR="00C507A0" w:rsidRPr="00E57EF4">
        <w:rPr>
          <w:lang w:val="en-CA"/>
        </w:rPr>
        <w:t>G</w:t>
      </w:r>
      <w:r w:rsidR="00F82ED4" w:rsidRPr="00E57EF4">
        <w:rPr>
          <w:lang w:val="en-CA"/>
        </w:rPr>
        <w:t xml:space="preserve">iven that non-LVC countries will be extensively implementing activities </w:t>
      </w:r>
      <w:r w:rsidR="00C9495E" w:rsidRPr="00E57EF4">
        <w:rPr>
          <w:lang w:val="en-CA"/>
        </w:rPr>
        <w:t>in the refrigeration servicing sector</w:t>
      </w:r>
      <w:r w:rsidR="00F82ED4" w:rsidRPr="00E57EF4">
        <w:rPr>
          <w:lang w:val="en-CA"/>
        </w:rPr>
        <w:t xml:space="preserve"> to meet their </w:t>
      </w:r>
      <w:r w:rsidR="00B350FF" w:rsidRPr="00E57EF4">
        <w:rPr>
          <w:lang w:val="en-CA"/>
        </w:rPr>
        <w:t xml:space="preserve">last </w:t>
      </w:r>
      <w:r w:rsidR="00F82ED4" w:rsidRPr="00E57EF4">
        <w:rPr>
          <w:lang w:val="en-CA"/>
        </w:rPr>
        <w:t xml:space="preserve">HCFC compliance targets, </w:t>
      </w:r>
      <w:r w:rsidR="00C507A0" w:rsidRPr="00E57EF4">
        <w:rPr>
          <w:lang w:val="en-CA"/>
        </w:rPr>
        <w:t xml:space="preserve">and notwithstanding the </w:t>
      </w:r>
      <w:r w:rsidR="002E0A80" w:rsidRPr="00E57EF4">
        <w:rPr>
          <w:lang w:val="en-CA"/>
        </w:rPr>
        <w:t>funding</w:t>
      </w:r>
      <w:r w:rsidR="00E43FA2" w:rsidRPr="00E57EF4">
        <w:rPr>
          <w:lang w:val="en-CA"/>
        </w:rPr>
        <w:t xml:space="preserve"> </w:t>
      </w:r>
      <w:r w:rsidR="002E0A80" w:rsidRPr="00E57EF4">
        <w:rPr>
          <w:lang w:val="en-CA"/>
        </w:rPr>
        <w:t>still</w:t>
      </w:r>
      <w:r w:rsidR="00E43FA2" w:rsidRPr="00E57EF4">
        <w:rPr>
          <w:lang w:val="en-CA"/>
        </w:rPr>
        <w:t xml:space="preserve"> </w:t>
      </w:r>
      <w:r w:rsidR="00F82ED4" w:rsidRPr="00E57EF4">
        <w:rPr>
          <w:lang w:val="en-CA"/>
        </w:rPr>
        <w:t xml:space="preserve">not being disbursed or yet </w:t>
      </w:r>
      <w:r w:rsidR="002E0A80" w:rsidRPr="00E57EF4">
        <w:rPr>
          <w:lang w:val="en-CA"/>
        </w:rPr>
        <w:t xml:space="preserve">to be approved </w:t>
      </w:r>
      <w:r w:rsidR="00F82ED4" w:rsidRPr="00E57EF4">
        <w:rPr>
          <w:lang w:val="en-CA"/>
        </w:rPr>
        <w:t xml:space="preserve">under </w:t>
      </w:r>
      <w:r w:rsidR="002E0A80" w:rsidRPr="00E57EF4">
        <w:rPr>
          <w:lang w:val="en-CA"/>
        </w:rPr>
        <w:t xml:space="preserve">future </w:t>
      </w:r>
      <w:r w:rsidR="00F12103">
        <w:rPr>
          <w:lang w:val="en-CA"/>
        </w:rPr>
        <w:t xml:space="preserve">stages of their </w:t>
      </w:r>
      <w:r w:rsidR="00451693" w:rsidRPr="00E57EF4">
        <w:rPr>
          <w:lang w:val="en-CA"/>
        </w:rPr>
        <w:t>HPMP</w:t>
      </w:r>
      <w:r w:rsidR="00F12103">
        <w:rPr>
          <w:lang w:val="en-CA"/>
        </w:rPr>
        <w:t>s</w:t>
      </w:r>
      <w:r w:rsidR="00566D1E" w:rsidRPr="00E57EF4">
        <w:rPr>
          <w:lang w:val="en-CA"/>
        </w:rPr>
        <w:t xml:space="preserve"> (</w:t>
      </w:r>
      <w:r w:rsidR="00945C08" w:rsidRPr="00CD05D2">
        <w:rPr>
          <w:lang w:val="en-CA"/>
        </w:rPr>
        <w:t>estimated at</w:t>
      </w:r>
      <w:r w:rsidR="00945C08">
        <w:rPr>
          <w:lang w:val="en-CA"/>
        </w:rPr>
        <w:t xml:space="preserve"> </w:t>
      </w:r>
      <w:r w:rsidR="00B04C62">
        <w:rPr>
          <w:lang w:val="en-CA"/>
        </w:rPr>
        <w:t>US $</w:t>
      </w:r>
      <w:r w:rsidR="00451693" w:rsidRPr="00E57EF4">
        <w:rPr>
          <w:lang w:val="en-CA"/>
        </w:rPr>
        <w:t>559.3</w:t>
      </w:r>
      <w:r w:rsidR="009562DA">
        <w:rPr>
          <w:lang w:val="en-CA"/>
        </w:rPr>
        <w:t> </w:t>
      </w:r>
      <w:r w:rsidR="00451693" w:rsidRPr="00E57EF4">
        <w:rPr>
          <w:lang w:val="en-CA"/>
        </w:rPr>
        <w:t>million</w:t>
      </w:r>
      <w:r w:rsidR="00451693">
        <w:rPr>
          <w:rStyle w:val="FootnoteReference"/>
          <w:lang w:val="en-CA"/>
        </w:rPr>
        <w:footnoteReference w:id="28"/>
      </w:r>
      <w:r w:rsidR="00566D1E" w:rsidRPr="0087079F">
        <w:rPr>
          <w:lang w:val="en-CA"/>
        </w:rPr>
        <w:t>)</w:t>
      </w:r>
      <w:r w:rsidR="00F82ED4" w:rsidRPr="0087079F">
        <w:rPr>
          <w:lang w:val="en-CA"/>
        </w:rPr>
        <w:t xml:space="preserve">, it </w:t>
      </w:r>
      <w:r w:rsidR="00C507A0" w:rsidRPr="0087079F">
        <w:rPr>
          <w:lang w:val="en-CA"/>
        </w:rPr>
        <w:t>would be relevant to approve</w:t>
      </w:r>
      <w:r w:rsidR="00C9495E" w:rsidRPr="0087079F">
        <w:rPr>
          <w:lang w:val="en-CA"/>
        </w:rPr>
        <w:t xml:space="preserve"> additional </w:t>
      </w:r>
      <w:r w:rsidRPr="0087079F">
        <w:rPr>
          <w:lang w:val="en-CA"/>
        </w:rPr>
        <w:t xml:space="preserve">funding </w:t>
      </w:r>
      <w:r w:rsidR="00C9495E" w:rsidRPr="0087079F">
        <w:rPr>
          <w:lang w:val="en-CA"/>
        </w:rPr>
        <w:t xml:space="preserve">for </w:t>
      </w:r>
      <w:r w:rsidR="00566D1E" w:rsidRPr="0087079F">
        <w:rPr>
          <w:lang w:val="en-CA"/>
        </w:rPr>
        <w:t>addressing the phase-down of HFC</w:t>
      </w:r>
      <w:r w:rsidR="003E4851">
        <w:rPr>
          <w:lang w:val="en-CA"/>
        </w:rPr>
        <w:t>s</w:t>
      </w:r>
      <w:r w:rsidR="00566D1E" w:rsidRPr="0087079F">
        <w:rPr>
          <w:lang w:val="en-CA"/>
        </w:rPr>
        <w:t xml:space="preserve"> in </w:t>
      </w:r>
      <w:r w:rsidR="00C9495E" w:rsidRPr="0087079F">
        <w:rPr>
          <w:lang w:val="en-CA"/>
        </w:rPr>
        <w:t>the servicing sector</w:t>
      </w:r>
      <w:r w:rsidR="00451693" w:rsidRPr="0087079F">
        <w:rPr>
          <w:lang w:val="en-CA"/>
        </w:rPr>
        <w:t xml:space="preserve"> as the impact of integrating both group</w:t>
      </w:r>
      <w:r w:rsidR="003E4851">
        <w:rPr>
          <w:lang w:val="en-CA"/>
        </w:rPr>
        <w:t>s</w:t>
      </w:r>
      <w:r w:rsidR="00451693" w:rsidRPr="0087079F">
        <w:rPr>
          <w:lang w:val="en-CA"/>
        </w:rPr>
        <w:t xml:space="preserve"> of substances into a holistic strategy would have a substantive impact on the activities being implemented</w:t>
      </w:r>
      <w:r w:rsidR="00F12103">
        <w:rPr>
          <w:lang w:val="en-CA"/>
        </w:rPr>
        <w:t>,</w:t>
      </w:r>
      <w:r w:rsidR="00451693" w:rsidRPr="0087079F">
        <w:rPr>
          <w:lang w:val="en-CA"/>
        </w:rPr>
        <w:t xml:space="preserve"> and will favour the adoption of low</w:t>
      </w:r>
      <w:r w:rsidR="009562DA">
        <w:rPr>
          <w:lang w:val="en-CA"/>
        </w:rPr>
        <w:noBreakHyphen/>
      </w:r>
      <w:r w:rsidR="00451693" w:rsidRPr="0087079F">
        <w:rPr>
          <w:lang w:val="en-CA"/>
        </w:rPr>
        <w:t xml:space="preserve">GWP alternatives during the overlapping period, resulting in lower consumption of HFCs that would have been needed for servicing HFC-based RAC equipment. </w:t>
      </w:r>
      <w:r w:rsidR="00451693" w:rsidRPr="00E57EF4">
        <w:rPr>
          <w:lang w:val="en-CA"/>
        </w:rPr>
        <w:t xml:space="preserve">In addition, </w:t>
      </w:r>
      <w:r w:rsidR="0087079F" w:rsidRPr="00E57EF4">
        <w:rPr>
          <w:lang w:val="en-CA"/>
        </w:rPr>
        <w:t>the funding would help</w:t>
      </w:r>
      <w:r w:rsidR="00451693" w:rsidRPr="00E57EF4">
        <w:rPr>
          <w:lang w:val="en-CA"/>
        </w:rPr>
        <w:t xml:space="preserve"> </w:t>
      </w:r>
      <w:r w:rsidR="00F12103">
        <w:rPr>
          <w:lang w:val="en-CA"/>
        </w:rPr>
        <w:t>non</w:t>
      </w:r>
      <w:r w:rsidR="00D11999">
        <w:rPr>
          <w:lang w:val="en-CA"/>
        </w:rPr>
        <w:noBreakHyphen/>
      </w:r>
      <w:r w:rsidR="00F12103">
        <w:rPr>
          <w:lang w:val="en-CA"/>
        </w:rPr>
        <w:t xml:space="preserve">LVC </w:t>
      </w:r>
      <w:r w:rsidR="00CD7A07">
        <w:rPr>
          <w:lang w:val="en-CA"/>
        </w:rPr>
        <w:t xml:space="preserve">countries </w:t>
      </w:r>
      <w:r w:rsidR="00E57EF4">
        <w:rPr>
          <w:lang w:val="en-CA"/>
        </w:rPr>
        <w:t xml:space="preserve">start </w:t>
      </w:r>
      <w:r w:rsidR="00451693" w:rsidRPr="00E57EF4">
        <w:rPr>
          <w:lang w:val="en-CA"/>
        </w:rPr>
        <w:t>address</w:t>
      </w:r>
      <w:r w:rsidR="00E57EF4">
        <w:rPr>
          <w:lang w:val="en-CA"/>
        </w:rPr>
        <w:t>ing</w:t>
      </w:r>
      <w:r w:rsidR="0087079F">
        <w:rPr>
          <w:lang w:val="en-CA"/>
        </w:rPr>
        <w:t>,</w:t>
      </w:r>
      <w:r w:rsidR="0087079F" w:rsidRPr="0087079F">
        <w:rPr>
          <w:lang w:val="en-CA"/>
        </w:rPr>
        <w:t xml:space="preserve"> whe</w:t>
      </w:r>
      <w:r w:rsidR="0087079F">
        <w:rPr>
          <w:lang w:val="en-CA"/>
        </w:rPr>
        <w:t>re</w:t>
      </w:r>
      <w:r w:rsidR="00E57EF4">
        <w:rPr>
          <w:lang w:val="en-CA"/>
        </w:rPr>
        <w:t xml:space="preserve"> needed</w:t>
      </w:r>
      <w:r w:rsidR="0087079F">
        <w:rPr>
          <w:lang w:val="en-CA"/>
        </w:rPr>
        <w:t>,</w:t>
      </w:r>
      <w:r w:rsidR="0087079F" w:rsidRPr="0087079F">
        <w:rPr>
          <w:lang w:val="en-CA"/>
        </w:rPr>
        <w:t xml:space="preserve"> </w:t>
      </w:r>
      <w:r w:rsidR="00451693" w:rsidRPr="0087079F">
        <w:rPr>
          <w:lang w:val="en-CA"/>
        </w:rPr>
        <w:t>those applications not addressed during HCFC phase-out and where growth of HFC consumption needs to be curtailed</w:t>
      </w:r>
      <w:r w:rsidR="0087079F">
        <w:rPr>
          <w:lang w:val="en-CA"/>
        </w:rPr>
        <w:t>.</w:t>
      </w:r>
    </w:p>
    <w:p w:rsidR="00C9495E" w:rsidRPr="007B739B" w:rsidRDefault="00E43FA2" w:rsidP="009C20E4">
      <w:pPr>
        <w:pStyle w:val="Heading1"/>
        <w:rPr>
          <w:lang w:val="en-CA"/>
        </w:rPr>
      </w:pPr>
      <w:r w:rsidRPr="007B739B">
        <w:rPr>
          <w:lang w:val="en-CA"/>
        </w:rPr>
        <w:t>Accordingly,</w:t>
      </w:r>
      <w:r w:rsidR="00CD7A07" w:rsidRPr="007B739B">
        <w:rPr>
          <w:lang w:val="en-CA"/>
        </w:rPr>
        <w:t xml:space="preserve"> </w:t>
      </w:r>
      <w:r w:rsidR="00857D15" w:rsidRPr="007B739B">
        <w:rPr>
          <w:lang w:val="en-CA"/>
        </w:rPr>
        <w:t>taking into consideration the robust set of ongoing activities in the refrigeration servicing sector and the level of funds</w:t>
      </w:r>
      <w:r w:rsidR="004B6167" w:rsidRPr="007B739B">
        <w:rPr>
          <w:lang w:val="en-CA"/>
        </w:rPr>
        <w:t xml:space="preserve"> already approved and </w:t>
      </w:r>
      <w:r w:rsidR="00857D15" w:rsidRPr="007B739B">
        <w:rPr>
          <w:lang w:val="en-CA"/>
        </w:rPr>
        <w:t>available to be approved under the last stages of the HPMPs</w:t>
      </w:r>
      <w:r w:rsidR="004B6167" w:rsidRPr="007B739B">
        <w:rPr>
          <w:lang w:val="en-CA"/>
        </w:rPr>
        <w:t xml:space="preserve"> to non-LVC countries</w:t>
      </w:r>
      <w:r w:rsidR="00857D15" w:rsidRPr="007B739B">
        <w:rPr>
          <w:lang w:val="en-CA"/>
        </w:rPr>
        <w:t xml:space="preserve">, </w:t>
      </w:r>
      <w:r w:rsidR="00CD7A07" w:rsidRPr="007B739B">
        <w:rPr>
          <w:lang w:val="en-CA"/>
        </w:rPr>
        <w:t>the Secretariat proposes</w:t>
      </w:r>
      <w:r w:rsidRPr="007B739B">
        <w:rPr>
          <w:lang w:val="en-CA"/>
        </w:rPr>
        <w:t xml:space="preserve"> </w:t>
      </w:r>
      <w:r w:rsidR="007C7E18" w:rsidRPr="007B739B">
        <w:rPr>
          <w:lang w:val="en-CA"/>
        </w:rPr>
        <w:t xml:space="preserve">additional </w:t>
      </w:r>
      <w:r w:rsidR="008E7249" w:rsidRPr="007B739B">
        <w:rPr>
          <w:lang w:val="en-CA"/>
        </w:rPr>
        <w:t>funding</w:t>
      </w:r>
      <w:r w:rsidR="00F12103" w:rsidRPr="007B739B">
        <w:rPr>
          <w:lang w:val="en-CA"/>
        </w:rPr>
        <w:t xml:space="preserve"> of up to </w:t>
      </w:r>
      <w:r w:rsidR="00B04C62" w:rsidRPr="007B739B">
        <w:rPr>
          <w:lang w:val="en-CA"/>
        </w:rPr>
        <w:t>US $</w:t>
      </w:r>
      <w:r w:rsidR="00CD00BA">
        <w:rPr>
          <w:lang w:val="en-CA"/>
        </w:rPr>
        <w:t>3.20</w:t>
      </w:r>
      <w:r w:rsidR="004B6167" w:rsidRPr="007B739B">
        <w:rPr>
          <w:lang w:val="en-CA"/>
        </w:rPr>
        <w:t>/metric </w:t>
      </w:r>
      <w:r w:rsidR="00F12103" w:rsidRPr="007B739B">
        <w:rPr>
          <w:lang w:val="en-CA"/>
        </w:rPr>
        <w:t>kg</w:t>
      </w:r>
      <w:r w:rsidR="00934924">
        <w:rPr>
          <w:rStyle w:val="FootnoteReference"/>
          <w:lang w:val="en-CA"/>
        </w:rPr>
        <w:footnoteReference w:id="29"/>
      </w:r>
      <w:r w:rsidR="008E7249" w:rsidRPr="007B739B">
        <w:rPr>
          <w:lang w:val="en-CA"/>
        </w:rPr>
        <w:t xml:space="preserve"> for pha</w:t>
      </w:r>
      <w:r w:rsidR="007C7E18" w:rsidRPr="007B739B">
        <w:rPr>
          <w:lang w:val="en-CA"/>
        </w:rPr>
        <w:t>sing down HFCs used in the refrigeration servicing sector</w:t>
      </w:r>
      <w:r w:rsidR="00F12103" w:rsidRPr="007B739B">
        <w:rPr>
          <w:lang w:val="en-CA"/>
        </w:rPr>
        <w:t xml:space="preserve"> by non</w:t>
      </w:r>
      <w:r w:rsidR="00D11999">
        <w:rPr>
          <w:lang w:val="en-CA"/>
        </w:rPr>
        <w:noBreakHyphen/>
      </w:r>
      <w:r w:rsidR="00F12103" w:rsidRPr="007B739B">
        <w:rPr>
          <w:lang w:val="en-CA"/>
        </w:rPr>
        <w:t>LVC countries</w:t>
      </w:r>
      <w:r w:rsidR="00857D15" w:rsidRPr="007B739B">
        <w:rPr>
          <w:lang w:val="en-CA"/>
        </w:rPr>
        <w:t xml:space="preserve"> for stage I of the HFC phase-down plans (i.e., the overlapping period between HCFC phase-out and HFC phase-down)</w:t>
      </w:r>
      <w:r w:rsidR="0057387A" w:rsidRPr="007B739B">
        <w:rPr>
          <w:lang w:val="en-CA"/>
        </w:rPr>
        <w:t>,</w:t>
      </w:r>
      <w:r w:rsidR="00435AF2" w:rsidRPr="007B739B">
        <w:rPr>
          <w:lang w:val="en-CA"/>
        </w:rPr>
        <w:t xml:space="preserve"> </w:t>
      </w:r>
      <w:r w:rsidR="00F13D30" w:rsidRPr="007B739B">
        <w:rPr>
          <w:lang w:val="en-CA"/>
        </w:rPr>
        <w:t xml:space="preserve">on the understanding that the tonnage </w:t>
      </w:r>
      <w:r w:rsidR="00C9495E" w:rsidRPr="007B739B">
        <w:rPr>
          <w:lang w:val="en-CA"/>
        </w:rPr>
        <w:t>associated with the funding approved will be deducted from the starting point for aggregate consumption of HFCs</w:t>
      </w:r>
      <w:r w:rsidR="004B6167" w:rsidRPr="007B739B">
        <w:rPr>
          <w:lang w:val="en-CA"/>
        </w:rPr>
        <w:t xml:space="preserve">, that this </w:t>
      </w:r>
      <w:r w:rsidR="007B739B" w:rsidRPr="007B739B">
        <w:rPr>
          <w:lang w:val="en-CA"/>
        </w:rPr>
        <w:t>amount</w:t>
      </w:r>
      <w:r w:rsidR="004B6167" w:rsidRPr="007B739B">
        <w:rPr>
          <w:lang w:val="en-CA"/>
        </w:rPr>
        <w:t xml:space="preserve"> </w:t>
      </w:r>
      <w:r w:rsidR="007B739B" w:rsidRPr="007B739B">
        <w:rPr>
          <w:lang w:val="en-CA"/>
        </w:rPr>
        <w:t xml:space="preserve">would be </w:t>
      </w:r>
      <w:r w:rsidR="004B6167" w:rsidRPr="007B739B">
        <w:rPr>
          <w:lang w:val="en-CA"/>
        </w:rPr>
        <w:t xml:space="preserve">applicable </w:t>
      </w:r>
      <w:r w:rsidR="007B739B" w:rsidRPr="007B739B">
        <w:rPr>
          <w:lang w:val="en-CA"/>
        </w:rPr>
        <w:t xml:space="preserve">only </w:t>
      </w:r>
      <w:r w:rsidR="004B6167" w:rsidRPr="007B739B">
        <w:rPr>
          <w:lang w:val="en-CA"/>
        </w:rPr>
        <w:t>during the overlapping period and will be reviewed for future stages upon an assessment of need</w:t>
      </w:r>
      <w:r w:rsidR="009C20E4" w:rsidRPr="007B739B">
        <w:rPr>
          <w:lang w:val="en-CA"/>
        </w:rPr>
        <w:t>s for</w:t>
      </w:r>
      <w:r w:rsidR="004B6167" w:rsidRPr="007B739B">
        <w:rPr>
          <w:lang w:val="en-CA"/>
        </w:rPr>
        <w:t xml:space="preserve"> the refrigeration servicing sector to be undertaken in 2028</w:t>
      </w:r>
      <w:r w:rsidR="009C20E4" w:rsidRPr="007B739B">
        <w:rPr>
          <w:lang w:val="en-CA"/>
        </w:rPr>
        <w:t xml:space="preserve"> when HFC baselines will be already established, the sectoral distribution of HFCs will be already known and the scenario of alternatives to HFCs will have evolved.</w:t>
      </w:r>
    </w:p>
    <w:p w:rsidR="003C0F7E" w:rsidRPr="00CD05D2" w:rsidRDefault="00A47930" w:rsidP="00A1109F">
      <w:pPr>
        <w:pStyle w:val="Heading1"/>
        <w:rPr>
          <w:lang w:val="en-CA"/>
        </w:rPr>
      </w:pPr>
      <w:r w:rsidRPr="00CD05D2">
        <w:rPr>
          <w:lang w:val="en-CA"/>
        </w:rPr>
        <w:t>During the HCFC phase-out, s</w:t>
      </w:r>
      <w:r w:rsidR="003C0F7E" w:rsidRPr="00CD05D2">
        <w:rPr>
          <w:lang w:val="en-CA"/>
        </w:rPr>
        <w:t>even non-LVC countries</w:t>
      </w:r>
      <w:r w:rsidR="00B375B3" w:rsidRPr="00CD05D2">
        <w:rPr>
          <w:lang w:val="en-CA"/>
        </w:rPr>
        <w:t>,</w:t>
      </w:r>
      <w:r w:rsidR="003C0F7E" w:rsidRPr="00CD05D2">
        <w:rPr>
          <w:lang w:val="en-CA"/>
        </w:rPr>
        <w:t xml:space="preserve"> </w:t>
      </w:r>
      <w:r w:rsidR="00B375B3" w:rsidRPr="00CD05D2">
        <w:rPr>
          <w:lang w:val="en-CA"/>
        </w:rPr>
        <w:t xml:space="preserve">where the majority of the HCFC </w:t>
      </w:r>
      <w:r w:rsidR="003C0F7E" w:rsidRPr="00CD05D2">
        <w:rPr>
          <w:lang w:val="en-CA"/>
        </w:rPr>
        <w:t xml:space="preserve">consumption </w:t>
      </w:r>
      <w:r w:rsidR="00B375B3" w:rsidRPr="00CD05D2">
        <w:rPr>
          <w:lang w:val="en-CA"/>
        </w:rPr>
        <w:t xml:space="preserve">was related to the </w:t>
      </w:r>
      <w:r w:rsidR="003C0F7E" w:rsidRPr="00CD05D2">
        <w:rPr>
          <w:lang w:val="en-CA"/>
        </w:rPr>
        <w:t>refrigeration servicing sector</w:t>
      </w:r>
      <w:r w:rsidR="00B375B3" w:rsidRPr="00CD05D2">
        <w:rPr>
          <w:lang w:val="en-CA"/>
        </w:rPr>
        <w:t>,</w:t>
      </w:r>
      <w:r w:rsidR="003C0F7E" w:rsidRPr="00CD05D2">
        <w:rPr>
          <w:lang w:val="en-CA"/>
        </w:rPr>
        <w:t xml:space="preserve"> decided to request funding based on the </w:t>
      </w:r>
      <w:r w:rsidR="00B375B3" w:rsidRPr="00CD05D2">
        <w:rPr>
          <w:lang w:val="en-CA"/>
        </w:rPr>
        <w:t>funding levels for LVC countries with HCFC baseline between 3</w:t>
      </w:r>
      <w:r w:rsidR="008A644B" w:rsidRPr="00CD05D2">
        <w:rPr>
          <w:lang w:val="en-CA"/>
        </w:rPr>
        <w:t>2</w:t>
      </w:r>
      <w:r w:rsidR="00B375B3" w:rsidRPr="00CD05D2">
        <w:rPr>
          <w:lang w:val="en-CA"/>
        </w:rPr>
        <w:t>0 and 360</w:t>
      </w:r>
      <w:r w:rsidR="00B04C62" w:rsidRPr="00CD05D2">
        <w:rPr>
          <w:lang w:val="en-CA"/>
        </w:rPr>
        <w:t> mt</w:t>
      </w:r>
      <w:r w:rsidR="00B375B3" w:rsidRPr="00CD05D2">
        <w:rPr>
          <w:lang w:val="en-CA"/>
        </w:rPr>
        <w:t xml:space="preserve">, </w:t>
      </w:r>
      <w:r w:rsidR="008F62D8" w:rsidRPr="00CD05D2">
        <w:rPr>
          <w:lang w:val="en-CA"/>
        </w:rPr>
        <w:t xml:space="preserve">agreed </w:t>
      </w:r>
      <w:r w:rsidR="00B375B3" w:rsidRPr="00CD05D2">
        <w:rPr>
          <w:lang w:val="en-CA"/>
        </w:rPr>
        <w:t xml:space="preserve">under </w:t>
      </w:r>
      <w:r w:rsidR="003C0F7E" w:rsidRPr="00CD05D2">
        <w:rPr>
          <w:lang w:val="en-CA"/>
        </w:rPr>
        <w:t>decision</w:t>
      </w:r>
      <w:r w:rsidR="00147325" w:rsidRPr="00CD05D2">
        <w:rPr>
          <w:lang w:val="en-CA"/>
        </w:rPr>
        <w:t> </w:t>
      </w:r>
      <w:r w:rsidR="003C0F7E" w:rsidRPr="00CD05D2">
        <w:rPr>
          <w:lang w:val="en-CA"/>
        </w:rPr>
        <w:t>74/50.</w:t>
      </w:r>
      <w:r w:rsidR="00111AC3" w:rsidRPr="00CD05D2">
        <w:rPr>
          <w:lang w:val="en-CA"/>
        </w:rPr>
        <w:t xml:space="preserve"> </w:t>
      </w:r>
      <w:r w:rsidR="00A1109F" w:rsidRPr="00CD05D2">
        <w:rPr>
          <w:lang w:val="en-CA"/>
        </w:rPr>
        <w:t xml:space="preserve">At present, it is not known whether </w:t>
      </w:r>
      <w:r w:rsidR="00945C08" w:rsidRPr="00CD05D2">
        <w:rPr>
          <w:lang w:val="en-CA"/>
        </w:rPr>
        <w:t xml:space="preserve">the </w:t>
      </w:r>
      <w:r w:rsidR="00A1109F" w:rsidRPr="00CD05D2">
        <w:rPr>
          <w:lang w:val="en-CA"/>
        </w:rPr>
        <w:t>HFCs</w:t>
      </w:r>
      <w:r w:rsidR="005B7556" w:rsidRPr="00CD05D2">
        <w:rPr>
          <w:lang w:val="en-CA"/>
        </w:rPr>
        <w:t xml:space="preserve"> </w:t>
      </w:r>
      <w:r w:rsidR="00945C08" w:rsidRPr="00CD05D2">
        <w:rPr>
          <w:lang w:val="en-CA"/>
        </w:rPr>
        <w:t xml:space="preserve">consumption </w:t>
      </w:r>
      <w:r w:rsidR="005B7556" w:rsidRPr="00CD05D2">
        <w:rPr>
          <w:lang w:val="en-CA"/>
        </w:rPr>
        <w:t xml:space="preserve">in those seven </w:t>
      </w:r>
      <w:r w:rsidR="00625541" w:rsidRPr="00CD05D2">
        <w:rPr>
          <w:lang w:val="en-CA"/>
        </w:rPr>
        <w:t>countries</w:t>
      </w:r>
      <w:r w:rsidR="00494B6C" w:rsidRPr="00CD05D2">
        <w:rPr>
          <w:lang w:val="en-CA"/>
        </w:rPr>
        <w:t xml:space="preserve"> </w:t>
      </w:r>
      <w:r w:rsidR="00945C08" w:rsidRPr="00CD05D2">
        <w:rPr>
          <w:lang w:val="en-CA"/>
        </w:rPr>
        <w:t>(</w:t>
      </w:r>
      <w:r w:rsidR="00494B6C" w:rsidRPr="00CD05D2">
        <w:rPr>
          <w:lang w:val="en-CA"/>
        </w:rPr>
        <w:t xml:space="preserve">or </w:t>
      </w:r>
      <w:r w:rsidR="00945C08" w:rsidRPr="00CD05D2">
        <w:rPr>
          <w:lang w:val="en-CA"/>
        </w:rPr>
        <w:t xml:space="preserve">possibly </w:t>
      </w:r>
      <w:r w:rsidR="00494B6C" w:rsidRPr="00CD05D2">
        <w:rPr>
          <w:lang w:val="en-CA"/>
        </w:rPr>
        <w:t>in other non-LVC countries</w:t>
      </w:r>
      <w:r w:rsidR="00945C08" w:rsidRPr="00CD05D2">
        <w:rPr>
          <w:lang w:val="en-CA"/>
        </w:rPr>
        <w:t xml:space="preserve">) would be related only to the refrigeration servicing sector or </w:t>
      </w:r>
      <w:r w:rsidR="008F62D8" w:rsidRPr="00CD05D2">
        <w:rPr>
          <w:lang w:val="en-CA"/>
        </w:rPr>
        <w:t xml:space="preserve">if </w:t>
      </w:r>
      <w:r w:rsidR="00945C08" w:rsidRPr="00CD05D2">
        <w:rPr>
          <w:lang w:val="en-CA"/>
        </w:rPr>
        <w:t xml:space="preserve">a </w:t>
      </w:r>
      <w:r w:rsidR="00A1109F" w:rsidRPr="00CD05D2">
        <w:rPr>
          <w:lang w:val="en-CA"/>
        </w:rPr>
        <w:t xml:space="preserve">significant HFC consumption </w:t>
      </w:r>
      <w:r w:rsidR="00945C08" w:rsidRPr="00CD05D2">
        <w:rPr>
          <w:lang w:val="en-CA"/>
        </w:rPr>
        <w:t xml:space="preserve">would be related to the </w:t>
      </w:r>
      <w:r w:rsidR="00A1109F" w:rsidRPr="00CD05D2">
        <w:rPr>
          <w:lang w:val="en-CA"/>
        </w:rPr>
        <w:t xml:space="preserve">manufacturing sector. </w:t>
      </w:r>
      <w:r w:rsidR="00066066" w:rsidRPr="00CD05D2">
        <w:rPr>
          <w:lang w:val="en-CA"/>
        </w:rPr>
        <w:t>For</w:t>
      </w:r>
      <w:r w:rsidR="005B7556" w:rsidRPr="00CD05D2">
        <w:rPr>
          <w:lang w:val="en-CA"/>
        </w:rPr>
        <w:t xml:space="preserve"> </w:t>
      </w:r>
      <w:r w:rsidR="008F62D8" w:rsidRPr="00CD05D2">
        <w:rPr>
          <w:lang w:val="en-CA"/>
        </w:rPr>
        <w:t xml:space="preserve">all these </w:t>
      </w:r>
      <w:r w:rsidR="00A1109F" w:rsidRPr="00CD05D2">
        <w:rPr>
          <w:lang w:val="en-CA"/>
        </w:rPr>
        <w:t xml:space="preserve">non-LVC countries </w:t>
      </w:r>
      <w:r w:rsidR="008F62D8" w:rsidRPr="00CD05D2">
        <w:rPr>
          <w:lang w:val="en-CA"/>
        </w:rPr>
        <w:t xml:space="preserve">which will </w:t>
      </w:r>
      <w:r w:rsidRPr="00CD05D2">
        <w:rPr>
          <w:lang w:val="en-CA"/>
        </w:rPr>
        <w:t xml:space="preserve">achieve the 10 per cent reduction in HFC consumption </w:t>
      </w:r>
      <w:r w:rsidR="007D5F1D" w:rsidRPr="00CD05D2">
        <w:rPr>
          <w:lang w:val="en-CA"/>
        </w:rPr>
        <w:t xml:space="preserve">only </w:t>
      </w:r>
      <w:r w:rsidRPr="00CD05D2">
        <w:rPr>
          <w:lang w:val="en-CA"/>
        </w:rPr>
        <w:t>through activities in the refrigeration servicing sector</w:t>
      </w:r>
      <w:r w:rsidR="003C0F7E" w:rsidRPr="00CD05D2">
        <w:rPr>
          <w:lang w:val="en-CA"/>
        </w:rPr>
        <w:t>,</w:t>
      </w:r>
      <w:r w:rsidR="005B7556" w:rsidRPr="00CD05D2">
        <w:rPr>
          <w:lang w:val="en-CA"/>
        </w:rPr>
        <w:t xml:space="preserve"> </w:t>
      </w:r>
      <w:r w:rsidR="00066066" w:rsidRPr="00CD05D2">
        <w:rPr>
          <w:lang w:val="en-CA"/>
        </w:rPr>
        <w:t xml:space="preserve">the Secretariat suggests </w:t>
      </w:r>
      <w:r w:rsidR="003C0F7E" w:rsidRPr="00CD05D2">
        <w:rPr>
          <w:lang w:val="en-CA"/>
        </w:rPr>
        <w:t xml:space="preserve">funding </w:t>
      </w:r>
      <w:r w:rsidR="005B7556" w:rsidRPr="00CD05D2">
        <w:rPr>
          <w:lang w:val="en-CA"/>
        </w:rPr>
        <w:t xml:space="preserve">for stage I of the HFC phase-down up to </w:t>
      </w:r>
      <w:r w:rsidR="008F62D8" w:rsidRPr="00CD05D2">
        <w:rPr>
          <w:lang w:val="en-CA"/>
        </w:rPr>
        <w:t xml:space="preserve">US $270,000, i.e., </w:t>
      </w:r>
      <w:r w:rsidR="005B7556" w:rsidRPr="00CD05D2">
        <w:rPr>
          <w:lang w:val="en-CA"/>
        </w:rPr>
        <w:t xml:space="preserve">the </w:t>
      </w:r>
      <w:r w:rsidR="008F62D8" w:rsidRPr="00CD05D2">
        <w:rPr>
          <w:lang w:val="en-CA"/>
        </w:rPr>
        <w:t xml:space="preserve">funding </w:t>
      </w:r>
      <w:r w:rsidR="005B7556" w:rsidRPr="00CD05D2">
        <w:rPr>
          <w:lang w:val="en-CA"/>
        </w:rPr>
        <w:t xml:space="preserve">level </w:t>
      </w:r>
      <w:r w:rsidR="003C0F7E" w:rsidRPr="00CD05D2">
        <w:rPr>
          <w:lang w:val="en-CA"/>
        </w:rPr>
        <w:t>for LVC countries</w:t>
      </w:r>
      <w:r w:rsidR="005B7556" w:rsidRPr="00CD05D2">
        <w:rPr>
          <w:lang w:val="en-CA"/>
        </w:rPr>
        <w:t xml:space="preserve"> with HCFC baseline between 320 and 360</w:t>
      </w:r>
      <w:r w:rsidR="00B04C62" w:rsidRPr="00CD05D2">
        <w:rPr>
          <w:lang w:val="en-CA"/>
        </w:rPr>
        <w:t> mt</w:t>
      </w:r>
      <w:r w:rsidR="005B7556" w:rsidRPr="00CD05D2">
        <w:rPr>
          <w:lang w:val="en-CA"/>
        </w:rPr>
        <w:t xml:space="preserve">. </w:t>
      </w:r>
    </w:p>
    <w:p w:rsidR="00F12103" w:rsidRPr="00CD6F31" w:rsidRDefault="00F12103" w:rsidP="00D11999">
      <w:pPr>
        <w:keepNext/>
        <w:keepLines/>
        <w:rPr>
          <w:u w:val="single"/>
          <w:lang w:val="en-CA"/>
        </w:rPr>
      </w:pPr>
      <w:r w:rsidRPr="00CD6F31">
        <w:rPr>
          <w:u w:val="single"/>
          <w:lang w:val="en-CA"/>
        </w:rPr>
        <w:lastRenderedPageBreak/>
        <w:t>Revision of the modalities and levels of funding</w:t>
      </w:r>
    </w:p>
    <w:p w:rsidR="00F12103" w:rsidRPr="00F12103" w:rsidRDefault="00F12103" w:rsidP="00D11999">
      <w:pPr>
        <w:keepNext/>
        <w:keepLines/>
        <w:rPr>
          <w:lang w:val="en-CA"/>
        </w:rPr>
      </w:pPr>
    </w:p>
    <w:p w:rsidR="000B50D2" w:rsidRDefault="007C7E18" w:rsidP="00D11999">
      <w:pPr>
        <w:pStyle w:val="Heading1"/>
        <w:keepNext/>
        <w:keepLines/>
        <w:rPr>
          <w:lang w:val="en-CA"/>
        </w:rPr>
      </w:pPr>
      <w:r>
        <w:rPr>
          <w:lang w:val="en-CA"/>
        </w:rPr>
        <w:t xml:space="preserve">The modalities and </w:t>
      </w:r>
      <w:r w:rsidR="0042682B">
        <w:rPr>
          <w:lang w:val="en-CA"/>
        </w:rPr>
        <w:t xml:space="preserve">levels of </w:t>
      </w:r>
      <w:r>
        <w:rPr>
          <w:lang w:val="en-CA"/>
        </w:rPr>
        <w:t xml:space="preserve">funding being proposed in the present document </w:t>
      </w:r>
      <w:r w:rsidR="0042682B">
        <w:rPr>
          <w:lang w:val="en-CA"/>
        </w:rPr>
        <w:t>are</w:t>
      </w:r>
      <w:r>
        <w:rPr>
          <w:lang w:val="en-CA"/>
        </w:rPr>
        <w:t xml:space="preserve"> only related to the </w:t>
      </w:r>
      <w:r w:rsidR="001960C5" w:rsidRPr="00295A4D">
        <w:rPr>
          <w:lang w:val="en-CA"/>
        </w:rPr>
        <w:t xml:space="preserve">period </w:t>
      </w:r>
      <w:r w:rsidR="00736761" w:rsidRPr="00295A4D">
        <w:rPr>
          <w:lang w:val="en-CA"/>
        </w:rPr>
        <w:t xml:space="preserve">of </w:t>
      </w:r>
      <w:r w:rsidR="001960C5" w:rsidRPr="00295A4D">
        <w:rPr>
          <w:lang w:val="en-CA"/>
        </w:rPr>
        <w:t>2021-2030</w:t>
      </w:r>
      <w:r>
        <w:rPr>
          <w:lang w:val="en-CA"/>
        </w:rPr>
        <w:t>,</w:t>
      </w:r>
      <w:r w:rsidR="001960C5" w:rsidRPr="00295A4D">
        <w:rPr>
          <w:lang w:val="en-CA"/>
        </w:rPr>
        <w:t xml:space="preserve"> </w:t>
      </w:r>
      <w:r>
        <w:rPr>
          <w:lang w:val="en-CA"/>
        </w:rPr>
        <w:t xml:space="preserve">where </w:t>
      </w:r>
      <w:r w:rsidR="001960C5" w:rsidRPr="00295A4D">
        <w:rPr>
          <w:lang w:val="en-CA"/>
        </w:rPr>
        <w:t>Article 5</w:t>
      </w:r>
      <w:r w:rsidR="00736761" w:rsidRPr="00295A4D">
        <w:rPr>
          <w:lang w:val="en-CA"/>
        </w:rPr>
        <w:t xml:space="preserve"> countries will be phasing </w:t>
      </w:r>
      <w:r w:rsidR="001960C5" w:rsidRPr="00295A4D">
        <w:rPr>
          <w:lang w:val="en-CA"/>
        </w:rPr>
        <w:t>out HCFCs</w:t>
      </w:r>
      <w:r>
        <w:rPr>
          <w:lang w:val="en-CA"/>
        </w:rPr>
        <w:t xml:space="preserve"> and phasing down HFCs</w:t>
      </w:r>
      <w:r w:rsidR="00736761" w:rsidRPr="00295A4D">
        <w:rPr>
          <w:lang w:val="en-CA"/>
        </w:rPr>
        <w:t>,</w:t>
      </w:r>
      <w:r w:rsidR="001960C5" w:rsidRPr="00295A4D">
        <w:rPr>
          <w:lang w:val="en-CA"/>
        </w:rPr>
        <w:t xml:space="preserve"> </w:t>
      </w:r>
      <w:r>
        <w:rPr>
          <w:lang w:val="en-CA"/>
        </w:rPr>
        <w:t xml:space="preserve">simultaneously. </w:t>
      </w:r>
      <w:r w:rsidR="00082166" w:rsidRPr="00295A4D">
        <w:rPr>
          <w:lang w:val="en-CA"/>
        </w:rPr>
        <w:t>The</w:t>
      </w:r>
      <w:r w:rsidR="00082166">
        <w:rPr>
          <w:lang w:val="en-CA"/>
        </w:rPr>
        <w:t>se</w:t>
      </w:r>
      <w:r w:rsidR="00082166" w:rsidRPr="00295A4D">
        <w:rPr>
          <w:lang w:val="en-CA"/>
        </w:rPr>
        <w:t xml:space="preserve"> funding levels would not set a precedent for the total funding that would be required</w:t>
      </w:r>
      <w:r w:rsidR="00082166">
        <w:rPr>
          <w:lang w:val="en-CA"/>
        </w:rPr>
        <w:t xml:space="preserve"> in the refrigeration servicing sector post 2030</w:t>
      </w:r>
      <w:r w:rsidR="00082166" w:rsidRPr="00295A4D">
        <w:rPr>
          <w:lang w:val="en-CA"/>
        </w:rPr>
        <w:t>.</w:t>
      </w:r>
      <w:r w:rsidR="00082166">
        <w:rPr>
          <w:lang w:val="en-CA"/>
        </w:rPr>
        <w:t xml:space="preserve"> </w:t>
      </w:r>
      <w:r w:rsidRPr="00295A4D">
        <w:rPr>
          <w:lang w:val="en-CA"/>
        </w:rPr>
        <w:t>After</w:t>
      </w:r>
      <w:r w:rsidR="001960C5" w:rsidRPr="00295A4D">
        <w:rPr>
          <w:lang w:val="en-CA"/>
        </w:rPr>
        <w:t xml:space="preserve"> 2030</w:t>
      </w:r>
      <w:r>
        <w:rPr>
          <w:lang w:val="en-CA"/>
        </w:rPr>
        <w:t xml:space="preserve">, when countries </w:t>
      </w:r>
      <w:r w:rsidR="00736761" w:rsidRPr="00295A4D">
        <w:rPr>
          <w:lang w:val="en-CA"/>
        </w:rPr>
        <w:t xml:space="preserve">will be phasing </w:t>
      </w:r>
      <w:r w:rsidR="001960C5" w:rsidRPr="00295A4D">
        <w:rPr>
          <w:lang w:val="en-CA"/>
        </w:rPr>
        <w:t xml:space="preserve">down </w:t>
      </w:r>
      <w:r w:rsidR="00082166">
        <w:rPr>
          <w:lang w:val="en-CA"/>
        </w:rPr>
        <w:t xml:space="preserve">only </w:t>
      </w:r>
      <w:r w:rsidR="001960C5" w:rsidRPr="00295A4D">
        <w:rPr>
          <w:lang w:val="en-CA"/>
        </w:rPr>
        <w:t xml:space="preserve">HFCs, the modalities and </w:t>
      </w:r>
      <w:r>
        <w:rPr>
          <w:lang w:val="en-CA"/>
        </w:rPr>
        <w:t xml:space="preserve">funding levels for activities in the refrigeration servicing sector would need to be </w:t>
      </w:r>
      <w:r w:rsidR="00082166">
        <w:rPr>
          <w:lang w:val="en-CA"/>
        </w:rPr>
        <w:t xml:space="preserve">thoroughly </w:t>
      </w:r>
      <w:r>
        <w:rPr>
          <w:lang w:val="en-CA"/>
        </w:rPr>
        <w:t xml:space="preserve">assessed, noting that </w:t>
      </w:r>
      <w:r w:rsidR="00C9495E" w:rsidRPr="00295A4D">
        <w:rPr>
          <w:lang w:val="en-CA"/>
        </w:rPr>
        <w:t xml:space="preserve">HFC baselines </w:t>
      </w:r>
      <w:r>
        <w:rPr>
          <w:lang w:val="en-CA"/>
        </w:rPr>
        <w:t xml:space="preserve">will be </w:t>
      </w:r>
      <w:r w:rsidR="00F12103">
        <w:rPr>
          <w:lang w:val="en-CA"/>
        </w:rPr>
        <w:t xml:space="preserve">already </w:t>
      </w:r>
      <w:r w:rsidR="00C9495E" w:rsidRPr="00295A4D">
        <w:rPr>
          <w:lang w:val="en-CA"/>
        </w:rPr>
        <w:t>established</w:t>
      </w:r>
      <w:r w:rsidR="00B86676">
        <w:rPr>
          <w:lang w:val="en-CA"/>
        </w:rPr>
        <w:t>,</w:t>
      </w:r>
      <w:r w:rsidR="00C9495E" w:rsidRPr="00295A4D">
        <w:rPr>
          <w:lang w:val="en-CA"/>
        </w:rPr>
        <w:t xml:space="preserve"> the sectoral distribution of HFCs </w:t>
      </w:r>
      <w:r>
        <w:rPr>
          <w:lang w:val="en-CA"/>
        </w:rPr>
        <w:t xml:space="preserve">will be </w:t>
      </w:r>
      <w:r w:rsidR="00F12103">
        <w:rPr>
          <w:lang w:val="en-CA"/>
        </w:rPr>
        <w:t xml:space="preserve">already </w:t>
      </w:r>
      <w:r w:rsidR="00C9495E" w:rsidRPr="00295A4D">
        <w:rPr>
          <w:lang w:val="en-CA"/>
        </w:rPr>
        <w:t>known</w:t>
      </w:r>
      <w:r w:rsidR="00B86676">
        <w:rPr>
          <w:lang w:val="en-CA"/>
        </w:rPr>
        <w:t xml:space="preserve"> and the scenario of alternatives to HFCs will have evolved</w:t>
      </w:r>
      <w:r w:rsidR="00082166">
        <w:rPr>
          <w:lang w:val="en-CA"/>
        </w:rPr>
        <w:t>. The funding levels approved for the period 202</w:t>
      </w:r>
      <w:r w:rsidR="00651E8F">
        <w:rPr>
          <w:lang w:val="en-CA"/>
        </w:rPr>
        <w:t>1</w:t>
      </w:r>
      <w:r w:rsidR="00082166">
        <w:rPr>
          <w:lang w:val="en-CA"/>
        </w:rPr>
        <w:t xml:space="preserve"> to 2030 will </w:t>
      </w:r>
      <w:r w:rsidR="00B86676">
        <w:rPr>
          <w:lang w:val="en-CA"/>
        </w:rPr>
        <w:t xml:space="preserve">be </w:t>
      </w:r>
      <w:r w:rsidR="00082166">
        <w:rPr>
          <w:lang w:val="en-CA"/>
        </w:rPr>
        <w:t xml:space="preserve">included in the overall funding level for the entire refrigeration </w:t>
      </w:r>
      <w:r w:rsidR="00C9495E" w:rsidRPr="00295A4D">
        <w:rPr>
          <w:lang w:val="en-CA"/>
        </w:rPr>
        <w:t>servicing sector</w:t>
      </w:r>
      <w:r w:rsidR="00082166">
        <w:rPr>
          <w:lang w:val="en-CA"/>
        </w:rPr>
        <w:t xml:space="preserve">. The Executive Committee may wish to consider requesting </w:t>
      </w:r>
      <w:r w:rsidR="008F62D8">
        <w:rPr>
          <w:lang w:val="en-CA"/>
        </w:rPr>
        <w:t xml:space="preserve">the Secretariat to prepare </w:t>
      </w:r>
      <w:r w:rsidR="00082166">
        <w:rPr>
          <w:lang w:val="en-CA"/>
        </w:rPr>
        <w:t>this analysis at the last meeting of 2028</w:t>
      </w:r>
      <w:r w:rsidR="001C1882" w:rsidRPr="00295A4D">
        <w:rPr>
          <w:lang w:val="en-CA"/>
        </w:rPr>
        <w:t xml:space="preserve">. </w:t>
      </w:r>
    </w:p>
    <w:p w:rsidR="00BF1064" w:rsidRPr="00295A4D" w:rsidRDefault="00BF1064" w:rsidP="00BF1064">
      <w:pPr>
        <w:rPr>
          <w:lang w:val="en-CA"/>
        </w:rPr>
      </w:pPr>
      <w:r w:rsidRPr="00295A4D">
        <w:rPr>
          <w:b/>
          <w:lang w:val="en-CA"/>
        </w:rPr>
        <w:t xml:space="preserve">RECOMMENDATION </w:t>
      </w:r>
    </w:p>
    <w:p w:rsidR="00BF1064" w:rsidRPr="00295A4D" w:rsidRDefault="00BF1064" w:rsidP="00BF1064">
      <w:pPr>
        <w:rPr>
          <w:lang w:val="en-CA"/>
        </w:rPr>
      </w:pPr>
    </w:p>
    <w:p w:rsidR="00BF1064" w:rsidRPr="00295A4D" w:rsidRDefault="00BF1064" w:rsidP="00BF1064">
      <w:pPr>
        <w:pStyle w:val="Heading1"/>
        <w:rPr>
          <w:lang w:val="en-CA"/>
        </w:rPr>
      </w:pPr>
      <w:r w:rsidRPr="00295A4D">
        <w:rPr>
          <w:lang w:val="en-CA"/>
        </w:rPr>
        <w:t>The Executive Committee may wish to consider:</w:t>
      </w:r>
    </w:p>
    <w:p w:rsidR="001C1882" w:rsidRPr="00750116" w:rsidRDefault="00BF1064" w:rsidP="001C1882">
      <w:pPr>
        <w:pStyle w:val="Heading2"/>
        <w:rPr>
          <w:lang w:val="en-CA"/>
        </w:rPr>
      </w:pPr>
      <w:r w:rsidRPr="00295A4D">
        <w:rPr>
          <w:lang w:val="en-CA"/>
        </w:rPr>
        <w:t>Noting</w:t>
      </w:r>
      <w:r w:rsidR="001C1882" w:rsidRPr="00295A4D">
        <w:rPr>
          <w:lang w:val="en-CA"/>
        </w:rPr>
        <w:t xml:space="preserve"> the analysis of the level and modalities of funding for HFC </w:t>
      </w:r>
      <w:r w:rsidR="001C1882" w:rsidRPr="00750116">
        <w:rPr>
          <w:lang w:val="en-CA"/>
        </w:rPr>
        <w:t>phase-down in the refrigeration servicing sector, contained in document UNEP/OzL.Pro/ExCom/</w:t>
      </w:r>
      <w:r w:rsidR="00BD3A5C" w:rsidRPr="00750116">
        <w:rPr>
          <w:lang w:val="en-CA"/>
        </w:rPr>
        <w:t>87/47</w:t>
      </w:r>
      <w:r w:rsidR="001C1882" w:rsidRPr="00750116">
        <w:rPr>
          <w:lang w:val="en-CA"/>
        </w:rPr>
        <w:t>;</w:t>
      </w:r>
    </w:p>
    <w:p w:rsidR="00BF1064" w:rsidRPr="007B739B" w:rsidRDefault="00736761" w:rsidP="003E29ED">
      <w:pPr>
        <w:pStyle w:val="Heading2"/>
        <w:rPr>
          <w:lang w:val="en-CA"/>
        </w:rPr>
      </w:pPr>
      <w:r w:rsidRPr="007B739B">
        <w:rPr>
          <w:lang w:val="en-CA"/>
        </w:rPr>
        <w:t>A</w:t>
      </w:r>
      <w:r w:rsidR="008A3A26" w:rsidRPr="007B739B">
        <w:rPr>
          <w:lang w:val="en-CA"/>
        </w:rPr>
        <w:t>pply</w:t>
      </w:r>
      <w:r w:rsidRPr="007B739B">
        <w:rPr>
          <w:lang w:val="en-CA"/>
        </w:rPr>
        <w:t>ing</w:t>
      </w:r>
      <w:r w:rsidR="008A3A26" w:rsidRPr="007B739B">
        <w:rPr>
          <w:lang w:val="en-CA"/>
        </w:rPr>
        <w:t xml:space="preserve"> the following principles </w:t>
      </w:r>
      <w:r w:rsidRPr="007B739B">
        <w:rPr>
          <w:lang w:val="en-CA"/>
        </w:rPr>
        <w:t>with</w:t>
      </w:r>
      <w:r w:rsidR="008A3A26" w:rsidRPr="007B739B">
        <w:rPr>
          <w:lang w:val="en-CA"/>
        </w:rPr>
        <w:t xml:space="preserve"> regard to </w:t>
      </w:r>
      <w:r w:rsidRPr="007B739B">
        <w:rPr>
          <w:lang w:val="en-CA"/>
        </w:rPr>
        <w:t xml:space="preserve">the </w:t>
      </w:r>
      <w:r w:rsidR="008A3A26" w:rsidRPr="007B739B">
        <w:rPr>
          <w:lang w:val="en-CA"/>
        </w:rPr>
        <w:t xml:space="preserve">eligible incremental costs </w:t>
      </w:r>
      <w:r w:rsidR="002D69AF" w:rsidRPr="007B739B">
        <w:rPr>
          <w:lang w:val="en-CA"/>
        </w:rPr>
        <w:t>f</w:t>
      </w:r>
      <w:r w:rsidR="008A3A26" w:rsidRPr="007B739B">
        <w:rPr>
          <w:lang w:val="en-CA"/>
        </w:rPr>
        <w:t>or stage</w:t>
      </w:r>
      <w:r w:rsidRPr="007B739B">
        <w:rPr>
          <w:lang w:val="en-CA"/>
        </w:rPr>
        <w:t> </w:t>
      </w:r>
      <w:r w:rsidR="008A3A26" w:rsidRPr="007B739B">
        <w:rPr>
          <w:lang w:val="en-CA"/>
        </w:rPr>
        <w:t>I of the HFC phase-down in the refrigeration servicing sector</w:t>
      </w:r>
      <w:r w:rsidR="00FA49A4" w:rsidRPr="007B739B">
        <w:rPr>
          <w:lang w:val="en-CA"/>
        </w:rPr>
        <w:t xml:space="preserve"> for the period 2021-20</w:t>
      </w:r>
      <w:r w:rsidR="002A6F7C">
        <w:rPr>
          <w:lang w:val="en-CA"/>
        </w:rPr>
        <w:t xml:space="preserve">29 for </w:t>
      </w:r>
      <w:r w:rsidR="003F3857">
        <w:rPr>
          <w:lang w:val="en-CA"/>
        </w:rPr>
        <w:t>Article</w:t>
      </w:r>
      <w:r w:rsidR="00D11999">
        <w:rPr>
          <w:lang w:val="en-CA"/>
        </w:rPr>
        <w:t> </w:t>
      </w:r>
      <w:r w:rsidR="003F3857">
        <w:rPr>
          <w:lang w:val="en-CA"/>
        </w:rPr>
        <w:t xml:space="preserve">5 </w:t>
      </w:r>
      <w:r w:rsidR="002A6F7C">
        <w:rPr>
          <w:lang w:val="en-CA"/>
        </w:rPr>
        <w:t>group 1 countries</w:t>
      </w:r>
      <w:r w:rsidR="00A7089C">
        <w:rPr>
          <w:lang w:val="en-CA"/>
        </w:rPr>
        <w:t>,</w:t>
      </w:r>
      <w:r w:rsidR="002A6F7C">
        <w:rPr>
          <w:lang w:val="en-CA"/>
        </w:rPr>
        <w:t xml:space="preserve"> and 2021-2032 for </w:t>
      </w:r>
      <w:r w:rsidR="003F3857">
        <w:rPr>
          <w:lang w:val="en-CA"/>
        </w:rPr>
        <w:t xml:space="preserve">Article 5 </w:t>
      </w:r>
      <w:r w:rsidR="002A6F7C">
        <w:rPr>
          <w:lang w:val="en-CA"/>
        </w:rPr>
        <w:t>group 2 countries</w:t>
      </w:r>
      <w:r w:rsidR="00A7089C">
        <w:rPr>
          <w:lang w:val="en-CA"/>
        </w:rPr>
        <w:t>, all of which are non</w:t>
      </w:r>
      <w:r w:rsidR="00D11999">
        <w:rPr>
          <w:lang w:val="en-CA"/>
        </w:rPr>
        <w:noBreakHyphen/>
      </w:r>
      <w:r w:rsidR="00A7089C">
        <w:rPr>
          <w:lang w:val="en-CA"/>
        </w:rPr>
        <w:t>low</w:t>
      </w:r>
      <w:r w:rsidR="00D11999">
        <w:rPr>
          <w:lang w:val="en-CA"/>
        </w:rPr>
        <w:noBreakHyphen/>
      </w:r>
      <w:r w:rsidR="00A7089C">
        <w:rPr>
          <w:lang w:val="en-CA"/>
        </w:rPr>
        <w:t>volume</w:t>
      </w:r>
      <w:r w:rsidR="00D11999">
        <w:rPr>
          <w:lang w:val="en-CA"/>
        </w:rPr>
        <w:noBreakHyphen/>
      </w:r>
      <w:r w:rsidR="00A7089C">
        <w:rPr>
          <w:lang w:val="en-CA"/>
        </w:rPr>
        <w:t>consuming (LVC) countries</w:t>
      </w:r>
      <w:r w:rsidR="001819A6" w:rsidRPr="007B739B">
        <w:rPr>
          <w:lang w:val="en-CA"/>
        </w:rPr>
        <w:t>, on the understanding that the funding levels specified below would</w:t>
      </w:r>
      <w:r w:rsidR="00FA49A4" w:rsidRPr="007B739B">
        <w:rPr>
          <w:lang w:val="en-CA"/>
        </w:rPr>
        <w:t xml:space="preserve"> be </w:t>
      </w:r>
      <w:r w:rsidR="006F2B3F" w:rsidRPr="007B739B">
        <w:rPr>
          <w:lang w:val="en-CA"/>
        </w:rPr>
        <w:t>revised</w:t>
      </w:r>
      <w:r w:rsidR="00FA49A4" w:rsidRPr="007B739B">
        <w:rPr>
          <w:lang w:val="en-CA"/>
        </w:rPr>
        <w:t xml:space="preserve"> for activities submitted </w:t>
      </w:r>
      <w:r w:rsidR="00BB7B4C" w:rsidRPr="007B739B">
        <w:rPr>
          <w:lang w:val="en-CA"/>
        </w:rPr>
        <w:t>for future HFC phase</w:t>
      </w:r>
      <w:r w:rsidR="00D11999">
        <w:rPr>
          <w:lang w:val="en-CA"/>
        </w:rPr>
        <w:noBreakHyphen/>
      </w:r>
      <w:r w:rsidR="00BB7B4C" w:rsidRPr="007B739B">
        <w:rPr>
          <w:lang w:val="en-CA"/>
        </w:rPr>
        <w:t>down stages</w:t>
      </w:r>
      <w:r w:rsidR="00FE45B7" w:rsidRPr="007B739B">
        <w:rPr>
          <w:lang w:val="en-CA"/>
        </w:rPr>
        <w:t xml:space="preserve"> when activities under HCFC phase-out management plans </w:t>
      </w:r>
      <w:r w:rsidR="005211D5">
        <w:rPr>
          <w:lang w:val="en-CA"/>
        </w:rPr>
        <w:t xml:space="preserve">(HPMPs) </w:t>
      </w:r>
      <w:r w:rsidR="00FE45B7" w:rsidRPr="007B739B">
        <w:rPr>
          <w:lang w:val="en-CA"/>
        </w:rPr>
        <w:t>were completed</w:t>
      </w:r>
      <w:r w:rsidR="008A3A26" w:rsidRPr="007B739B">
        <w:rPr>
          <w:lang w:val="en-CA"/>
        </w:rPr>
        <w:t>:</w:t>
      </w:r>
    </w:p>
    <w:p w:rsidR="006C3D03" w:rsidRPr="007B739B" w:rsidRDefault="006C3D03" w:rsidP="006C3D03">
      <w:pPr>
        <w:pStyle w:val="Heading3"/>
      </w:pPr>
      <w:r w:rsidRPr="007B739B">
        <w:t xml:space="preserve">Article 5 countries with total HCFC consumption </w:t>
      </w:r>
      <w:r w:rsidR="00676F48" w:rsidRPr="007B739B">
        <w:t xml:space="preserve">baseline </w:t>
      </w:r>
      <w:r w:rsidRPr="007B739B">
        <w:t>of up to 360</w:t>
      </w:r>
      <w:r w:rsidR="00D11999">
        <w:t> </w:t>
      </w:r>
      <w:r w:rsidRPr="007B739B">
        <w:t>metric</w:t>
      </w:r>
      <w:r w:rsidR="00D11999">
        <w:t> </w:t>
      </w:r>
      <w:r w:rsidRPr="007B739B">
        <w:t>tonnes</w:t>
      </w:r>
      <w:r w:rsidR="00676F48" w:rsidRPr="007B739B">
        <w:t xml:space="preserve"> (</w:t>
      </w:r>
      <w:proofErr w:type="spellStart"/>
      <w:r w:rsidR="00676F48" w:rsidRPr="007B739B">
        <w:t>mt</w:t>
      </w:r>
      <w:proofErr w:type="spellEnd"/>
      <w:r w:rsidR="00676F48" w:rsidRPr="007B739B">
        <w:t>)</w:t>
      </w:r>
      <w:r w:rsidRPr="007B739B">
        <w:t xml:space="preserve"> must include in their </w:t>
      </w:r>
      <w:r w:rsidR="00ED67F0" w:rsidRPr="007B739B">
        <w:t>HFC phase-down plans</w:t>
      </w:r>
      <w:r w:rsidRPr="007B739B">
        <w:t>, as a minimum:</w:t>
      </w:r>
    </w:p>
    <w:p w:rsidR="006C3D03" w:rsidRPr="002172EE" w:rsidRDefault="006C3D03" w:rsidP="006C3D03">
      <w:pPr>
        <w:widowControl w:val="0"/>
        <w:numPr>
          <w:ilvl w:val="0"/>
          <w:numId w:val="23"/>
        </w:numPr>
        <w:tabs>
          <w:tab w:val="num" w:pos="2880"/>
          <w:tab w:val="left" w:pos="5760"/>
        </w:tabs>
        <w:spacing w:after="240"/>
        <w:ind w:left="2880" w:hanging="720"/>
        <w:rPr>
          <w:color w:val="000000" w:themeColor="text1"/>
        </w:rPr>
      </w:pPr>
      <w:r w:rsidRPr="007B739B">
        <w:rPr>
          <w:color w:val="000000" w:themeColor="text1"/>
        </w:rPr>
        <w:t xml:space="preserve">A </w:t>
      </w:r>
      <w:r w:rsidRPr="002172EE">
        <w:rPr>
          <w:color w:val="000000" w:themeColor="text1"/>
        </w:rPr>
        <w:t xml:space="preserve">commitment to meeting, without further requests for funding at least </w:t>
      </w:r>
      <w:r w:rsidR="007B739B" w:rsidRPr="002172EE">
        <w:rPr>
          <w:color w:val="000000" w:themeColor="text1"/>
        </w:rPr>
        <w:t xml:space="preserve">the </w:t>
      </w:r>
      <w:r w:rsidR="00ED67F0" w:rsidRPr="002172EE">
        <w:rPr>
          <w:color w:val="000000" w:themeColor="text1"/>
        </w:rPr>
        <w:t>10</w:t>
      </w:r>
      <w:r w:rsidR="00D11999">
        <w:rPr>
          <w:color w:val="000000" w:themeColor="text1"/>
        </w:rPr>
        <w:t> </w:t>
      </w:r>
      <w:r w:rsidR="00ED67F0" w:rsidRPr="002172EE">
        <w:rPr>
          <w:color w:val="000000" w:themeColor="text1"/>
        </w:rPr>
        <w:t>per</w:t>
      </w:r>
      <w:r w:rsidR="00D11999">
        <w:rPr>
          <w:color w:val="000000" w:themeColor="text1"/>
        </w:rPr>
        <w:t> </w:t>
      </w:r>
      <w:r w:rsidR="00ED67F0" w:rsidRPr="002172EE">
        <w:rPr>
          <w:color w:val="000000" w:themeColor="text1"/>
        </w:rPr>
        <w:t>ce</w:t>
      </w:r>
      <w:r w:rsidR="00B9646B" w:rsidRPr="002172EE">
        <w:rPr>
          <w:color w:val="000000" w:themeColor="text1"/>
        </w:rPr>
        <w:t xml:space="preserve">nt reduction step in HFC consumption in line with the compliance schedule of the Montreal </w:t>
      </w:r>
      <w:r w:rsidR="00B9646B" w:rsidRPr="00085E3F">
        <w:rPr>
          <w:color w:val="000000" w:themeColor="text1"/>
        </w:rPr>
        <w:t>Protocol</w:t>
      </w:r>
      <w:r w:rsidR="007B739B" w:rsidRPr="00085E3F">
        <w:rPr>
          <w:color w:val="000000" w:themeColor="text1"/>
        </w:rPr>
        <w:t xml:space="preserve">, and </w:t>
      </w:r>
      <w:r w:rsidRPr="00085E3F">
        <w:rPr>
          <w:color w:val="000000" w:themeColor="text1"/>
        </w:rPr>
        <w:t>restrict</w:t>
      </w:r>
      <w:r w:rsidR="007B739B" w:rsidRPr="00085E3F">
        <w:rPr>
          <w:color w:val="000000" w:themeColor="text1"/>
        </w:rPr>
        <w:t>ing</w:t>
      </w:r>
      <w:r w:rsidRPr="00085E3F">
        <w:rPr>
          <w:color w:val="000000" w:themeColor="text1"/>
        </w:rPr>
        <w:t xml:space="preserve"> imports of HFC</w:t>
      </w:r>
      <w:r w:rsidR="00D11999">
        <w:rPr>
          <w:color w:val="000000" w:themeColor="text1"/>
        </w:rPr>
        <w:noBreakHyphen/>
      </w:r>
      <w:r w:rsidRPr="00085E3F">
        <w:rPr>
          <w:color w:val="000000" w:themeColor="text1"/>
        </w:rPr>
        <w:t xml:space="preserve">based equipment if necessary to achieve </w:t>
      </w:r>
      <w:r w:rsidR="00085E3F" w:rsidRPr="00085E3F">
        <w:rPr>
          <w:color w:val="000000" w:themeColor="text1"/>
        </w:rPr>
        <w:t xml:space="preserve">the </w:t>
      </w:r>
      <w:r w:rsidRPr="00085E3F">
        <w:rPr>
          <w:color w:val="000000" w:themeColor="text1"/>
        </w:rPr>
        <w:t xml:space="preserve">compliance </w:t>
      </w:r>
      <w:r w:rsidR="00B9646B" w:rsidRPr="00085E3F">
        <w:rPr>
          <w:color w:val="000000" w:themeColor="text1"/>
        </w:rPr>
        <w:t xml:space="preserve">schedule </w:t>
      </w:r>
      <w:r w:rsidRPr="00085E3F">
        <w:rPr>
          <w:color w:val="000000" w:themeColor="text1"/>
        </w:rPr>
        <w:t>and to support relevant phase-out activities</w:t>
      </w:r>
      <w:r w:rsidRPr="002172EE">
        <w:rPr>
          <w:color w:val="000000" w:themeColor="text1"/>
        </w:rPr>
        <w:t>;</w:t>
      </w:r>
    </w:p>
    <w:p w:rsidR="006C3D03" w:rsidRPr="007B739B" w:rsidRDefault="006C3D03" w:rsidP="006C3D03">
      <w:pPr>
        <w:widowControl w:val="0"/>
        <w:numPr>
          <w:ilvl w:val="0"/>
          <w:numId w:val="23"/>
        </w:numPr>
        <w:tabs>
          <w:tab w:val="num" w:pos="2880"/>
          <w:tab w:val="left" w:pos="5760"/>
        </w:tabs>
        <w:spacing w:after="240"/>
        <w:ind w:left="2880" w:hanging="720"/>
        <w:rPr>
          <w:color w:val="000000" w:themeColor="text1"/>
        </w:rPr>
      </w:pPr>
      <w:r w:rsidRPr="007B739B">
        <w:rPr>
          <w:color w:val="000000" w:themeColor="text1"/>
        </w:rPr>
        <w:t>Mandatory reporting, by the time funding tranches for the H</w:t>
      </w:r>
      <w:r w:rsidR="00ED67F0" w:rsidRPr="007B739B">
        <w:rPr>
          <w:color w:val="000000" w:themeColor="text1"/>
        </w:rPr>
        <w:t>FC phase</w:t>
      </w:r>
      <w:r w:rsidR="00BD33BC" w:rsidRPr="007B739B">
        <w:rPr>
          <w:color w:val="000000" w:themeColor="text1"/>
        </w:rPr>
        <w:noBreakHyphen/>
      </w:r>
      <w:r w:rsidR="00ED67F0" w:rsidRPr="007B739B">
        <w:rPr>
          <w:color w:val="000000" w:themeColor="text1"/>
        </w:rPr>
        <w:t xml:space="preserve">down plans </w:t>
      </w:r>
      <w:r w:rsidRPr="007B739B">
        <w:rPr>
          <w:color w:val="000000" w:themeColor="text1"/>
        </w:rPr>
        <w:t>were requested, on the implementation of activities undertaken in the refrigeration servicing sector and in the manufacturing sector</w:t>
      </w:r>
      <w:r w:rsidR="00DD40AF" w:rsidRPr="007B739B">
        <w:rPr>
          <w:color w:val="000000" w:themeColor="text1"/>
        </w:rPr>
        <w:t>,</w:t>
      </w:r>
      <w:r w:rsidRPr="007B739B">
        <w:rPr>
          <w:color w:val="000000" w:themeColor="text1"/>
        </w:rPr>
        <w:t xml:space="preserve"> when applicable, in the previous </w:t>
      </w:r>
      <w:r w:rsidR="00E600F5" w:rsidRPr="007B739B">
        <w:rPr>
          <w:color w:val="000000" w:themeColor="text1"/>
        </w:rPr>
        <w:t>tranche</w:t>
      </w:r>
      <w:r w:rsidRPr="007B739B">
        <w:rPr>
          <w:color w:val="000000" w:themeColor="text1"/>
        </w:rPr>
        <w:t>, as well as a comprehensive annual work plan for the implementation</w:t>
      </w:r>
      <w:r w:rsidRPr="007B739B">
        <w:rPr>
          <w:i/>
          <w:color w:val="000000" w:themeColor="text1"/>
        </w:rPr>
        <w:t xml:space="preserve"> </w:t>
      </w:r>
      <w:r w:rsidRPr="007B739B">
        <w:rPr>
          <w:color w:val="000000" w:themeColor="text1"/>
        </w:rPr>
        <w:t>of the activities associated with the next tranche;</w:t>
      </w:r>
      <w:r w:rsidR="00BD33BC" w:rsidRPr="007B739B">
        <w:rPr>
          <w:color w:val="000000" w:themeColor="text1"/>
        </w:rPr>
        <w:t xml:space="preserve"> and</w:t>
      </w:r>
    </w:p>
    <w:p w:rsidR="006C3D03" w:rsidRPr="007B739B" w:rsidRDefault="006C3D03" w:rsidP="006C3D03">
      <w:pPr>
        <w:keepNext/>
        <w:numPr>
          <w:ilvl w:val="0"/>
          <w:numId w:val="23"/>
        </w:numPr>
        <w:tabs>
          <w:tab w:val="num" w:pos="2880"/>
          <w:tab w:val="left" w:pos="5760"/>
        </w:tabs>
        <w:spacing w:after="240"/>
        <w:ind w:left="2880" w:hanging="720"/>
        <w:rPr>
          <w:color w:val="000000" w:themeColor="text1"/>
        </w:rPr>
      </w:pPr>
      <w:r w:rsidRPr="007B739B">
        <w:rPr>
          <w:color w:val="000000" w:themeColor="text1"/>
        </w:rPr>
        <w:t>A description of the roles and responsibilities of major stakeholders, as well as the lead implementing agency and the cooperating agencies, where applicable;</w:t>
      </w:r>
    </w:p>
    <w:p w:rsidR="008A3A26" w:rsidRPr="00295A4D" w:rsidRDefault="00550148" w:rsidP="003E29ED">
      <w:pPr>
        <w:pStyle w:val="Heading3"/>
        <w:rPr>
          <w:lang w:val="en-CA"/>
        </w:rPr>
      </w:pPr>
      <w:r w:rsidRPr="00295A4D">
        <w:rPr>
          <w:lang w:val="en-CA"/>
        </w:rPr>
        <w:t xml:space="preserve">Article 5 countries that have </w:t>
      </w:r>
      <w:r w:rsidR="00736761" w:rsidRPr="00295A4D">
        <w:rPr>
          <w:lang w:val="en-CA"/>
        </w:rPr>
        <w:t xml:space="preserve">a </w:t>
      </w:r>
      <w:r w:rsidRPr="00295A4D">
        <w:rPr>
          <w:lang w:val="en-CA"/>
        </w:rPr>
        <w:t>tota</w:t>
      </w:r>
      <w:r w:rsidR="00676F48">
        <w:rPr>
          <w:lang w:val="en-CA"/>
        </w:rPr>
        <w:t xml:space="preserve">l </w:t>
      </w:r>
      <w:r w:rsidR="00676F48" w:rsidRPr="003516CB">
        <w:rPr>
          <w:lang w:val="en-CA"/>
        </w:rPr>
        <w:t xml:space="preserve">HCFC consumption </w:t>
      </w:r>
      <w:r w:rsidR="007B739B" w:rsidRPr="003516CB">
        <w:rPr>
          <w:lang w:val="en-CA"/>
        </w:rPr>
        <w:t>as specified in sub</w:t>
      </w:r>
      <w:r w:rsidR="000E0A3B">
        <w:rPr>
          <w:lang w:val="en-CA"/>
        </w:rPr>
        <w:noBreakHyphen/>
      </w:r>
      <w:r w:rsidR="007B739B" w:rsidRPr="003516CB">
        <w:rPr>
          <w:lang w:val="en-CA"/>
        </w:rPr>
        <w:t xml:space="preserve">paragraph (b)(i) above </w:t>
      </w:r>
      <w:r w:rsidRPr="003516CB">
        <w:rPr>
          <w:lang w:val="en-CA"/>
        </w:rPr>
        <w:t>will be provided</w:t>
      </w:r>
      <w:r w:rsidRPr="00295A4D">
        <w:rPr>
          <w:lang w:val="en-CA"/>
        </w:rPr>
        <w:t xml:space="preserve"> funding consistent with the level of consumption in the refrigeration servicing sector</w:t>
      </w:r>
      <w:r w:rsidR="00736761" w:rsidRPr="00295A4D">
        <w:rPr>
          <w:lang w:val="en-CA"/>
        </w:rPr>
        <w:t>,</w:t>
      </w:r>
      <w:r w:rsidRPr="00295A4D">
        <w:rPr>
          <w:lang w:val="en-CA"/>
        </w:rPr>
        <w:t xml:space="preserve"> as shown in the table below, on the understanding that project proposals will still need to demonstrate that the </w:t>
      </w:r>
      <w:r w:rsidRPr="00295A4D">
        <w:rPr>
          <w:lang w:val="en-CA"/>
        </w:rPr>
        <w:lastRenderedPageBreak/>
        <w:t xml:space="preserve">funding level is necessary to </w:t>
      </w:r>
      <w:r w:rsidRPr="003516CB">
        <w:rPr>
          <w:lang w:val="en-CA"/>
        </w:rPr>
        <w:t xml:space="preserve">achieve </w:t>
      </w:r>
      <w:r w:rsidR="007B739B" w:rsidRPr="003516CB">
        <w:rPr>
          <w:lang w:val="en-CA"/>
        </w:rPr>
        <w:t xml:space="preserve">at least </w:t>
      </w:r>
      <w:r w:rsidRPr="003516CB">
        <w:rPr>
          <w:lang w:val="en-CA"/>
        </w:rPr>
        <w:t xml:space="preserve">the </w:t>
      </w:r>
      <w:r w:rsidR="00DD40AF" w:rsidRPr="003516CB">
        <w:rPr>
          <w:lang w:val="en-CA"/>
        </w:rPr>
        <w:t>HFC</w:t>
      </w:r>
      <w:r w:rsidRPr="003516CB">
        <w:rPr>
          <w:lang w:val="en-CA"/>
        </w:rPr>
        <w:t xml:space="preserve"> 10 per cent</w:t>
      </w:r>
      <w:r w:rsidRPr="00295A4D">
        <w:rPr>
          <w:lang w:val="en-CA"/>
        </w:rPr>
        <w:t xml:space="preserve"> reduction target:</w:t>
      </w:r>
    </w:p>
    <w:tbl>
      <w:tblPr>
        <w:tblW w:w="3874" w:type="pct"/>
        <w:tblInd w:w="2122" w:type="dxa"/>
        <w:tblCellMar>
          <w:left w:w="70" w:type="dxa"/>
          <w:right w:w="70" w:type="dxa"/>
        </w:tblCellMar>
        <w:tblLook w:val="04A0" w:firstRow="1" w:lastRow="0" w:firstColumn="1" w:lastColumn="0" w:noHBand="0" w:noVBand="1"/>
      </w:tblPr>
      <w:tblGrid>
        <w:gridCol w:w="3622"/>
        <w:gridCol w:w="3622"/>
      </w:tblGrid>
      <w:tr w:rsidR="00550148" w:rsidRPr="00295A4D" w:rsidTr="00BD33BC">
        <w:trPr>
          <w:trHeight w:val="311"/>
          <w:tblHeader/>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550148" w:rsidRPr="00082166" w:rsidRDefault="00550148" w:rsidP="003E29ED">
            <w:pPr>
              <w:jc w:val="center"/>
              <w:rPr>
                <w:b/>
                <w:bCs/>
                <w:color w:val="000000"/>
                <w:sz w:val="21"/>
                <w:szCs w:val="21"/>
                <w:lang w:val="en-CA" w:eastAsia="es-419"/>
              </w:rPr>
            </w:pPr>
            <w:r w:rsidRPr="00082166">
              <w:rPr>
                <w:b/>
                <w:bCs/>
                <w:color w:val="000000"/>
                <w:sz w:val="21"/>
                <w:szCs w:val="21"/>
                <w:lang w:val="en-CA" w:eastAsia="es-419"/>
              </w:rPr>
              <w:t>Baseline (mt)</w:t>
            </w:r>
          </w:p>
        </w:tc>
        <w:tc>
          <w:tcPr>
            <w:tcW w:w="2500" w:type="pct"/>
            <w:tcBorders>
              <w:top w:val="single" w:sz="4" w:space="0" w:color="auto"/>
              <w:left w:val="nil"/>
              <w:bottom w:val="single" w:sz="4" w:space="0" w:color="auto"/>
              <w:right w:val="single" w:sz="4" w:space="0" w:color="auto"/>
            </w:tcBorders>
            <w:shd w:val="clear" w:color="auto" w:fill="auto"/>
            <w:noWrap/>
            <w:hideMark/>
          </w:tcPr>
          <w:p w:rsidR="00550148" w:rsidRPr="00082166" w:rsidRDefault="00550148" w:rsidP="00550148">
            <w:pPr>
              <w:jc w:val="center"/>
              <w:rPr>
                <w:b/>
                <w:bCs/>
                <w:color w:val="000000"/>
                <w:sz w:val="21"/>
                <w:szCs w:val="21"/>
                <w:lang w:val="en-CA" w:eastAsia="es-419"/>
              </w:rPr>
            </w:pPr>
            <w:r w:rsidRPr="00082166">
              <w:rPr>
                <w:b/>
                <w:bCs/>
                <w:color w:val="000000"/>
                <w:sz w:val="21"/>
                <w:szCs w:val="21"/>
                <w:lang w:val="en-CA" w:eastAsia="es-419"/>
              </w:rPr>
              <w:t>Funding (</w:t>
            </w:r>
            <w:r w:rsidR="00B04C62">
              <w:rPr>
                <w:b/>
                <w:bCs/>
                <w:color w:val="000000"/>
                <w:sz w:val="21"/>
                <w:szCs w:val="21"/>
                <w:lang w:val="en-CA" w:eastAsia="es-419"/>
              </w:rPr>
              <w:t>US $</w:t>
            </w:r>
            <w:r w:rsidRPr="00082166">
              <w:rPr>
                <w:b/>
                <w:bCs/>
                <w:color w:val="000000"/>
                <w:sz w:val="21"/>
                <w:szCs w:val="21"/>
                <w:lang w:val="en-CA" w:eastAsia="es-419"/>
              </w:rPr>
              <w:t>)</w:t>
            </w:r>
          </w:p>
        </w:tc>
      </w:tr>
      <w:tr w:rsidR="00550148" w:rsidRPr="00295A4D" w:rsidTr="0045785D">
        <w:trPr>
          <w:trHeight w:val="126"/>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&gt;0 &lt;15</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88,125</w:t>
            </w:r>
          </w:p>
        </w:tc>
      </w:tr>
      <w:tr w:rsidR="00550148" w:rsidRPr="00295A4D" w:rsidTr="0045785D">
        <w:trPr>
          <w:trHeight w:val="55"/>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15 &lt;40</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112,500</w:t>
            </w:r>
          </w:p>
        </w:tc>
      </w:tr>
      <w:tr w:rsidR="00550148" w:rsidRPr="00295A4D" w:rsidTr="0045785D">
        <w:trPr>
          <w:trHeight w:val="74"/>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40 &lt;80</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120,000</w:t>
            </w:r>
          </w:p>
        </w:tc>
      </w:tr>
      <w:tr w:rsidR="00550148" w:rsidRPr="00295A4D" w:rsidTr="0045785D">
        <w:trPr>
          <w:trHeight w:val="55"/>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80 &lt;120</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135,000</w:t>
            </w:r>
          </w:p>
        </w:tc>
      </w:tr>
      <w:tr w:rsidR="00550148" w:rsidRPr="00295A4D" w:rsidTr="0045785D">
        <w:trPr>
          <w:trHeight w:val="55"/>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120 &lt;160</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142,500</w:t>
            </w:r>
          </w:p>
        </w:tc>
      </w:tr>
      <w:tr w:rsidR="00550148" w:rsidRPr="00295A4D" w:rsidTr="0045785D">
        <w:trPr>
          <w:trHeight w:val="218"/>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160 &lt;200</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150,000</w:t>
            </w:r>
          </w:p>
        </w:tc>
      </w:tr>
      <w:tr w:rsidR="00550148" w:rsidRPr="00295A4D" w:rsidTr="0045785D">
        <w:trPr>
          <w:trHeight w:val="104"/>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200 &lt;320</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240,000</w:t>
            </w:r>
          </w:p>
        </w:tc>
      </w:tr>
      <w:tr w:rsidR="00550148" w:rsidRPr="00295A4D" w:rsidTr="0045785D">
        <w:trPr>
          <w:trHeight w:val="151"/>
        </w:trPr>
        <w:tc>
          <w:tcPr>
            <w:tcW w:w="2500" w:type="pct"/>
            <w:tcBorders>
              <w:top w:val="nil"/>
              <w:left w:val="single" w:sz="4" w:space="0" w:color="auto"/>
              <w:bottom w:val="single" w:sz="4" w:space="0" w:color="auto"/>
              <w:right w:val="single" w:sz="4" w:space="0" w:color="auto"/>
            </w:tcBorders>
            <w:shd w:val="clear" w:color="auto" w:fill="auto"/>
            <w:noWrap/>
            <w:hideMark/>
          </w:tcPr>
          <w:p w:rsidR="00550148" w:rsidRPr="00082166" w:rsidRDefault="00550148" w:rsidP="00082166">
            <w:pPr>
              <w:ind w:left="1402"/>
              <w:jc w:val="left"/>
              <w:rPr>
                <w:color w:val="000000"/>
                <w:sz w:val="21"/>
                <w:szCs w:val="21"/>
                <w:lang w:val="en-CA" w:eastAsia="es-419"/>
              </w:rPr>
            </w:pPr>
            <w:r w:rsidRPr="00082166">
              <w:rPr>
                <w:color w:val="000000"/>
                <w:sz w:val="21"/>
                <w:szCs w:val="21"/>
                <w:lang w:val="en-CA" w:eastAsia="es-419"/>
              </w:rPr>
              <w:t>320 &lt;360</w:t>
            </w:r>
          </w:p>
        </w:tc>
        <w:tc>
          <w:tcPr>
            <w:tcW w:w="2500" w:type="pct"/>
            <w:tcBorders>
              <w:top w:val="nil"/>
              <w:left w:val="nil"/>
              <w:bottom w:val="single" w:sz="4" w:space="0" w:color="auto"/>
              <w:right w:val="single" w:sz="4" w:space="0" w:color="auto"/>
            </w:tcBorders>
            <w:shd w:val="clear" w:color="auto" w:fill="auto"/>
            <w:noWrap/>
          </w:tcPr>
          <w:p w:rsidR="0045785D" w:rsidRPr="00082166" w:rsidRDefault="0045785D" w:rsidP="00082166">
            <w:pPr>
              <w:ind w:right="1290"/>
              <w:jc w:val="right"/>
              <w:rPr>
                <w:color w:val="000000"/>
                <w:sz w:val="21"/>
                <w:szCs w:val="21"/>
                <w:lang w:val="en-CA" w:eastAsia="es-419"/>
              </w:rPr>
            </w:pPr>
            <w:r>
              <w:rPr>
                <w:color w:val="000000"/>
                <w:sz w:val="21"/>
                <w:szCs w:val="21"/>
                <w:lang w:val="en-CA" w:eastAsia="es-419"/>
              </w:rPr>
              <w:t>270,000</w:t>
            </w:r>
          </w:p>
        </w:tc>
      </w:tr>
    </w:tbl>
    <w:p w:rsidR="00550148" w:rsidRPr="00295A4D" w:rsidRDefault="00550148" w:rsidP="00550148">
      <w:pPr>
        <w:rPr>
          <w:lang w:val="en-CA"/>
        </w:rPr>
      </w:pPr>
    </w:p>
    <w:p w:rsidR="00F963D2" w:rsidRPr="00FA2168" w:rsidRDefault="00550148" w:rsidP="00B9646B">
      <w:pPr>
        <w:pStyle w:val="Heading3"/>
        <w:rPr>
          <w:lang w:val="en-CA"/>
        </w:rPr>
      </w:pPr>
      <w:r w:rsidRPr="00FA2168">
        <w:rPr>
          <w:lang w:val="en-CA"/>
        </w:rPr>
        <w:t>Article 5 countries that have total HCFC consumption above 360</w:t>
      </w:r>
      <w:r w:rsidR="00B04C62" w:rsidRPr="00FA2168">
        <w:rPr>
          <w:lang w:val="en-CA"/>
        </w:rPr>
        <w:t> mt</w:t>
      </w:r>
      <w:r w:rsidR="00E43FA2" w:rsidRPr="00FA2168">
        <w:rPr>
          <w:lang w:val="en-CA"/>
        </w:rPr>
        <w:t xml:space="preserve"> and below 2</w:t>
      </w:r>
      <w:r w:rsidR="0081173A" w:rsidRPr="00FA2168">
        <w:rPr>
          <w:lang w:val="en-CA"/>
        </w:rPr>
        <w:t>5</w:t>
      </w:r>
      <w:r w:rsidR="00E43FA2" w:rsidRPr="00FA2168">
        <w:rPr>
          <w:lang w:val="en-CA"/>
        </w:rPr>
        <w:t>,000</w:t>
      </w:r>
      <w:r w:rsidR="00B04C62" w:rsidRPr="00FA2168">
        <w:rPr>
          <w:lang w:val="en-CA"/>
        </w:rPr>
        <w:t> mt</w:t>
      </w:r>
      <w:r w:rsidRPr="00FA2168">
        <w:rPr>
          <w:lang w:val="en-CA"/>
        </w:rPr>
        <w:t xml:space="preserve"> that clearly demonstrate that they require assistance in the refrigeration servicing </w:t>
      </w:r>
      <w:r w:rsidRPr="00B11A54">
        <w:rPr>
          <w:lang w:val="en-CA"/>
        </w:rPr>
        <w:t xml:space="preserve">sector to comply </w:t>
      </w:r>
      <w:r w:rsidR="00FA2168" w:rsidRPr="002172EE">
        <w:rPr>
          <w:lang w:val="en-CA"/>
        </w:rPr>
        <w:t xml:space="preserve">at least </w:t>
      </w:r>
      <w:r w:rsidRPr="002172EE">
        <w:rPr>
          <w:lang w:val="en-CA"/>
        </w:rPr>
        <w:t xml:space="preserve">with the </w:t>
      </w:r>
      <w:r w:rsidR="00DD40AF" w:rsidRPr="002172EE">
        <w:rPr>
          <w:lang w:val="en-CA"/>
        </w:rPr>
        <w:t xml:space="preserve">10 per cent reduction </w:t>
      </w:r>
      <w:r w:rsidR="00B9646B" w:rsidRPr="002172EE">
        <w:rPr>
          <w:lang w:val="en-CA"/>
        </w:rPr>
        <w:t>step in HFC consumption in line with the compliance schedule of the Montreal Protocol</w:t>
      </w:r>
      <w:r w:rsidRPr="002172EE">
        <w:rPr>
          <w:lang w:val="en-CA"/>
        </w:rPr>
        <w:t xml:space="preserve">, </w:t>
      </w:r>
      <w:r w:rsidR="00736761" w:rsidRPr="002172EE">
        <w:rPr>
          <w:lang w:val="en-CA"/>
        </w:rPr>
        <w:t>will</w:t>
      </w:r>
      <w:r w:rsidR="00736761" w:rsidRPr="00FA2168">
        <w:rPr>
          <w:lang w:val="en-CA"/>
        </w:rPr>
        <w:t xml:space="preserve"> be provided </w:t>
      </w:r>
      <w:r w:rsidRPr="00FA2168">
        <w:rPr>
          <w:lang w:val="en-CA"/>
        </w:rPr>
        <w:t xml:space="preserve">funding at a level up to </w:t>
      </w:r>
      <w:r w:rsidR="00B04C62" w:rsidRPr="00FA2168">
        <w:rPr>
          <w:lang w:val="en-CA"/>
        </w:rPr>
        <w:t>US $</w:t>
      </w:r>
      <w:r w:rsidR="00621A56">
        <w:rPr>
          <w:lang w:val="en-CA"/>
        </w:rPr>
        <w:t>3.20</w:t>
      </w:r>
      <w:r w:rsidRPr="00FA2168">
        <w:rPr>
          <w:lang w:val="en-CA"/>
        </w:rPr>
        <w:t xml:space="preserve">/metric </w:t>
      </w:r>
      <w:r w:rsidR="003C0F7E" w:rsidRPr="00FA2168">
        <w:rPr>
          <w:lang w:val="en-CA"/>
        </w:rPr>
        <w:t>kg</w:t>
      </w:r>
      <w:r w:rsidRPr="00FA2168">
        <w:rPr>
          <w:lang w:val="en-CA"/>
        </w:rPr>
        <w:t>, which will be deducted from their starting point for aggregate reductions in HFC consumption</w:t>
      </w:r>
      <w:r w:rsidR="002D69AF" w:rsidRPr="00FA2168">
        <w:rPr>
          <w:lang w:val="en-CA"/>
        </w:rPr>
        <w:t xml:space="preserve">; </w:t>
      </w:r>
    </w:p>
    <w:p w:rsidR="00550148" w:rsidRPr="002172EE" w:rsidRDefault="008A644B" w:rsidP="00B9646B">
      <w:pPr>
        <w:pStyle w:val="Heading3"/>
        <w:rPr>
          <w:lang w:val="en-CA"/>
        </w:rPr>
      </w:pPr>
      <w:r w:rsidRPr="002172EE">
        <w:rPr>
          <w:lang w:val="en-CA"/>
        </w:rPr>
        <w:t>Article 5 countries referred to in paragraph (b)(ii</w:t>
      </w:r>
      <w:r w:rsidR="00DD40AF" w:rsidRPr="002172EE">
        <w:rPr>
          <w:lang w:val="en-CA"/>
        </w:rPr>
        <w:t>i</w:t>
      </w:r>
      <w:r w:rsidRPr="002172EE">
        <w:rPr>
          <w:lang w:val="en-CA"/>
        </w:rPr>
        <w:t xml:space="preserve">) </w:t>
      </w:r>
      <w:r w:rsidR="00B9646B" w:rsidRPr="002172EE">
        <w:rPr>
          <w:lang w:val="en-CA"/>
        </w:rPr>
        <w:t xml:space="preserve">above </w:t>
      </w:r>
      <w:r w:rsidRPr="002172EE">
        <w:rPr>
          <w:lang w:val="en-CA"/>
        </w:rPr>
        <w:t xml:space="preserve">that could achieve the </w:t>
      </w:r>
      <w:r w:rsidR="00B9646B" w:rsidRPr="002172EE">
        <w:rPr>
          <w:lang w:val="en-CA"/>
        </w:rPr>
        <w:t>10</w:t>
      </w:r>
      <w:r w:rsidR="001B49D0">
        <w:rPr>
          <w:lang w:val="en-CA"/>
        </w:rPr>
        <w:t> </w:t>
      </w:r>
      <w:r w:rsidR="00B9646B" w:rsidRPr="002172EE">
        <w:rPr>
          <w:lang w:val="en-CA"/>
        </w:rPr>
        <w:t>per</w:t>
      </w:r>
      <w:r w:rsidR="00D11999">
        <w:rPr>
          <w:lang w:val="en-CA"/>
        </w:rPr>
        <w:t> </w:t>
      </w:r>
      <w:r w:rsidR="00B9646B" w:rsidRPr="002172EE">
        <w:rPr>
          <w:lang w:val="en-CA"/>
        </w:rPr>
        <w:t xml:space="preserve">cent reduction step in HFC consumption in line with the compliance schedule of the Montreal Protocol, only </w:t>
      </w:r>
      <w:r w:rsidRPr="002172EE">
        <w:rPr>
          <w:lang w:val="en-CA"/>
        </w:rPr>
        <w:t xml:space="preserve">through activities in the refrigeration servicing sector, could </w:t>
      </w:r>
      <w:r w:rsidR="00693E48" w:rsidRPr="002172EE">
        <w:rPr>
          <w:lang w:val="en-CA"/>
        </w:rPr>
        <w:t>receive</w:t>
      </w:r>
      <w:r w:rsidRPr="002172EE">
        <w:rPr>
          <w:lang w:val="en-CA"/>
        </w:rPr>
        <w:t xml:space="preserve"> funding</w:t>
      </w:r>
      <w:r w:rsidR="00297180" w:rsidRPr="002172EE">
        <w:rPr>
          <w:lang w:val="en-CA"/>
        </w:rPr>
        <w:t xml:space="preserve"> up to </w:t>
      </w:r>
      <w:r w:rsidRPr="002172EE">
        <w:rPr>
          <w:lang w:val="en-CA"/>
        </w:rPr>
        <w:t>the level determined for LVC countries with HCFC baseline between 320 and 360</w:t>
      </w:r>
      <w:r w:rsidR="00B04C62" w:rsidRPr="002172EE">
        <w:rPr>
          <w:lang w:val="en-CA"/>
        </w:rPr>
        <w:t> mt</w:t>
      </w:r>
      <w:r w:rsidR="00B9646B" w:rsidRPr="002172EE">
        <w:rPr>
          <w:lang w:val="en-CA"/>
        </w:rPr>
        <w:t xml:space="preserve"> as specified </w:t>
      </w:r>
      <w:r w:rsidR="002F1078" w:rsidRPr="002172EE">
        <w:rPr>
          <w:lang w:val="en-CA"/>
        </w:rPr>
        <w:t>in sub</w:t>
      </w:r>
      <w:r w:rsidR="001B49D0">
        <w:rPr>
          <w:lang w:val="en-CA"/>
        </w:rPr>
        <w:noBreakHyphen/>
      </w:r>
      <w:r w:rsidR="002F1078" w:rsidRPr="002172EE">
        <w:rPr>
          <w:lang w:val="en-CA"/>
        </w:rPr>
        <w:t>paragraph (b)(ii) above</w:t>
      </w:r>
      <w:r w:rsidR="00676F48" w:rsidRPr="002172EE">
        <w:rPr>
          <w:lang w:val="en-CA"/>
        </w:rPr>
        <w:t xml:space="preserve">, </w:t>
      </w:r>
      <w:r w:rsidR="00FA2168" w:rsidRPr="002172EE">
        <w:rPr>
          <w:lang w:val="en-CA"/>
        </w:rPr>
        <w:t>on the understanding that they must include in their HFC phase-down plans, as a minimum the requirements described in sub</w:t>
      </w:r>
      <w:r w:rsidR="001B49D0">
        <w:rPr>
          <w:lang w:val="en-CA"/>
        </w:rPr>
        <w:noBreakHyphen/>
      </w:r>
      <w:r w:rsidR="00FA2168" w:rsidRPr="002172EE">
        <w:rPr>
          <w:lang w:val="en-CA"/>
        </w:rPr>
        <w:t>paragraph (b)(i) above;</w:t>
      </w:r>
      <w:r w:rsidR="00297180" w:rsidRPr="002172EE">
        <w:rPr>
          <w:lang w:val="en-CA"/>
        </w:rPr>
        <w:t xml:space="preserve"> and</w:t>
      </w:r>
    </w:p>
    <w:p w:rsidR="00E43FA2" w:rsidRPr="00FA2168" w:rsidRDefault="00E43FA2" w:rsidP="00E43FA2">
      <w:pPr>
        <w:pStyle w:val="Heading3"/>
        <w:rPr>
          <w:lang w:val="en-CA"/>
        </w:rPr>
      </w:pPr>
      <w:r w:rsidRPr="00FA2168">
        <w:rPr>
          <w:lang w:val="en-CA"/>
        </w:rPr>
        <w:t xml:space="preserve">Funding for Article 5 countries that have a total HCFC consumption </w:t>
      </w:r>
      <w:r w:rsidR="00676F48" w:rsidRPr="00FA2168">
        <w:rPr>
          <w:lang w:val="en-CA"/>
        </w:rPr>
        <w:t xml:space="preserve">baseline </w:t>
      </w:r>
      <w:r w:rsidRPr="00FA2168">
        <w:rPr>
          <w:lang w:val="en-CA"/>
        </w:rPr>
        <w:t>above 2</w:t>
      </w:r>
      <w:r w:rsidR="0081173A" w:rsidRPr="00FA2168">
        <w:rPr>
          <w:lang w:val="en-CA"/>
        </w:rPr>
        <w:t>5</w:t>
      </w:r>
      <w:r w:rsidRPr="00FA2168">
        <w:rPr>
          <w:lang w:val="en-CA"/>
        </w:rPr>
        <w:t>,000</w:t>
      </w:r>
      <w:r w:rsidR="00B04C62" w:rsidRPr="00FA2168">
        <w:rPr>
          <w:lang w:val="en-CA"/>
        </w:rPr>
        <w:t> mt</w:t>
      </w:r>
      <w:r w:rsidRPr="00FA2168">
        <w:rPr>
          <w:lang w:val="en-CA"/>
        </w:rPr>
        <w:t xml:space="preserve"> will </w:t>
      </w:r>
      <w:r w:rsidRPr="002172EE">
        <w:rPr>
          <w:lang w:val="en-CA"/>
        </w:rPr>
        <w:t xml:space="preserve">be </w:t>
      </w:r>
      <w:r w:rsidR="002F1078" w:rsidRPr="002172EE">
        <w:rPr>
          <w:lang w:val="en-CA"/>
        </w:rPr>
        <w:t>considered</w:t>
      </w:r>
      <w:r w:rsidRPr="002172EE">
        <w:rPr>
          <w:lang w:val="en-CA"/>
        </w:rPr>
        <w:t xml:space="preserve"> on a case</w:t>
      </w:r>
      <w:r w:rsidRPr="00FA2168">
        <w:rPr>
          <w:lang w:val="en-CA"/>
        </w:rPr>
        <w:t>-by-case basis;</w:t>
      </w:r>
      <w:r w:rsidR="008D0F1C" w:rsidRPr="00FA2168">
        <w:rPr>
          <w:lang w:val="en-CA"/>
        </w:rPr>
        <w:t xml:space="preserve"> </w:t>
      </w:r>
    </w:p>
    <w:p w:rsidR="00EA65C2" w:rsidRDefault="00736761" w:rsidP="00736761">
      <w:pPr>
        <w:pStyle w:val="Heading2"/>
        <w:rPr>
          <w:lang w:val="en-CA"/>
        </w:rPr>
      </w:pPr>
      <w:r w:rsidRPr="00295A4D">
        <w:rPr>
          <w:lang w:val="en-CA"/>
        </w:rPr>
        <w:t>Including</w:t>
      </w:r>
      <w:r w:rsidR="003E29ED" w:rsidRPr="00295A4D">
        <w:rPr>
          <w:lang w:val="en-CA"/>
        </w:rPr>
        <w:t xml:space="preserve"> the principles referred to in sub-paragraph (b) in the draft </w:t>
      </w:r>
      <w:r w:rsidR="00FE526E" w:rsidRPr="00295A4D">
        <w:rPr>
          <w:lang w:val="en-CA"/>
        </w:rPr>
        <w:t>cost guidelines for the phase</w:t>
      </w:r>
      <w:r w:rsidRPr="00295A4D">
        <w:rPr>
          <w:lang w:val="en-CA"/>
        </w:rPr>
        <w:noBreakHyphen/>
      </w:r>
      <w:r w:rsidR="00FE526E" w:rsidRPr="00295A4D">
        <w:rPr>
          <w:lang w:val="en-CA"/>
        </w:rPr>
        <w:t xml:space="preserve">down of HFCs and </w:t>
      </w:r>
      <w:r w:rsidRPr="00295A4D">
        <w:rPr>
          <w:lang w:val="en-CA"/>
        </w:rPr>
        <w:t>revising</w:t>
      </w:r>
      <w:r w:rsidR="002D69AF" w:rsidRPr="00295A4D">
        <w:rPr>
          <w:lang w:val="en-CA"/>
        </w:rPr>
        <w:t xml:space="preserve"> these principles in 2028 for the funding of </w:t>
      </w:r>
      <w:r w:rsidR="00FE526E" w:rsidRPr="00295A4D">
        <w:rPr>
          <w:lang w:val="en-CA"/>
        </w:rPr>
        <w:t>future stages of HFC phase-down</w:t>
      </w:r>
      <w:r w:rsidR="002F1078">
        <w:rPr>
          <w:lang w:val="en-CA"/>
        </w:rPr>
        <w:t xml:space="preserve"> plans</w:t>
      </w:r>
      <w:r w:rsidR="00EA65C2">
        <w:rPr>
          <w:lang w:val="en-CA"/>
        </w:rPr>
        <w:t>; and</w:t>
      </w:r>
    </w:p>
    <w:p w:rsidR="00550148" w:rsidRPr="00FA2168" w:rsidRDefault="00EA65C2" w:rsidP="00EA65C2">
      <w:pPr>
        <w:pStyle w:val="Heading2"/>
        <w:rPr>
          <w:lang w:val="en-CA"/>
        </w:rPr>
      </w:pPr>
      <w:r w:rsidRPr="00FA2168">
        <w:rPr>
          <w:lang w:val="en-CA"/>
        </w:rPr>
        <w:t xml:space="preserve">Whether to add the </w:t>
      </w:r>
      <w:r w:rsidRPr="00750116">
        <w:rPr>
          <w:lang w:val="en-CA"/>
        </w:rPr>
        <w:t>increase of funds agreed in the discussion of document</w:t>
      </w:r>
      <w:r w:rsidR="005211D5" w:rsidRPr="00750116">
        <w:rPr>
          <w:lang w:val="en-CA"/>
        </w:rPr>
        <w:t> </w:t>
      </w:r>
      <w:r w:rsidRPr="00750116">
        <w:rPr>
          <w:lang w:val="en-CA"/>
        </w:rPr>
        <w:t>UNEP/OzL.Pro/ExCom/</w:t>
      </w:r>
      <w:r w:rsidR="00BD3A5C" w:rsidRPr="00750116">
        <w:rPr>
          <w:lang w:val="en-CA"/>
        </w:rPr>
        <w:t>87/50</w:t>
      </w:r>
      <w:r w:rsidRPr="00750116">
        <w:rPr>
          <w:lang w:val="en-CA"/>
        </w:rPr>
        <w:t xml:space="preserve"> on </w:t>
      </w:r>
      <w:r w:rsidR="00FA2168" w:rsidRPr="00750116">
        <w:rPr>
          <w:lang w:val="en-CA"/>
        </w:rPr>
        <w:t>w</w:t>
      </w:r>
      <w:r w:rsidRPr="00750116">
        <w:rPr>
          <w:lang w:val="en-CA"/>
        </w:rPr>
        <w:t>ays to operationalize paragraph 16 of decision</w:t>
      </w:r>
      <w:r w:rsidR="00D11999" w:rsidRPr="00750116">
        <w:rPr>
          <w:lang w:val="en-CA"/>
        </w:rPr>
        <w:t> </w:t>
      </w:r>
      <w:r w:rsidRPr="00750116">
        <w:rPr>
          <w:lang w:val="en-CA"/>
        </w:rPr>
        <w:t>XXVIII/2, and paragraph 2 of decision XXX</w:t>
      </w:r>
      <w:bookmarkStart w:id="0" w:name="_GoBack"/>
      <w:bookmarkEnd w:id="0"/>
      <w:r w:rsidRPr="00FA2168">
        <w:rPr>
          <w:lang w:val="en-CA"/>
        </w:rPr>
        <w:t>/5, to the approval of stage I of the HFC phase-down</w:t>
      </w:r>
      <w:r w:rsidR="00CD0D45">
        <w:rPr>
          <w:lang w:val="en-CA"/>
        </w:rPr>
        <w:t xml:space="preserve"> instead of the HPMP</w:t>
      </w:r>
      <w:r w:rsidRPr="00FA2168">
        <w:rPr>
          <w:lang w:val="en-CA"/>
        </w:rPr>
        <w:t>, noting that the activities proposed for such increase of funds will benefit both HCFC phase-out and HFC phase-down through introduction of alternatives with low and zero GWP to HFC and maintain energy efficiency also in the servicing/end</w:t>
      </w:r>
      <w:r w:rsidR="00BD33BC" w:rsidRPr="00FA2168">
        <w:rPr>
          <w:lang w:val="en-CA"/>
        </w:rPr>
        <w:noBreakHyphen/>
      </w:r>
      <w:r w:rsidRPr="00FA2168">
        <w:rPr>
          <w:lang w:val="en-CA"/>
        </w:rPr>
        <w:t>user sector for LVC countries.</w:t>
      </w:r>
    </w:p>
    <w:p w:rsidR="00C24837" w:rsidRPr="00295A4D" w:rsidRDefault="00C24837" w:rsidP="001C1882">
      <w:pPr>
        <w:rPr>
          <w:lang w:val="en-CA"/>
        </w:rPr>
      </w:pPr>
    </w:p>
    <w:p w:rsidR="00C24837" w:rsidRPr="00295A4D" w:rsidRDefault="00C24837" w:rsidP="001C1882">
      <w:pPr>
        <w:rPr>
          <w:lang w:val="en-CA"/>
        </w:rPr>
        <w:sectPr w:rsidR="00C24837" w:rsidRPr="00295A4D" w:rsidSect="00896234">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cols w:space="720"/>
          <w:titlePg/>
        </w:sectPr>
      </w:pPr>
    </w:p>
    <w:p w:rsidR="00C24837" w:rsidRPr="00295A4D" w:rsidRDefault="00C24837" w:rsidP="00C24837">
      <w:pPr>
        <w:jc w:val="center"/>
        <w:rPr>
          <w:b/>
          <w:lang w:val="en-CA"/>
        </w:rPr>
      </w:pPr>
      <w:r w:rsidRPr="00295A4D">
        <w:rPr>
          <w:b/>
          <w:lang w:val="en-CA"/>
        </w:rPr>
        <w:lastRenderedPageBreak/>
        <w:t xml:space="preserve">Annex </w:t>
      </w:r>
      <w:r w:rsidR="00667432" w:rsidRPr="00295A4D">
        <w:rPr>
          <w:b/>
          <w:lang w:val="en-CA"/>
        </w:rPr>
        <w:t xml:space="preserve">I </w:t>
      </w:r>
    </w:p>
    <w:p w:rsidR="00AC352B" w:rsidRPr="00295A4D" w:rsidRDefault="00AC352B" w:rsidP="00C24837">
      <w:pPr>
        <w:jc w:val="center"/>
        <w:rPr>
          <w:b/>
          <w:lang w:val="en-CA"/>
        </w:rPr>
      </w:pPr>
    </w:p>
    <w:p w:rsidR="002245F8" w:rsidRDefault="002245F8" w:rsidP="00C96F45">
      <w:pPr>
        <w:jc w:val="center"/>
        <w:rPr>
          <w:b/>
          <w:lang w:val="en-CA"/>
        </w:rPr>
      </w:pPr>
      <w:r>
        <w:rPr>
          <w:b/>
          <w:lang w:val="en-CA"/>
        </w:rPr>
        <w:t xml:space="preserve">AN OVERVIEW OF POTENTIAL MODALITIES FOR INTEGRATING </w:t>
      </w:r>
    </w:p>
    <w:p w:rsidR="00C96F45" w:rsidRPr="00295A4D" w:rsidRDefault="00AC352B" w:rsidP="00C96F45">
      <w:pPr>
        <w:jc w:val="center"/>
        <w:rPr>
          <w:b/>
          <w:lang w:val="en-CA"/>
        </w:rPr>
      </w:pPr>
      <w:r w:rsidRPr="00295A4D">
        <w:rPr>
          <w:b/>
          <w:lang w:val="en-CA"/>
        </w:rPr>
        <w:t xml:space="preserve">HCFC PHASE-OUT AND HFC PHASE-DOWN </w:t>
      </w:r>
      <w:r w:rsidR="002245F8">
        <w:rPr>
          <w:b/>
          <w:lang w:val="en-CA"/>
        </w:rPr>
        <w:t xml:space="preserve">ACTIVITIES </w:t>
      </w:r>
      <w:r w:rsidRPr="00295A4D">
        <w:rPr>
          <w:b/>
          <w:lang w:val="en-CA"/>
        </w:rPr>
        <w:t>IN THE REFRIGERATION SERVICING SECTOR</w:t>
      </w:r>
    </w:p>
    <w:p w:rsidR="00C24837" w:rsidRPr="00295A4D" w:rsidRDefault="00C24837" w:rsidP="001C1882">
      <w:pPr>
        <w:rPr>
          <w:lang w:val="en-CA"/>
        </w:rPr>
      </w:pPr>
    </w:p>
    <w:tbl>
      <w:tblPr>
        <w:tblW w:w="14310" w:type="dxa"/>
        <w:tblInd w:w="-5" w:type="dxa"/>
        <w:tblLayout w:type="fixed"/>
        <w:tblCellMar>
          <w:left w:w="70" w:type="dxa"/>
          <w:right w:w="70" w:type="dxa"/>
        </w:tblCellMar>
        <w:tblLook w:val="06A0" w:firstRow="1" w:lastRow="0" w:firstColumn="1" w:lastColumn="0" w:noHBand="1" w:noVBand="1"/>
      </w:tblPr>
      <w:tblGrid>
        <w:gridCol w:w="1980"/>
        <w:gridCol w:w="1800"/>
        <w:gridCol w:w="5265"/>
        <w:gridCol w:w="5265"/>
      </w:tblGrid>
      <w:tr w:rsidR="00C96F45" w:rsidRPr="006C774D" w:rsidTr="00FA2168">
        <w:trPr>
          <w:tblHeader/>
        </w:trPr>
        <w:tc>
          <w:tcPr>
            <w:tcW w:w="198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hideMark/>
          </w:tcPr>
          <w:p w:rsidR="00AE7A47" w:rsidRPr="006C774D" w:rsidRDefault="00AE7A47" w:rsidP="002245F8">
            <w:pPr>
              <w:jc w:val="center"/>
              <w:rPr>
                <w:b/>
                <w:bCs/>
                <w:color w:val="000000"/>
                <w:sz w:val="18"/>
                <w:szCs w:val="18"/>
                <w:lang w:val="en-CA" w:eastAsia="es-419"/>
              </w:rPr>
            </w:pPr>
            <w:r w:rsidRPr="006C774D">
              <w:rPr>
                <w:b/>
                <w:bCs/>
                <w:color w:val="000000"/>
                <w:sz w:val="18"/>
                <w:szCs w:val="18"/>
                <w:lang w:val="en-CA" w:eastAsia="es-419"/>
              </w:rPr>
              <w:t>Categories</w:t>
            </w:r>
            <w:r w:rsidR="002245F8" w:rsidRPr="006C774D">
              <w:rPr>
                <w:b/>
                <w:bCs/>
                <w:color w:val="000000"/>
                <w:sz w:val="18"/>
                <w:szCs w:val="18"/>
                <w:lang w:val="en-CA" w:eastAsia="es-419"/>
              </w:rPr>
              <w:t>*</w:t>
            </w:r>
          </w:p>
        </w:tc>
        <w:tc>
          <w:tcPr>
            <w:tcW w:w="1800" w:type="dxa"/>
            <w:tcBorders>
              <w:top w:val="single" w:sz="4" w:space="0" w:color="auto"/>
              <w:left w:val="nil"/>
              <w:bottom w:val="single" w:sz="4" w:space="0" w:color="auto"/>
              <w:right w:val="single" w:sz="4" w:space="0" w:color="auto"/>
            </w:tcBorders>
            <w:shd w:val="clear" w:color="auto" w:fill="auto"/>
            <w:noWrap/>
            <w:tcMar>
              <w:top w:w="29" w:type="dxa"/>
              <w:bottom w:w="29" w:type="dxa"/>
            </w:tcMar>
            <w:vAlign w:val="center"/>
            <w:hideMark/>
          </w:tcPr>
          <w:p w:rsidR="00AE7A47" w:rsidRPr="006C774D" w:rsidRDefault="00AE7A47" w:rsidP="002245F8">
            <w:pPr>
              <w:jc w:val="center"/>
              <w:rPr>
                <w:b/>
                <w:bCs/>
                <w:color w:val="000000"/>
                <w:sz w:val="18"/>
                <w:szCs w:val="18"/>
                <w:lang w:val="en-CA" w:eastAsia="es-419"/>
              </w:rPr>
            </w:pPr>
            <w:r w:rsidRPr="006C774D">
              <w:rPr>
                <w:b/>
                <w:bCs/>
                <w:color w:val="000000"/>
                <w:sz w:val="18"/>
                <w:szCs w:val="18"/>
                <w:lang w:val="en-CA" w:eastAsia="es-419"/>
              </w:rPr>
              <w:t>Target</w:t>
            </w:r>
          </w:p>
        </w:tc>
        <w:tc>
          <w:tcPr>
            <w:tcW w:w="5265" w:type="dxa"/>
            <w:tcBorders>
              <w:top w:val="single" w:sz="4" w:space="0" w:color="auto"/>
              <w:left w:val="nil"/>
              <w:bottom w:val="single" w:sz="4" w:space="0" w:color="auto"/>
              <w:right w:val="single" w:sz="4" w:space="0" w:color="auto"/>
            </w:tcBorders>
            <w:shd w:val="clear" w:color="auto" w:fill="auto"/>
            <w:tcMar>
              <w:top w:w="29" w:type="dxa"/>
              <w:bottom w:w="29" w:type="dxa"/>
            </w:tcMar>
            <w:vAlign w:val="center"/>
            <w:hideMark/>
          </w:tcPr>
          <w:p w:rsidR="00AE7A47" w:rsidRPr="006C774D" w:rsidRDefault="002245F8" w:rsidP="002245F8">
            <w:pPr>
              <w:jc w:val="center"/>
              <w:rPr>
                <w:b/>
                <w:bCs/>
                <w:color w:val="000000"/>
                <w:sz w:val="18"/>
                <w:szCs w:val="18"/>
                <w:lang w:val="en-CA" w:eastAsia="es-419"/>
              </w:rPr>
            </w:pPr>
            <w:r w:rsidRPr="006C774D">
              <w:rPr>
                <w:b/>
                <w:bCs/>
                <w:color w:val="000000"/>
                <w:sz w:val="18"/>
                <w:szCs w:val="18"/>
                <w:lang w:val="en-CA" w:eastAsia="es-419"/>
              </w:rPr>
              <w:t>C</w:t>
            </w:r>
            <w:r w:rsidR="00AE7A47" w:rsidRPr="006C774D">
              <w:rPr>
                <w:b/>
                <w:bCs/>
                <w:color w:val="000000"/>
                <w:sz w:val="18"/>
                <w:szCs w:val="18"/>
                <w:lang w:val="en-CA" w:eastAsia="es-419"/>
              </w:rPr>
              <w:t>overed under HPMP</w:t>
            </w:r>
          </w:p>
        </w:tc>
        <w:tc>
          <w:tcPr>
            <w:tcW w:w="5265" w:type="dxa"/>
            <w:tcBorders>
              <w:top w:val="single" w:sz="4" w:space="0" w:color="auto"/>
              <w:left w:val="nil"/>
              <w:bottom w:val="single" w:sz="4" w:space="0" w:color="auto"/>
              <w:right w:val="single" w:sz="4" w:space="0" w:color="auto"/>
            </w:tcBorders>
            <w:shd w:val="clear" w:color="auto" w:fill="auto"/>
            <w:tcMar>
              <w:top w:w="29" w:type="dxa"/>
              <w:bottom w:w="29" w:type="dxa"/>
            </w:tcMar>
            <w:vAlign w:val="center"/>
            <w:hideMark/>
          </w:tcPr>
          <w:p w:rsidR="00AE7A47" w:rsidRPr="006C774D" w:rsidRDefault="00AE7A47" w:rsidP="002245F8">
            <w:pPr>
              <w:jc w:val="center"/>
              <w:rPr>
                <w:b/>
                <w:bCs/>
                <w:color w:val="000000"/>
                <w:sz w:val="18"/>
                <w:szCs w:val="18"/>
                <w:lang w:val="en-CA" w:eastAsia="es-419"/>
              </w:rPr>
            </w:pPr>
            <w:r w:rsidRPr="006C774D">
              <w:rPr>
                <w:b/>
                <w:bCs/>
                <w:color w:val="000000"/>
                <w:sz w:val="18"/>
                <w:szCs w:val="18"/>
                <w:lang w:val="en-CA" w:eastAsia="es-419"/>
              </w:rPr>
              <w:t>Possibility of integration</w:t>
            </w:r>
          </w:p>
        </w:tc>
      </w:tr>
      <w:tr w:rsidR="00C96F45"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 xml:space="preserve">Policy development and implementation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C24837">
            <w:pPr>
              <w:jc w:val="left"/>
              <w:rPr>
                <w:color w:val="000000"/>
                <w:sz w:val="18"/>
                <w:szCs w:val="18"/>
                <w:lang w:val="en-CA" w:eastAsia="es-419"/>
              </w:rPr>
            </w:pPr>
            <w:r w:rsidRPr="006C774D">
              <w:rPr>
                <w:color w:val="000000"/>
                <w:sz w:val="18"/>
                <w:szCs w:val="18"/>
                <w:lang w:val="en-CA" w:eastAsia="es-419"/>
              </w:rPr>
              <w:t>Government institutions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C96F45">
            <w:pPr>
              <w:jc w:val="left"/>
              <w:rPr>
                <w:color w:val="000000"/>
                <w:sz w:val="18"/>
                <w:szCs w:val="18"/>
                <w:lang w:val="en-CA" w:eastAsia="es-419"/>
              </w:rPr>
            </w:pPr>
            <w:r w:rsidRPr="006C774D">
              <w:rPr>
                <w:color w:val="000000"/>
                <w:sz w:val="18"/>
                <w:szCs w:val="18"/>
                <w:lang w:val="en-CA" w:eastAsia="es-419"/>
              </w:rPr>
              <w:t xml:space="preserve">Operational HCFC import//export licensing and quota systems established. Additional regulatory measures </w:t>
            </w:r>
            <w:r w:rsidR="00BD33BC" w:rsidRPr="006C774D">
              <w:rPr>
                <w:color w:val="000000"/>
                <w:sz w:val="18"/>
                <w:szCs w:val="18"/>
                <w:lang w:val="en-CA" w:eastAsia="es-419"/>
              </w:rPr>
              <w:t xml:space="preserve">in the refrigeration </w:t>
            </w:r>
            <w:r w:rsidR="00C96F45" w:rsidRPr="006C774D">
              <w:rPr>
                <w:color w:val="000000"/>
                <w:sz w:val="18"/>
                <w:szCs w:val="18"/>
                <w:lang w:val="en-CA" w:eastAsia="es-419"/>
              </w:rPr>
              <w:t xml:space="preserve">servicing sector </w:t>
            </w:r>
            <w:r w:rsidRPr="006C774D">
              <w:rPr>
                <w:color w:val="000000"/>
                <w:sz w:val="18"/>
                <w:szCs w:val="18"/>
                <w:lang w:val="en-CA" w:eastAsia="es-419"/>
              </w:rPr>
              <w:t>promulgated depending on the country.</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8522F1">
            <w:pPr>
              <w:jc w:val="left"/>
              <w:rPr>
                <w:color w:val="000000"/>
                <w:sz w:val="18"/>
                <w:szCs w:val="18"/>
                <w:lang w:val="en-CA" w:eastAsia="es-419"/>
              </w:rPr>
            </w:pPr>
            <w:r w:rsidRPr="006C774D">
              <w:rPr>
                <w:color w:val="000000"/>
                <w:sz w:val="18"/>
                <w:szCs w:val="18"/>
                <w:lang w:val="en-CA" w:eastAsia="es-419"/>
              </w:rPr>
              <w:t>In most countries, the basic regulations so far cover only to HCFCs (such as the licensing and quota system and bans on equipment containing HCFC). Additional work will be required to identify additional importers/distributors/users of HFCs, to start recording data in a systematic manner and to ensure the establishment of a regulatory framework that also addresses HFCs.</w:t>
            </w:r>
          </w:p>
        </w:tc>
      </w:tr>
      <w:tr w:rsidR="00C96F45"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Training of customs officers and prevention of illegal trade of HFCs</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C96F45">
            <w:pPr>
              <w:jc w:val="left"/>
              <w:rPr>
                <w:color w:val="000000"/>
                <w:sz w:val="18"/>
                <w:szCs w:val="18"/>
                <w:lang w:val="en-CA" w:eastAsia="es-419"/>
              </w:rPr>
            </w:pPr>
            <w:r w:rsidRPr="006C774D">
              <w:rPr>
                <w:color w:val="000000"/>
                <w:sz w:val="18"/>
                <w:szCs w:val="18"/>
                <w:lang w:val="en-CA" w:eastAsia="es-419"/>
              </w:rPr>
              <w:t>Customs departments, customs officers, enforcement officers</w:t>
            </w:r>
            <w:r w:rsidR="00C96F45" w:rsidRPr="006C774D">
              <w:rPr>
                <w:color w:val="000000"/>
                <w:sz w:val="18"/>
                <w:szCs w:val="18"/>
                <w:lang w:val="en-CA" w:eastAsia="es-419"/>
              </w:rPr>
              <w:t xml:space="preserve"> from other government departments</w:t>
            </w:r>
            <w:r w:rsidRPr="006C774D">
              <w:rPr>
                <w:color w:val="000000"/>
                <w:sz w:val="18"/>
                <w:szCs w:val="18"/>
                <w:lang w:val="en-CA" w:eastAsia="es-419"/>
              </w:rPr>
              <w:t>, importers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C24837">
            <w:pPr>
              <w:jc w:val="left"/>
              <w:rPr>
                <w:color w:val="000000"/>
                <w:sz w:val="18"/>
                <w:szCs w:val="18"/>
                <w:lang w:val="en-CA" w:eastAsia="es-419"/>
              </w:rPr>
            </w:pPr>
            <w:r w:rsidRPr="006C774D">
              <w:rPr>
                <w:color w:val="000000"/>
                <w:sz w:val="18"/>
                <w:szCs w:val="18"/>
                <w:lang w:val="en-CA" w:eastAsia="es-419"/>
              </w:rPr>
              <w:t>Regular customs training on control of HCFCs provided. Custom departments strengthened with equipment (identifiers), these identifiers may also operate with most common HFCs. Contents of training on HCFC control included in the training curricula of customs departments. Capacity has been created (or is being created) for the customs departments to continue providing HCFC training in their regular training programme provided to officers. However, this training has so far not included HFCs control as they were not controlled under the Montreal Protocol.</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1B49D0">
            <w:pPr>
              <w:jc w:val="left"/>
              <w:rPr>
                <w:color w:val="000000"/>
                <w:sz w:val="18"/>
                <w:szCs w:val="18"/>
                <w:lang w:val="en-CA" w:eastAsia="es-419"/>
              </w:rPr>
            </w:pPr>
            <w:r w:rsidRPr="006C774D">
              <w:rPr>
                <w:color w:val="000000"/>
                <w:sz w:val="18"/>
                <w:szCs w:val="18"/>
                <w:lang w:val="en-CA" w:eastAsia="es-419"/>
              </w:rPr>
              <w:t xml:space="preserve">The subject related to HFC phase-down </w:t>
            </w:r>
            <w:r w:rsidR="00C96F45" w:rsidRPr="006C774D">
              <w:rPr>
                <w:color w:val="000000"/>
                <w:sz w:val="18"/>
                <w:szCs w:val="18"/>
                <w:lang w:val="en-CA" w:eastAsia="es-419"/>
              </w:rPr>
              <w:t xml:space="preserve">needs to </w:t>
            </w:r>
            <w:r w:rsidRPr="006C774D">
              <w:rPr>
                <w:color w:val="000000"/>
                <w:sz w:val="18"/>
                <w:szCs w:val="18"/>
                <w:lang w:val="en-CA" w:eastAsia="es-419"/>
              </w:rPr>
              <w:t>be integrated in the current training to customs departments and enforcement officers. Additional training will be required on HFC substances (pure and blends), ways to control their imports/exports (including harmonized systems codes) and ways to measure consumption/compliance in CO</w:t>
            </w:r>
            <w:r w:rsidRPr="006C774D">
              <w:rPr>
                <w:color w:val="000000"/>
                <w:sz w:val="18"/>
                <w:szCs w:val="18"/>
                <w:vertAlign w:val="subscript"/>
                <w:lang w:val="en-CA" w:eastAsia="es-419"/>
              </w:rPr>
              <w:t>2</w:t>
            </w:r>
            <w:r w:rsidRPr="006C774D">
              <w:rPr>
                <w:color w:val="000000"/>
                <w:sz w:val="18"/>
                <w:szCs w:val="18"/>
                <w:lang w:val="en-CA" w:eastAsia="es-419"/>
              </w:rPr>
              <w:t xml:space="preserve"> equivalent. Periodic </w:t>
            </w:r>
            <w:r w:rsidR="00C96F45" w:rsidRPr="006C774D">
              <w:rPr>
                <w:color w:val="000000"/>
                <w:sz w:val="18"/>
                <w:szCs w:val="18"/>
                <w:lang w:val="en-CA" w:eastAsia="es-419"/>
              </w:rPr>
              <w:t xml:space="preserve">training </w:t>
            </w:r>
            <w:r w:rsidRPr="006C774D">
              <w:rPr>
                <w:color w:val="000000"/>
                <w:sz w:val="18"/>
                <w:szCs w:val="18"/>
                <w:lang w:val="en-CA" w:eastAsia="es-419"/>
              </w:rPr>
              <w:t>updates are also needed due to the high</w:t>
            </w:r>
            <w:r w:rsidR="001B49D0">
              <w:rPr>
                <w:color w:val="000000"/>
                <w:sz w:val="18"/>
                <w:szCs w:val="18"/>
                <w:lang w:val="en-CA" w:eastAsia="es-419"/>
              </w:rPr>
              <w:noBreakHyphen/>
            </w:r>
            <w:r w:rsidRPr="006C774D">
              <w:rPr>
                <w:color w:val="000000"/>
                <w:sz w:val="18"/>
                <w:szCs w:val="18"/>
                <w:lang w:val="en-CA" w:eastAsia="es-419"/>
              </w:rPr>
              <w:t xml:space="preserve">rotation nature of the customs departments’ personnel. This additional training can benefit from </w:t>
            </w:r>
            <w:r w:rsidR="00C96F45" w:rsidRPr="006C774D">
              <w:rPr>
                <w:color w:val="000000"/>
                <w:sz w:val="18"/>
                <w:szCs w:val="18"/>
                <w:lang w:val="en-CA" w:eastAsia="es-419"/>
              </w:rPr>
              <w:t xml:space="preserve">already established </w:t>
            </w:r>
            <w:r w:rsidRPr="006C774D">
              <w:rPr>
                <w:color w:val="000000"/>
                <w:sz w:val="18"/>
                <w:szCs w:val="18"/>
                <w:lang w:val="en-CA" w:eastAsia="es-419"/>
              </w:rPr>
              <w:t>partnerships with relevant institutions, and Montreal Protocol knowledge and infrastructure already built during CFC and HCFC phase</w:t>
            </w:r>
            <w:r w:rsidR="00C96F45" w:rsidRPr="006C774D">
              <w:rPr>
                <w:color w:val="000000"/>
                <w:sz w:val="18"/>
                <w:szCs w:val="18"/>
                <w:lang w:val="en-CA" w:eastAsia="es-419"/>
              </w:rPr>
              <w:t>-</w:t>
            </w:r>
            <w:r w:rsidRPr="006C774D">
              <w:rPr>
                <w:color w:val="000000"/>
                <w:sz w:val="18"/>
                <w:szCs w:val="18"/>
                <w:lang w:val="en-CA" w:eastAsia="es-419"/>
              </w:rPr>
              <w:t>out.</w:t>
            </w:r>
          </w:p>
        </w:tc>
      </w:tr>
      <w:tr w:rsidR="00AB446B"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B446B" w:rsidRPr="006C774D" w:rsidRDefault="00AB446B" w:rsidP="00612C0D">
            <w:pPr>
              <w:widowControl w:val="0"/>
              <w:jc w:val="left"/>
              <w:rPr>
                <w:color w:val="000000"/>
                <w:sz w:val="18"/>
                <w:szCs w:val="18"/>
                <w:lang w:val="en-CA" w:eastAsia="es-419"/>
              </w:rPr>
            </w:pPr>
            <w:r w:rsidRPr="006C774D">
              <w:rPr>
                <w:color w:val="000000"/>
                <w:sz w:val="18"/>
                <w:szCs w:val="18"/>
                <w:lang w:val="en-CA" w:eastAsia="es-419"/>
              </w:rPr>
              <w:t>Training of technicians on safe handling, good practices and safety in respect of alternatives, including training equipment</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B446B" w:rsidRPr="006C774D" w:rsidRDefault="00AB446B" w:rsidP="00612C0D">
            <w:pPr>
              <w:widowControl w:val="0"/>
              <w:jc w:val="left"/>
              <w:rPr>
                <w:color w:val="000000"/>
                <w:sz w:val="18"/>
                <w:szCs w:val="18"/>
                <w:lang w:val="en-CA" w:eastAsia="es-419"/>
              </w:rPr>
            </w:pPr>
            <w:r w:rsidRPr="006C774D">
              <w:rPr>
                <w:color w:val="000000"/>
                <w:sz w:val="18"/>
                <w:szCs w:val="18"/>
                <w:lang w:val="en-CA" w:eastAsia="es-419"/>
              </w:rPr>
              <w:t>Technicians, technical institutes, refrigeration associations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B446B" w:rsidRPr="006C774D" w:rsidRDefault="00AB446B" w:rsidP="00612C0D">
            <w:pPr>
              <w:widowControl w:val="0"/>
              <w:jc w:val="left"/>
              <w:rPr>
                <w:color w:val="000000"/>
                <w:sz w:val="18"/>
                <w:szCs w:val="18"/>
                <w:lang w:val="en-CA" w:eastAsia="es-419"/>
              </w:rPr>
            </w:pPr>
            <w:r w:rsidRPr="006C774D">
              <w:rPr>
                <w:color w:val="000000"/>
                <w:sz w:val="18"/>
                <w:szCs w:val="18"/>
                <w:lang w:val="en-CA" w:eastAsia="es-419"/>
              </w:rPr>
              <w:t>Multiple training in good servicing practices delivered over time. Through HPMPs good servicing practices have been included in training institutes' training curricula and training institutes have been strengthened with technical assistance and equipment. Many Article 5 countries already included training on low</w:t>
            </w:r>
            <w:r w:rsidRPr="006C774D">
              <w:rPr>
                <w:color w:val="000000"/>
                <w:sz w:val="18"/>
                <w:szCs w:val="18"/>
                <w:lang w:val="en-CA" w:eastAsia="es-419"/>
              </w:rPr>
              <w:noBreakHyphen/>
            </w:r>
            <w:r w:rsidR="00BD33BC" w:rsidRPr="006C774D">
              <w:rPr>
                <w:color w:val="000000"/>
                <w:sz w:val="18"/>
                <w:szCs w:val="18"/>
                <w:lang w:val="en-CA" w:eastAsia="es-419"/>
              </w:rPr>
              <w:noBreakHyphen/>
              <w:t>global</w:t>
            </w:r>
            <w:r w:rsidR="00BD33BC" w:rsidRPr="006C774D">
              <w:rPr>
                <w:color w:val="000000"/>
                <w:sz w:val="18"/>
                <w:szCs w:val="18"/>
                <w:lang w:val="en-CA" w:eastAsia="es-419"/>
              </w:rPr>
              <w:noBreakHyphen/>
              <w:t>warming</w:t>
            </w:r>
            <w:r w:rsidR="00BD33BC" w:rsidRPr="006C774D">
              <w:rPr>
                <w:color w:val="000000"/>
                <w:sz w:val="18"/>
                <w:szCs w:val="18"/>
                <w:lang w:val="en-CA" w:eastAsia="es-419"/>
              </w:rPr>
              <w:noBreakHyphen/>
              <w:t>potential (</w:t>
            </w:r>
            <w:r w:rsidRPr="006C774D">
              <w:rPr>
                <w:color w:val="000000"/>
                <w:sz w:val="18"/>
                <w:szCs w:val="18"/>
                <w:lang w:val="en-CA" w:eastAsia="es-419"/>
              </w:rPr>
              <w:t>GWP</w:t>
            </w:r>
            <w:r w:rsidR="00BD33BC" w:rsidRPr="006C774D">
              <w:rPr>
                <w:color w:val="000000"/>
                <w:sz w:val="18"/>
                <w:szCs w:val="18"/>
                <w:lang w:val="en-CA" w:eastAsia="es-419"/>
              </w:rPr>
              <w:t>)</w:t>
            </w:r>
            <w:r w:rsidRPr="006C774D">
              <w:rPr>
                <w:color w:val="000000"/>
                <w:sz w:val="18"/>
                <w:szCs w:val="18"/>
                <w:lang w:val="en-CA" w:eastAsia="es-419"/>
              </w:rPr>
              <w:t xml:space="preserve"> alternatives in their training programmes, including safe practices for flammable and toxic refrigerants. However, equipment based on those technologies is not widely available yet.</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B446B" w:rsidRPr="006C774D" w:rsidRDefault="00AB446B" w:rsidP="006C774D">
            <w:pPr>
              <w:widowControl w:val="0"/>
              <w:jc w:val="left"/>
              <w:rPr>
                <w:color w:val="000000"/>
                <w:sz w:val="18"/>
                <w:szCs w:val="18"/>
                <w:lang w:val="en-CA" w:eastAsia="es-419"/>
              </w:rPr>
            </w:pPr>
            <w:r w:rsidRPr="006C774D">
              <w:rPr>
                <w:color w:val="000000"/>
                <w:sz w:val="18"/>
                <w:szCs w:val="18"/>
                <w:lang w:val="en-CA" w:eastAsia="es-419"/>
              </w:rPr>
              <w:t>Training infrastructure strengthened through HPMPs. Continuous training on handling low-GWP refrigerants needed as population of equipment based on these alternatives grows. This activity may need to be complemented by certification (discussed below) to ensure technicians comply with minimum requirements to service equipment based on low</w:t>
            </w:r>
            <w:r w:rsidR="00BD33BC" w:rsidRPr="006C774D">
              <w:rPr>
                <w:color w:val="000000"/>
                <w:sz w:val="18"/>
                <w:szCs w:val="18"/>
                <w:lang w:val="en-CA" w:eastAsia="es-419"/>
              </w:rPr>
              <w:noBreakHyphen/>
            </w:r>
            <w:r w:rsidRPr="006C774D">
              <w:rPr>
                <w:color w:val="000000"/>
                <w:sz w:val="18"/>
                <w:szCs w:val="18"/>
                <w:lang w:val="en-CA" w:eastAsia="es-419"/>
              </w:rPr>
              <w:t xml:space="preserve">GWP refrigerants. In addition, training </w:t>
            </w:r>
            <w:r w:rsidR="00AF78C8" w:rsidRPr="006C774D">
              <w:rPr>
                <w:color w:val="000000"/>
                <w:sz w:val="18"/>
                <w:szCs w:val="18"/>
                <w:lang w:val="en-CA" w:eastAsia="es-419"/>
              </w:rPr>
              <w:t xml:space="preserve">needs associated to </w:t>
            </w:r>
            <w:r w:rsidR="001B49D0">
              <w:rPr>
                <w:color w:val="000000"/>
                <w:sz w:val="18"/>
                <w:szCs w:val="18"/>
                <w:lang w:val="en-CA" w:eastAsia="es-419"/>
              </w:rPr>
              <w:t>mobile air-</w:t>
            </w:r>
            <w:r w:rsidR="001B49D0" w:rsidRPr="001B49D0">
              <w:rPr>
                <w:color w:val="000000"/>
                <w:sz w:val="18"/>
                <w:szCs w:val="18"/>
                <w:lang w:val="en-CA" w:eastAsia="es-419"/>
              </w:rPr>
              <w:t xml:space="preserve">conditioning </w:t>
            </w:r>
            <w:r w:rsidR="001B49D0">
              <w:rPr>
                <w:color w:val="000000"/>
                <w:sz w:val="18"/>
                <w:szCs w:val="18"/>
                <w:lang w:val="en-CA" w:eastAsia="es-419"/>
              </w:rPr>
              <w:t>(</w:t>
            </w:r>
            <w:r w:rsidR="00BE5A40" w:rsidRPr="006C774D">
              <w:rPr>
                <w:color w:val="000000"/>
                <w:sz w:val="18"/>
                <w:szCs w:val="18"/>
                <w:lang w:val="en-CA" w:eastAsia="es-419"/>
              </w:rPr>
              <w:t>MAC</w:t>
            </w:r>
            <w:r w:rsidR="001B49D0">
              <w:rPr>
                <w:color w:val="000000"/>
                <w:sz w:val="18"/>
                <w:szCs w:val="18"/>
                <w:lang w:val="en-CA" w:eastAsia="es-419"/>
              </w:rPr>
              <w:t>)</w:t>
            </w:r>
            <w:r w:rsidR="00AF78C8" w:rsidRPr="006C774D">
              <w:rPr>
                <w:color w:val="000000"/>
                <w:sz w:val="18"/>
                <w:szCs w:val="18"/>
                <w:lang w:val="en-CA" w:eastAsia="es-419"/>
              </w:rPr>
              <w:t xml:space="preserve"> application may need to be assessed, if this application has not been already covered by general good refrigeration practices.</w:t>
            </w:r>
          </w:p>
        </w:tc>
      </w:tr>
      <w:tr w:rsidR="00C96F45"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E7A47" w:rsidRPr="006C774D" w:rsidRDefault="00AE7A47" w:rsidP="00612C0D">
            <w:pPr>
              <w:widowControl w:val="0"/>
              <w:rPr>
                <w:color w:val="000000"/>
                <w:sz w:val="18"/>
                <w:szCs w:val="18"/>
                <w:lang w:val="en-CA" w:eastAsia="es-419"/>
              </w:rPr>
            </w:pPr>
            <w:r w:rsidRPr="006C774D">
              <w:rPr>
                <w:color w:val="000000"/>
                <w:sz w:val="18"/>
                <w:szCs w:val="18"/>
                <w:lang w:val="en-CA" w:eastAsia="es-419"/>
              </w:rPr>
              <w:t>Certification programmes</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612C0D">
            <w:pPr>
              <w:widowControl w:val="0"/>
              <w:jc w:val="left"/>
              <w:rPr>
                <w:color w:val="000000"/>
                <w:sz w:val="18"/>
                <w:szCs w:val="18"/>
                <w:lang w:val="en-CA" w:eastAsia="es-419"/>
              </w:rPr>
            </w:pPr>
            <w:r w:rsidRPr="006C774D">
              <w:rPr>
                <w:color w:val="000000"/>
                <w:sz w:val="18"/>
                <w:szCs w:val="18"/>
                <w:lang w:val="en-CA" w:eastAsia="es-419"/>
              </w:rPr>
              <w:t>Technicians, refrigeration associations, government institutions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612C0D">
            <w:pPr>
              <w:widowControl w:val="0"/>
              <w:jc w:val="left"/>
              <w:rPr>
                <w:color w:val="000000"/>
                <w:sz w:val="18"/>
                <w:szCs w:val="18"/>
                <w:lang w:val="en-CA" w:eastAsia="es-419"/>
              </w:rPr>
            </w:pPr>
            <w:r w:rsidRPr="006C774D">
              <w:rPr>
                <w:color w:val="000000"/>
                <w:sz w:val="18"/>
                <w:szCs w:val="18"/>
                <w:lang w:val="en-CA" w:eastAsia="es-419"/>
              </w:rPr>
              <w:t>Most countries are developing certification schemes under the HPMP. Technicians certification so far focused on good practices, which cover HCFC and HFC based refrigerants. Additional specialized modules for handling low</w:t>
            </w:r>
            <w:r w:rsidR="00BD33BC" w:rsidRPr="006C774D">
              <w:rPr>
                <w:color w:val="000000"/>
                <w:sz w:val="18"/>
                <w:szCs w:val="18"/>
                <w:lang w:val="en-CA" w:eastAsia="es-419"/>
              </w:rPr>
              <w:t>-</w:t>
            </w:r>
            <w:r w:rsidRPr="006C774D">
              <w:rPr>
                <w:color w:val="000000"/>
                <w:sz w:val="18"/>
                <w:szCs w:val="18"/>
                <w:lang w:val="en-CA" w:eastAsia="es-419"/>
              </w:rPr>
              <w:t>GWP refrigerants or provide service to specific</w:t>
            </w:r>
            <w:r w:rsidR="00AB446B" w:rsidRPr="006C774D">
              <w:rPr>
                <w:color w:val="000000"/>
                <w:sz w:val="18"/>
                <w:szCs w:val="18"/>
                <w:lang w:val="en-CA" w:eastAsia="es-419"/>
              </w:rPr>
              <w:t>,</w:t>
            </w:r>
            <w:r w:rsidRPr="006C774D">
              <w:rPr>
                <w:color w:val="000000"/>
                <w:sz w:val="18"/>
                <w:szCs w:val="18"/>
                <w:lang w:val="en-CA" w:eastAsia="es-419"/>
              </w:rPr>
              <w:t xml:space="preserve"> complex applications still to be developed.</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1B49D0">
            <w:pPr>
              <w:widowControl w:val="0"/>
              <w:jc w:val="left"/>
              <w:rPr>
                <w:color w:val="000000"/>
                <w:sz w:val="18"/>
                <w:szCs w:val="18"/>
                <w:lang w:val="en-CA" w:eastAsia="es-419"/>
              </w:rPr>
            </w:pPr>
            <w:r w:rsidRPr="006C774D">
              <w:rPr>
                <w:color w:val="000000"/>
                <w:sz w:val="18"/>
                <w:szCs w:val="18"/>
                <w:lang w:val="en-CA" w:eastAsia="es-419"/>
              </w:rPr>
              <w:t>Certification infrastructure already created or being created through the HPMPs. Certification of technicians so far focused on good servicing practices covering both HCFC and HFC. The HFC phase</w:t>
            </w:r>
            <w:r w:rsidR="001B49D0">
              <w:rPr>
                <w:color w:val="000000"/>
                <w:sz w:val="18"/>
                <w:szCs w:val="18"/>
                <w:lang w:val="en-CA" w:eastAsia="es-419"/>
              </w:rPr>
              <w:noBreakHyphen/>
            </w:r>
            <w:r w:rsidRPr="006C774D">
              <w:rPr>
                <w:color w:val="000000"/>
                <w:sz w:val="18"/>
                <w:szCs w:val="18"/>
                <w:lang w:val="en-CA" w:eastAsia="es-419"/>
              </w:rPr>
              <w:t>down will cause larger import and manufacturing of equipment using low</w:t>
            </w:r>
            <w:r w:rsidR="007A71C7" w:rsidRPr="006C774D">
              <w:rPr>
                <w:color w:val="000000"/>
                <w:sz w:val="18"/>
                <w:szCs w:val="18"/>
                <w:lang w:val="en-CA" w:eastAsia="es-419"/>
              </w:rPr>
              <w:noBreakHyphen/>
            </w:r>
            <w:r w:rsidRPr="006C774D">
              <w:rPr>
                <w:color w:val="000000"/>
                <w:sz w:val="18"/>
                <w:szCs w:val="18"/>
                <w:lang w:val="en-CA" w:eastAsia="es-419"/>
              </w:rPr>
              <w:t>GWP refrigerants that could be flammable, operate at higher pressure conditions or be toxic. This will require that technicians expecting to work with these technologies upgrade their certification to additional competencies in order to be able to do it in a safe manner. Certification schemes then will need to add new certification competencies including handling low-GWP refrigerants. Additional work required in the long</w:t>
            </w:r>
            <w:r w:rsidR="007A71C7" w:rsidRPr="006C774D">
              <w:rPr>
                <w:color w:val="000000"/>
                <w:sz w:val="18"/>
                <w:szCs w:val="18"/>
                <w:lang w:val="en-CA" w:eastAsia="es-419"/>
              </w:rPr>
              <w:t xml:space="preserve"> </w:t>
            </w:r>
            <w:r w:rsidRPr="006C774D">
              <w:rPr>
                <w:color w:val="000000"/>
                <w:sz w:val="18"/>
                <w:szCs w:val="18"/>
                <w:lang w:val="en-CA" w:eastAsia="es-419"/>
              </w:rPr>
              <w:t xml:space="preserve">term to certify a large portion of </w:t>
            </w:r>
            <w:r w:rsidRPr="006C774D">
              <w:rPr>
                <w:color w:val="000000"/>
                <w:sz w:val="18"/>
                <w:szCs w:val="18"/>
                <w:lang w:val="en-CA" w:eastAsia="es-419"/>
              </w:rPr>
              <w:lastRenderedPageBreak/>
              <w:t>technicians to handle low</w:t>
            </w:r>
            <w:r w:rsidR="007A71C7" w:rsidRPr="006C774D">
              <w:rPr>
                <w:color w:val="000000"/>
                <w:sz w:val="18"/>
                <w:szCs w:val="18"/>
                <w:lang w:val="en-CA" w:eastAsia="es-419"/>
              </w:rPr>
              <w:noBreakHyphen/>
            </w:r>
            <w:r w:rsidRPr="006C774D">
              <w:rPr>
                <w:color w:val="000000"/>
                <w:sz w:val="18"/>
                <w:szCs w:val="18"/>
                <w:lang w:val="en-CA" w:eastAsia="es-419"/>
              </w:rPr>
              <w:t>GWP alternatives being introduced in the countries</w:t>
            </w:r>
            <w:r w:rsidR="00BE5A40" w:rsidRPr="006C774D">
              <w:rPr>
                <w:color w:val="000000"/>
                <w:sz w:val="18"/>
                <w:szCs w:val="18"/>
                <w:lang w:val="en-CA" w:eastAsia="es-419"/>
              </w:rPr>
              <w:t>.</w:t>
            </w:r>
          </w:p>
        </w:tc>
      </w:tr>
      <w:tr w:rsidR="00C96F45"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E7A47" w:rsidRPr="006C774D" w:rsidRDefault="00AE7A47" w:rsidP="00C96F45">
            <w:pPr>
              <w:jc w:val="left"/>
              <w:rPr>
                <w:color w:val="000000"/>
                <w:sz w:val="18"/>
                <w:szCs w:val="18"/>
                <w:lang w:val="en-CA" w:eastAsia="es-419"/>
              </w:rPr>
            </w:pPr>
            <w:r w:rsidRPr="006C774D">
              <w:rPr>
                <w:color w:val="000000"/>
                <w:sz w:val="18"/>
                <w:szCs w:val="18"/>
                <w:lang w:val="en-CA" w:eastAsia="es-419"/>
              </w:rPr>
              <w:lastRenderedPageBreak/>
              <w:t>Refrigerant testing equipment for the refrigeration and air</w:t>
            </w:r>
            <w:r w:rsidRPr="006C774D">
              <w:rPr>
                <w:color w:val="000000"/>
                <w:sz w:val="18"/>
                <w:szCs w:val="18"/>
                <w:lang w:val="en-CA" w:eastAsia="es-419"/>
              </w:rPr>
              <w:noBreakHyphen/>
              <w:t>conditioning</w:t>
            </w:r>
            <w:r w:rsidR="007A71C7" w:rsidRPr="006C774D">
              <w:rPr>
                <w:color w:val="000000"/>
                <w:sz w:val="18"/>
                <w:szCs w:val="18"/>
                <w:lang w:val="en-CA" w:eastAsia="es-419"/>
              </w:rPr>
              <w:t xml:space="preserve"> </w:t>
            </w:r>
            <w:r w:rsidRPr="006C774D">
              <w:rPr>
                <w:color w:val="000000"/>
                <w:sz w:val="18"/>
                <w:szCs w:val="18"/>
                <w:lang w:val="en-CA" w:eastAsia="es-419"/>
              </w:rPr>
              <w:t>sector</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C24837">
            <w:pPr>
              <w:jc w:val="left"/>
              <w:rPr>
                <w:color w:val="000000"/>
                <w:sz w:val="18"/>
                <w:szCs w:val="18"/>
                <w:lang w:val="en-CA" w:eastAsia="es-419"/>
              </w:rPr>
            </w:pPr>
            <w:r w:rsidRPr="006C774D">
              <w:rPr>
                <w:color w:val="000000"/>
                <w:sz w:val="18"/>
                <w:szCs w:val="18"/>
                <w:lang w:val="en-CA" w:eastAsia="es-419"/>
              </w:rPr>
              <w:t>Training institutions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C24837">
            <w:pPr>
              <w:jc w:val="left"/>
              <w:rPr>
                <w:color w:val="000000"/>
                <w:sz w:val="18"/>
                <w:szCs w:val="18"/>
                <w:lang w:val="en-CA" w:eastAsia="es-419"/>
              </w:rPr>
            </w:pPr>
            <w:r w:rsidRPr="006C774D">
              <w:rPr>
                <w:color w:val="000000"/>
                <w:sz w:val="18"/>
                <w:szCs w:val="18"/>
                <w:lang w:val="en-CA" w:eastAsia="es-419"/>
              </w:rPr>
              <w:t>Training institutions strengthened with equipment</w:t>
            </w:r>
            <w:r w:rsidR="00C96F45" w:rsidRPr="006C774D">
              <w:rPr>
                <w:color w:val="000000"/>
                <w:sz w:val="18"/>
                <w:szCs w:val="18"/>
                <w:lang w:val="en-CA" w:eastAsia="es-419"/>
              </w:rPr>
              <w:t xml:space="preserve"> during the HPMPs</w:t>
            </w:r>
            <w:r w:rsidRPr="006C774D">
              <w:rPr>
                <w:color w:val="000000"/>
                <w:sz w:val="18"/>
                <w:szCs w:val="18"/>
                <w:lang w:val="en-CA" w:eastAsia="es-419"/>
              </w:rPr>
              <w:t xml:space="preserve">.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Refrigerant testing equipment under HPMPs is already for low</w:t>
            </w:r>
            <w:r w:rsidR="007A71C7" w:rsidRPr="006C774D">
              <w:rPr>
                <w:color w:val="000000"/>
                <w:sz w:val="18"/>
                <w:szCs w:val="18"/>
                <w:lang w:val="en-CA" w:eastAsia="es-419"/>
              </w:rPr>
              <w:noBreakHyphen/>
            </w:r>
            <w:r w:rsidRPr="006C774D">
              <w:rPr>
                <w:color w:val="000000"/>
                <w:sz w:val="18"/>
                <w:szCs w:val="18"/>
                <w:lang w:val="en-CA" w:eastAsia="es-419"/>
              </w:rPr>
              <w:t xml:space="preserve">GWP refrigerants. Additional equipment may be needed in some countries to have a larger coverage of training institutes. </w:t>
            </w:r>
          </w:p>
        </w:tc>
      </w:tr>
      <w:tr w:rsidR="00C96F45"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Servicing tools</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C96F45" w:rsidP="00C96F45">
            <w:pPr>
              <w:jc w:val="left"/>
              <w:rPr>
                <w:color w:val="000000"/>
                <w:sz w:val="18"/>
                <w:szCs w:val="18"/>
                <w:lang w:val="en-CA" w:eastAsia="es-419"/>
              </w:rPr>
            </w:pPr>
            <w:r w:rsidRPr="006C774D">
              <w:rPr>
                <w:color w:val="000000"/>
                <w:sz w:val="18"/>
                <w:szCs w:val="18"/>
                <w:lang w:val="en-CA" w:eastAsia="es-419"/>
              </w:rPr>
              <w:t>Refrigeration t</w:t>
            </w:r>
            <w:r w:rsidR="00AE7A47" w:rsidRPr="006C774D">
              <w:rPr>
                <w:color w:val="000000"/>
                <w:sz w:val="18"/>
                <w:szCs w:val="18"/>
                <w:lang w:val="en-CA" w:eastAsia="es-419"/>
              </w:rPr>
              <w:t>echnicians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FC39F5">
            <w:pPr>
              <w:jc w:val="left"/>
              <w:rPr>
                <w:color w:val="000000"/>
                <w:sz w:val="18"/>
                <w:szCs w:val="18"/>
                <w:lang w:val="en-CA" w:eastAsia="es-419"/>
              </w:rPr>
            </w:pPr>
            <w:r w:rsidRPr="006C774D">
              <w:rPr>
                <w:color w:val="000000"/>
                <w:sz w:val="18"/>
                <w:szCs w:val="18"/>
                <w:lang w:val="en-CA" w:eastAsia="es-419"/>
              </w:rPr>
              <w:t xml:space="preserve">Only a portion of technicians covered through the HPMPs. For the majority of </w:t>
            </w:r>
            <w:r w:rsidR="00BD33BC" w:rsidRPr="006C774D">
              <w:rPr>
                <w:color w:val="000000"/>
                <w:sz w:val="18"/>
                <w:szCs w:val="18"/>
                <w:lang w:val="en-CA" w:eastAsia="es-419"/>
              </w:rPr>
              <w:t>countries,</w:t>
            </w:r>
            <w:r w:rsidRPr="006C774D">
              <w:rPr>
                <w:color w:val="000000"/>
                <w:sz w:val="18"/>
                <w:szCs w:val="18"/>
                <w:lang w:val="en-CA" w:eastAsia="es-419"/>
              </w:rPr>
              <w:t xml:space="preserve"> it is not possible to cover all technicians. Servicing tool kits in some countries already include additional tools to handle low-GWP refrigerants, but in other countries they have not included them.</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6C774D">
            <w:pPr>
              <w:jc w:val="left"/>
              <w:rPr>
                <w:color w:val="000000"/>
                <w:sz w:val="18"/>
                <w:szCs w:val="18"/>
                <w:lang w:val="en-CA" w:eastAsia="es-419"/>
              </w:rPr>
            </w:pPr>
            <w:r w:rsidRPr="006C774D">
              <w:rPr>
                <w:color w:val="000000"/>
                <w:sz w:val="18"/>
                <w:szCs w:val="18"/>
                <w:lang w:val="en-CA" w:eastAsia="es-419"/>
              </w:rPr>
              <w:t>Servicing tools can continue being provided to cover a larger population of technicians. In some countries the servicing kits would need to add tools needed for servicing equipment with low-GWP alternatives (flammability, high pressure)</w:t>
            </w:r>
            <w:r w:rsidR="006C774D" w:rsidRPr="006C774D">
              <w:rPr>
                <w:color w:val="000000"/>
                <w:sz w:val="18"/>
                <w:szCs w:val="18"/>
                <w:lang w:val="en-CA" w:eastAsia="es-419"/>
              </w:rPr>
              <w:t>; t</w:t>
            </w:r>
            <w:r w:rsidR="00BE5A40" w:rsidRPr="006C774D">
              <w:rPr>
                <w:color w:val="000000"/>
                <w:sz w:val="18"/>
                <w:szCs w:val="18"/>
                <w:lang w:val="en-CA" w:eastAsia="es-419"/>
              </w:rPr>
              <w:t>ool</w:t>
            </w:r>
            <w:r w:rsidR="00B2560E" w:rsidRPr="006C774D">
              <w:rPr>
                <w:color w:val="000000"/>
                <w:sz w:val="18"/>
                <w:szCs w:val="18"/>
                <w:lang w:val="en-CA" w:eastAsia="es-419"/>
              </w:rPr>
              <w:t xml:space="preserve"> kits may also need to be provided to technicians from new sectors (e.g., MAC). </w:t>
            </w:r>
          </w:p>
        </w:tc>
      </w:tr>
      <w:tr w:rsidR="00C96F45"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Recycling and recovery of HFCs</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C96F45" w:rsidP="00FA2168">
            <w:pPr>
              <w:jc w:val="left"/>
              <w:rPr>
                <w:color w:val="000000"/>
                <w:sz w:val="18"/>
                <w:szCs w:val="18"/>
                <w:lang w:val="en-CA" w:eastAsia="es-419"/>
              </w:rPr>
            </w:pPr>
            <w:r w:rsidRPr="006C774D">
              <w:rPr>
                <w:color w:val="000000"/>
                <w:sz w:val="18"/>
                <w:szCs w:val="18"/>
                <w:lang w:val="en-CA" w:eastAsia="es-419"/>
              </w:rPr>
              <w:t>Refrigeration t</w:t>
            </w:r>
            <w:r w:rsidR="00AE7A47" w:rsidRPr="006C774D">
              <w:rPr>
                <w:color w:val="000000"/>
                <w:sz w:val="18"/>
                <w:szCs w:val="18"/>
                <w:lang w:val="en-CA" w:eastAsia="es-419"/>
              </w:rPr>
              <w:t>echnicians, refrigerant importers and distributors, end-users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BE5A40">
            <w:pPr>
              <w:jc w:val="left"/>
              <w:rPr>
                <w:color w:val="000000"/>
                <w:sz w:val="18"/>
                <w:szCs w:val="18"/>
                <w:lang w:val="en-CA" w:eastAsia="es-419"/>
              </w:rPr>
            </w:pPr>
            <w:r w:rsidRPr="006C774D">
              <w:rPr>
                <w:color w:val="000000"/>
                <w:sz w:val="18"/>
                <w:szCs w:val="18"/>
                <w:lang w:val="en-CA" w:eastAsia="es-419"/>
              </w:rPr>
              <w:t xml:space="preserve">Recovery and </w:t>
            </w:r>
            <w:r w:rsidR="005D3977" w:rsidRPr="006C774D">
              <w:rPr>
                <w:color w:val="000000"/>
                <w:sz w:val="18"/>
                <w:szCs w:val="18"/>
                <w:lang w:val="en-CA" w:eastAsia="es-419"/>
              </w:rPr>
              <w:t>recycling</w:t>
            </w:r>
            <w:r w:rsidRPr="006C774D">
              <w:rPr>
                <w:color w:val="000000"/>
                <w:sz w:val="18"/>
                <w:szCs w:val="18"/>
                <w:lang w:val="en-CA" w:eastAsia="es-419"/>
              </w:rPr>
              <w:t xml:space="preserve"> programmes implemented in practically all Article</w:t>
            </w:r>
            <w:r w:rsidR="007A71C7" w:rsidRPr="006C774D">
              <w:rPr>
                <w:color w:val="000000"/>
                <w:sz w:val="18"/>
                <w:szCs w:val="18"/>
                <w:lang w:val="en-CA" w:eastAsia="es-419"/>
              </w:rPr>
              <w:t> </w:t>
            </w:r>
            <w:r w:rsidRPr="006C774D">
              <w:rPr>
                <w:color w:val="000000"/>
                <w:sz w:val="18"/>
                <w:szCs w:val="18"/>
                <w:lang w:val="en-CA" w:eastAsia="es-419"/>
              </w:rPr>
              <w:t>5 countries with different level of success. During the last HPMP stages countries are improving their networks by promulgating the required regulations to support recovery and recy</w:t>
            </w:r>
            <w:r w:rsidR="007A71C7" w:rsidRPr="006C774D">
              <w:rPr>
                <w:color w:val="000000"/>
                <w:sz w:val="18"/>
                <w:szCs w:val="18"/>
                <w:lang w:val="en-CA" w:eastAsia="es-419"/>
              </w:rPr>
              <w:t>c</w:t>
            </w:r>
            <w:r w:rsidRPr="006C774D">
              <w:rPr>
                <w:color w:val="000000"/>
                <w:sz w:val="18"/>
                <w:szCs w:val="18"/>
                <w:lang w:val="en-CA" w:eastAsia="es-419"/>
              </w:rPr>
              <w:t>ling (and reclaiming where applicable), and establishing business models with operators to make the operation e</w:t>
            </w:r>
            <w:r w:rsidR="00BE5A40" w:rsidRPr="006C774D">
              <w:rPr>
                <w:color w:val="000000"/>
                <w:sz w:val="18"/>
                <w:szCs w:val="18"/>
                <w:lang w:val="en-CA" w:eastAsia="es-419"/>
              </w:rPr>
              <w:t xml:space="preserve">conomically </w:t>
            </w:r>
            <w:r w:rsidR="00BC683A" w:rsidRPr="006C774D">
              <w:rPr>
                <w:color w:val="000000"/>
                <w:sz w:val="18"/>
                <w:szCs w:val="18"/>
                <w:lang w:val="en-CA" w:eastAsia="es-419"/>
              </w:rPr>
              <w:t>sustainable</w:t>
            </w:r>
            <w:r w:rsidRPr="006C774D">
              <w:rPr>
                <w:color w:val="000000"/>
                <w:sz w:val="18"/>
                <w:szCs w:val="18"/>
                <w:lang w:val="en-CA" w:eastAsia="es-419"/>
              </w:rPr>
              <w:t>. In some countries the equipment provided can handle the most common HFCs. During the ongoing stages of HPMPs, Article 5 countries will focus on ensuring the maximum possible impact of recove</w:t>
            </w:r>
            <w:r w:rsidR="007A71C7" w:rsidRPr="006C774D">
              <w:rPr>
                <w:color w:val="000000"/>
                <w:sz w:val="18"/>
                <w:szCs w:val="18"/>
                <w:lang w:val="en-CA" w:eastAsia="es-419"/>
              </w:rPr>
              <w:t>r</w:t>
            </w:r>
            <w:r w:rsidRPr="006C774D">
              <w:rPr>
                <w:color w:val="000000"/>
                <w:sz w:val="18"/>
                <w:szCs w:val="18"/>
                <w:lang w:val="en-CA" w:eastAsia="es-419"/>
              </w:rPr>
              <w:t>y, recycling and recla</w:t>
            </w:r>
            <w:r w:rsidR="005D3977" w:rsidRPr="006C774D">
              <w:rPr>
                <w:color w:val="000000"/>
                <w:sz w:val="18"/>
                <w:szCs w:val="18"/>
                <w:lang w:val="en-CA" w:eastAsia="es-419"/>
              </w:rPr>
              <w:t>iming</w:t>
            </w:r>
            <w:r w:rsidRPr="006C774D">
              <w:rPr>
                <w:color w:val="000000"/>
                <w:sz w:val="18"/>
                <w:szCs w:val="18"/>
                <w:lang w:val="en-CA" w:eastAsia="es-419"/>
              </w:rPr>
              <w:t xml:space="preserve"> of HCFC</w:t>
            </w:r>
            <w:r w:rsidR="007A71C7" w:rsidRPr="006C774D">
              <w:rPr>
                <w:color w:val="000000"/>
                <w:sz w:val="18"/>
                <w:szCs w:val="18"/>
                <w:lang w:val="en-CA" w:eastAsia="es-419"/>
              </w:rPr>
              <w:noBreakHyphen/>
            </w:r>
            <w:r w:rsidRPr="006C774D">
              <w:rPr>
                <w:color w:val="000000"/>
                <w:sz w:val="18"/>
                <w:szCs w:val="18"/>
                <w:lang w:val="en-CA" w:eastAsia="es-419"/>
              </w:rPr>
              <w:t xml:space="preserve">22.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1B49D0">
            <w:pPr>
              <w:jc w:val="left"/>
              <w:rPr>
                <w:color w:val="000000"/>
                <w:sz w:val="18"/>
                <w:szCs w:val="18"/>
                <w:lang w:val="en-CA" w:eastAsia="es-419"/>
              </w:rPr>
            </w:pPr>
            <w:r w:rsidRPr="006C774D">
              <w:rPr>
                <w:color w:val="000000"/>
                <w:sz w:val="18"/>
                <w:szCs w:val="18"/>
                <w:lang w:val="en-CA" w:eastAsia="es-419"/>
              </w:rPr>
              <w:t xml:space="preserve">Opportunities to expand the refrigerant recovery, recycling and reclaiming programmes to HFCs given the additional uses of HFCs in </w:t>
            </w:r>
            <w:r w:rsidR="00BE5A40" w:rsidRPr="006C774D">
              <w:rPr>
                <w:color w:val="000000"/>
                <w:sz w:val="18"/>
                <w:szCs w:val="18"/>
                <w:lang w:val="en-CA" w:eastAsia="es-419"/>
              </w:rPr>
              <w:t xml:space="preserve">RAC </w:t>
            </w:r>
            <w:r w:rsidRPr="006C774D">
              <w:rPr>
                <w:color w:val="000000"/>
                <w:sz w:val="18"/>
                <w:szCs w:val="18"/>
                <w:lang w:val="en-CA" w:eastAsia="es-419"/>
              </w:rPr>
              <w:t xml:space="preserve">applications, including large commercial equipment and </w:t>
            </w:r>
            <w:r w:rsidR="001B49D0">
              <w:rPr>
                <w:color w:val="000000"/>
                <w:sz w:val="18"/>
                <w:szCs w:val="18"/>
                <w:lang w:val="en-CA" w:eastAsia="es-419"/>
              </w:rPr>
              <w:t>MAC</w:t>
            </w:r>
            <w:r w:rsidR="00BE5A40" w:rsidRPr="006C774D">
              <w:rPr>
                <w:color w:val="000000"/>
                <w:sz w:val="18"/>
                <w:szCs w:val="18"/>
                <w:lang w:val="en-CA" w:eastAsia="es-419"/>
              </w:rPr>
              <w:t>, and a wider variety of pure and blended refrigerants that will require a</w:t>
            </w:r>
            <w:r w:rsidR="00BC683A" w:rsidRPr="006C774D">
              <w:rPr>
                <w:color w:val="000000"/>
                <w:sz w:val="18"/>
                <w:szCs w:val="18"/>
                <w:lang w:val="en-CA" w:eastAsia="es-419"/>
              </w:rPr>
              <w:t>dditional equipment and logistical considerations, including potential larger amounts of unwanted refrigerant</w:t>
            </w:r>
            <w:r w:rsidRPr="006C774D">
              <w:rPr>
                <w:color w:val="000000"/>
                <w:sz w:val="18"/>
                <w:szCs w:val="18"/>
                <w:lang w:val="en-CA" w:eastAsia="es-419"/>
              </w:rPr>
              <w:t>. All activities on MAC will be additional as there is no use of HCFCs in this sector. Use of HFCs in commercial refrigeration applications may also be larger than that of HCFC</w:t>
            </w:r>
            <w:r w:rsidR="007A71C7" w:rsidRPr="006C774D">
              <w:rPr>
                <w:color w:val="000000"/>
                <w:sz w:val="18"/>
                <w:szCs w:val="18"/>
                <w:lang w:val="en-CA" w:eastAsia="es-419"/>
              </w:rPr>
              <w:noBreakHyphen/>
            </w:r>
            <w:r w:rsidRPr="006C774D">
              <w:rPr>
                <w:color w:val="000000"/>
                <w:sz w:val="18"/>
                <w:szCs w:val="18"/>
                <w:lang w:val="en-CA" w:eastAsia="es-419"/>
              </w:rPr>
              <w:t xml:space="preserve">22. </w:t>
            </w:r>
          </w:p>
        </w:tc>
      </w:tr>
      <w:tr w:rsidR="00C96F45" w:rsidRPr="006C774D" w:rsidTr="00FA2168">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Public awareness activities</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C96F45" w:rsidP="001B49D0">
            <w:pPr>
              <w:jc w:val="left"/>
              <w:rPr>
                <w:color w:val="000000"/>
                <w:sz w:val="18"/>
                <w:szCs w:val="18"/>
                <w:lang w:val="en-CA" w:eastAsia="es-419"/>
              </w:rPr>
            </w:pPr>
            <w:r w:rsidRPr="006C774D">
              <w:rPr>
                <w:color w:val="000000"/>
                <w:sz w:val="18"/>
                <w:szCs w:val="18"/>
                <w:lang w:val="en-CA" w:eastAsia="es-419"/>
              </w:rPr>
              <w:t>Refrigeration t</w:t>
            </w:r>
            <w:r w:rsidR="00AE7A47" w:rsidRPr="006C774D">
              <w:rPr>
                <w:color w:val="000000"/>
                <w:sz w:val="18"/>
                <w:szCs w:val="18"/>
                <w:lang w:val="en-CA" w:eastAsia="es-419"/>
              </w:rPr>
              <w:t>echnicians, importers and distributors, end</w:t>
            </w:r>
            <w:r w:rsidR="001B49D0">
              <w:rPr>
                <w:color w:val="000000"/>
                <w:sz w:val="18"/>
                <w:szCs w:val="18"/>
                <w:lang w:val="en-CA" w:eastAsia="es-419"/>
              </w:rPr>
              <w:noBreakHyphen/>
            </w:r>
            <w:r w:rsidR="00AE7A47" w:rsidRPr="006C774D">
              <w:rPr>
                <w:color w:val="000000"/>
                <w:sz w:val="18"/>
                <w:szCs w:val="18"/>
                <w:lang w:val="en-CA" w:eastAsia="es-419"/>
              </w:rPr>
              <w:t>users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C24837">
            <w:pPr>
              <w:jc w:val="left"/>
              <w:rPr>
                <w:color w:val="000000"/>
                <w:sz w:val="18"/>
                <w:szCs w:val="18"/>
                <w:lang w:val="en-CA" w:eastAsia="es-419"/>
              </w:rPr>
            </w:pPr>
            <w:r w:rsidRPr="006C774D">
              <w:rPr>
                <w:color w:val="000000"/>
                <w:sz w:val="18"/>
                <w:szCs w:val="18"/>
                <w:lang w:val="en-CA" w:eastAsia="es-419"/>
              </w:rPr>
              <w:t xml:space="preserve">Annual public and targeted awareness </w:t>
            </w:r>
            <w:r w:rsidR="007A71C7" w:rsidRPr="006C774D">
              <w:rPr>
                <w:color w:val="000000"/>
                <w:sz w:val="18"/>
                <w:szCs w:val="18"/>
                <w:lang w:val="en-CA" w:eastAsia="es-419"/>
              </w:rPr>
              <w:t>campaigns</w:t>
            </w:r>
            <w:r w:rsidRPr="006C774D">
              <w:rPr>
                <w:color w:val="000000"/>
                <w:sz w:val="18"/>
                <w:szCs w:val="18"/>
                <w:lang w:val="en-CA" w:eastAsia="es-419"/>
              </w:rPr>
              <w:t xml:space="preserve"> being implemented under HPMPs to support HCFC phase-out efforts in the servicing sector.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 xml:space="preserve">Platforms used for public awareness related to HCFC are the same for HFCs. Additional efforts may be required to address applications where HCFC are not used, such as domestic refrigeration, </w:t>
            </w:r>
            <w:r w:rsidR="007A71C7" w:rsidRPr="006C774D">
              <w:rPr>
                <w:color w:val="000000"/>
                <w:sz w:val="18"/>
                <w:szCs w:val="18"/>
                <w:lang w:val="en-CA" w:eastAsia="es-419"/>
              </w:rPr>
              <w:t>MAC</w:t>
            </w:r>
            <w:r w:rsidRPr="006C774D">
              <w:rPr>
                <w:color w:val="000000"/>
                <w:sz w:val="18"/>
                <w:szCs w:val="18"/>
                <w:lang w:val="en-CA" w:eastAsia="es-419"/>
              </w:rPr>
              <w:t xml:space="preserve"> and a larger portion of commercial refrigeration applications.</w:t>
            </w:r>
          </w:p>
        </w:tc>
      </w:tr>
      <w:tr w:rsidR="00C96F45" w:rsidRPr="00295A4D" w:rsidTr="00FA2168">
        <w:tc>
          <w:tcPr>
            <w:tcW w:w="1980" w:type="dxa"/>
            <w:tcBorders>
              <w:top w:val="nil"/>
              <w:left w:val="single" w:sz="4" w:space="0" w:color="auto"/>
              <w:bottom w:val="single" w:sz="4" w:space="0" w:color="auto"/>
              <w:right w:val="single" w:sz="4" w:space="0" w:color="auto"/>
            </w:tcBorders>
            <w:shd w:val="clear" w:color="auto" w:fill="auto"/>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 xml:space="preserve">Technical assistance and capacity building to address safety issues associated with alternatives with low and zero </w:t>
            </w:r>
            <w:r w:rsidR="007A71C7" w:rsidRPr="006C774D">
              <w:rPr>
                <w:color w:val="000000"/>
                <w:sz w:val="18"/>
                <w:szCs w:val="18"/>
                <w:lang w:val="en-CA" w:eastAsia="es-419"/>
              </w:rPr>
              <w:t>GWP</w:t>
            </w:r>
            <w:r w:rsidRPr="006C774D">
              <w:rPr>
                <w:color w:val="000000"/>
                <w:sz w:val="18"/>
                <w:szCs w:val="18"/>
                <w:lang w:val="en-CA" w:eastAsia="es-419"/>
              </w:rPr>
              <w:t xml:space="preserve"> for all sectors (paragraph</w:t>
            </w:r>
            <w:r w:rsidR="007A71C7" w:rsidRPr="006C774D">
              <w:rPr>
                <w:color w:val="000000"/>
                <w:sz w:val="18"/>
                <w:szCs w:val="18"/>
                <w:lang w:val="en-CA" w:eastAsia="es-419"/>
              </w:rPr>
              <w:t> </w:t>
            </w:r>
            <w:r w:rsidRPr="006C774D">
              <w:rPr>
                <w:color w:val="000000"/>
                <w:sz w:val="18"/>
                <w:szCs w:val="18"/>
                <w:lang w:val="en-CA" w:eastAsia="es-419"/>
              </w:rPr>
              <w:t>23 of decision</w:t>
            </w:r>
            <w:r w:rsidR="007A71C7" w:rsidRPr="006C774D">
              <w:rPr>
                <w:color w:val="000000"/>
                <w:sz w:val="18"/>
                <w:szCs w:val="18"/>
                <w:lang w:val="en-CA" w:eastAsia="es-419"/>
              </w:rPr>
              <w:t> </w:t>
            </w:r>
            <w:r w:rsidRPr="006C774D">
              <w:rPr>
                <w:color w:val="000000"/>
                <w:sz w:val="18"/>
                <w:szCs w:val="18"/>
                <w:lang w:val="en-CA" w:eastAsia="es-419"/>
              </w:rPr>
              <w:t>XXVIII/2</w:t>
            </w:r>
            <w:r w:rsidR="007A71C7" w:rsidRPr="006C774D">
              <w:rPr>
                <w:color w:val="000000"/>
                <w:sz w:val="18"/>
                <w:szCs w:val="18"/>
                <w:lang w:val="en-CA" w:eastAsia="es-419"/>
              </w:rPr>
              <w:t>)</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5D3977" w:rsidP="00D11999">
            <w:pPr>
              <w:jc w:val="left"/>
              <w:rPr>
                <w:color w:val="000000"/>
                <w:sz w:val="18"/>
                <w:szCs w:val="18"/>
                <w:lang w:val="en-CA" w:eastAsia="es-419"/>
              </w:rPr>
            </w:pPr>
            <w:r w:rsidRPr="006C774D">
              <w:rPr>
                <w:color w:val="000000"/>
                <w:sz w:val="18"/>
                <w:szCs w:val="18"/>
                <w:lang w:val="en-CA" w:eastAsia="es-419"/>
              </w:rPr>
              <w:t>Refrigeration t</w:t>
            </w:r>
            <w:r w:rsidR="00AE7A47" w:rsidRPr="006C774D">
              <w:rPr>
                <w:color w:val="000000"/>
                <w:sz w:val="18"/>
                <w:szCs w:val="18"/>
                <w:lang w:val="en-CA" w:eastAsia="es-419"/>
              </w:rPr>
              <w:t>echnicians, end</w:t>
            </w:r>
            <w:r w:rsidR="00D11999">
              <w:rPr>
                <w:color w:val="000000"/>
                <w:sz w:val="18"/>
                <w:szCs w:val="18"/>
                <w:lang w:val="en-CA" w:eastAsia="es-419"/>
              </w:rPr>
              <w:noBreakHyphen/>
            </w:r>
            <w:r w:rsidR="00AE7A47" w:rsidRPr="006C774D">
              <w:rPr>
                <w:color w:val="000000"/>
                <w:sz w:val="18"/>
                <w:szCs w:val="18"/>
                <w:lang w:val="en-CA" w:eastAsia="es-419"/>
              </w:rPr>
              <w:t>users, importers and distributors, Government institutions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6C774D" w:rsidRDefault="00AE7A47" w:rsidP="007A71C7">
            <w:pPr>
              <w:jc w:val="left"/>
              <w:rPr>
                <w:color w:val="000000"/>
                <w:sz w:val="18"/>
                <w:szCs w:val="18"/>
                <w:lang w:val="en-CA" w:eastAsia="es-419"/>
              </w:rPr>
            </w:pPr>
            <w:r w:rsidRPr="006C774D">
              <w:rPr>
                <w:color w:val="000000"/>
                <w:sz w:val="18"/>
                <w:szCs w:val="18"/>
                <w:lang w:val="en-CA" w:eastAsia="es-419"/>
              </w:rPr>
              <w:t xml:space="preserve">Codes of practice </w:t>
            </w:r>
            <w:r w:rsidR="001B49D0">
              <w:rPr>
                <w:color w:val="000000"/>
                <w:sz w:val="18"/>
                <w:szCs w:val="18"/>
                <w:lang w:val="en-CA" w:eastAsia="es-419"/>
              </w:rPr>
              <w:t>being updated through HPMPs. National ozone unit</w:t>
            </w:r>
            <w:r w:rsidRPr="006C774D">
              <w:rPr>
                <w:color w:val="000000"/>
                <w:sz w:val="18"/>
                <w:szCs w:val="18"/>
                <w:lang w:val="en-CA" w:eastAsia="es-419"/>
              </w:rPr>
              <w:t>s collaborating on the process</w:t>
            </w:r>
            <w:r w:rsidR="005D3977" w:rsidRPr="006C774D">
              <w:rPr>
                <w:color w:val="000000"/>
                <w:sz w:val="18"/>
                <w:szCs w:val="18"/>
                <w:lang w:val="en-CA" w:eastAsia="es-419"/>
              </w:rPr>
              <w:t>es</w:t>
            </w:r>
            <w:r w:rsidRPr="006C774D">
              <w:rPr>
                <w:color w:val="000000"/>
                <w:sz w:val="18"/>
                <w:szCs w:val="18"/>
                <w:lang w:val="en-CA" w:eastAsia="es-419"/>
              </w:rPr>
              <w:t xml:space="preserve"> to adopt industry standards that would allow a larger use of equipment based on flammable low</w:t>
            </w:r>
            <w:r w:rsidR="007A71C7" w:rsidRPr="006C774D">
              <w:rPr>
                <w:color w:val="000000"/>
                <w:sz w:val="18"/>
                <w:szCs w:val="18"/>
                <w:lang w:val="en-CA" w:eastAsia="es-419"/>
              </w:rPr>
              <w:noBreakHyphen/>
              <w:t xml:space="preserve">GWP refrigerants. </w:t>
            </w:r>
            <w:r w:rsidRPr="006C774D">
              <w:rPr>
                <w:color w:val="000000"/>
                <w:sz w:val="18"/>
                <w:szCs w:val="18"/>
                <w:lang w:val="en-CA" w:eastAsia="es-419"/>
              </w:rPr>
              <w:t>Additional considerations on training covered in the training section above.</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rsidR="00AE7A47" w:rsidRPr="00295A4D" w:rsidRDefault="00AE7A47" w:rsidP="001B49D0">
            <w:pPr>
              <w:jc w:val="left"/>
              <w:rPr>
                <w:color w:val="000000"/>
                <w:sz w:val="18"/>
                <w:szCs w:val="18"/>
                <w:lang w:val="en-CA" w:eastAsia="es-419"/>
              </w:rPr>
            </w:pPr>
            <w:r w:rsidRPr="006C774D">
              <w:rPr>
                <w:color w:val="000000"/>
                <w:sz w:val="18"/>
                <w:szCs w:val="18"/>
                <w:lang w:val="en-CA" w:eastAsia="es-419"/>
              </w:rPr>
              <w:t>The need for a larger influx of equipment based on low</w:t>
            </w:r>
            <w:r w:rsidR="007A71C7" w:rsidRPr="006C774D">
              <w:rPr>
                <w:color w:val="000000"/>
                <w:sz w:val="18"/>
                <w:szCs w:val="18"/>
                <w:lang w:val="en-CA" w:eastAsia="es-419"/>
              </w:rPr>
              <w:noBreakHyphen/>
            </w:r>
            <w:r w:rsidRPr="006C774D">
              <w:rPr>
                <w:color w:val="000000"/>
                <w:sz w:val="18"/>
                <w:szCs w:val="18"/>
                <w:lang w:val="en-CA" w:eastAsia="es-419"/>
              </w:rPr>
              <w:t xml:space="preserve">GWP refrigerants, some of them flammable, would require a more systematic collaboration with national </w:t>
            </w:r>
            <w:r w:rsidR="00FE45B7" w:rsidRPr="006C774D">
              <w:rPr>
                <w:color w:val="000000"/>
                <w:sz w:val="18"/>
                <w:szCs w:val="18"/>
                <w:lang w:val="en-CA" w:eastAsia="es-419"/>
              </w:rPr>
              <w:t xml:space="preserve">safety </w:t>
            </w:r>
            <w:r w:rsidRPr="006C774D">
              <w:rPr>
                <w:color w:val="000000"/>
                <w:sz w:val="18"/>
                <w:szCs w:val="18"/>
                <w:lang w:val="en-CA" w:eastAsia="es-419"/>
              </w:rPr>
              <w:t>authorities. This will require additional efforts. Given the need to give priority to this activity in line with decision</w:t>
            </w:r>
            <w:r w:rsidR="007A71C7" w:rsidRPr="006C774D">
              <w:rPr>
                <w:color w:val="000000"/>
                <w:sz w:val="18"/>
                <w:szCs w:val="18"/>
                <w:lang w:val="en-CA" w:eastAsia="es-419"/>
              </w:rPr>
              <w:t> </w:t>
            </w:r>
            <w:r w:rsidRPr="006C774D">
              <w:rPr>
                <w:color w:val="000000"/>
                <w:sz w:val="18"/>
                <w:szCs w:val="18"/>
                <w:lang w:val="en-CA" w:eastAsia="es-419"/>
              </w:rPr>
              <w:t>XXVIII/2, these efforts should start at the early stages of HFC phase-down to allow proper transition to low</w:t>
            </w:r>
            <w:r w:rsidR="001B49D0">
              <w:rPr>
                <w:color w:val="000000"/>
                <w:sz w:val="18"/>
                <w:szCs w:val="18"/>
                <w:lang w:val="en-CA" w:eastAsia="es-419"/>
              </w:rPr>
              <w:noBreakHyphen/>
            </w:r>
            <w:r w:rsidRPr="006C774D">
              <w:rPr>
                <w:color w:val="000000"/>
                <w:sz w:val="18"/>
                <w:szCs w:val="18"/>
                <w:lang w:val="en-CA" w:eastAsia="es-419"/>
              </w:rPr>
              <w:t>GWP alternatives.</w:t>
            </w:r>
          </w:p>
        </w:tc>
      </w:tr>
    </w:tbl>
    <w:p w:rsidR="00C24837" w:rsidRDefault="00C96F45" w:rsidP="00C24837">
      <w:pPr>
        <w:rPr>
          <w:sz w:val="18"/>
          <w:szCs w:val="18"/>
          <w:lang w:val="en-CA"/>
        </w:rPr>
      </w:pPr>
      <w:r w:rsidRPr="005D3977">
        <w:rPr>
          <w:sz w:val="18"/>
          <w:szCs w:val="18"/>
          <w:lang w:val="en-CA"/>
        </w:rPr>
        <w:t>* As per paragraph 15(</w:t>
      </w:r>
      <w:r w:rsidR="005D3977" w:rsidRPr="005D3977">
        <w:rPr>
          <w:sz w:val="18"/>
          <w:szCs w:val="18"/>
          <w:lang w:val="en-CA"/>
        </w:rPr>
        <w:t>c</w:t>
      </w:r>
      <w:r w:rsidRPr="005D3977">
        <w:rPr>
          <w:sz w:val="18"/>
          <w:szCs w:val="18"/>
          <w:lang w:val="en-CA"/>
        </w:rPr>
        <w:t>) of decision XVIII/2 of the Parties.</w:t>
      </w:r>
    </w:p>
    <w:p w:rsidR="009B1429" w:rsidRDefault="009B1429" w:rsidP="00C24837">
      <w:pPr>
        <w:rPr>
          <w:sz w:val="18"/>
          <w:szCs w:val="18"/>
          <w:lang w:val="en-CA"/>
        </w:rPr>
      </w:pPr>
    </w:p>
    <w:p w:rsidR="001B49D0" w:rsidRDefault="001B49D0" w:rsidP="00C24837">
      <w:pPr>
        <w:rPr>
          <w:sz w:val="18"/>
          <w:szCs w:val="18"/>
          <w:lang w:val="en-CA"/>
        </w:rPr>
      </w:pPr>
    </w:p>
    <w:p w:rsidR="001B49D0" w:rsidRDefault="001B49D0" w:rsidP="00C24837">
      <w:pPr>
        <w:rPr>
          <w:sz w:val="18"/>
          <w:szCs w:val="18"/>
          <w:lang w:val="en-CA"/>
        </w:rPr>
      </w:pPr>
    </w:p>
    <w:p w:rsidR="001B49D0" w:rsidRDefault="001B49D0" w:rsidP="00C24837">
      <w:pPr>
        <w:rPr>
          <w:sz w:val="18"/>
          <w:szCs w:val="18"/>
          <w:lang w:val="en-CA"/>
        </w:rPr>
      </w:pPr>
    </w:p>
    <w:p w:rsidR="009B1429" w:rsidRDefault="009B1429" w:rsidP="00C24837">
      <w:pPr>
        <w:rPr>
          <w:sz w:val="18"/>
          <w:szCs w:val="1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849"/>
        <w:gridCol w:w="2849"/>
        <w:gridCol w:w="2849"/>
        <w:gridCol w:w="2850"/>
      </w:tblGrid>
      <w:tr w:rsidR="009B1429" w:rsidTr="009B1429">
        <w:tc>
          <w:tcPr>
            <w:tcW w:w="2849" w:type="dxa"/>
          </w:tcPr>
          <w:p w:rsidR="009B1429" w:rsidRDefault="009B1429" w:rsidP="00C24837">
            <w:pPr>
              <w:rPr>
                <w:sz w:val="18"/>
                <w:szCs w:val="18"/>
                <w:lang w:val="en-CA"/>
              </w:rPr>
            </w:pPr>
          </w:p>
        </w:tc>
        <w:tc>
          <w:tcPr>
            <w:tcW w:w="2849" w:type="dxa"/>
          </w:tcPr>
          <w:p w:rsidR="009B1429" w:rsidRDefault="009B1429" w:rsidP="00C24837">
            <w:pPr>
              <w:rPr>
                <w:sz w:val="18"/>
                <w:szCs w:val="18"/>
                <w:lang w:val="en-CA"/>
              </w:rPr>
            </w:pPr>
          </w:p>
        </w:tc>
        <w:tc>
          <w:tcPr>
            <w:tcW w:w="2849" w:type="dxa"/>
            <w:tcBorders>
              <w:bottom w:val="single" w:sz="4" w:space="0" w:color="auto"/>
            </w:tcBorders>
          </w:tcPr>
          <w:p w:rsidR="009B1429" w:rsidRDefault="009B1429" w:rsidP="00C24837">
            <w:pPr>
              <w:rPr>
                <w:sz w:val="18"/>
                <w:szCs w:val="18"/>
                <w:lang w:val="en-CA"/>
              </w:rPr>
            </w:pPr>
          </w:p>
        </w:tc>
        <w:tc>
          <w:tcPr>
            <w:tcW w:w="2849" w:type="dxa"/>
          </w:tcPr>
          <w:p w:rsidR="009B1429" w:rsidRDefault="009B1429" w:rsidP="00C24837">
            <w:pPr>
              <w:rPr>
                <w:sz w:val="18"/>
                <w:szCs w:val="18"/>
                <w:lang w:val="en-CA"/>
              </w:rPr>
            </w:pPr>
          </w:p>
        </w:tc>
        <w:tc>
          <w:tcPr>
            <w:tcW w:w="2850" w:type="dxa"/>
          </w:tcPr>
          <w:p w:rsidR="009B1429" w:rsidRDefault="009B1429" w:rsidP="00C24837">
            <w:pPr>
              <w:rPr>
                <w:sz w:val="18"/>
                <w:szCs w:val="18"/>
                <w:lang w:val="en-CA"/>
              </w:rPr>
            </w:pPr>
          </w:p>
        </w:tc>
      </w:tr>
    </w:tbl>
    <w:p w:rsidR="009B1429" w:rsidRPr="005D3977" w:rsidRDefault="009B1429" w:rsidP="00C24837">
      <w:pPr>
        <w:rPr>
          <w:sz w:val="18"/>
          <w:szCs w:val="18"/>
          <w:lang w:val="en-CA"/>
        </w:rPr>
      </w:pPr>
    </w:p>
    <w:sectPr w:rsidR="009B1429" w:rsidRPr="005D3977" w:rsidSect="00667432">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440" w:right="720" w:bottom="1440" w:left="864"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06" w:rsidRDefault="00763B06" w:rsidP="004A504B">
      <w:r>
        <w:separator/>
      </w:r>
    </w:p>
  </w:endnote>
  <w:endnote w:type="continuationSeparator" w:id="0">
    <w:p w:rsidR="00763B06" w:rsidRDefault="00763B0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pPr>
      <w:jc w:val="center"/>
    </w:pPr>
    <w:r>
      <w:fldChar w:fldCharType="begin"/>
    </w:r>
    <w:r>
      <w:instrText xml:space="preserve"> PAGE </w:instrText>
    </w:r>
    <w:r>
      <w:fldChar w:fldCharType="separate"/>
    </w:r>
    <w:r w:rsidR="003C239F">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pPr>
      <w:jc w:val="center"/>
    </w:pPr>
    <w:r>
      <w:fldChar w:fldCharType="begin"/>
    </w:r>
    <w:r>
      <w:instrText xml:space="preserve"> PAGE </w:instrText>
    </w:r>
    <w:r>
      <w:fldChar w:fldCharType="separate"/>
    </w:r>
    <w:r w:rsidR="003C239F">
      <w:rPr>
        <w:noProof/>
      </w:rPr>
      <w:t>15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Default="00763B06"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63B06" w:rsidRDefault="00763B06"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pPr>
      <w:jc w:val="center"/>
    </w:pPr>
    <w:r>
      <w:fldChar w:fldCharType="begin"/>
    </w:r>
    <w:r>
      <w:instrText xml:space="preserve"> PAGE </w:instrText>
    </w:r>
    <w:r>
      <w:fldChar w:fldCharType="separate"/>
    </w:r>
    <w:r w:rsidR="003C239F">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pPr>
      <w:jc w:val="center"/>
    </w:pPr>
    <w:r>
      <w:fldChar w:fldCharType="begin"/>
    </w:r>
    <w:r>
      <w:instrText xml:space="preserve"> PAGE </w:instrText>
    </w:r>
    <w:r>
      <w:fldChar w:fldCharType="separate"/>
    </w:r>
    <w:r w:rsidR="003C239F">
      <w:rPr>
        <w:noProof/>
      </w:rPr>
      <w:t>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667432" w:rsidRDefault="00763B06" w:rsidP="006674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06" w:rsidRDefault="00763B06" w:rsidP="004A504B">
      <w:r>
        <w:separator/>
      </w:r>
    </w:p>
  </w:footnote>
  <w:footnote w:type="continuationSeparator" w:id="0">
    <w:p w:rsidR="00763B06" w:rsidRDefault="00763B06" w:rsidP="004A504B">
      <w:r>
        <w:continuationSeparator/>
      </w:r>
    </w:p>
  </w:footnote>
  <w:footnote w:id="1">
    <w:p w:rsidR="00763B06" w:rsidRPr="00701683" w:rsidRDefault="00763B06" w:rsidP="00CF1839">
      <w:pPr>
        <w:pStyle w:val="FootnoteText"/>
      </w:pPr>
      <w:r>
        <w:rPr>
          <w:rStyle w:val="FootnoteReference"/>
        </w:rPr>
        <w:footnoteRef/>
      </w:r>
      <w:r>
        <w:t xml:space="preserve"> </w:t>
      </w:r>
      <w:r w:rsidRPr="00701683">
        <w:t>Online meetings and an intersessional approval process will be held in June and July 2021 due to coronavirus disease (COVID-19)</w:t>
      </w:r>
      <w:r>
        <w:t>.</w:t>
      </w:r>
    </w:p>
  </w:footnote>
  <w:footnote w:id="2">
    <w:p w:rsidR="00763B06" w:rsidRDefault="00763B06" w:rsidP="00F96CDA">
      <w:pPr>
        <w:pStyle w:val="FootnoteText"/>
        <w:rPr>
          <w:lang w:val="en-US"/>
        </w:rPr>
      </w:pPr>
      <w:r>
        <w:rPr>
          <w:rStyle w:val="FootnoteReference"/>
        </w:rPr>
        <w:footnoteRef/>
      </w:r>
      <w:r>
        <w:t xml:space="preserve"> Decision 80/76(a)(iv), made in line with the mandate given by paragraph 15(c) of decision XXVIII/2.</w:t>
      </w:r>
    </w:p>
  </w:footnote>
  <w:footnote w:id="3">
    <w:p w:rsidR="00763B06" w:rsidRDefault="00763B06" w:rsidP="00F96CDA">
      <w:pPr>
        <w:pStyle w:val="FootnoteText"/>
        <w:rPr>
          <w:lang w:val="en-CA"/>
        </w:rPr>
      </w:pPr>
      <w:r>
        <w:rPr>
          <w:rStyle w:val="FootnoteReference"/>
        </w:rPr>
        <w:footnoteRef/>
      </w:r>
      <w:r>
        <w:t xml:space="preserve"> The document has to take into account previous policy documents, case studies, monitoring and evaluation reviews, and the work undertaken by the agencies in developing and implementing training and technical assistance programmes, in particular the partnership that the Compliance Assistance Programme had established with training and certification institutes; has to provide an analysis of the existing capacities in Article 5 countries with the funding approved thus far for the refrigeration servicing sector and how those could be utilized for HFC phase-down, and the minimum information needed for the development of training and certification programmes for service technicians and customs officers.</w:t>
      </w:r>
    </w:p>
  </w:footnote>
  <w:footnote w:id="4">
    <w:p w:rsidR="00763B06" w:rsidRDefault="00763B06" w:rsidP="00F96CDA">
      <w:pPr>
        <w:pStyle w:val="FootnoteText"/>
      </w:pPr>
      <w:r>
        <w:rPr>
          <w:rStyle w:val="FootnoteReference"/>
        </w:rPr>
        <w:footnoteRef/>
      </w:r>
      <w:r>
        <w:t xml:space="preserve"> Montreal, 25 – 27 February 2020.</w:t>
      </w:r>
    </w:p>
  </w:footnote>
  <w:footnote w:id="5">
    <w:p w:rsidR="00763B06" w:rsidRPr="00C30398" w:rsidRDefault="00763B06" w:rsidP="00CF1839">
      <w:pPr>
        <w:pStyle w:val="FootnoteText"/>
      </w:pPr>
      <w:r>
        <w:rPr>
          <w:rStyle w:val="FootnoteReference"/>
        </w:rPr>
        <w:footnoteRef/>
      </w:r>
      <w:r>
        <w:t xml:space="preserve"> </w:t>
      </w:r>
      <w:r w:rsidRPr="00C30398">
        <w:t>The present document should have been submitted to the 85</w:t>
      </w:r>
      <w:r w:rsidRPr="00C30398">
        <w:rPr>
          <w:vertAlign w:val="superscript"/>
        </w:rPr>
        <w:t>th</w:t>
      </w:r>
      <w:r w:rsidRPr="00C30398">
        <w:t xml:space="preserve"> meeting; consideration of the document was deferred to the 87</w:t>
      </w:r>
      <w:r w:rsidRPr="00C30398">
        <w:rPr>
          <w:vertAlign w:val="superscript"/>
        </w:rPr>
        <w:t>th</w:t>
      </w:r>
      <w:r w:rsidRPr="00C30398">
        <w:t xml:space="preserve"> meeting in accordance with the agreed procedures for conducting the 85</w:t>
      </w:r>
      <w:r w:rsidRPr="00C30398">
        <w:rPr>
          <w:vertAlign w:val="superscript"/>
        </w:rPr>
        <w:t>th</w:t>
      </w:r>
      <w:r w:rsidRPr="00C30398">
        <w:t xml:space="preserve"> and 86</w:t>
      </w:r>
      <w:r w:rsidRPr="00C30398">
        <w:rPr>
          <w:vertAlign w:val="superscript"/>
        </w:rPr>
        <w:t>th</w:t>
      </w:r>
      <w:r w:rsidRPr="00C30398">
        <w:t xml:space="preserve"> meetings in light of the COVID-19 pandemic.</w:t>
      </w:r>
    </w:p>
  </w:footnote>
  <w:footnote w:id="6">
    <w:p w:rsidR="00763B06" w:rsidRDefault="00763B06" w:rsidP="00F96CDA">
      <w:pPr>
        <w:pStyle w:val="FootnoteText"/>
        <w:rPr>
          <w:lang w:val="en-CA"/>
        </w:rPr>
      </w:pPr>
      <w:r>
        <w:rPr>
          <w:rStyle w:val="FootnoteReference"/>
        </w:rPr>
        <w:footnoteRef/>
      </w:r>
      <w:r>
        <w:t xml:space="preserve"> UNEP/OzL.Pro/ExCom/82/66</w:t>
      </w:r>
    </w:p>
  </w:footnote>
  <w:footnote w:id="7">
    <w:p w:rsidR="00763B06" w:rsidRDefault="00763B06" w:rsidP="00F96CDA">
      <w:pPr>
        <w:pStyle w:val="FootnoteText"/>
      </w:pPr>
      <w:r>
        <w:rPr>
          <w:rStyle w:val="FootnoteReference"/>
        </w:rPr>
        <w:footnoteRef/>
      </w:r>
      <w:r>
        <w:t xml:space="preserve"> UNEP/OzL.Pro/ExCom/84/65</w:t>
      </w:r>
    </w:p>
  </w:footnote>
  <w:footnote w:id="8">
    <w:p w:rsidR="00763B06" w:rsidRDefault="00763B06" w:rsidP="00F96CDA">
      <w:pPr>
        <w:pStyle w:val="FootnoteText"/>
        <w:rPr>
          <w:lang w:val="en-CA"/>
        </w:rPr>
      </w:pPr>
      <w:r>
        <w:rPr>
          <w:rStyle w:val="FootnoteReference"/>
        </w:rPr>
        <w:footnoteRef/>
      </w:r>
      <w:r>
        <w:t xml:space="preserve"> </w:t>
      </w:r>
      <w:r>
        <w:rPr>
          <w:lang w:val="en-CA"/>
        </w:rPr>
        <w:t>During the discussion of document UNEP/OzL.Pro/ExCom/84/65, Committee members highlighted the potential for synergies in the HCFC phase-out and HFC phase-down in the refrigeration servicing sector, while noting opportunities in the foam, room air-conditioner, commercial refrigeration and chiller manufacturing sectors.; and also expressed an interest in further discussion of ways to support a cost-effective approach to HCFC phase-out and HFC phase</w:t>
      </w:r>
      <w:r>
        <w:rPr>
          <w:lang w:val="en-CA"/>
        </w:rPr>
        <w:noBreakHyphen/>
        <w:t>down activities.</w:t>
      </w:r>
    </w:p>
  </w:footnote>
  <w:footnote w:id="9">
    <w:p w:rsidR="00763B06" w:rsidRPr="00750116" w:rsidRDefault="00763B06" w:rsidP="00F96CDA">
      <w:pPr>
        <w:pStyle w:val="FootnoteText"/>
        <w:rPr>
          <w:lang w:val="en-CA"/>
        </w:rPr>
      </w:pPr>
      <w:r>
        <w:rPr>
          <w:rStyle w:val="FootnoteReference"/>
        </w:rPr>
        <w:footnoteRef/>
      </w:r>
      <w:r>
        <w:t xml:space="preserve"> UNEP/</w:t>
      </w:r>
      <w:proofErr w:type="spellStart"/>
      <w:r>
        <w:t>OzL.Pro</w:t>
      </w:r>
      <w:proofErr w:type="spellEnd"/>
      <w:r>
        <w:t>/</w:t>
      </w:r>
      <w:proofErr w:type="spellStart"/>
      <w:r>
        <w:t>ExCom</w:t>
      </w:r>
      <w:proofErr w:type="spellEnd"/>
      <w:r>
        <w:t>/86/</w:t>
      </w:r>
      <w:r w:rsidRPr="00750116">
        <w:t>87. The document has been resubmitted to the 87</w:t>
      </w:r>
      <w:r w:rsidRPr="00750116">
        <w:rPr>
          <w:vertAlign w:val="superscript"/>
        </w:rPr>
        <w:t>th</w:t>
      </w:r>
      <w:r w:rsidRPr="00750116">
        <w:t xml:space="preserve"> meeting as document UNEP/</w:t>
      </w:r>
      <w:proofErr w:type="spellStart"/>
      <w:r w:rsidRPr="00750116">
        <w:t>OzL.Pro</w:t>
      </w:r>
      <w:proofErr w:type="spellEnd"/>
      <w:r w:rsidRPr="00750116">
        <w:t>/</w:t>
      </w:r>
      <w:proofErr w:type="spellStart"/>
      <w:r w:rsidRPr="00750116">
        <w:t>ExCom</w:t>
      </w:r>
      <w:proofErr w:type="spellEnd"/>
      <w:r w:rsidRPr="00750116">
        <w:t>/87/45</w:t>
      </w:r>
      <w:r>
        <w:t>.</w:t>
      </w:r>
    </w:p>
  </w:footnote>
  <w:footnote w:id="10">
    <w:p w:rsidR="00763B06" w:rsidRDefault="00763B06" w:rsidP="00F96CDA">
      <w:pPr>
        <w:pStyle w:val="FootnoteText"/>
        <w:rPr>
          <w:lang w:val="en-CA"/>
        </w:rPr>
      </w:pPr>
      <w:r w:rsidRPr="00750116">
        <w:rPr>
          <w:rStyle w:val="FootnoteReference"/>
        </w:rPr>
        <w:footnoteRef/>
      </w:r>
      <w:r w:rsidRPr="00750116">
        <w:t xml:space="preserve"> UNEP/</w:t>
      </w:r>
      <w:proofErr w:type="spellStart"/>
      <w:r w:rsidRPr="00750116">
        <w:t>OzL.Pro</w:t>
      </w:r>
      <w:proofErr w:type="spellEnd"/>
      <w:r w:rsidRPr="00750116">
        <w:t>/</w:t>
      </w:r>
      <w:proofErr w:type="spellStart"/>
      <w:r w:rsidRPr="00750116">
        <w:t>ExCom</w:t>
      </w:r>
      <w:proofErr w:type="spellEnd"/>
      <w:r w:rsidRPr="00750116">
        <w:t>/86/88</w:t>
      </w:r>
      <w:r>
        <w:t xml:space="preserve">. </w:t>
      </w:r>
      <w:r w:rsidRPr="00750116">
        <w:t>The document has been resubmitted to the 87</w:t>
      </w:r>
      <w:r w:rsidRPr="00750116">
        <w:rPr>
          <w:vertAlign w:val="superscript"/>
        </w:rPr>
        <w:t>th</w:t>
      </w:r>
      <w:r w:rsidRPr="00750116">
        <w:t xml:space="preserve"> meeting as document UNEP/</w:t>
      </w:r>
      <w:proofErr w:type="spellStart"/>
      <w:r w:rsidRPr="00750116">
        <w:t>OzL.Pro</w:t>
      </w:r>
      <w:proofErr w:type="spellEnd"/>
      <w:r w:rsidRPr="00750116">
        <w:t>/</w:t>
      </w:r>
      <w:proofErr w:type="spellStart"/>
      <w:r w:rsidRPr="00750116">
        <w:t>ExCom</w:t>
      </w:r>
      <w:proofErr w:type="spellEnd"/>
      <w:r w:rsidRPr="00750116">
        <w:t>/87/4</w:t>
      </w:r>
      <w:r>
        <w:t>6.</w:t>
      </w:r>
    </w:p>
  </w:footnote>
  <w:footnote w:id="11">
    <w:p w:rsidR="00763B06" w:rsidRPr="00C30398" w:rsidRDefault="00763B06" w:rsidP="00CF1839">
      <w:pPr>
        <w:pStyle w:val="FootnoteText"/>
      </w:pPr>
      <w:r w:rsidRPr="00C30398">
        <w:rPr>
          <w:rStyle w:val="FootnoteReference"/>
        </w:rPr>
        <w:footnoteRef/>
      </w:r>
      <w:r w:rsidRPr="00C30398">
        <w:t xml:space="preserve"> At its 86</w:t>
      </w:r>
      <w:r w:rsidRPr="00C30398">
        <w:rPr>
          <w:vertAlign w:val="superscript"/>
        </w:rPr>
        <w:t>th</w:t>
      </w:r>
      <w:r w:rsidRPr="00C30398">
        <w:t xml:space="preserve"> meeting, the Executive Committee discussed the draft guidelines document first in plenary and then in contact group meetings. As the contact group was unable to conclude its deliberations, the Executive Committee decided to continue consideration of the draft guidelines for the preparation of HFC phase-down plans for Article 5 countries at its 87</w:t>
      </w:r>
      <w:r w:rsidRPr="00C30398">
        <w:rPr>
          <w:vertAlign w:val="superscript"/>
        </w:rPr>
        <w:t>th</w:t>
      </w:r>
      <w:r w:rsidRPr="00C30398">
        <w:t> meeting, on the basis of the working document produced by the contact group formed at the 86</w:t>
      </w:r>
      <w:r w:rsidRPr="00C30398">
        <w:rPr>
          <w:vertAlign w:val="superscript"/>
        </w:rPr>
        <w:t>th</w:t>
      </w:r>
      <w:r w:rsidRPr="00C30398">
        <w:t> meeting, as contained in Annex XLVII to the report of the 86</w:t>
      </w:r>
      <w:r w:rsidRPr="00C30398">
        <w:rPr>
          <w:vertAlign w:val="superscript"/>
        </w:rPr>
        <w:t>th</w:t>
      </w:r>
      <w:r w:rsidRPr="00C30398">
        <w:t> meeting (decision 86/93). The draft guidelines document being submitted to the 87</w:t>
      </w:r>
      <w:r w:rsidRPr="00C30398">
        <w:rPr>
          <w:vertAlign w:val="superscript"/>
        </w:rPr>
        <w:t>th</w:t>
      </w:r>
      <w:r w:rsidRPr="00C30398">
        <w:t xml:space="preserve"> meeting (UNEP/OzL.Pro/ExCom/87/46) includes </w:t>
      </w:r>
      <w:r w:rsidRPr="00C30398">
        <w:rPr>
          <w:i/>
          <w:iCs/>
        </w:rPr>
        <w:t>inter alia</w:t>
      </w:r>
      <w:r w:rsidRPr="00C30398">
        <w:t xml:space="preserve"> discussions of the Executive Committee on the matter at its 86</w:t>
      </w:r>
      <w:r w:rsidRPr="00C30398">
        <w:rPr>
          <w:vertAlign w:val="superscript"/>
        </w:rPr>
        <w:t>th</w:t>
      </w:r>
      <w:r w:rsidRPr="00C30398">
        <w:t xml:space="preserve"> meeting.</w:t>
      </w:r>
    </w:p>
  </w:footnote>
  <w:footnote w:id="12">
    <w:p w:rsidR="00763B06" w:rsidRDefault="00763B06" w:rsidP="00F96CDA">
      <w:pPr>
        <w:pStyle w:val="FootnoteText"/>
        <w:rPr>
          <w:lang w:val="en-CA"/>
        </w:rPr>
      </w:pPr>
      <w:r>
        <w:rPr>
          <w:rStyle w:val="FootnoteReference"/>
        </w:rPr>
        <w:footnoteRef/>
      </w:r>
      <w:r>
        <w:t xml:space="preserve"> UNEP/OzL.Pro/ExCom/87/50</w:t>
      </w:r>
    </w:p>
  </w:footnote>
  <w:footnote w:id="13">
    <w:p w:rsidR="00763B06" w:rsidRDefault="00763B06" w:rsidP="00F96CDA">
      <w:pPr>
        <w:pStyle w:val="FootnoteText"/>
      </w:pPr>
      <w:r>
        <w:rPr>
          <w:rStyle w:val="FootnoteReference"/>
        </w:rPr>
        <w:footnoteRef/>
      </w:r>
      <w:r>
        <w:t xml:space="preserve"> UNEP/OzL.Pro/ExCom/87/48</w:t>
      </w:r>
    </w:p>
  </w:footnote>
  <w:footnote w:id="14">
    <w:p w:rsidR="00763B06" w:rsidRDefault="00763B06" w:rsidP="00F96CDA">
      <w:pPr>
        <w:pStyle w:val="FootnoteText"/>
        <w:rPr>
          <w:lang w:val="en-CA"/>
        </w:rPr>
      </w:pPr>
      <w:r>
        <w:rPr>
          <w:rStyle w:val="FootnoteReference"/>
        </w:rPr>
        <w:footnoteRef/>
      </w:r>
      <w:r>
        <w:t xml:space="preserve"> UNEP/OzL.Pro/ExCom/78/6</w:t>
      </w:r>
    </w:p>
  </w:footnote>
  <w:footnote w:id="15">
    <w:p w:rsidR="00763B06" w:rsidRDefault="00763B06" w:rsidP="00F96CDA">
      <w:pPr>
        <w:pStyle w:val="FootnoteText"/>
      </w:pPr>
      <w:r>
        <w:rPr>
          <w:rStyle w:val="FootnoteReference"/>
        </w:rPr>
        <w:footnoteRef/>
      </w:r>
      <w:r>
        <w:t xml:space="preserve"> UNEP/OzL.Pro/ExCom/86/8</w:t>
      </w:r>
    </w:p>
  </w:footnote>
  <w:footnote w:id="16">
    <w:p w:rsidR="00763B06" w:rsidRDefault="00763B06" w:rsidP="00F96CDA">
      <w:pPr>
        <w:pStyle w:val="FootnoteText"/>
      </w:pPr>
      <w:r>
        <w:rPr>
          <w:rStyle w:val="FootnoteReference"/>
        </w:rPr>
        <w:footnoteRef/>
      </w:r>
      <w:r>
        <w:t xml:space="preserve"> Document UNEP/OzL.Pro/ExCom/82/64 provides a comprehensive summary of the activities being implemented under the refrigeration servicing sector.</w:t>
      </w:r>
    </w:p>
  </w:footnote>
  <w:footnote w:id="17">
    <w:p w:rsidR="00763B06" w:rsidRDefault="00763B06" w:rsidP="00F96CDA">
      <w:pPr>
        <w:pStyle w:val="FootnoteText"/>
      </w:pPr>
      <w:r>
        <w:rPr>
          <w:rStyle w:val="FootnoteReference"/>
        </w:rPr>
        <w:footnoteRef/>
      </w:r>
      <w:r>
        <w:t xml:space="preserve"> This section is extracted from document UNEP/OzL.Pro/ExCom/86/87</w:t>
      </w:r>
    </w:p>
  </w:footnote>
  <w:footnote w:id="18">
    <w:p w:rsidR="00763B06" w:rsidRDefault="00763B06" w:rsidP="00F96CDA">
      <w:pPr>
        <w:pStyle w:val="FootnoteText"/>
      </w:pPr>
      <w:r>
        <w:rPr>
          <w:rStyle w:val="FootnoteReference"/>
        </w:rPr>
        <w:footnoteRef/>
      </w:r>
      <w:r>
        <w:t xml:space="preserve"> These activities are thoroughly described in document </w:t>
      </w:r>
      <w:r>
        <w:rPr>
          <w:lang w:val="en-US"/>
        </w:rPr>
        <w:t xml:space="preserve">UNEP/OzL.Pro/ExCom/82/64 and </w:t>
      </w:r>
      <w:r>
        <w:t xml:space="preserve">include </w:t>
      </w:r>
      <w:r>
        <w:rPr>
          <w:i/>
        </w:rPr>
        <w:t xml:space="preserve">inter alia: </w:t>
      </w:r>
      <w:r>
        <w:t>training and certification of technicians, strengthening technical/vocational schools and refrigeration associations, refrigerant containment strategies, the distribution of basic equipment and service tools including recovery/recycling units, and the adoption of standards and codes of practice to facilitate the safe adoption of flammable and/or toxic low</w:t>
      </w:r>
      <w:r>
        <w:noBreakHyphen/>
        <w:t>GWP refrigerants.</w:t>
      </w:r>
    </w:p>
  </w:footnote>
  <w:footnote w:id="19">
    <w:p w:rsidR="00763B06" w:rsidRPr="00802EEF" w:rsidRDefault="00763B06">
      <w:pPr>
        <w:pStyle w:val="FootnoteText"/>
        <w:rPr>
          <w:lang w:val="en-US"/>
        </w:rPr>
      </w:pPr>
      <w:r w:rsidRPr="00750116">
        <w:rPr>
          <w:rStyle w:val="FootnoteReference"/>
        </w:rPr>
        <w:footnoteRef/>
      </w:r>
      <w:r w:rsidRPr="00750116">
        <w:t xml:space="preserve"> The document has been resubmitted to the 87</w:t>
      </w:r>
      <w:r w:rsidRPr="00750116">
        <w:rPr>
          <w:vertAlign w:val="superscript"/>
        </w:rPr>
        <w:t>th</w:t>
      </w:r>
      <w:r w:rsidRPr="00750116">
        <w:t xml:space="preserve"> meeting as document UNEP/</w:t>
      </w:r>
      <w:proofErr w:type="spellStart"/>
      <w:r w:rsidRPr="00750116">
        <w:rPr>
          <w:lang w:val="en-US"/>
        </w:rPr>
        <w:t>OzL.Pro</w:t>
      </w:r>
      <w:proofErr w:type="spellEnd"/>
      <w:r w:rsidRPr="00750116">
        <w:rPr>
          <w:lang w:val="en-US"/>
        </w:rPr>
        <w:t>/</w:t>
      </w:r>
      <w:proofErr w:type="spellStart"/>
      <w:r w:rsidRPr="00750116">
        <w:rPr>
          <w:lang w:val="en-US"/>
        </w:rPr>
        <w:t>ExCom</w:t>
      </w:r>
      <w:proofErr w:type="spellEnd"/>
      <w:r w:rsidRPr="00750116">
        <w:rPr>
          <w:lang w:val="en-US"/>
        </w:rPr>
        <w:t>/87/50.</w:t>
      </w:r>
    </w:p>
  </w:footnote>
  <w:footnote w:id="20">
    <w:p w:rsidR="00763B06" w:rsidRPr="00CA0681" w:rsidRDefault="00763B06">
      <w:pPr>
        <w:pStyle w:val="FootnoteText"/>
        <w:rPr>
          <w:lang w:val="en-CA"/>
        </w:rPr>
      </w:pPr>
      <w:r>
        <w:rPr>
          <w:rStyle w:val="FootnoteReference"/>
        </w:rPr>
        <w:footnoteRef/>
      </w:r>
      <w:r>
        <w:t xml:space="preserve"> </w:t>
      </w:r>
      <w:r w:rsidRPr="00CA0681">
        <w:t>Discussions on the issue of the disposal of unwanted controlled substances has been taken up since the 78</w:t>
      </w:r>
      <w:r w:rsidRPr="00A80CB0">
        <w:rPr>
          <w:vertAlign w:val="superscript"/>
        </w:rPr>
        <w:t>th</w:t>
      </w:r>
      <w:r>
        <w:t> </w:t>
      </w:r>
      <w:r w:rsidRPr="00CA0681">
        <w:t>meeting in the context of the development of the cost guidelines for the phase-down of HFCs.</w:t>
      </w:r>
    </w:p>
  </w:footnote>
  <w:footnote w:id="21">
    <w:p w:rsidR="00763B06" w:rsidRPr="007E43A9" w:rsidRDefault="00763B06">
      <w:pPr>
        <w:pStyle w:val="FootnoteText"/>
        <w:rPr>
          <w:lang w:val="en-CA"/>
        </w:rPr>
      </w:pPr>
      <w:r>
        <w:rPr>
          <w:rStyle w:val="FootnoteReference"/>
        </w:rPr>
        <w:footnoteRef/>
      </w:r>
      <w:r>
        <w:t xml:space="preserve"> </w:t>
      </w:r>
      <w:r w:rsidRPr="007E43A9">
        <w:t>UNEP/OzL.Pro/ExCom/84/11</w:t>
      </w:r>
    </w:p>
  </w:footnote>
  <w:footnote w:id="22">
    <w:p w:rsidR="00763B06" w:rsidRPr="00750116" w:rsidRDefault="00763B06">
      <w:pPr>
        <w:pStyle w:val="FootnoteText"/>
        <w:rPr>
          <w:lang w:val="en-CA"/>
        </w:rPr>
      </w:pPr>
      <w:r>
        <w:rPr>
          <w:rStyle w:val="FootnoteReference"/>
        </w:rPr>
        <w:footnoteRef/>
      </w:r>
      <w:r>
        <w:t xml:space="preserve"> </w:t>
      </w:r>
      <w:r w:rsidRPr="00750116">
        <w:rPr>
          <w:lang w:val="en-CA"/>
        </w:rPr>
        <w:t>UNEP/OzL.Pro/ExCom/82/21</w:t>
      </w:r>
    </w:p>
  </w:footnote>
  <w:footnote w:id="23">
    <w:p w:rsidR="00763B06" w:rsidRPr="00802EEF" w:rsidRDefault="00763B06">
      <w:pPr>
        <w:pStyle w:val="FootnoteText"/>
        <w:rPr>
          <w:lang w:val="en-US"/>
        </w:rPr>
      </w:pPr>
      <w:r w:rsidRPr="00750116">
        <w:rPr>
          <w:rStyle w:val="FootnoteReference"/>
        </w:rPr>
        <w:footnoteRef/>
      </w:r>
      <w:r w:rsidRPr="00750116">
        <w:t xml:space="preserve"> The document has been resubmitted to the 87</w:t>
      </w:r>
      <w:r w:rsidRPr="00750116">
        <w:rPr>
          <w:vertAlign w:val="superscript"/>
        </w:rPr>
        <w:t>th</w:t>
      </w:r>
      <w:r w:rsidRPr="00750116">
        <w:t xml:space="preserve"> meeting as document UNEP/</w:t>
      </w:r>
      <w:proofErr w:type="spellStart"/>
      <w:r w:rsidRPr="00750116">
        <w:t>OzL.Pro</w:t>
      </w:r>
      <w:proofErr w:type="spellEnd"/>
      <w:r w:rsidRPr="00750116">
        <w:t>/</w:t>
      </w:r>
      <w:proofErr w:type="spellStart"/>
      <w:r w:rsidRPr="00750116">
        <w:t>ExCom</w:t>
      </w:r>
      <w:proofErr w:type="spellEnd"/>
      <w:r w:rsidRPr="00750116">
        <w:t>/87/48.</w:t>
      </w:r>
    </w:p>
  </w:footnote>
  <w:footnote w:id="24">
    <w:p w:rsidR="00763B06" w:rsidRPr="00874498" w:rsidRDefault="00763B06">
      <w:pPr>
        <w:pStyle w:val="FootnoteText"/>
        <w:rPr>
          <w:lang w:val="en-US"/>
        </w:rPr>
      </w:pPr>
      <w:r>
        <w:rPr>
          <w:rStyle w:val="FootnoteReference"/>
        </w:rPr>
        <w:footnoteRef/>
      </w:r>
      <w:r>
        <w:t xml:space="preserve"> </w:t>
      </w:r>
      <w:r w:rsidRPr="00F96CDA">
        <w:t xml:space="preserve">Paragraph </w:t>
      </w:r>
      <w:r>
        <w:rPr>
          <w:lang w:val="en-US"/>
        </w:rPr>
        <w:t>65 of document UNEP/</w:t>
      </w:r>
      <w:proofErr w:type="spellStart"/>
      <w:r>
        <w:rPr>
          <w:lang w:val="en-US"/>
        </w:rPr>
        <w:t>OzL.Pro</w:t>
      </w:r>
      <w:proofErr w:type="spellEnd"/>
      <w:r>
        <w:rPr>
          <w:lang w:val="en-US"/>
        </w:rPr>
        <w:t>/</w:t>
      </w:r>
      <w:proofErr w:type="spellStart"/>
      <w:r>
        <w:rPr>
          <w:lang w:val="en-US"/>
        </w:rPr>
        <w:t>ExCom</w:t>
      </w:r>
      <w:proofErr w:type="spellEnd"/>
      <w:r>
        <w:rPr>
          <w:lang w:val="en-US"/>
        </w:rPr>
        <w:t xml:space="preserve">/86/87 describes in detail the benefits associated with an integrated strategy in the refrigeration servicing sector. </w:t>
      </w:r>
    </w:p>
  </w:footnote>
  <w:footnote w:id="25">
    <w:p w:rsidR="00763B06" w:rsidRPr="007B739B" w:rsidRDefault="00763B06">
      <w:pPr>
        <w:pStyle w:val="FootnoteText"/>
        <w:rPr>
          <w:lang w:val="en-US"/>
        </w:rPr>
      </w:pPr>
      <w:r>
        <w:rPr>
          <w:rStyle w:val="FootnoteReference"/>
        </w:rPr>
        <w:footnoteRef/>
      </w:r>
      <w:r>
        <w:t xml:space="preserve"> </w:t>
      </w:r>
      <w:r w:rsidRPr="007B739B">
        <w:rPr>
          <w:lang w:val="en-US"/>
        </w:rPr>
        <w:t>Including up to US $155.7 million for one country.</w:t>
      </w:r>
    </w:p>
  </w:footnote>
  <w:footnote w:id="26">
    <w:p w:rsidR="00763B06" w:rsidRPr="00E15EE8" w:rsidRDefault="00763B06" w:rsidP="00E15EE8">
      <w:pPr>
        <w:rPr>
          <w:lang w:val="en-US"/>
        </w:rPr>
      </w:pPr>
      <w:r w:rsidRPr="007B739B">
        <w:rPr>
          <w:rStyle w:val="FootnoteReference"/>
        </w:rPr>
        <w:footnoteRef/>
      </w:r>
      <w:r w:rsidRPr="007B739B">
        <w:t xml:space="preserve"> </w:t>
      </w:r>
      <w:r>
        <w:t>B</w:t>
      </w:r>
      <w:r w:rsidRPr="007B739B">
        <w:rPr>
          <w:sz w:val="20"/>
          <w:szCs w:val="20"/>
        </w:rPr>
        <w:t>etween 2030 and 2040</w:t>
      </w:r>
      <w:r>
        <w:rPr>
          <w:sz w:val="20"/>
          <w:szCs w:val="20"/>
        </w:rPr>
        <w:t>, s</w:t>
      </w:r>
      <w:r w:rsidRPr="007B739B">
        <w:rPr>
          <w:sz w:val="20"/>
          <w:szCs w:val="20"/>
        </w:rPr>
        <w:t xml:space="preserve">ome </w:t>
      </w:r>
      <w:r>
        <w:rPr>
          <w:sz w:val="20"/>
          <w:szCs w:val="20"/>
        </w:rPr>
        <w:t xml:space="preserve">Article 5 </w:t>
      </w:r>
      <w:r w:rsidRPr="007B739B">
        <w:rPr>
          <w:sz w:val="20"/>
          <w:szCs w:val="20"/>
        </w:rPr>
        <w:t>countries may import HCFCs for the servicing tail in line with paragraph</w:t>
      </w:r>
      <w:r>
        <w:rPr>
          <w:sz w:val="20"/>
          <w:szCs w:val="20"/>
        </w:rPr>
        <w:t> </w:t>
      </w:r>
      <w:r w:rsidRPr="007B739B">
        <w:rPr>
          <w:sz w:val="20"/>
          <w:szCs w:val="20"/>
        </w:rPr>
        <w:t>8</w:t>
      </w:r>
      <w:r>
        <w:rPr>
          <w:sz w:val="20"/>
          <w:szCs w:val="20"/>
        </w:rPr>
        <w:t> </w:t>
      </w:r>
      <w:r w:rsidRPr="007B739B">
        <w:rPr>
          <w:sz w:val="20"/>
          <w:szCs w:val="20"/>
        </w:rPr>
        <w:t>(</w:t>
      </w:r>
      <w:proofErr w:type="spellStart"/>
      <w:r w:rsidRPr="007B739B">
        <w:rPr>
          <w:sz w:val="20"/>
          <w:szCs w:val="20"/>
        </w:rPr>
        <w:t>ter</w:t>
      </w:r>
      <w:proofErr w:type="spellEnd"/>
      <w:r w:rsidRPr="007B739B">
        <w:rPr>
          <w:sz w:val="20"/>
          <w:szCs w:val="20"/>
        </w:rPr>
        <w:t>)(e) of Article 5 of the Montreal Protocol.</w:t>
      </w:r>
    </w:p>
  </w:footnote>
  <w:footnote w:id="27">
    <w:p w:rsidR="00763B06" w:rsidRPr="000D61C3" w:rsidRDefault="00763B06">
      <w:pPr>
        <w:pStyle w:val="FootnoteText"/>
        <w:rPr>
          <w:lang w:val="en-US"/>
        </w:rPr>
      </w:pPr>
      <w:r>
        <w:rPr>
          <w:rStyle w:val="FootnoteReference"/>
        </w:rPr>
        <w:footnoteRef/>
      </w:r>
      <w:r>
        <w:t xml:space="preserve"> Article 5 </w:t>
      </w:r>
      <w:r w:rsidRPr="00F12103">
        <w:t xml:space="preserve">group </w:t>
      </w:r>
      <w:r>
        <w:rPr>
          <w:lang w:val="en-US"/>
        </w:rPr>
        <w:t xml:space="preserve">1 countries, which include all LVC countries will need to achieve the 10 per cent reduction of their HFC consumption baseline by 2029 and </w:t>
      </w:r>
      <w:r>
        <w:t xml:space="preserve">Article 5 </w:t>
      </w:r>
      <w:r w:rsidRPr="00F12103">
        <w:t xml:space="preserve">group </w:t>
      </w:r>
      <w:r>
        <w:rPr>
          <w:lang w:val="en-US"/>
        </w:rPr>
        <w:t>2 countries by 2032.</w:t>
      </w:r>
    </w:p>
  </w:footnote>
  <w:footnote w:id="28">
    <w:p w:rsidR="00763B06" w:rsidRPr="000A7B06" w:rsidRDefault="00763B06" w:rsidP="00451693">
      <w:pPr>
        <w:pStyle w:val="FootnoteText"/>
        <w:rPr>
          <w:lang w:val="en-US"/>
        </w:rPr>
      </w:pPr>
      <w:r>
        <w:rPr>
          <w:rStyle w:val="FootnoteReference"/>
        </w:rPr>
        <w:footnoteRef/>
      </w:r>
      <w:r>
        <w:t xml:space="preserve"> </w:t>
      </w:r>
      <w:r>
        <w:rPr>
          <w:lang w:val="en-US"/>
        </w:rPr>
        <w:t>Including up to US $155.7 million for one country.</w:t>
      </w:r>
    </w:p>
  </w:footnote>
  <w:footnote w:id="29">
    <w:p w:rsidR="00763B06" w:rsidRPr="00934924" w:rsidRDefault="00763B06">
      <w:pPr>
        <w:pStyle w:val="FootnoteText"/>
        <w:rPr>
          <w:lang w:val="en-US"/>
        </w:rPr>
      </w:pPr>
      <w:r>
        <w:rPr>
          <w:rStyle w:val="FootnoteReference"/>
        </w:rPr>
        <w:footnoteRef/>
      </w:r>
      <w:r>
        <w:t xml:space="preserve"> </w:t>
      </w:r>
      <w:r>
        <w:rPr>
          <w:lang w:val="en-US"/>
        </w:rPr>
        <w:t xml:space="preserve">This value, which corresponds to two thirds of the US $4.80/kg funded for HCFC, reflects the savings to be achieved by integrating part of the initial HFC phase-down activities within ongoing activities in the HPMPs.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r>
      <w:fldChar w:fldCharType="begin"/>
    </w:r>
    <w:r>
      <w:instrText xml:space="preserve"> DOCPROPERTY "Document number"  \* MERGEFORMAT </w:instrText>
    </w:r>
    <w:r>
      <w:fldChar w:fldCharType="separate"/>
    </w:r>
    <w:r>
      <w:t>UNEP</w:t>
    </w:r>
    <w:r w:rsidRPr="00CF1839">
      <w:rPr>
        <w:lang w:val="en-CA"/>
      </w:rPr>
      <w:t>/</w:t>
    </w:r>
    <w:proofErr w:type="spellStart"/>
    <w:r w:rsidRPr="00CF1839">
      <w:rPr>
        <w:lang w:val="en-CA"/>
      </w:rPr>
      <w:t>OzL.Pro</w:t>
    </w:r>
    <w:proofErr w:type="spellEnd"/>
    <w:r w:rsidRPr="00CF1839">
      <w:rPr>
        <w:lang w:val="en-CA"/>
      </w:rPr>
      <w:t>/</w:t>
    </w:r>
    <w:proofErr w:type="spellStart"/>
    <w:r w:rsidRPr="00CF1839">
      <w:rPr>
        <w:lang w:val="en-CA"/>
      </w:rPr>
      <w:t>ExCom</w:t>
    </w:r>
    <w:proofErr w:type="spellEnd"/>
    <w:r>
      <w:t>/87/47</w:t>
    </w:r>
    <w:r>
      <w:fldChar w:fldCharType="end"/>
    </w:r>
  </w:p>
  <w:p w:rsidR="00763B06" w:rsidRPr="0033525D" w:rsidRDefault="00763B06"/>
  <w:p w:rsidR="00763B06" w:rsidRPr="0033525D" w:rsidRDefault="00763B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pPr>
      <w:jc w:val="right"/>
    </w:pPr>
    <w:r>
      <w:fldChar w:fldCharType="begin"/>
    </w:r>
    <w:r>
      <w:instrText xml:space="preserve"> DOCPROPERTY "Document number"  \* MERGEFORMAT </w:instrText>
    </w:r>
    <w:r>
      <w:fldChar w:fldCharType="separate"/>
    </w:r>
    <w:r>
      <w:t>UNEP</w:t>
    </w:r>
    <w:r w:rsidRPr="00CF1839">
      <w:rPr>
        <w:lang w:val="en-CA"/>
      </w:rPr>
      <w:t>/</w:t>
    </w:r>
    <w:proofErr w:type="spellStart"/>
    <w:r w:rsidRPr="00CF1839">
      <w:rPr>
        <w:lang w:val="en-CA"/>
      </w:rPr>
      <w:t>OzL.Pro</w:t>
    </w:r>
    <w:proofErr w:type="spellEnd"/>
    <w:r w:rsidRPr="00CF1839">
      <w:rPr>
        <w:lang w:val="en-CA"/>
      </w:rPr>
      <w:t>/</w:t>
    </w:r>
    <w:proofErr w:type="spellStart"/>
    <w:r w:rsidRPr="00CF1839">
      <w:rPr>
        <w:lang w:val="en-CA"/>
      </w:rPr>
      <w:t>ExCom</w:t>
    </w:r>
    <w:proofErr w:type="spellEnd"/>
    <w:r>
      <w:t>/87/47</w:t>
    </w:r>
    <w:r>
      <w:fldChar w:fldCharType="end"/>
    </w:r>
  </w:p>
  <w:p w:rsidR="00763B06" w:rsidRPr="0033525D" w:rsidRDefault="00763B06" w:rsidP="00F93D2F">
    <w:pPr>
      <w:jc w:val="right"/>
    </w:pPr>
  </w:p>
  <w:p w:rsidR="00763B06" w:rsidRPr="0033525D" w:rsidRDefault="00763B06" w:rsidP="00F93D2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r>
      <w:fldChar w:fldCharType="begin"/>
    </w:r>
    <w:r>
      <w:instrText xml:space="preserve"> DOCPROPERTY "Document number"  \* MERGEFORMAT </w:instrText>
    </w:r>
    <w:r>
      <w:fldChar w:fldCharType="separate"/>
    </w:r>
    <w:r>
      <w:t>UNEP</w:t>
    </w:r>
    <w:r w:rsidRPr="00CF1839">
      <w:rPr>
        <w:lang w:val="en-CA"/>
      </w:rPr>
      <w:t>/</w:t>
    </w:r>
    <w:proofErr w:type="spellStart"/>
    <w:r w:rsidRPr="00CF1839">
      <w:rPr>
        <w:lang w:val="en-CA"/>
      </w:rPr>
      <w:t>OzL.Pro</w:t>
    </w:r>
    <w:proofErr w:type="spellEnd"/>
    <w:r w:rsidRPr="00CF1839">
      <w:rPr>
        <w:lang w:val="en-CA"/>
      </w:rPr>
      <w:t>/</w:t>
    </w:r>
    <w:proofErr w:type="spellStart"/>
    <w:r w:rsidRPr="00CF1839">
      <w:rPr>
        <w:lang w:val="en-CA"/>
      </w:rPr>
      <w:t>ExCom</w:t>
    </w:r>
    <w:proofErr w:type="spellEnd"/>
    <w:r>
      <w:t>/87/47</w:t>
    </w:r>
    <w:r>
      <w:fldChar w:fldCharType="end"/>
    </w:r>
  </w:p>
  <w:p w:rsidR="00763B06" w:rsidRPr="0033525D" w:rsidRDefault="00763B06">
    <w:r>
      <w:t>Annex I</w:t>
    </w:r>
  </w:p>
  <w:p w:rsidR="00763B06" w:rsidRPr="0033525D" w:rsidRDefault="00763B0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Pr="0033525D" w:rsidRDefault="00763B06">
    <w:pPr>
      <w:jc w:val="right"/>
    </w:pPr>
    <w:r>
      <w:fldChar w:fldCharType="begin"/>
    </w:r>
    <w:r>
      <w:instrText xml:space="preserve"> DOCPROPERTY "Document number"  \* MERGEFORMAT </w:instrText>
    </w:r>
    <w:r>
      <w:fldChar w:fldCharType="separate"/>
    </w:r>
    <w:r>
      <w:t>UNEP</w:t>
    </w:r>
    <w:r w:rsidRPr="00CF1839">
      <w:rPr>
        <w:lang w:val="en-CA"/>
      </w:rPr>
      <w:t>/</w:t>
    </w:r>
    <w:proofErr w:type="spellStart"/>
    <w:r w:rsidRPr="00CF1839">
      <w:rPr>
        <w:lang w:val="en-CA"/>
      </w:rPr>
      <w:t>OzL.Pro</w:t>
    </w:r>
    <w:proofErr w:type="spellEnd"/>
    <w:r w:rsidRPr="00CF1839">
      <w:rPr>
        <w:lang w:val="en-CA"/>
      </w:rPr>
      <w:t>/</w:t>
    </w:r>
    <w:proofErr w:type="spellStart"/>
    <w:r w:rsidRPr="00CF1839">
      <w:rPr>
        <w:lang w:val="en-CA"/>
      </w:rPr>
      <w:t>ExCom</w:t>
    </w:r>
    <w:proofErr w:type="spellEnd"/>
    <w:r>
      <w:t>/87/47</w:t>
    </w:r>
    <w:r>
      <w:fldChar w:fldCharType="end"/>
    </w:r>
  </w:p>
  <w:p w:rsidR="00763B06" w:rsidRPr="0033525D" w:rsidRDefault="00763B06" w:rsidP="00F93D2F">
    <w:pPr>
      <w:jc w:val="right"/>
    </w:pPr>
    <w:r>
      <w:t>Annex I</w:t>
    </w:r>
  </w:p>
  <w:p w:rsidR="00763B06" w:rsidRPr="0033525D" w:rsidRDefault="00763B06" w:rsidP="00F93D2F">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06" w:rsidRDefault="00763B06" w:rsidP="00667432">
    <w:pPr>
      <w:pStyle w:val="Header"/>
      <w:jc w:val="right"/>
    </w:pPr>
    <w:r>
      <w:t>UNEP/OzL.Pro/ExCom/86/89</w:t>
    </w:r>
  </w:p>
  <w:p w:rsidR="00763B06" w:rsidRDefault="00763B06" w:rsidP="00667432">
    <w:pPr>
      <w:pStyle w:val="Header"/>
      <w:jc w:val="right"/>
    </w:pPr>
    <w:r>
      <w:t>Annex I</w:t>
    </w:r>
  </w:p>
  <w:p w:rsidR="00763B06" w:rsidRDefault="00763B06" w:rsidP="0066743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6552C9C"/>
    <w:multiLevelType w:val="hybridMultilevel"/>
    <w:tmpl w:val="9126DF5C"/>
    <w:lvl w:ilvl="0" w:tplc="72FCA236">
      <w:start w:val="2047"/>
      <w:numFmt w:val="decimal"/>
      <w:lvlText w:val="%1"/>
      <w:lvlJc w:val="left"/>
      <w:pPr>
        <w:ind w:left="744" w:hanging="384"/>
      </w:pPr>
      <w:rPr>
        <w:rFonts w:hint="default"/>
        <w:sz w:val="1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EA0548A"/>
    <w:multiLevelType w:val="hybridMultilevel"/>
    <w:tmpl w:val="0CE88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307462"/>
    <w:multiLevelType w:val="hybridMultilevel"/>
    <w:tmpl w:val="48766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091253"/>
    <w:multiLevelType w:val="hybridMultilevel"/>
    <w:tmpl w:val="3BBE3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18C5FF5"/>
    <w:multiLevelType w:val="hybridMultilevel"/>
    <w:tmpl w:val="076C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145082"/>
    <w:multiLevelType w:val="hybridMultilevel"/>
    <w:tmpl w:val="3004646C"/>
    <w:lvl w:ilvl="0" w:tplc="5DFAA890">
      <w:start w:val="2047"/>
      <w:numFmt w:val="decimal"/>
      <w:lvlText w:val="%1"/>
      <w:lvlJc w:val="left"/>
      <w:pPr>
        <w:ind w:left="432" w:hanging="384"/>
      </w:pPr>
      <w:rPr>
        <w:rFonts w:hint="default"/>
        <w:sz w:val="19"/>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4F0B42"/>
    <w:multiLevelType w:val="hybridMultilevel"/>
    <w:tmpl w:val="035A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C71B3E"/>
    <w:multiLevelType w:val="hybridMultilevel"/>
    <w:tmpl w:val="9168B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5261F9"/>
    <w:multiLevelType w:val="hybridMultilevel"/>
    <w:tmpl w:val="C1A09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20"/>
  </w:num>
  <w:num w:numId="19">
    <w:abstractNumId w:val="25"/>
  </w:num>
  <w:num w:numId="20">
    <w:abstractNumId w:val="1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2"/>
  </w:num>
  <w:num w:numId="27">
    <w:abstractNumId w:val="13"/>
  </w:num>
  <w:num w:numId="28">
    <w:abstractNumId w:val="14"/>
  </w:num>
  <w:num w:numId="29">
    <w:abstractNumId w:val="18"/>
  </w:num>
  <w:num w:numId="30">
    <w:abstractNumId w:val="24"/>
  </w:num>
  <w:num w:numId="31">
    <w:abstractNumId w:val="11"/>
  </w:num>
  <w:num w:numId="32">
    <w:abstractNumId w:val="17"/>
  </w:num>
  <w:num w:numId="33">
    <w:abstractNumId w:val="14"/>
  </w:num>
  <w:num w:numId="34">
    <w:abstractNumId w:val="24"/>
  </w:num>
  <w:num w:numId="3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D15C08"/>
    <w:rsid w:val="00000FED"/>
    <w:rsid w:val="00002E58"/>
    <w:rsid w:val="00003736"/>
    <w:rsid w:val="0000434E"/>
    <w:rsid w:val="000062CF"/>
    <w:rsid w:val="00017211"/>
    <w:rsid w:val="00020319"/>
    <w:rsid w:val="00020A9B"/>
    <w:rsid w:val="000211A9"/>
    <w:rsid w:val="00022975"/>
    <w:rsid w:val="00031260"/>
    <w:rsid w:val="00031AC2"/>
    <w:rsid w:val="000348FA"/>
    <w:rsid w:val="00034A2E"/>
    <w:rsid w:val="00034FAF"/>
    <w:rsid w:val="0003681A"/>
    <w:rsid w:val="000372B7"/>
    <w:rsid w:val="00041082"/>
    <w:rsid w:val="0004562A"/>
    <w:rsid w:val="000460B8"/>
    <w:rsid w:val="00047820"/>
    <w:rsid w:val="00050F6E"/>
    <w:rsid w:val="00055F3F"/>
    <w:rsid w:val="00061EC2"/>
    <w:rsid w:val="00066066"/>
    <w:rsid w:val="00066B94"/>
    <w:rsid w:val="0007254B"/>
    <w:rsid w:val="00074EC2"/>
    <w:rsid w:val="0007517B"/>
    <w:rsid w:val="000767A9"/>
    <w:rsid w:val="00080ED0"/>
    <w:rsid w:val="00081D8C"/>
    <w:rsid w:val="00082166"/>
    <w:rsid w:val="00084DF2"/>
    <w:rsid w:val="00085B8F"/>
    <w:rsid w:val="00085E3F"/>
    <w:rsid w:val="00090481"/>
    <w:rsid w:val="00093771"/>
    <w:rsid w:val="0009550D"/>
    <w:rsid w:val="000A032C"/>
    <w:rsid w:val="000A3826"/>
    <w:rsid w:val="000A6C26"/>
    <w:rsid w:val="000A7B06"/>
    <w:rsid w:val="000B2328"/>
    <w:rsid w:val="000B3A18"/>
    <w:rsid w:val="000B4E90"/>
    <w:rsid w:val="000B50D2"/>
    <w:rsid w:val="000B66AA"/>
    <w:rsid w:val="000C0863"/>
    <w:rsid w:val="000C1871"/>
    <w:rsid w:val="000C4D68"/>
    <w:rsid w:val="000C6EBA"/>
    <w:rsid w:val="000D011D"/>
    <w:rsid w:val="000D52A4"/>
    <w:rsid w:val="000D5816"/>
    <w:rsid w:val="000D61C3"/>
    <w:rsid w:val="000D64BE"/>
    <w:rsid w:val="000D659B"/>
    <w:rsid w:val="000E07BC"/>
    <w:rsid w:val="000E0A3B"/>
    <w:rsid w:val="000E64C4"/>
    <w:rsid w:val="000E672B"/>
    <w:rsid w:val="000E7B8F"/>
    <w:rsid w:val="000F1CD4"/>
    <w:rsid w:val="000F4103"/>
    <w:rsid w:val="000F5729"/>
    <w:rsid w:val="000F70A7"/>
    <w:rsid w:val="00104CF7"/>
    <w:rsid w:val="001053DE"/>
    <w:rsid w:val="001062B1"/>
    <w:rsid w:val="0010655B"/>
    <w:rsid w:val="0010658E"/>
    <w:rsid w:val="00110A4A"/>
    <w:rsid w:val="00111AC3"/>
    <w:rsid w:val="00113CCA"/>
    <w:rsid w:val="0011520F"/>
    <w:rsid w:val="00115DDA"/>
    <w:rsid w:val="00116928"/>
    <w:rsid w:val="00122F25"/>
    <w:rsid w:val="00124572"/>
    <w:rsid w:val="00126286"/>
    <w:rsid w:val="00127D72"/>
    <w:rsid w:val="001313F2"/>
    <w:rsid w:val="001320E8"/>
    <w:rsid w:val="00135980"/>
    <w:rsid w:val="00137B48"/>
    <w:rsid w:val="00142D87"/>
    <w:rsid w:val="00142DDE"/>
    <w:rsid w:val="00147325"/>
    <w:rsid w:val="001604FC"/>
    <w:rsid w:val="00164719"/>
    <w:rsid w:val="00166FC4"/>
    <w:rsid w:val="001677AC"/>
    <w:rsid w:val="00170B50"/>
    <w:rsid w:val="00172C95"/>
    <w:rsid w:val="00175B17"/>
    <w:rsid w:val="001804EA"/>
    <w:rsid w:val="001819A6"/>
    <w:rsid w:val="00190032"/>
    <w:rsid w:val="00190A61"/>
    <w:rsid w:val="00193C6C"/>
    <w:rsid w:val="00193D6F"/>
    <w:rsid w:val="00193F75"/>
    <w:rsid w:val="001960C5"/>
    <w:rsid w:val="001A2F66"/>
    <w:rsid w:val="001A3342"/>
    <w:rsid w:val="001A3E3D"/>
    <w:rsid w:val="001A5AAB"/>
    <w:rsid w:val="001A7049"/>
    <w:rsid w:val="001B0CC1"/>
    <w:rsid w:val="001B1E40"/>
    <w:rsid w:val="001B49D0"/>
    <w:rsid w:val="001C1882"/>
    <w:rsid w:val="001C4373"/>
    <w:rsid w:val="001C5EB0"/>
    <w:rsid w:val="001C764E"/>
    <w:rsid w:val="001D1A73"/>
    <w:rsid w:val="001D1F85"/>
    <w:rsid w:val="001E1052"/>
    <w:rsid w:val="001E21B1"/>
    <w:rsid w:val="001E2F93"/>
    <w:rsid w:val="001E4554"/>
    <w:rsid w:val="001E528D"/>
    <w:rsid w:val="001E5A89"/>
    <w:rsid w:val="001E61E5"/>
    <w:rsid w:val="001F2159"/>
    <w:rsid w:val="001F25D9"/>
    <w:rsid w:val="001F4A94"/>
    <w:rsid w:val="001F6074"/>
    <w:rsid w:val="00202473"/>
    <w:rsid w:val="00204601"/>
    <w:rsid w:val="0020509D"/>
    <w:rsid w:val="00210B8B"/>
    <w:rsid w:val="00213B44"/>
    <w:rsid w:val="00214863"/>
    <w:rsid w:val="002156B4"/>
    <w:rsid w:val="002172EE"/>
    <w:rsid w:val="002245F8"/>
    <w:rsid w:val="00226121"/>
    <w:rsid w:val="00231605"/>
    <w:rsid w:val="0023236E"/>
    <w:rsid w:val="00234995"/>
    <w:rsid w:val="002416E5"/>
    <w:rsid w:val="00241842"/>
    <w:rsid w:val="002433AD"/>
    <w:rsid w:val="00244096"/>
    <w:rsid w:val="00253222"/>
    <w:rsid w:val="00255B85"/>
    <w:rsid w:val="00255D6A"/>
    <w:rsid w:val="00257046"/>
    <w:rsid w:val="00260C3D"/>
    <w:rsid w:val="00261147"/>
    <w:rsid w:val="00262847"/>
    <w:rsid w:val="00263D18"/>
    <w:rsid w:val="00265D59"/>
    <w:rsid w:val="0027001F"/>
    <w:rsid w:val="00270E24"/>
    <w:rsid w:val="002739B3"/>
    <w:rsid w:val="0028130D"/>
    <w:rsid w:val="00281BB2"/>
    <w:rsid w:val="00285636"/>
    <w:rsid w:val="00291BC9"/>
    <w:rsid w:val="00295A4D"/>
    <w:rsid w:val="00297180"/>
    <w:rsid w:val="002A4330"/>
    <w:rsid w:val="002A6F7C"/>
    <w:rsid w:val="002B254E"/>
    <w:rsid w:val="002B66DB"/>
    <w:rsid w:val="002B72E9"/>
    <w:rsid w:val="002C3DE1"/>
    <w:rsid w:val="002C4682"/>
    <w:rsid w:val="002C58FB"/>
    <w:rsid w:val="002C5BB6"/>
    <w:rsid w:val="002C7998"/>
    <w:rsid w:val="002D0F8A"/>
    <w:rsid w:val="002D5087"/>
    <w:rsid w:val="002D67F2"/>
    <w:rsid w:val="002D69AF"/>
    <w:rsid w:val="002E09CB"/>
    <w:rsid w:val="002E0A80"/>
    <w:rsid w:val="002E1EA2"/>
    <w:rsid w:val="002E574E"/>
    <w:rsid w:val="002E7852"/>
    <w:rsid w:val="002F1078"/>
    <w:rsid w:val="002F1E53"/>
    <w:rsid w:val="002F2CAA"/>
    <w:rsid w:val="002F548D"/>
    <w:rsid w:val="002F78B4"/>
    <w:rsid w:val="0030052C"/>
    <w:rsid w:val="003025B3"/>
    <w:rsid w:val="00312897"/>
    <w:rsid w:val="00313969"/>
    <w:rsid w:val="00316A89"/>
    <w:rsid w:val="00321E18"/>
    <w:rsid w:val="003225FB"/>
    <w:rsid w:val="0032274F"/>
    <w:rsid w:val="0032427F"/>
    <w:rsid w:val="00325D05"/>
    <w:rsid w:val="0032664E"/>
    <w:rsid w:val="00327EF9"/>
    <w:rsid w:val="003306E1"/>
    <w:rsid w:val="00330E70"/>
    <w:rsid w:val="00331943"/>
    <w:rsid w:val="003320E4"/>
    <w:rsid w:val="003337B2"/>
    <w:rsid w:val="00333BA4"/>
    <w:rsid w:val="0033525D"/>
    <w:rsid w:val="0033568C"/>
    <w:rsid w:val="003365B5"/>
    <w:rsid w:val="00336858"/>
    <w:rsid w:val="00337393"/>
    <w:rsid w:val="0034045B"/>
    <w:rsid w:val="003414F3"/>
    <w:rsid w:val="00342559"/>
    <w:rsid w:val="0034371D"/>
    <w:rsid w:val="00344513"/>
    <w:rsid w:val="00344A4D"/>
    <w:rsid w:val="00350573"/>
    <w:rsid w:val="003516CB"/>
    <w:rsid w:val="0035214F"/>
    <w:rsid w:val="0035613E"/>
    <w:rsid w:val="00357C1B"/>
    <w:rsid w:val="00362A01"/>
    <w:rsid w:val="00363EE9"/>
    <w:rsid w:val="0037589C"/>
    <w:rsid w:val="00376128"/>
    <w:rsid w:val="0037742E"/>
    <w:rsid w:val="00377D56"/>
    <w:rsid w:val="0038245A"/>
    <w:rsid w:val="00382D3E"/>
    <w:rsid w:val="003840E6"/>
    <w:rsid w:val="00384934"/>
    <w:rsid w:val="003859BE"/>
    <w:rsid w:val="00385CFC"/>
    <w:rsid w:val="0039337A"/>
    <w:rsid w:val="00393933"/>
    <w:rsid w:val="003A3189"/>
    <w:rsid w:val="003A3CA7"/>
    <w:rsid w:val="003A4EDA"/>
    <w:rsid w:val="003A5BA4"/>
    <w:rsid w:val="003A5DEE"/>
    <w:rsid w:val="003A718A"/>
    <w:rsid w:val="003A7F7A"/>
    <w:rsid w:val="003B1411"/>
    <w:rsid w:val="003B33BD"/>
    <w:rsid w:val="003B4B0A"/>
    <w:rsid w:val="003B569D"/>
    <w:rsid w:val="003B6D1D"/>
    <w:rsid w:val="003B7BFB"/>
    <w:rsid w:val="003C0F7E"/>
    <w:rsid w:val="003C239F"/>
    <w:rsid w:val="003C25FC"/>
    <w:rsid w:val="003C3C0E"/>
    <w:rsid w:val="003D42A6"/>
    <w:rsid w:val="003D4F21"/>
    <w:rsid w:val="003D4FAC"/>
    <w:rsid w:val="003D772B"/>
    <w:rsid w:val="003E1B5A"/>
    <w:rsid w:val="003E1E21"/>
    <w:rsid w:val="003E29ED"/>
    <w:rsid w:val="003E4851"/>
    <w:rsid w:val="003E7906"/>
    <w:rsid w:val="003F2707"/>
    <w:rsid w:val="003F3857"/>
    <w:rsid w:val="003F3C50"/>
    <w:rsid w:val="003F48F2"/>
    <w:rsid w:val="003F6047"/>
    <w:rsid w:val="00403DB2"/>
    <w:rsid w:val="00406A6A"/>
    <w:rsid w:val="00406B22"/>
    <w:rsid w:val="004108F9"/>
    <w:rsid w:val="004161B8"/>
    <w:rsid w:val="00416A02"/>
    <w:rsid w:val="00420FAE"/>
    <w:rsid w:val="00421A7C"/>
    <w:rsid w:val="00421D36"/>
    <w:rsid w:val="0042682B"/>
    <w:rsid w:val="00427A8E"/>
    <w:rsid w:val="0043239B"/>
    <w:rsid w:val="004328A7"/>
    <w:rsid w:val="004335C6"/>
    <w:rsid w:val="00434C74"/>
    <w:rsid w:val="00435AF2"/>
    <w:rsid w:val="00445FF4"/>
    <w:rsid w:val="0044701A"/>
    <w:rsid w:val="00447FF7"/>
    <w:rsid w:val="00451693"/>
    <w:rsid w:val="00452693"/>
    <w:rsid w:val="00453F79"/>
    <w:rsid w:val="00456EB4"/>
    <w:rsid w:val="0045785D"/>
    <w:rsid w:val="004618BB"/>
    <w:rsid w:val="004718F3"/>
    <w:rsid w:val="00473FB1"/>
    <w:rsid w:val="00475040"/>
    <w:rsid w:val="004754DF"/>
    <w:rsid w:val="00475696"/>
    <w:rsid w:val="00475DAA"/>
    <w:rsid w:val="0049129A"/>
    <w:rsid w:val="00492E0C"/>
    <w:rsid w:val="00493D40"/>
    <w:rsid w:val="00494B6C"/>
    <w:rsid w:val="004955D9"/>
    <w:rsid w:val="004967B6"/>
    <w:rsid w:val="004A0976"/>
    <w:rsid w:val="004A10C2"/>
    <w:rsid w:val="004A504B"/>
    <w:rsid w:val="004A6911"/>
    <w:rsid w:val="004A70B5"/>
    <w:rsid w:val="004B0369"/>
    <w:rsid w:val="004B3F87"/>
    <w:rsid w:val="004B54E0"/>
    <w:rsid w:val="004B6167"/>
    <w:rsid w:val="004B7365"/>
    <w:rsid w:val="004B7384"/>
    <w:rsid w:val="004C0699"/>
    <w:rsid w:val="004C2FED"/>
    <w:rsid w:val="004C4269"/>
    <w:rsid w:val="004C4EAC"/>
    <w:rsid w:val="004D1B42"/>
    <w:rsid w:val="004D6236"/>
    <w:rsid w:val="004D7F90"/>
    <w:rsid w:val="004E1C3B"/>
    <w:rsid w:val="004E24CD"/>
    <w:rsid w:val="004E4DBB"/>
    <w:rsid w:val="004E4E41"/>
    <w:rsid w:val="004E6819"/>
    <w:rsid w:val="004E7F9C"/>
    <w:rsid w:val="004F3124"/>
    <w:rsid w:val="004F3493"/>
    <w:rsid w:val="004F5143"/>
    <w:rsid w:val="004F5F04"/>
    <w:rsid w:val="004F6682"/>
    <w:rsid w:val="005033BC"/>
    <w:rsid w:val="00505943"/>
    <w:rsid w:val="00511FF4"/>
    <w:rsid w:val="00512B09"/>
    <w:rsid w:val="00520F93"/>
    <w:rsid w:val="005211D5"/>
    <w:rsid w:val="00526207"/>
    <w:rsid w:val="00527888"/>
    <w:rsid w:val="00533796"/>
    <w:rsid w:val="00536A6C"/>
    <w:rsid w:val="00537343"/>
    <w:rsid w:val="00544469"/>
    <w:rsid w:val="00550148"/>
    <w:rsid w:val="00552815"/>
    <w:rsid w:val="00552C97"/>
    <w:rsid w:val="00555D75"/>
    <w:rsid w:val="00557138"/>
    <w:rsid w:val="00560AF3"/>
    <w:rsid w:val="00560CAA"/>
    <w:rsid w:val="00560DF0"/>
    <w:rsid w:val="0056326B"/>
    <w:rsid w:val="00566D1E"/>
    <w:rsid w:val="0056759C"/>
    <w:rsid w:val="00567E76"/>
    <w:rsid w:val="005705E7"/>
    <w:rsid w:val="00570E52"/>
    <w:rsid w:val="0057387A"/>
    <w:rsid w:val="00582E89"/>
    <w:rsid w:val="005863C0"/>
    <w:rsid w:val="00587B6E"/>
    <w:rsid w:val="00590F7F"/>
    <w:rsid w:val="0059513E"/>
    <w:rsid w:val="005A3ABE"/>
    <w:rsid w:val="005A6D9F"/>
    <w:rsid w:val="005B48FF"/>
    <w:rsid w:val="005B4BE2"/>
    <w:rsid w:val="005B628E"/>
    <w:rsid w:val="005B691A"/>
    <w:rsid w:val="005B6D41"/>
    <w:rsid w:val="005B7556"/>
    <w:rsid w:val="005C1100"/>
    <w:rsid w:val="005C4B58"/>
    <w:rsid w:val="005C7FC0"/>
    <w:rsid w:val="005D02F2"/>
    <w:rsid w:val="005D363F"/>
    <w:rsid w:val="005D3977"/>
    <w:rsid w:val="005D3E37"/>
    <w:rsid w:val="005D7D6A"/>
    <w:rsid w:val="005F749C"/>
    <w:rsid w:val="005F7BA4"/>
    <w:rsid w:val="0060369E"/>
    <w:rsid w:val="00604C15"/>
    <w:rsid w:val="00610E76"/>
    <w:rsid w:val="00612C0D"/>
    <w:rsid w:val="006158D5"/>
    <w:rsid w:val="006202E7"/>
    <w:rsid w:val="00621A56"/>
    <w:rsid w:val="00624BBB"/>
    <w:rsid w:val="00624D18"/>
    <w:rsid w:val="00625541"/>
    <w:rsid w:val="00625D83"/>
    <w:rsid w:val="006300B2"/>
    <w:rsid w:val="00636AA8"/>
    <w:rsid w:val="00647B24"/>
    <w:rsid w:val="00651E0D"/>
    <w:rsid w:val="00651E8F"/>
    <w:rsid w:val="00656070"/>
    <w:rsid w:val="0065707F"/>
    <w:rsid w:val="006623E7"/>
    <w:rsid w:val="00662B80"/>
    <w:rsid w:val="006666A1"/>
    <w:rsid w:val="0066680D"/>
    <w:rsid w:val="00667432"/>
    <w:rsid w:val="00670F6C"/>
    <w:rsid w:val="0067173D"/>
    <w:rsid w:val="0067660B"/>
    <w:rsid w:val="00676F48"/>
    <w:rsid w:val="00681576"/>
    <w:rsid w:val="0068180D"/>
    <w:rsid w:val="00682892"/>
    <w:rsid w:val="006845E5"/>
    <w:rsid w:val="006852C7"/>
    <w:rsid w:val="006852CE"/>
    <w:rsid w:val="00686A87"/>
    <w:rsid w:val="00686F80"/>
    <w:rsid w:val="00692F17"/>
    <w:rsid w:val="00693E48"/>
    <w:rsid w:val="00697E51"/>
    <w:rsid w:val="006A31ED"/>
    <w:rsid w:val="006B1907"/>
    <w:rsid w:val="006C1727"/>
    <w:rsid w:val="006C32FD"/>
    <w:rsid w:val="006C39CE"/>
    <w:rsid w:val="006C3D03"/>
    <w:rsid w:val="006C5830"/>
    <w:rsid w:val="006C774D"/>
    <w:rsid w:val="006C7AE8"/>
    <w:rsid w:val="006D0FCC"/>
    <w:rsid w:val="006D21F5"/>
    <w:rsid w:val="006D401D"/>
    <w:rsid w:val="006D4B8B"/>
    <w:rsid w:val="006D61F6"/>
    <w:rsid w:val="006D6825"/>
    <w:rsid w:val="006E1FC3"/>
    <w:rsid w:val="006E6CA2"/>
    <w:rsid w:val="006F1E77"/>
    <w:rsid w:val="006F2B3F"/>
    <w:rsid w:val="006F3D84"/>
    <w:rsid w:val="006F660F"/>
    <w:rsid w:val="00703601"/>
    <w:rsid w:val="00704CE9"/>
    <w:rsid w:val="00705890"/>
    <w:rsid w:val="0070616B"/>
    <w:rsid w:val="00706295"/>
    <w:rsid w:val="00706FDA"/>
    <w:rsid w:val="00711F9A"/>
    <w:rsid w:val="007137CC"/>
    <w:rsid w:val="00713810"/>
    <w:rsid w:val="00717123"/>
    <w:rsid w:val="00720EDE"/>
    <w:rsid w:val="007278CD"/>
    <w:rsid w:val="007303A5"/>
    <w:rsid w:val="00730B3E"/>
    <w:rsid w:val="007321E3"/>
    <w:rsid w:val="007336FC"/>
    <w:rsid w:val="0073420B"/>
    <w:rsid w:val="00736761"/>
    <w:rsid w:val="00745E20"/>
    <w:rsid w:val="0074760E"/>
    <w:rsid w:val="00750116"/>
    <w:rsid w:val="00751363"/>
    <w:rsid w:val="00754ABA"/>
    <w:rsid w:val="00755551"/>
    <w:rsid w:val="007562A2"/>
    <w:rsid w:val="007571B4"/>
    <w:rsid w:val="00757C42"/>
    <w:rsid w:val="00757E0F"/>
    <w:rsid w:val="00760122"/>
    <w:rsid w:val="0076232D"/>
    <w:rsid w:val="00763B06"/>
    <w:rsid w:val="007643F3"/>
    <w:rsid w:val="00765D86"/>
    <w:rsid w:val="007707E0"/>
    <w:rsid w:val="007818D8"/>
    <w:rsid w:val="00782515"/>
    <w:rsid w:val="007825F9"/>
    <w:rsid w:val="00791F37"/>
    <w:rsid w:val="00793497"/>
    <w:rsid w:val="007948F2"/>
    <w:rsid w:val="0079606A"/>
    <w:rsid w:val="007A1546"/>
    <w:rsid w:val="007A228C"/>
    <w:rsid w:val="007A368E"/>
    <w:rsid w:val="007A5868"/>
    <w:rsid w:val="007A71C7"/>
    <w:rsid w:val="007B04CE"/>
    <w:rsid w:val="007B3A24"/>
    <w:rsid w:val="007B43E6"/>
    <w:rsid w:val="007B4D07"/>
    <w:rsid w:val="007B6871"/>
    <w:rsid w:val="007B72CF"/>
    <w:rsid w:val="007B739B"/>
    <w:rsid w:val="007B7A2F"/>
    <w:rsid w:val="007C122F"/>
    <w:rsid w:val="007C1B59"/>
    <w:rsid w:val="007C3D33"/>
    <w:rsid w:val="007C6DC6"/>
    <w:rsid w:val="007C7E18"/>
    <w:rsid w:val="007D0F6C"/>
    <w:rsid w:val="007D294A"/>
    <w:rsid w:val="007D34FF"/>
    <w:rsid w:val="007D47D2"/>
    <w:rsid w:val="007D5F1D"/>
    <w:rsid w:val="007D60D5"/>
    <w:rsid w:val="007D6761"/>
    <w:rsid w:val="007D6EC0"/>
    <w:rsid w:val="007D7E1D"/>
    <w:rsid w:val="007E296B"/>
    <w:rsid w:val="007E2B74"/>
    <w:rsid w:val="007E43A9"/>
    <w:rsid w:val="007E460A"/>
    <w:rsid w:val="007E75AE"/>
    <w:rsid w:val="007F7E26"/>
    <w:rsid w:val="00802864"/>
    <w:rsid w:val="00802EEF"/>
    <w:rsid w:val="00803EDB"/>
    <w:rsid w:val="00806EC5"/>
    <w:rsid w:val="0081173A"/>
    <w:rsid w:val="008151A7"/>
    <w:rsid w:val="00824444"/>
    <w:rsid w:val="00830161"/>
    <w:rsid w:val="00831979"/>
    <w:rsid w:val="008344A5"/>
    <w:rsid w:val="0083482C"/>
    <w:rsid w:val="00842463"/>
    <w:rsid w:val="00847AAF"/>
    <w:rsid w:val="00851352"/>
    <w:rsid w:val="008522F1"/>
    <w:rsid w:val="00857058"/>
    <w:rsid w:val="00857077"/>
    <w:rsid w:val="00857D15"/>
    <w:rsid w:val="00862DFB"/>
    <w:rsid w:val="00863230"/>
    <w:rsid w:val="00864DDD"/>
    <w:rsid w:val="00865BD0"/>
    <w:rsid w:val="0087079F"/>
    <w:rsid w:val="008717D8"/>
    <w:rsid w:val="0087215C"/>
    <w:rsid w:val="00874498"/>
    <w:rsid w:val="00875D25"/>
    <w:rsid w:val="00880E35"/>
    <w:rsid w:val="00883031"/>
    <w:rsid w:val="008875FE"/>
    <w:rsid w:val="00887F8E"/>
    <w:rsid w:val="00893486"/>
    <w:rsid w:val="00896234"/>
    <w:rsid w:val="00897E43"/>
    <w:rsid w:val="008A13CE"/>
    <w:rsid w:val="008A1917"/>
    <w:rsid w:val="008A3A26"/>
    <w:rsid w:val="008A644B"/>
    <w:rsid w:val="008B2615"/>
    <w:rsid w:val="008B7A14"/>
    <w:rsid w:val="008C1C16"/>
    <w:rsid w:val="008C1E69"/>
    <w:rsid w:val="008C5738"/>
    <w:rsid w:val="008C57BD"/>
    <w:rsid w:val="008C7EAD"/>
    <w:rsid w:val="008D0CFE"/>
    <w:rsid w:val="008D0F1C"/>
    <w:rsid w:val="008D3307"/>
    <w:rsid w:val="008D5849"/>
    <w:rsid w:val="008D6152"/>
    <w:rsid w:val="008D760A"/>
    <w:rsid w:val="008E0267"/>
    <w:rsid w:val="008E1988"/>
    <w:rsid w:val="008E3E03"/>
    <w:rsid w:val="008E4AAF"/>
    <w:rsid w:val="008E4F45"/>
    <w:rsid w:val="008E5470"/>
    <w:rsid w:val="008E5B5C"/>
    <w:rsid w:val="008E7249"/>
    <w:rsid w:val="008F0F81"/>
    <w:rsid w:val="008F27BF"/>
    <w:rsid w:val="008F45E7"/>
    <w:rsid w:val="008F62D8"/>
    <w:rsid w:val="009142EC"/>
    <w:rsid w:val="009154C3"/>
    <w:rsid w:val="00917211"/>
    <w:rsid w:val="009178DE"/>
    <w:rsid w:val="00923540"/>
    <w:rsid w:val="00926767"/>
    <w:rsid w:val="00926ECF"/>
    <w:rsid w:val="00931DB7"/>
    <w:rsid w:val="00931F32"/>
    <w:rsid w:val="009341B5"/>
    <w:rsid w:val="00934924"/>
    <w:rsid w:val="00935587"/>
    <w:rsid w:val="009361D5"/>
    <w:rsid w:val="009379B3"/>
    <w:rsid w:val="00940584"/>
    <w:rsid w:val="009428A4"/>
    <w:rsid w:val="00945C08"/>
    <w:rsid w:val="009562DA"/>
    <w:rsid w:val="00956348"/>
    <w:rsid w:val="00957670"/>
    <w:rsid w:val="00964988"/>
    <w:rsid w:val="009659F4"/>
    <w:rsid w:val="00966757"/>
    <w:rsid w:val="009669D2"/>
    <w:rsid w:val="00970D60"/>
    <w:rsid w:val="00980589"/>
    <w:rsid w:val="009830EF"/>
    <w:rsid w:val="00985F8D"/>
    <w:rsid w:val="00990ABB"/>
    <w:rsid w:val="0099390E"/>
    <w:rsid w:val="00993C40"/>
    <w:rsid w:val="009960E5"/>
    <w:rsid w:val="009A4039"/>
    <w:rsid w:val="009A4B4C"/>
    <w:rsid w:val="009A7ADC"/>
    <w:rsid w:val="009B1429"/>
    <w:rsid w:val="009B1C0C"/>
    <w:rsid w:val="009B2A9A"/>
    <w:rsid w:val="009B2F4E"/>
    <w:rsid w:val="009C19B7"/>
    <w:rsid w:val="009C20E4"/>
    <w:rsid w:val="009C3E64"/>
    <w:rsid w:val="009C5ABB"/>
    <w:rsid w:val="009C6F45"/>
    <w:rsid w:val="009C7099"/>
    <w:rsid w:val="009D439B"/>
    <w:rsid w:val="009D4C85"/>
    <w:rsid w:val="009D4D3C"/>
    <w:rsid w:val="009D7C51"/>
    <w:rsid w:val="009E0786"/>
    <w:rsid w:val="009E093E"/>
    <w:rsid w:val="009E196C"/>
    <w:rsid w:val="009E4C5B"/>
    <w:rsid w:val="009E6746"/>
    <w:rsid w:val="009F2142"/>
    <w:rsid w:val="009F36BF"/>
    <w:rsid w:val="00A07CE1"/>
    <w:rsid w:val="00A1109F"/>
    <w:rsid w:val="00A111B6"/>
    <w:rsid w:val="00A11CC1"/>
    <w:rsid w:val="00A26D27"/>
    <w:rsid w:val="00A27B8E"/>
    <w:rsid w:val="00A304AC"/>
    <w:rsid w:val="00A3410A"/>
    <w:rsid w:val="00A35F5A"/>
    <w:rsid w:val="00A376EE"/>
    <w:rsid w:val="00A40A18"/>
    <w:rsid w:val="00A42A99"/>
    <w:rsid w:val="00A44880"/>
    <w:rsid w:val="00A47930"/>
    <w:rsid w:val="00A5151A"/>
    <w:rsid w:val="00A52217"/>
    <w:rsid w:val="00A53F00"/>
    <w:rsid w:val="00A544D1"/>
    <w:rsid w:val="00A57E0A"/>
    <w:rsid w:val="00A61777"/>
    <w:rsid w:val="00A634F3"/>
    <w:rsid w:val="00A65112"/>
    <w:rsid w:val="00A6523E"/>
    <w:rsid w:val="00A7089C"/>
    <w:rsid w:val="00A745CF"/>
    <w:rsid w:val="00A77F0C"/>
    <w:rsid w:val="00A805A0"/>
    <w:rsid w:val="00A80CB0"/>
    <w:rsid w:val="00A823F6"/>
    <w:rsid w:val="00A84CDF"/>
    <w:rsid w:val="00A8719E"/>
    <w:rsid w:val="00A902C7"/>
    <w:rsid w:val="00A95B0C"/>
    <w:rsid w:val="00A96491"/>
    <w:rsid w:val="00A9718C"/>
    <w:rsid w:val="00AA0A89"/>
    <w:rsid w:val="00AA0F5D"/>
    <w:rsid w:val="00AA2F49"/>
    <w:rsid w:val="00AA6429"/>
    <w:rsid w:val="00AB339F"/>
    <w:rsid w:val="00AB446B"/>
    <w:rsid w:val="00AC01AA"/>
    <w:rsid w:val="00AC04FF"/>
    <w:rsid w:val="00AC2CD0"/>
    <w:rsid w:val="00AC352B"/>
    <w:rsid w:val="00AC4F72"/>
    <w:rsid w:val="00AC5A14"/>
    <w:rsid w:val="00AD0085"/>
    <w:rsid w:val="00AD28CA"/>
    <w:rsid w:val="00AD335A"/>
    <w:rsid w:val="00AD40A2"/>
    <w:rsid w:val="00AD4127"/>
    <w:rsid w:val="00AD6620"/>
    <w:rsid w:val="00AD6B31"/>
    <w:rsid w:val="00AD7524"/>
    <w:rsid w:val="00AE092E"/>
    <w:rsid w:val="00AE0F00"/>
    <w:rsid w:val="00AE221F"/>
    <w:rsid w:val="00AE7A47"/>
    <w:rsid w:val="00AF25AD"/>
    <w:rsid w:val="00AF741A"/>
    <w:rsid w:val="00AF78C8"/>
    <w:rsid w:val="00B001BC"/>
    <w:rsid w:val="00B01ADB"/>
    <w:rsid w:val="00B0288F"/>
    <w:rsid w:val="00B04161"/>
    <w:rsid w:val="00B04C62"/>
    <w:rsid w:val="00B056F9"/>
    <w:rsid w:val="00B11A54"/>
    <w:rsid w:val="00B11E3D"/>
    <w:rsid w:val="00B141EA"/>
    <w:rsid w:val="00B16E83"/>
    <w:rsid w:val="00B17E82"/>
    <w:rsid w:val="00B21330"/>
    <w:rsid w:val="00B215B5"/>
    <w:rsid w:val="00B2560E"/>
    <w:rsid w:val="00B277C4"/>
    <w:rsid w:val="00B335B1"/>
    <w:rsid w:val="00B350FF"/>
    <w:rsid w:val="00B375B3"/>
    <w:rsid w:val="00B40996"/>
    <w:rsid w:val="00B4136E"/>
    <w:rsid w:val="00B44A82"/>
    <w:rsid w:val="00B4575A"/>
    <w:rsid w:val="00B5367E"/>
    <w:rsid w:val="00B53B01"/>
    <w:rsid w:val="00B56A12"/>
    <w:rsid w:val="00B575BA"/>
    <w:rsid w:val="00B626DC"/>
    <w:rsid w:val="00B6564C"/>
    <w:rsid w:val="00B6630A"/>
    <w:rsid w:val="00B66620"/>
    <w:rsid w:val="00B71608"/>
    <w:rsid w:val="00B71D56"/>
    <w:rsid w:val="00B760E8"/>
    <w:rsid w:val="00B76429"/>
    <w:rsid w:val="00B864E6"/>
    <w:rsid w:val="00B86676"/>
    <w:rsid w:val="00B870CD"/>
    <w:rsid w:val="00B8766D"/>
    <w:rsid w:val="00B90D6D"/>
    <w:rsid w:val="00B91D3E"/>
    <w:rsid w:val="00B92145"/>
    <w:rsid w:val="00B92AE2"/>
    <w:rsid w:val="00B956D4"/>
    <w:rsid w:val="00B9646B"/>
    <w:rsid w:val="00B97446"/>
    <w:rsid w:val="00BA2B8C"/>
    <w:rsid w:val="00BA4761"/>
    <w:rsid w:val="00BA7432"/>
    <w:rsid w:val="00BB016E"/>
    <w:rsid w:val="00BB1012"/>
    <w:rsid w:val="00BB7B4C"/>
    <w:rsid w:val="00BC1AA0"/>
    <w:rsid w:val="00BC2495"/>
    <w:rsid w:val="00BC3EF8"/>
    <w:rsid w:val="00BC4F5E"/>
    <w:rsid w:val="00BC683A"/>
    <w:rsid w:val="00BC68E0"/>
    <w:rsid w:val="00BC7EB9"/>
    <w:rsid w:val="00BD0959"/>
    <w:rsid w:val="00BD2643"/>
    <w:rsid w:val="00BD33BC"/>
    <w:rsid w:val="00BD3A5C"/>
    <w:rsid w:val="00BD4452"/>
    <w:rsid w:val="00BD56B1"/>
    <w:rsid w:val="00BD6558"/>
    <w:rsid w:val="00BD71B5"/>
    <w:rsid w:val="00BE3B7E"/>
    <w:rsid w:val="00BE5A40"/>
    <w:rsid w:val="00BE6EF5"/>
    <w:rsid w:val="00BE70B9"/>
    <w:rsid w:val="00BF1064"/>
    <w:rsid w:val="00BF2F76"/>
    <w:rsid w:val="00BF3022"/>
    <w:rsid w:val="00BF3214"/>
    <w:rsid w:val="00BF3CE2"/>
    <w:rsid w:val="00BF50B6"/>
    <w:rsid w:val="00BF5573"/>
    <w:rsid w:val="00BF7936"/>
    <w:rsid w:val="00C10950"/>
    <w:rsid w:val="00C1571E"/>
    <w:rsid w:val="00C15867"/>
    <w:rsid w:val="00C227D8"/>
    <w:rsid w:val="00C2296D"/>
    <w:rsid w:val="00C23155"/>
    <w:rsid w:val="00C2351F"/>
    <w:rsid w:val="00C23AC4"/>
    <w:rsid w:val="00C24837"/>
    <w:rsid w:val="00C24E0D"/>
    <w:rsid w:val="00C2562E"/>
    <w:rsid w:val="00C258BA"/>
    <w:rsid w:val="00C26C23"/>
    <w:rsid w:val="00C30D4B"/>
    <w:rsid w:val="00C32E3C"/>
    <w:rsid w:val="00C40C41"/>
    <w:rsid w:val="00C45885"/>
    <w:rsid w:val="00C460AF"/>
    <w:rsid w:val="00C507A0"/>
    <w:rsid w:val="00C50F22"/>
    <w:rsid w:val="00C56018"/>
    <w:rsid w:val="00C56B26"/>
    <w:rsid w:val="00C57550"/>
    <w:rsid w:val="00C57971"/>
    <w:rsid w:val="00C64741"/>
    <w:rsid w:val="00C65BD7"/>
    <w:rsid w:val="00C70F89"/>
    <w:rsid w:val="00C76BA4"/>
    <w:rsid w:val="00C77242"/>
    <w:rsid w:val="00C77488"/>
    <w:rsid w:val="00C80932"/>
    <w:rsid w:val="00C83A48"/>
    <w:rsid w:val="00C8464C"/>
    <w:rsid w:val="00C85865"/>
    <w:rsid w:val="00C85E85"/>
    <w:rsid w:val="00C90884"/>
    <w:rsid w:val="00C9495E"/>
    <w:rsid w:val="00C94F39"/>
    <w:rsid w:val="00C95118"/>
    <w:rsid w:val="00C96F45"/>
    <w:rsid w:val="00C9752B"/>
    <w:rsid w:val="00CA0681"/>
    <w:rsid w:val="00CA1254"/>
    <w:rsid w:val="00CA2EAE"/>
    <w:rsid w:val="00CA4AC1"/>
    <w:rsid w:val="00CA51D1"/>
    <w:rsid w:val="00CA67D5"/>
    <w:rsid w:val="00CB0316"/>
    <w:rsid w:val="00CB0B11"/>
    <w:rsid w:val="00CB426A"/>
    <w:rsid w:val="00CB4B47"/>
    <w:rsid w:val="00CB5354"/>
    <w:rsid w:val="00CB5DB7"/>
    <w:rsid w:val="00CB7C91"/>
    <w:rsid w:val="00CC00CD"/>
    <w:rsid w:val="00CC345E"/>
    <w:rsid w:val="00CC3C9E"/>
    <w:rsid w:val="00CC532E"/>
    <w:rsid w:val="00CC582C"/>
    <w:rsid w:val="00CC6A14"/>
    <w:rsid w:val="00CC70A3"/>
    <w:rsid w:val="00CD00BA"/>
    <w:rsid w:val="00CD05D2"/>
    <w:rsid w:val="00CD096D"/>
    <w:rsid w:val="00CD0D45"/>
    <w:rsid w:val="00CD12B1"/>
    <w:rsid w:val="00CD4442"/>
    <w:rsid w:val="00CD53C3"/>
    <w:rsid w:val="00CD574E"/>
    <w:rsid w:val="00CD6F31"/>
    <w:rsid w:val="00CD78EE"/>
    <w:rsid w:val="00CD7A07"/>
    <w:rsid w:val="00CE3F8F"/>
    <w:rsid w:val="00CE4C22"/>
    <w:rsid w:val="00CF1839"/>
    <w:rsid w:val="00CF41EC"/>
    <w:rsid w:val="00CF5D04"/>
    <w:rsid w:val="00D03AAB"/>
    <w:rsid w:val="00D04DE4"/>
    <w:rsid w:val="00D063F1"/>
    <w:rsid w:val="00D11999"/>
    <w:rsid w:val="00D12C2D"/>
    <w:rsid w:val="00D14F22"/>
    <w:rsid w:val="00D15C08"/>
    <w:rsid w:val="00D2320C"/>
    <w:rsid w:val="00D25378"/>
    <w:rsid w:val="00D273CB"/>
    <w:rsid w:val="00D31F1E"/>
    <w:rsid w:val="00D334F3"/>
    <w:rsid w:val="00D370F8"/>
    <w:rsid w:val="00D402C1"/>
    <w:rsid w:val="00D43DDF"/>
    <w:rsid w:val="00D4741C"/>
    <w:rsid w:val="00D57918"/>
    <w:rsid w:val="00D601F9"/>
    <w:rsid w:val="00D639D8"/>
    <w:rsid w:val="00D65758"/>
    <w:rsid w:val="00D67105"/>
    <w:rsid w:val="00D73DC6"/>
    <w:rsid w:val="00D74C1A"/>
    <w:rsid w:val="00D7521B"/>
    <w:rsid w:val="00D754C1"/>
    <w:rsid w:val="00D761EB"/>
    <w:rsid w:val="00D769B6"/>
    <w:rsid w:val="00D77393"/>
    <w:rsid w:val="00D77A35"/>
    <w:rsid w:val="00D81B3E"/>
    <w:rsid w:val="00D8279D"/>
    <w:rsid w:val="00D846B1"/>
    <w:rsid w:val="00D90C70"/>
    <w:rsid w:val="00D90E49"/>
    <w:rsid w:val="00D96ADE"/>
    <w:rsid w:val="00D97BBA"/>
    <w:rsid w:val="00DA0CCE"/>
    <w:rsid w:val="00DA0CE2"/>
    <w:rsid w:val="00DA0F26"/>
    <w:rsid w:val="00DA48DD"/>
    <w:rsid w:val="00DB6029"/>
    <w:rsid w:val="00DC6A10"/>
    <w:rsid w:val="00DD34BE"/>
    <w:rsid w:val="00DD40AF"/>
    <w:rsid w:val="00DD577F"/>
    <w:rsid w:val="00DE2BA1"/>
    <w:rsid w:val="00DE3F0C"/>
    <w:rsid w:val="00DE657E"/>
    <w:rsid w:val="00DE7777"/>
    <w:rsid w:val="00DF4704"/>
    <w:rsid w:val="00DF51C3"/>
    <w:rsid w:val="00DF701F"/>
    <w:rsid w:val="00E024AA"/>
    <w:rsid w:val="00E070A0"/>
    <w:rsid w:val="00E1376B"/>
    <w:rsid w:val="00E13805"/>
    <w:rsid w:val="00E15EE8"/>
    <w:rsid w:val="00E16E69"/>
    <w:rsid w:val="00E21947"/>
    <w:rsid w:val="00E22655"/>
    <w:rsid w:val="00E23B04"/>
    <w:rsid w:val="00E250F1"/>
    <w:rsid w:val="00E2519B"/>
    <w:rsid w:val="00E2721D"/>
    <w:rsid w:val="00E3550D"/>
    <w:rsid w:val="00E37883"/>
    <w:rsid w:val="00E425D5"/>
    <w:rsid w:val="00E43BBB"/>
    <w:rsid w:val="00E43FA2"/>
    <w:rsid w:val="00E465AE"/>
    <w:rsid w:val="00E47297"/>
    <w:rsid w:val="00E527C5"/>
    <w:rsid w:val="00E52838"/>
    <w:rsid w:val="00E566E1"/>
    <w:rsid w:val="00E57E32"/>
    <w:rsid w:val="00E57EF4"/>
    <w:rsid w:val="00E600F5"/>
    <w:rsid w:val="00E60DBB"/>
    <w:rsid w:val="00E614E0"/>
    <w:rsid w:val="00E66B6F"/>
    <w:rsid w:val="00E73F7F"/>
    <w:rsid w:val="00E85409"/>
    <w:rsid w:val="00E905BF"/>
    <w:rsid w:val="00E95490"/>
    <w:rsid w:val="00EA1F9E"/>
    <w:rsid w:val="00EA375A"/>
    <w:rsid w:val="00EA429F"/>
    <w:rsid w:val="00EA49DE"/>
    <w:rsid w:val="00EA4F9E"/>
    <w:rsid w:val="00EA63CA"/>
    <w:rsid w:val="00EA65C2"/>
    <w:rsid w:val="00EA68A4"/>
    <w:rsid w:val="00EA6D3B"/>
    <w:rsid w:val="00EB00AD"/>
    <w:rsid w:val="00EB0712"/>
    <w:rsid w:val="00EB136C"/>
    <w:rsid w:val="00EB3077"/>
    <w:rsid w:val="00EB480E"/>
    <w:rsid w:val="00EB5EC6"/>
    <w:rsid w:val="00EB7FC9"/>
    <w:rsid w:val="00EC3D8B"/>
    <w:rsid w:val="00EC5BBC"/>
    <w:rsid w:val="00ED0A8F"/>
    <w:rsid w:val="00ED0FAA"/>
    <w:rsid w:val="00ED27E8"/>
    <w:rsid w:val="00ED3842"/>
    <w:rsid w:val="00ED43BA"/>
    <w:rsid w:val="00ED67F0"/>
    <w:rsid w:val="00ED7137"/>
    <w:rsid w:val="00ED75DF"/>
    <w:rsid w:val="00EF06EA"/>
    <w:rsid w:val="00EF098F"/>
    <w:rsid w:val="00EF0EF1"/>
    <w:rsid w:val="00EF4596"/>
    <w:rsid w:val="00EF7EF1"/>
    <w:rsid w:val="00F00725"/>
    <w:rsid w:val="00F04BBA"/>
    <w:rsid w:val="00F06876"/>
    <w:rsid w:val="00F11BFE"/>
    <w:rsid w:val="00F11E45"/>
    <w:rsid w:val="00F12103"/>
    <w:rsid w:val="00F13D30"/>
    <w:rsid w:val="00F15470"/>
    <w:rsid w:val="00F16A13"/>
    <w:rsid w:val="00F21088"/>
    <w:rsid w:val="00F25BD5"/>
    <w:rsid w:val="00F27542"/>
    <w:rsid w:val="00F30C89"/>
    <w:rsid w:val="00F327E7"/>
    <w:rsid w:val="00F32ED8"/>
    <w:rsid w:val="00F332D3"/>
    <w:rsid w:val="00F33600"/>
    <w:rsid w:val="00F34424"/>
    <w:rsid w:val="00F35140"/>
    <w:rsid w:val="00F35746"/>
    <w:rsid w:val="00F3797A"/>
    <w:rsid w:val="00F40B4D"/>
    <w:rsid w:val="00F447C7"/>
    <w:rsid w:val="00F459B4"/>
    <w:rsid w:val="00F467D9"/>
    <w:rsid w:val="00F50467"/>
    <w:rsid w:val="00F5211B"/>
    <w:rsid w:val="00F554A9"/>
    <w:rsid w:val="00F5606E"/>
    <w:rsid w:val="00F61864"/>
    <w:rsid w:val="00F703F6"/>
    <w:rsid w:val="00F716FD"/>
    <w:rsid w:val="00F80355"/>
    <w:rsid w:val="00F808BB"/>
    <w:rsid w:val="00F80D4D"/>
    <w:rsid w:val="00F82ED4"/>
    <w:rsid w:val="00F85BA1"/>
    <w:rsid w:val="00F87C43"/>
    <w:rsid w:val="00F92863"/>
    <w:rsid w:val="00F93D2F"/>
    <w:rsid w:val="00F963D2"/>
    <w:rsid w:val="00F96CDA"/>
    <w:rsid w:val="00F97C10"/>
    <w:rsid w:val="00FA2168"/>
    <w:rsid w:val="00FA37B8"/>
    <w:rsid w:val="00FA4003"/>
    <w:rsid w:val="00FA49A4"/>
    <w:rsid w:val="00FB0C81"/>
    <w:rsid w:val="00FC2200"/>
    <w:rsid w:val="00FC2540"/>
    <w:rsid w:val="00FC39F5"/>
    <w:rsid w:val="00FC47B5"/>
    <w:rsid w:val="00FC64CB"/>
    <w:rsid w:val="00FD25F4"/>
    <w:rsid w:val="00FD2D10"/>
    <w:rsid w:val="00FD37AE"/>
    <w:rsid w:val="00FD537D"/>
    <w:rsid w:val="00FD73C5"/>
    <w:rsid w:val="00FD78E8"/>
    <w:rsid w:val="00FE2B4E"/>
    <w:rsid w:val="00FE3F2F"/>
    <w:rsid w:val="00FE45B7"/>
    <w:rsid w:val="00FE526E"/>
    <w:rsid w:val="00FE5F30"/>
    <w:rsid w:val="00FE633E"/>
    <w:rsid w:val="00FF0204"/>
    <w:rsid w:val="00FF3AED"/>
    <w:rsid w:val="00FF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78E3"/>
  <w15:docId w15:val="{5FB93235-2397-4230-8AF4-9555A6EF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
    <w:qFormat/>
    <w:rsid w:val="0033525D"/>
    <w:pPr>
      <w:widowControl w:val="0"/>
      <w:numPr>
        <w:ilvl w:val="2"/>
        <w:numId w:val="2"/>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2"/>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2"/>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BF1064"/>
    <w:pPr>
      <w:ind w:left="720"/>
      <w:contextualSpacing/>
    </w:pPr>
  </w:style>
  <w:style w:type="paragraph" w:styleId="FootnoteText">
    <w:name w:val="footnote text"/>
    <w:aliases w:val=" Char1,Char1,Char1 Char Char, Char1 Char Char,Fußnotentextf,Geneva 9,Font: Geneva 9,Boston 10,f,-E Fußnotentext,Fußnotentext Ursprung,-E Fußnotentext1,-E Fußnotentext2,-E Fußnotentext3,Fußnotentext Char1,Fußnotentext Char Char,FOOTNOTES,fn"/>
    <w:basedOn w:val="Normal"/>
    <w:link w:val="FootnoteTextChar"/>
    <w:uiPriority w:val="99"/>
    <w:unhideWhenUsed/>
    <w:qFormat/>
    <w:rsid w:val="00BF1064"/>
    <w:rPr>
      <w:sz w:val="20"/>
      <w:szCs w:val="20"/>
    </w:rPr>
  </w:style>
  <w:style w:type="character" w:customStyle="1" w:styleId="FootnoteTextChar">
    <w:name w:val="Footnote Text Char"/>
    <w:aliases w:val=" Char1 Char,Char1 Char,Char1 Char Char Char, Char1 Char Char Char,Fußnotentextf Char,Geneva 9 Char,Font: Geneva 9 Char,Boston 10 Char,f Char,-E Fußnotentext Char,Fußnotentext Ursprung Char,-E Fußnotentext1 Char,-E Fußnotentext2 Char"/>
    <w:basedOn w:val="DefaultParagraphFont"/>
    <w:link w:val="FootnoteText"/>
    <w:uiPriority w:val="99"/>
    <w:rsid w:val="00BF1064"/>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basedOn w:val="DefaultParagraphFont"/>
    <w:link w:val="CharCharCharCharCarChar"/>
    <w:uiPriority w:val="99"/>
    <w:unhideWhenUsed/>
    <w:qFormat/>
    <w:rsid w:val="00BF106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BB016E"/>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B016E"/>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92627">
      <w:bodyDiv w:val="1"/>
      <w:marLeft w:val="0"/>
      <w:marRight w:val="0"/>
      <w:marTop w:val="0"/>
      <w:marBottom w:val="0"/>
      <w:divBdr>
        <w:top w:val="none" w:sz="0" w:space="0" w:color="auto"/>
        <w:left w:val="none" w:sz="0" w:space="0" w:color="auto"/>
        <w:bottom w:val="none" w:sz="0" w:space="0" w:color="auto"/>
        <w:right w:val="none" w:sz="0" w:space="0" w:color="auto"/>
      </w:divBdr>
    </w:div>
    <w:div w:id="875049819">
      <w:bodyDiv w:val="1"/>
      <w:marLeft w:val="0"/>
      <w:marRight w:val="0"/>
      <w:marTop w:val="0"/>
      <w:marBottom w:val="0"/>
      <w:divBdr>
        <w:top w:val="none" w:sz="0" w:space="0" w:color="auto"/>
        <w:left w:val="none" w:sz="0" w:space="0" w:color="auto"/>
        <w:bottom w:val="none" w:sz="0" w:space="0" w:color="auto"/>
        <w:right w:val="none" w:sz="0" w:space="0" w:color="auto"/>
      </w:divBdr>
    </w:div>
    <w:div w:id="1167332181">
      <w:bodyDiv w:val="1"/>
      <w:marLeft w:val="0"/>
      <w:marRight w:val="0"/>
      <w:marTop w:val="0"/>
      <w:marBottom w:val="0"/>
      <w:divBdr>
        <w:top w:val="none" w:sz="0" w:space="0" w:color="auto"/>
        <w:left w:val="none" w:sz="0" w:space="0" w:color="auto"/>
        <w:bottom w:val="none" w:sz="0" w:space="0" w:color="auto"/>
        <w:right w:val="none" w:sz="0" w:space="0" w:color="auto"/>
      </w:divBdr>
    </w:div>
    <w:div w:id="1213465234">
      <w:bodyDiv w:val="1"/>
      <w:marLeft w:val="0"/>
      <w:marRight w:val="0"/>
      <w:marTop w:val="0"/>
      <w:marBottom w:val="0"/>
      <w:divBdr>
        <w:top w:val="none" w:sz="0" w:space="0" w:color="auto"/>
        <w:left w:val="none" w:sz="0" w:space="0" w:color="auto"/>
        <w:bottom w:val="none" w:sz="0" w:space="0" w:color="auto"/>
        <w:right w:val="none" w:sz="0" w:space="0" w:color="auto"/>
      </w:divBdr>
    </w:div>
    <w:div w:id="159077277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UNEP/OzL.Pro/ExCom/87/47</Document_x0020_Number>
    <DocumentType xmlns="64e33b30-101d-41de-b951-961aab25ea29">Pre-session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8258D1-4634-4F70-AAED-85E3AC615832}"/>
</file>

<file path=customXml/itemProps2.xml><?xml version="1.0" encoding="utf-8"?>
<ds:datastoreItem xmlns:ds="http://schemas.openxmlformats.org/officeDocument/2006/customXml" ds:itemID="{67BCE3F0-A1AA-4D90-B0A3-678AABC58B51}"/>
</file>

<file path=customXml/itemProps3.xml><?xml version="1.0" encoding="utf-8"?>
<ds:datastoreItem xmlns:ds="http://schemas.openxmlformats.org/officeDocument/2006/customXml" ds:itemID="{CE469FBB-881D-4CAA-88D9-C68C4C5CCA99}"/>
</file>

<file path=customXml/itemProps4.xml><?xml version="1.0" encoding="utf-8"?>
<ds:datastoreItem xmlns:ds="http://schemas.openxmlformats.org/officeDocument/2006/customXml" ds:itemID="{FD995872-4AB7-4025-813D-692658FA6A39}"/>
</file>

<file path=docProps/app.xml><?xml version="1.0" encoding="utf-8"?>
<Properties xmlns="http://schemas.openxmlformats.org/officeDocument/2006/extended-properties" xmlns:vt="http://schemas.openxmlformats.org/officeDocument/2006/docPropsVTypes">
  <Template>Eec86G</Template>
  <TotalTime>5</TotalTime>
  <Pages>18</Pages>
  <Words>8592</Words>
  <Characters>49664</Characters>
  <Application>Microsoft Office Word</Application>
  <DocSecurity>0</DocSecurity>
  <Lines>1103</Lines>
  <Paragraphs>497</Paragraphs>
  <ScaleCrop>false</ScaleCrop>
  <HeadingPairs>
    <vt:vector size="2" baseType="variant">
      <vt:variant>
        <vt:lpstr>Title</vt:lpstr>
      </vt:variant>
      <vt:variant>
        <vt:i4>1</vt:i4>
      </vt:variant>
    </vt:vector>
  </HeadingPairs>
  <TitlesOfParts>
    <vt:vector size="1" baseType="lpstr">
      <vt:lpstr>Analysis of the level and modalities of funding for HFC phase-down in the refrigeration servicing sector (decisions 83/65(b) and 84/86(b)(ii))</vt:lpstr>
    </vt:vector>
  </TitlesOfParts>
  <Company>UNMFS</Company>
  <LinksUpToDate>false</LinksUpToDate>
  <CharactersWithSpaces>57759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level and modalities of funding for HFC phase-down in the refrigeration servicing sector (decisions 83/65(b) and 84/86(b)(ii))</dc:title>
  <dc:subject>86th</dc:subject>
  <dc:creator>Patricia Chau</dc:creator>
  <cp:keywords>86th</cp:keywords>
  <cp:lastModifiedBy>Dominika Anna Suwik</cp:lastModifiedBy>
  <cp:revision>4</cp:revision>
  <cp:lastPrinted>2021-03-22T21:19:00Z</cp:lastPrinted>
  <dcterms:created xsi:type="dcterms:W3CDTF">2021-06-11T20:32:00Z</dcterms:created>
  <dcterms:modified xsi:type="dcterms:W3CDTF">2021-06-11T20:42:00Z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UNEP/OzL.Pro/ExCom/87/47</vt:lpwstr>
  </property>
  <property fmtid="{D5CDD505-2E9C-101B-9397-08002B2CF9AE}" pid="3" name="Revision date">
    <vt:lpwstr>11/Jun/2021</vt:lpwstr>
  </property>
  <property fmtid="{D5CDD505-2E9C-101B-9397-08002B2CF9AE}" pid="4" name="ContentTypeId">
    <vt:lpwstr>0x010100656C6B23EE95AB4DB098A66C463B3437</vt:lpwstr>
  </property>
  <property fmtid="{D5CDD505-2E9C-101B-9397-08002B2CF9AE}" pid="5" name="Posted after IAP">
    <vt:lpwstr>true</vt:lpwstr>
  </property>
</Properties>
</file>