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669BD30D" w14:textId="77777777" w:rsidTr="00A61DB3">
        <w:trPr>
          <w:trHeight w:val="720"/>
        </w:trPr>
        <w:tc>
          <w:tcPr>
            <w:tcW w:w="5490" w:type="dxa"/>
            <w:gridSpan w:val="2"/>
            <w:tcBorders>
              <w:bottom w:val="single" w:sz="18" w:space="0" w:color="auto"/>
            </w:tcBorders>
          </w:tcPr>
          <w:p w14:paraId="280F5A33" w14:textId="77777777" w:rsidR="00C15867" w:rsidRPr="009B0D30" w:rsidRDefault="00C15867" w:rsidP="00A61D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70040E0C" w14:textId="77777777" w:rsidR="00C15867" w:rsidRPr="009B0D30" w:rsidRDefault="00C15867" w:rsidP="00A61DB3">
            <w:pPr>
              <w:jc w:val="right"/>
              <w:rPr>
                <w:sz w:val="52"/>
                <w:szCs w:val="52"/>
              </w:rPr>
            </w:pPr>
            <w:r w:rsidRPr="009B0D30">
              <w:rPr>
                <w:rFonts w:ascii="Univers Bold" w:hAnsi="Univers Bold"/>
                <w:b/>
                <w:sz w:val="72"/>
              </w:rPr>
              <w:t>EP</w:t>
            </w:r>
          </w:p>
        </w:tc>
      </w:tr>
      <w:tr w:rsidR="00C15867" w:rsidRPr="009B0D30" w14:paraId="69F59ECD" w14:textId="77777777" w:rsidTr="00A61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2FC7AC2" w14:textId="77777777" w:rsidR="00C15867" w:rsidRPr="009B0D30" w:rsidRDefault="00E52838" w:rsidP="00A61DB3">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791E2A4E" wp14:editId="1549EE58">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ABCA2D"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AFE2092" w14:textId="77777777" w:rsidR="00C15867" w:rsidRPr="009B0D30" w:rsidRDefault="00C15867" w:rsidP="00A61D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72344E71" w14:textId="77777777" w:rsidR="00C15867" w:rsidRPr="009B0D30" w:rsidRDefault="00C15867" w:rsidP="00A61D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5BB227E1" w14:textId="77777777" w:rsidR="00C15867" w:rsidRPr="009B0D30" w:rsidRDefault="00C15867" w:rsidP="00A61DB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5CB0D30E" w14:textId="77777777" w:rsidR="00C15867" w:rsidRPr="009B0D30" w:rsidRDefault="00C15867" w:rsidP="00A61DB3">
            <w:pPr>
              <w:spacing w:before="720"/>
              <w:ind w:left="158"/>
            </w:pPr>
          </w:p>
        </w:tc>
        <w:tc>
          <w:tcPr>
            <w:tcW w:w="4590" w:type="dxa"/>
            <w:tcBorders>
              <w:top w:val="nil"/>
              <w:left w:val="nil"/>
              <w:bottom w:val="single" w:sz="36" w:space="0" w:color="auto"/>
              <w:right w:val="nil"/>
            </w:tcBorders>
          </w:tcPr>
          <w:p w14:paraId="069DA4A5" w14:textId="77777777" w:rsidR="00C15867" w:rsidRPr="009B0D30" w:rsidRDefault="00C15867" w:rsidP="00A61DB3">
            <w:r w:rsidRPr="009B0D30">
              <w:t>Distr.</w:t>
            </w:r>
          </w:p>
          <w:p w14:paraId="68C1F846" w14:textId="77777777" w:rsidR="00923540" w:rsidRPr="009B0D30" w:rsidRDefault="00923540" w:rsidP="00923540">
            <w:r w:rsidRPr="009B0D30">
              <w:t>GENERAL</w:t>
            </w:r>
          </w:p>
          <w:p w14:paraId="745E8751" w14:textId="77777777" w:rsidR="00C15867" w:rsidRPr="009B0D30" w:rsidRDefault="00C15867" w:rsidP="00A61DB3"/>
          <w:p w14:paraId="697A3239" w14:textId="77777777" w:rsidR="00C15867" w:rsidRPr="009B0D30" w:rsidRDefault="00C15867" w:rsidP="00A61DB3"/>
          <w:p w14:paraId="0FE5A208" w14:textId="5F3018AD" w:rsidR="00C15867" w:rsidRPr="009B0D30" w:rsidRDefault="009217FE" w:rsidP="00A61DB3">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7785C0E7" w14:textId="1BEE7DDE" w:rsidR="00C15867" w:rsidRPr="009B0D30" w:rsidRDefault="00BC2495" w:rsidP="00A61DB3">
            <w:r w:rsidRPr="009B0D30">
              <w:fldChar w:fldCharType="begin"/>
            </w:r>
            <w:r w:rsidR="00851352" w:rsidRPr="009B0D30">
              <w:instrText xml:space="preserve"> DOCPROPERTY "Revision date" \@ "d MMMM YYYY"  \* MERGEFORMAT </w:instrText>
            </w:r>
            <w:r w:rsidRPr="009B0D30">
              <w:fldChar w:fldCharType="separate"/>
            </w:r>
            <w:r w:rsidR="009217FE">
              <w:t>7 July 2021</w:t>
            </w:r>
            <w:r w:rsidRPr="009B0D30">
              <w:fldChar w:fldCharType="end"/>
            </w:r>
          </w:p>
          <w:p w14:paraId="6146605E" w14:textId="77777777" w:rsidR="00C15867" w:rsidRPr="009B0D30" w:rsidRDefault="00C15867" w:rsidP="00A61DB3">
            <w:pPr>
              <w:rPr>
                <w:caps/>
              </w:rPr>
            </w:pPr>
          </w:p>
          <w:p w14:paraId="63EBD920" w14:textId="77777777" w:rsidR="00C15867" w:rsidRPr="009B0D30" w:rsidRDefault="00C15867" w:rsidP="00A61DB3">
            <w:r w:rsidRPr="009B0D30">
              <w:t>ORIGINAL: ENGLISH</w:t>
            </w:r>
          </w:p>
        </w:tc>
      </w:tr>
    </w:tbl>
    <w:p w14:paraId="0EDA1A2F"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602B2C47" w14:textId="77777777"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A61DB3">
        <w:rPr>
          <w:rStyle w:val="FootnoteReference"/>
        </w:rPr>
        <w:footnoteReference w:id="1"/>
      </w:r>
    </w:p>
    <w:p w14:paraId="734E8A43" w14:textId="77777777" w:rsidR="00C15867" w:rsidRPr="00A61DB3" w:rsidRDefault="00C15867" w:rsidP="00A61DB3">
      <w:pPr>
        <w:jc w:val="center"/>
      </w:pPr>
    </w:p>
    <w:p w14:paraId="271B30D1" w14:textId="77777777" w:rsidR="00066CE8" w:rsidRPr="00A61DB3" w:rsidRDefault="00066CE8" w:rsidP="00A61DB3">
      <w:pPr>
        <w:jc w:val="center"/>
      </w:pPr>
    </w:p>
    <w:p w14:paraId="592C7ACC" w14:textId="77777777" w:rsidR="004E7F9C" w:rsidRDefault="004E7F9C" w:rsidP="00A61DB3">
      <w:pPr>
        <w:pStyle w:val="Title1"/>
        <w:rPr>
          <w:b w:val="0"/>
          <w:lang w:val="en-CA"/>
        </w:rPr>
      </w:pPr>
    </w:p>
    <w:p w14:paraId="1A6FB8C8" w14:textId="77777777" w:rsidR="00A61DB3" w:rsidRPr="00AC72D7" w:rsidRDefault="00A61DB3" w:rsidP="00A61DB3">
      <w:pPr>
        <w:widowControl w:val="0"/>
        <w:jc w:val="center"/>
        <w:rPr>
          <w:b/>
        </w:rPr>
      </w:pPr>
      <w:r w:rsidRPr="00AC72D7">
        <w:rPr>
          <w:b/>
        </w:rPr>
        <w:t>DEVELOPMENT OF THE COST GUIDELINES FOR THE PHASE-DOWN OF HFCs IN ARTICLE 5 COUNTRIES: DRAFT CRITERIA FOR FUNDING (DECISION 84/87)</w:t>
      </w:r>
    </w:p>
    <w:p w14:paraId="4B108DDF" w14:textId="77777777" w:rsidR="00A61DB3" w:rsidRPr="00AC72D7" w:rsidRDefault="00A61DB3" w:rsidP="00A61DB3">
      <w:pPr>
        <w:widowControl w:val="0"/>
      </w:pPr>
    </w:p>
    <w:p w14:paraId="551F8D36" w14:textId="77777777" w:rsidR="00A61DB3" w:rsidRPr="00AC72D7" w:rsidRDefault="00A61DB3" w:rsidP="00A61DB3">
      <w:pPr>
        <w:widowControl w:val="0"/>
        <w:rPr>
          <w:b/>
        </w:rPr>
      </w:pPr>
      <w:r w:rsidRPr="00AC72D7">
        <w:rPr>
          <w:b/>
        </w:rPr>
        <w:t>Background</w:t>
      </w:r>
    </w:p>
    <w:p w14:paraId="36792B5B" w14:textId="77777777" w:rsidR="00A61DB3" w:rsidRPr="00AC72D7" w:rsidRDefault="00A61DB3" w:rsidP="00A61DB3">
      <w:pPr>
        <w:widowControl w:val="0"/>
      </w:pPr>
    </w:p>
    <w:p w14:paraId="61811A9F" w14:textId="77777777" w:rsidR="00A61DB3" w:rsidRDefault="00A61DB3" w:rsidP="00A61DB3">
      <w:pPr>
        <w:pStyle w:val="Heading1"/>
        <w:rPr>
          <w:i/>
        </w:rPr>
      </w:pPr>
      <w:r w:rsidRPr="00AC72D7">
        <w:t xml:space="preserve">Since their Twenty-eighth Meeting, the Parties to the Montreal Protocol have requested the Executive Committee </w:t>
      </w:r>
      <w:r w:rsidRPr="00AC72D7">
        <w:rPr>
          <w:i/>
        </w:rPr>
        <w:t>inter alia:</w:t>
      </w:r>
    </w:p>
    <w:p w14:paraId="30E73A6D" w14:textId="77777777" w:rsidR="00A61DB3" w:rsidRPr="00AC72D7" w:rsidRDefault="00A61DB3" w:rsidP="00A61DB3">
      <w:pPr>
        <w:widowControl w:val="0"/>
        <w:numPr>
          <w:ilvl w:val="1"/>
          <w:numId w:val="1"/>
        </w:numPr>
        <w:tabs>
          <w:tab w:val="clear" w:pos="0"/>
        </w:tabs>
        <w:spacing w:after="240"/>
        <w:outlineLvl w:val="1"/>
      </w:pPr>
      <w:r w:rsidRPr="00AC72D7">
        <w:t>To develop within two years guidelines for financing the phase-down of hydrofluorocarbon (HFC) consumption and production, including cost-effectiveness thresholds, and to present those guidelines to the Meeting of the Parties for the parties’ views and input before their finalization (decision XXVIII/2);</w:t>
      </w:r>
      <w:r w:rsidRPr="00AC72D7">
        <w:rPr>
          <w:vertAlign w:val="superscript"/>
        </w:rPr>
        <w:footnoteReference w:id="2"/>
      </w:r>
      <w:r w:rsidRPr="00AC72D7">
        <w:t xml:space="preserve"> and </w:t>
      </w:r>
    </w:p>
    <w:p w14:paraId="31B93A52" w14:textId="77777777" w:rsidR="00A61DB3" w:rsidRPr="00AC72D7" w:rsidRDefault="00A61DB3" w:rsidP="00A61DB3">
      <w:pPr>
        <w:widowControl w:val="0"/>
        <w:numPr>
          <w:ilvl w:val="1"/>
          <w:numId w:val="1"/>
        </w:numPr>
        <w:tabs>
          <w:tab w:val="clear" w:pos="0"/>
        </w:tabs>
        <w:spacing w:after="240"/>
        <w:outlineLvl w:val="1"/>
      </w:pPr>
      <w:r w:rsidRPr="00AC72D7">
        <w:t>To continue its work on developing guidelines for financing the phase-down of HFC consumption and production; to provide an update on progress on the elements as part</w:t>
      </w:r>
      <w:bookmarkStart w:id="0" w:name="_GoBack"/>
      <w:bookmarkEnd w:id="0"/>
      <w:r w:rsidRPr="00AC72D7">
        <w:t xml:space="preserve"> of the annual report of the Executive Committee to the Meeting of the Parties; and to present the draft guidelines developed to the Meeting of the Parties for the parties’ views and input before their finalization (decision XXX/4).</w:t>
      </w:r>
      <w:r w:rsidRPr="00AC72D7">
        <w:rPr>
          <w:vertAlign w:val="superscript"/>
        </w:rPr>
        <w:footnoteReference w:id="3"/>
      </w:r>
    </w:p>
    <w:p w14:paraId="29FF23A6" w14:textId="77777777" w:rsidR="00A61DB3" w:rsidRPr="00AC72D7" w:rsidRDefault="00A61DB3" w:rsidP="00A61DB3">
      <w:pPr>
        <w:pStyle w:val="Heading1"/>
      </w:pPr>
      <w:r w:rsidRPr="00AC72D7">
        <w:t>Immediately after the adoption of the Kigali Amendment, the Executive Committee:</w:t>
      </w:r>
    </w:p>
    <w:p w14:paraId="3C075233" w14:textId="77777777" w:rsidR="00A61DB3" w:rsidRPr="00AC72D7" w:rsidRDefault="00A61DB3" w:rsidP="009217FE">
      <w:pPr>
        <w:widowControl w:val="0"/>
        <w:numPr>
          <w:ilvl w:val="1"/>
          <w:numId w:val="1"/>
        </w:numPr>
        <w:tabs>
          <w:tab w:val="clear" w:pos="0"/>
        </w:tabs>
        <w:spacing w:after="240"/>
        <w:outlineLvl w:val="1"/>
      </w:pPr>
      <w:r w:rsidRPr="00AC72D7">
        <w:t>At its 77</w:t>
      </w:r>
      <w:r w:rsidRPr="00AC72D7">
        <w:rPr>
          <w:vertAlign w:val="superscript"/>
        </w:rPr>
        <w:t>th</w:t>
      </w:r>
      <w:r w:rsidRPr="00AC72D7">
        <w:t xml:space="preserve"> meeting, started discussing matters related to the phase</w:t>
      </w:r>
      <w:r w:rsidRPr="00AC72D7">
        <w:noBreakHyphen/>
        <w:t>down of HFCs in Article 5 countries;</w:t>
      </w:r>
      <w:r w:rsidRPr="00AC72D7">
        <w:rPr>
          <w:vertAlign w:val="superscript"/>
        </w:rPr>
        <w:footnoteReference w:id="4"/>
      </w:r>
    </w:p>
    <w:p w14:paraId="7FE93F85" w14:textId="03EAB5EA" w:rsidR="00A61DB3" w:rsidRPr="00AC72D7" w:rsidRDefault="00A61DB3" w:rsidP="002557DF">
      <w:pPr>
        <w:pStyle w:val="Heading2"/>
        <w:keepNext/>
        <w:keepLines/>
        <w:widowControl/>
        <w:numPr>
          <w:ilvl w:val="1"/>
          <w:numId w:val="1"/>
        </w:numPr>
      </w:pPr>
      <w:r w:rsidRPr="00AC72D7">
        <w:t>At its 78</w:t>
      </w:r>
      <w:r w:rsidRPr="00AC72D7">
        <w:rPr>
          <w:vertAlign w:val="superscript"/>
        </w:rPr>
        <w:t>th</w:t>
      </w:r>
      <w:r w:rsidRPr="00AC72D7">
        <w:t> meeting, adopted a draft template of the cost guidelines for the phase</w:t>
      </w:r>
      <w:r w:rsidR="009217FE">
        <w:noBreakHyphen/>
      </w:r>
      <w:r w:rsidRPr="00AC72D7">
        <w:t>down of HFCs (draft template);</w:t>
      </w:r>
    </w:p>
    <w:p w14:paraId="3236DF15" w14:textId="77777777" w:rsidR="00A61DB3" w:rsidRPr="00AC72D7" w:rsidRDefault="00A61DB3" w:rsidP="00A61DB3">
      <w:pPr>
        <w:widowControl w:val="0"/>
        <w:numPr>
          <w:ilvl w:val="1"/>
          <w:numId w:val="1"/>
        </w:numPr>
        <w:spacing w:after="240"/>
        <w:outlineLvl w:val="1"/>
      </w:pPr>
      <w:r w:rsidRPr="00AC72D7">
        <w:t>At its 80</w:t>
      </w:r>
      <w:r w:rsidRPr="00AC72D7">
        <w:rPr>
          <w:vertAlign w:val="superscript"/>
        </w:rPr>
        <w:t xml:space="preserve">th </w:t>
      </w:r>
      <w:r w:rsidRPr="00AC72D7">
        <w:t xml:space="preserve">meeting, decided </w:t>
      </w:r>
      <w:r w:rsidRPr="00AC72D7">
        <w:rPr>
          <w:i/>
        </w:rPr>
        <w:t xml:space="preserve">inter alia </w:t>
      </w:r>
      <w:r w:rsidRPr="00AC72D7">
        <w:t>to continue to use the draft template, and the list of outstanding elements for further discussion, as the working documents for discussions at the 81</w:t>
      </w:r>
      <w:r w:rsidRPr="00AC72D7">
        <w:rPr>
          <w:vertAlign w:val="superscript"/>
        </w:rPr>
        <w:t>st</w:t>
      </w:r>
      <w:r w:rsidRPr="00AC72D7">
        <w:t> meeting and future meetings on the development of the cost guidelines, and agreed that additional elements could be added to the draft template. The draft template of the cost guidelines for the phase-down of HFCs, as of the 84</w:t>
      </w:r>
      <w:r w:rsidRPr="00AC72D7">
        <w:rPr>
          <w:vertAlign w:val="superscript"/>
        </w:rPr>
        <w:t>th</w:t>
      </w:r>
      <w:r w:rsidRPr="00AC72D7">
        <w:t xml:space="preserve"> meeting, is contained in Annex I to the present </w:t>
      </w:r>
      <w:r>
        <w:t>document</w:t>
      </w:r>
      <w:r w:rsidRPr="00AC72D7">
        <w:t>; and</w:t>
      </w:r>
    </w:p>
    <w:p w14:paraId="7E18F594" w14:textId="09DA1347" w:rsidR="00A61DB3" w:rsidRPr="00AC72D7" w:rsidRDefault="00A61DB3" w:rsidP="00A61DB3">
      <w:pPr>
        <w:widowControl w:val="0"/>
        <w:numPr>
          <w:ilvl w:val="1"/>
          <w:numId w:val="1"/>
        </w:numPr>
        <w:tabs>
          <w:tab w:val="clear" w:pos="0"/>
        </w:tabs>
        <w:spacing w:after="240"/>
        <w:outlineLvl w:val="1"/>
      </w:pPr>
      <w:r w:rsidRPr="00AC72D7">
        <w:t>Continued discussions on matters related to the phase-down of HFCs at each subsequent meeting.</w:t>
      </w:r>
      <w:r w:rsidRPr="00AC72D7">
        <w:rPr>
          <w:vertAlign w:val="superscript"/>
        </w:rPr>
        <w:footnoteReference w:id="5"/>
      </w:r>
      <w:r w:rsidRPr="00AC72D7">
        <w:t xml:space="preserve"> The outstanding issues on the cost guidelines for the phase-down of HFCs as of the 84</w:t>
      </w:r>
      <w:r w:rsidRPr="00AC72D7">
        <w:rPr>
          <w:vertAlign w:val="superscript"/>
        </w:rPr>
        <w:t>th</w:t>
      </w:r>
      <w:r w:rsidR="009217FE">
        <w:t> </w:t>
      </w:r>
      <w:r w:rsidRPr="00AC72D7">
        <w:t>meeting are presented in Annex II to the present document.</w:t>
      </w:r>
      <w:r>
        <w:t xml:space="preserve"> </w:t>
      </w:r>
    </w:p>
    <w:p w14:paraId="1E921D83" w14:textId="17ACD07B" w:rsidR="00A61DB3" w:rsidRPr="0066354D" w:rsidRDefault="00A61DB3" w:rsidP="00382F58">
      <w:pPr>
        <w:pStyle w:val="Heading1"/>
      </w:pPr>
      <w:r w:rsidRPr="00AC72D7">
        <w:t xml:space="preserve">As </w:t>
      </w:r>
      <w:r w:rsidRPr="0066354D">
        <w:t>of the 84</w:t>
      </w:r>
      <w:r w:rsidRPr="0066354D">
        <w:rPr>
          <w:vertAlign w:val="superscript"/>
        </w:rPr>
        <w:t>th</w:t>
      </w:r>
      <w:r w:rsidRPr="0066354D">
        <w:t xml:space="preserve"> meeting, the Executive Committee’s extensive discussions on all matters related to the phase-down of HFCs in Article 5 countries, in particular on the cost guidelines, have been based on </w:t>
      </w:r>
      <w:r w:rsidR="009217FE" w:rsidRPr="0066354D">
        <w:t xml:space="preserve">the </w:t>
      </w:r>
      <w:r w:rsidRPr="0066354D">
        <w:t>42 documents</w:t>
      </w:r>
      <w:r w:rsidRPr="0066354D">
        <w:rPr>
          <w:vertAlign w:val="superscript"/>
        </w:rPr>
        <w:footnoteReference w:id="6"/>
      </w:r>
      <w:r w:rsidRPr="0066354D">
        <w:t xml:space="preserve"> that have been prepared since the adoption of the Kigali Amendment; 11</w:t>
      </w:r>
      <w:r w:rsidR="00EB6A2A" w:rsidRPr="0066354D">
        <w:t> </w:t>
      </w:r>
      <w:r w:rsidRPr="0066354D">
        <w:t xml:space="preserve">additional documents </w:t>
      </w:r>
      <w:r w:rsidR="006D4CA9" w:rsidRPr="0066354D">
        <w:t>were</w:t>
      </w:r>
      <w:r w:rsidRPr="0066354D">
        <w:t xml:space="preserve"> submitted to the 86</w:t>
      </w:r>
      <w:r w:rsidRPr="0066354D">
        <w:rPr>
          <w:vertAlign w:val="superscript"/>
        </w:rPr>
        <w:t>th</w:t>
      </w:r>
      <w:r w:rsidRPr="0066354D">
        <w:t xml:space="preserve"> meeting</w:t>
      </w:r>
      <w:r w:rsidR="009217FE" w:rsidRPr="0066354D">
        <w:t>,</w:t>
      </w:r>
      <w:r w:rsidR="006D4CA9" w:rsidRPr="0066354D">
        <w:t xml:space="preserve"> and </w:t>
      </w:r>
      <w:r w:rsidR="00535AAC" w:rsidRPr="0066354D">
        <w:t xml:space="preserve">12 documents </w:t>
      </w:r>
      <w:r w:rsidR="006D4CA9" w:rsidRPr="0066354D">
        <w:t xml:space="preserve">subsequently </w:t>
      </w:r>
      <w:r w:rsidR="00535AAC" w:rsidRPr="0066354D">
        <w:t>updated or reissued for</w:t>
      </w:r>
      <w:r w:rsidR="006D4CA9" w:rsidRPr="0066354D">
        <w:t xml:space="preserve"> the 87</w:t>
      </w:r>
      <w:r w:rsidR="006D4CA9" w:rsidRPr="0066354D">
        <w:rPr>
          <w:vertAlign w:val="superscript"/>
        </w:rPr>
        <w:t>th</w:t>
      </w:r>
      <w:r w:rsidR="009217FE" w:rsidRPr="0066354D">
        <w:t> </w:t>
      </w:r>
      <w:r w:rsidR="006D4CA9" w:rsidRPr="0066354D">
        <w:t>meeting</w:t>
      </w:r>
      <w:r w:rsidRPr="0066354D">
        <w:t xml:space="preserve">. The list of these documents is contained in Annex III to the present document. </w:t>
      </w:r>
    </w:p>
    <w:p w14:paraId="6682F00C" w14:textId="77777777" w:rsidR="00A61DB3" w:rsidRPr="003F45C5" w:rsidRDefault="00A61DB3" w:rsidP="00A61DB3">
      <w:pPr>
        <w:widowControl w:val="0"/>
        <w:rPr>
          <w:u w:val="single"/>
        </w:rPr>
      </w:pPr>
      <w:r w:rsidRPr="00AC72D7">
        <w:rPr>
          <w:u w:val="single"/>
        </w:rPr>
        <w:t xml:space="preserve">Impact of </w:t>
      </w:r>
      <w:r w:rsidRPr="003F45C5">
        <w:rPr>
          <w:u w:val="single"/>
        </w:rPr>
        <w:t>the COVID-19 pandemic on the development of the cost guidelines</w:t>
      </w:r>
    </w:p>
    <w:p w14:paraId="483FE4CF" w14:textId="77777777" w:rsidR="00A61DB3" w:rsidRPr="003F45C5" w:rsidRDefault="00A61DB3" w:rsidP="00A61DB3">
      <w:pPr>
        <w:widowControl w:val="0"/>
      </w:pPr>
    </w:p>
    <w:p w14:paraId="5639BAFB" w14:textId="77777777" w:rsidR="00A61DB3" w:rsidRPr="003F45C5" w:rsidRDefault="00A61DB3" w:rsidP="00B51512">
      <w:pPr>
        <w:pStyle w:val="Heading1"/>
      </w:pPr>
      <w:r w:rsidRPr="003F45C5">
        <w:t>The Executive Committee decided to continue discussions at its 85</w:t>
      </w:r>
      <w:r w:rsidRPr="003F45C5">
        <w:rPr>
          <w:vertAlign w:val="superscript"/>
        </w:rPr>
        <w:t>th</w:t>
      </w:r>
      <w:r w:rsidRPr="003F45C5">
        <w:t> meeting on the development of the cost guidelines for the phase-down of HFCs, based on documents that had already been submitted and on additional documents that it had requested the Secretariat to prepare. However, in light of the COVID</w:t>
      </w:r>
      <w:r w:rsidRPr="003F45C5">
        <w:noBreakHyphen/>
        <w:t>19 pandemic, the Executive Committee agreed to postpone its 85</w:t>
      </w:r>
      <w:r w:rsidRPr="003F45C5">
        <w:rPr>
          <w:vertAlign w:val="superscript"/>
        </w:rPr>
        <w:t>th</w:t>
      </w:r>
      <w:r w:rsidRPr="003F45C5">
        <w:t> meeting, originally scheduled from 25 to 29 May 2020, and to hold it back-to-back with the 86</w:t>
      </w:r>
      <w:r w:rsidRPr="003F45C5">
        <w:rPr>
          <w:vertAlign w:val="superscript"/>
        </w:rPr>
        <w:t>th</w:t>
      </w:r>
      <w:r w:rsidRPr="003F45C5">
        <w:t> meeting in November 2020. In order to ensure continuity of compliance-related activities in Article 5 countries, and to reduce its workload when convened, the Executive Committee decided to implement an intersessional approval process (IAP) for certain reports, projects and activities that were to be submitted to the 85</w:t>
      </w:r>
      <w:r w:rsidRPr="003F45C5">
        <w:rPr>
          <w:vertAlign w:val="superscript"/>
        </w:rPr>
        <w:t>th</w:t>
      </w:r>
      <w:r w:rsidRPr="003F45C5">
        <w:t xml:space="preserve"> meeting; agenda items that were not considered </w:t>
      </w:r>
      <w:proofErr w:type="spellStart"/>
      <w:r w:rsidRPr="003F45C5">
        <w:t>intersessionally</w:t>
      </w:r>
      <w:proofErr w:type="spellEnd"/>
      <w:r w:rsidRPr="003F45C5">
        <w:t xml:space="preserve"> would be included in the agenda of the 86</w:t>
      </w:r>
      <w:r w:rsidRPr="003F45C5">
        <w:rPr>
          <w:vertAlign w:val="superscript"/>
        </w:rPr>
        <w:t>th</w:t>
      </w:r>
      <w:r w:rsidRPr="003F45C5">
        <w:t> meeting. Given the evolution of the pandemic, the Executive Committee decided to establish an IAP addressing over 60</w:t>
      </w:r>
      <w:r w:rsidR="00EB6A2A" w:rsidRPr="003F45C5">
        <w:t> </w:t>
      </w:r>
      <w:r w:rsidRPr="003F45C5">
        <w:t>documents submitted to the 86</w:t>
      </w:r>
      <w:r w:rsidRPr="003F45C5">
        <w:rPr>
          <w:vertAlign w:val="superscript"/>
        </w:rPr>
        <w:t>th</w:t>
      </w:r>
      <w:r w:rsidRPr="003F45C5">
        <w:t xml:space="preserve"> meeting, and further defer</w:t>
      </w:r>
      <w:r w:rsidR="00B51512" w:rsidRPr="003F45C5">
        <w:t>red both meetings to March 2021. Subsequently, the discussion of the cost guidelines</w:t>
      </w:r>
      <w:r w:rsidR="00724E4E" w:rsidRPr="003F45C5">
        <w:t xml:space="preserve"> was </w:t>
      </w:r>
      <w:proofErr w:type="spellStart"/>
      <w:r w:rsidR="00724E4E" w:rsidRPr="003F45C5">
        <w:t>futrther</w:t>
      </w:r>
      <w:proofErr w:type="spellEnd"/>
      <w:r w:rsidR="00B51512" w:rsidRPr="003F45C5">
        <w:t xml:space="preserve"> deferred to the 87</w:t>
      </w:r>
      <w:r w:rsidR="00B51512" w:rsidRPr="003F45C5">
        <w:rPr>
          <w:vertAlign w:val="superscript"/>
        </w:rPr>
        <w:t>th</w:t>
      </w:r>
      <w:r w:rsidR="00724E4E" w:rsidRPr="003F45C5">
        <w:t xml:space="preserve"> </w:t>
      </w:r>
      <w:r w:rsidR="00B51512" w:rsidRPr="003F45C5">
        <w:t>meeting</w:t>
      </w:r>
      <w:r w:rsidR="00382F58" w:rsidRPr="003F45C5">
        <w:t>,</w:t>
      </w:r>
      <w:r w:rsidR="00B51512" w:rsidRPr="003F45C5">
        <w:t xml:space="preserve"> in accordance with the agreed procedures for conducting the 86</w:t>
      </w:r>
      <w:r w:rsidR="00B51512" w:rsidRPr="003F45C5">
        <w:rPr>
          <w:vertAlign w:val="superscript"/>
        </w:rPr>
        <w:t>th</w:t>
      </w:r>
      <w:r w:rsidR="00B51512" w:rsidRPr="003F45C5">
        <w:t xml:space="preserve"> meeting in light of the COVID-19 pandemic. This led to an</w:t>
      </w:r>
      <w:r w:rsidR="00382F58" w:rsidRPr="003F45C5">
        <w:t xml:space="preserve"> </w:t>
      </w:r>
      <w:r w:rsidR="00B51512" w:rsidRPr="003F45C5">
        <w:t>18</w:t>
      </w:r>
      <w:r w:rsidRPr="003F45C5">
        <w:noBreakHyphen/>
        <w:t>month period between the 84</w:t>
      </w:r>
      <w:r w:rsidRPr="003F45C5">
        <w:rPr>
          <w:vertAlign w:val="superscript"/>
        </w:rPr>
        <w:t>th</w:t>
      </w:r>
      <w:r w:rsidR="00B51512" w:rsidRPr="003F45C5">
        <w:t xml:space="preserve"> and 87</w:t>
      </w:r>
      <w:r w:rsidRPr="003F45C5">
        <w:rPr>
          <w:vertAlign w:val="superscript"/>
        </w:rPr>
        <w:t>th</w:t>
      </w:r>
      <w:r w:rsidRPr="003F45C5">
        <w:t xml:space="preserve"> meetings.</w:t>
      </w:r>
    </w:p>
    <w:p w14:paraId="7FC70A98" w14:textId="73E12F04" w:rsidR="00A61DB3" w:rsidRPr="00175714" w:rsidRDefault="00A61DB3" w:rsidP="00A61DB3">
      <w:pPr>
        <w:pStyle w:val="Heading1"/>
      </w:pPr>
      <w:r w:rsidRPr="003F45C5">
        <w:t>The contact group established to discuss the cost guidelines for the phase</w:t>
      </w:r>
      <w:r w:rsidR="009217FE">
        <w:noBreakHyphen/>
      </w:r>
      <w:r w:rsidRPr="003F45C5">
        <w:t>down of HFCs in Article 5 countries has included in Annex II of the present document the outstanding issues under discussion. To facilitate the work of the contact group, at the 84</w:t>
      </w:r>
      <w:r w:rsidRPr="003F45C5">
        <w:rPr>
          <w:vertAlign w:val="superscript"/>
        </w:rPr>
        <w:t>th</w:t>
      </w:r>
      <w:r w:rsidRPr="003F45C5">
        <w:t xml:space="preserve"> meeting, the Secretariat suggested under Annex II actions to be taken</w:t>
      </w:r>
      <w:r w:rsidRPr="00175714">
        <w:t xml:space="preserve"> by members to conclude deliberations on the outstanding issues (for ease of reference, the text was presented in square brackets and highlighted). However, noting that such guidance became outdated, the Secretariat removed it from Annex II, updated it and included it in the following section of the present document.</w:t>
      </w:r>
    </w:p>
    <w:p w14:paraId="11EE5A24" w14:textId="77777777" w:rsidR="00A61DB3" w:rsidRPr="00AC72D7" w:rsidRDefault="00A61DB3" w:rsidP="009217FE">
      <w:pPr>
        <w:keepNext/>
        <w:keepLines/>
        <w:widowControl w:val="0"/>
        <w:rPr>
          <w:b/>
        </w:rPr>
      </w:pPr>
      <w:r w:rsidRPr="00AC72D7">
        <w:rPr>
          <w:b/>
        </w:rPr>
        <w:t xml:space="preserve">Outstanding issues in the cost guidelines for the phase-down of HFCs </w:t>
      </w:r>
    </w:p>
    <w:p w14:paraId="0004C05E" w14:textId="77777777" w:rsidR="00A61DB3" w:rsidRPr="00AC72D7" w:rsidRDefault="00A61DB3" w:rsidP="009217FE">
      <w:pPr>
        <w:keepNext/>
        <w:keepLines/>
        <w:widowControl w:val="0"/>
        <w:rPr>
          <w:highlight w:val="yellow"/>
        </w:rPr>
      </w:pPr>
    </w:p>
    <w:p w14:paraId="51548CD8" w14:textId="77777777" w:rsidR="00A61DB3" w:rsidRPr="00AC72D7" w:rsidRDefault="00A61DB3" w:rsidP="009217FE">
      <w:pPr>
        <w:pStyle w:val="Heading1"/>
        <w:keepNext/>
        <w:keepLines/>
        <w:widowControl w:val="0"/>
      </w:pPr>
      <w:r w:rsidRPr="00AC72D7">
        <w:t>Table 1 summariz</w:t>
      </w:r>
      <w:r>
        <w:t>es</w:t>
      </w:r>
      <w:r w:rsidRPr="00AC72D7">
        <w:t xml:space="preserve"> both the status of the discussions as at the 84</w:t>
      </w:r>
      <w:r w:rsidRPr="00AC72D7">
        <w:rPr>
          <w:vertAlign w:val="superscript"/>
        </w:rPr>
        <w:t>th</w:t>
      </w:r>
      <w:r w:rsidRPr="00AC72D7">
        <w:t xml:space="preserve"> meeting and the expected additional actions on outstanding issues by the Executive Committee</w:t>
      </w:r>
      <w:r>
        <w:t xml:space="preserve"> at the present meeting</w:t>
      </w:r>
      <w:r w:rsidRPr="00AC72D7">
        <w:t>.</w:t>
      </w:r>
    </w:p>
    <w:p w14:paraId="33AC2B3D" w14:textId="77777777" w:rsidR="00A61DB3" w:rsidRPr="00AC72D7" w:rsidRDefault="00A61DB3" w:rsidP="00A61DB3">
      <w:pPr>
        <w:keepNext/>
        <w:keepLines/>
        <w:widowControl w:val="0"/>
        <w:rPr>
          <w:b/>
          <w:sz w:val="21"/>
          <w:szCs w:val="21"/>
        </w:rPr>
      </w:pPr>
      <w:r w:rsidRPr="00AC72D7">
        <w:rPr>
          <w:b/>
          <w:sz w:val="21"/>
          <w:szCs w:val="21"/>
        </w:rPr>
        <w:t>Table 1. Status of the cost guidelines for the phase-down of HFCs in Article 5 parties as at the 84</w:t>
      </w:r>
      <w:r w:rsidRPr="00AC72D7">
        <w:rPr>
          <w:b/>
          <w:sz w:val="21"/>
          <w:szCs w:val="21"/>
          <w:vertAlign w:val="superscript"/>
        </w:rPr>
        <w:t>th</w:t>
      </w:r>
      <w:r w:rsidRPr="00AC72D7">
        <w:rPr>
          <w:b/>
          <w:sz w:val="21"/>
          <w:szCs w:val="21"/>
        </w:rPr>
        <w:t xml:space="preserve"> meeting</w:t>
      </w:r>
    </w:p>
    <w:tbl>
      <w:tblPr>
        <w:tblStyle w:val="TableGrid"/>
        <w:tblW w:w="5051" w:type="pct"/>
        <w:tblLayout w:type="fixed"/>
        <w:tblCellMar>
          <w:top w:w="29" w:type="dxa"/>
          <w:left w:w="58" w:type="dxa"/>
          <w:right w:w="58" w:type="dxa"/>
        </w:tblCellMar>
        <w:tblLook w:val="04A0" w:firstRow="1" w:lastRow="0" w:firstColumn="1" w:lastColumn="0" w:noHBand="0" w:noVBand="1"/>
      </w:tblPr>
      <w:tblGrid>
        <w:gridCol w:w="2064"/>
        <w:gridCol w:w="990"/>
        <w:gridCol w:w="2881"/>
        <w:gridCol w:w="3510"/>
      </w:tblGrid>
      <w:tr w:rsidR="00A61DB3" w:rsidRPr="008E02B5" w14:paraId="43C142A6" w14:textId="77777777" w:rsidTr="00A61DB3">
        <w:trPr>
          <w:tblHeader/>
        </w:trPr>
        <w:tc>
          <w:tcPr>
            <w:tcW w:w="1093" w:type="pct"/>
            <w:tcMar>
              <w:left w:w="0" w:type="dxa"/>
              <w:right w:w="0" w:type="dxa"/>
            </w:tcMar>
          </w:tcPr>
          <w:p w14:paraId="6F0392A8" w14:textId="77777777" w:rsidR="00A61DB3" w:rsidRPr="008E02B5" w:rsidRDefault="00A61DB3" w:rsidP="00EB6A2A">
            <w:pPr>
              <w:widowControl w:val="0"/>
              <w:spacing w:after="40"/>
              <w:jc w:val="center"/>
              <w:outlineLvl w:val="0"/>
              <w:rPr>
                <w:b/>
                <w:sz w:val="20"/>
                <w:szCs w:val="20"/>
              </w:rPr>
            </w:pPr>
            <w:r w:rsidRPr="008E02B5">
              <w:rPr>
                <w:b/>
                <w:sz w:val="20"/>
                <w:szCs w:val="20"/>
              </w:rPr>
              <w:t>Element of decision XXVIII/2</w:t>
            </w:r>
          </w:p>
        </w:tc>
        <w:tc>
          <w:tcPr>
            <w:tcW w:w="524" w:type="pct"/>
            <w:tcMar>
              <w:left w:w="0" w:type="dxa"/>
              <w:right w:w="0" w:type="dxa"/>
            </w:tcMar>
            <w:vAlign w:val="center"/>
          </w:tcPr>
          <w:p w14:paraId="771E2C84" w14:textId="77777777" w:rsidR="00A61DB3" w:rsidRPr="008E02B5" w:rsidRDefault="00A61DB3" w:rsidP="00EB6A2A">
            <w:pPr>
              <w:widowControl w:val="0"/>
              <w:spacing w:after="40"/>
              <w:jc w:val="center"/>
              <w:outlineLvl w:val="0"/>
              <w:rPr>
                <w:b/>
                <w:sz w:val="20"/>
                <w:szCs w:val="20"/>
              </w:rPr>
            </w:pPr>
            <w:r w:rsidRPr="008E02B5">
              <w:rPr>
                <w:b/>
                <w:sz w:val="20"/>
                <w:szCs w:val="20"/>
              </w:rPr>
              <w:t>Paragraph</w:t>
            </w:r>
          </w:p>
        </w:tc>
        <w:tc>
          <w:tcPr>
            <w:tcW w:w="1525" w:type="pct"/>
            <w:tcMar>
              <w:left w:w="0" w:type="dxa"/>
              <w:right w:w="0" w:type="dxa"/>
            </w:tcMar>
            <w:vAlign w:val="center"/>
          </w:tcPr>
          <w:p w14:paraId="5B9EBCF6" w14:textId="77777777" w:rsidR="00A61DB3" w:rsidRPr="008E02B5" w:rsidRDefault="00A61DB3" w:rsidP="00EB6A2A">
            <w:pPr>
              <w:widowControl w:val="0"/>
              <w:spacing w:after="40"/>
              <w:jc w:val="center"/>
              <w:outlineLvl w:val="0"/>
              <w:rPr>
                <w:b/>
                <w:sz w:val="20"/>
                <w:szCs w:val="20"/>
              </w:rPr>
            </w:pPr>
            <w:r w:rsidRPr="008E02B5">
              <w:rPr>
                <w:b/>
                <w:sz w:val="20"/>
                <w:szCs w:val="20"/>
              </w:rPr>
              <w:t>Status</w:t>
            </w:r>
          </w:p>
        </w:tc>
        <w:tc>
          <w:tcPr>
            <w:tcW w:w="1858" w:type="pct"/>
            <w:tcMar>
              <w:left w:w="0" w:type="dxa"/>
              <w:right w:w="0" w:type="dxa"/>
            </w:tcMar>
            <w:vAlign w:val="center"/>
          </w:tcPr>
          <w:p w14:paraId="73C410B1" w14:textId="77777777" w:rsidR="00A61DB3" w:rsidRPr="008E02B5" w:rsidRDefault="00A61DB3" w:rsidP="00EB6A2A">
            <w:pPr>
              <w:widowControl w:val="0"/>
              <w:spacing w:after="40"/>
              <w:jc w:val="center"/>
              <w:outlineLvl w:val="0"/>
              <w:rPr>
                <w:b/>
                <w:sz w:val="20"/>
                <w:szCs w:val="20"/>
              </w:rPr>
            </w:pPr>
            <w:r w:rsidRPr="008E02B5">
              <w:rPr>
                <w:b/>
                <w:sz w:val="20"/>
                <w:szCs w:val="20"/>
              </w:rPr>
              <w:t>Expected additional action</w:t>
            </w:r>
          </w:p>
        </w:tc>
      </w:tr>
      <w:tr w:rsidR="00A61DB3" w:rsidRPr="008E02B5" w14:paraId="3AF432F6" w14:textId="77777777" w:rsidTr="00A61DB3">
        <w:tc>
          <w:tcPr>
            <w:tcW w:w="1093" w:type="pct"/>
            <w:tcMar>
              <w:left w:w="58" w:type="dxa"/>
              <w:right w:w="58" w:type="dxa"/>
            </w:tcMar>
          </w:tcPr>
          <w:p w14:paraId="6826A6F4" w14:textId="77777777" w:rsidR="00A61DB3" w:rsidRPr="008E02B5" w:rsidRDefault="00A61DB3" w:rsidP="00A61DB3">
            <w:pPr>
              <w:widowControl w:val="0"/>
              <w:spacing w:after="40"/>
              <w:jc w:val="left"/>
              <w:outlineLvl w:val="0"/>
              <w:rPr>
                <w:b/>
                <w:i/>
                <w:sz w:val="20"/>
                <w:szCs w:val="20"/>
              </w:rPr>
            </w:pPr>
            <w:r w:rsidRPr="008E02B5">
              <w:rPr>
                <w:b/>
                <w:i/>
                <w:sz w:val="20"/>
                <w:szCs w:val="20"/>
              </w:rPr>
              <w:t>Discussed</w:t>
            </w:r>
          </w:p>
        </w:tc>
        <w:tc>
          <w:tcPr>
            <w:tcW w:w="524" w:type="pct"/>
            <w:tcMar>
              <w:left w:w="58" w:type="dxa"/>
              <w:right w:w="58" w:type="dxa"/>
            </w:tcMar>
          </w:tcPr>
          <w:p w14:paraId="2DDFD7E0" w14:textId="77777777" w:rsidR="00A61DB3" w:rsidRPr="008E02B5" w:rsidRDefault="00A61DB3" w:rsidP="00A61DB3">
            <w:pPr>
              <w:widowControl w:val="0"/>
              <w:spacing w:after="40"/>
              <w:jc w:val="left"/>
              <w:outlineLvl w:val="0"/>
              <w:rPr>
                <w:b/>
                <w:i/>
                <w:sz w:val="20"/>
                <w:szCs w:val="20"/>
              </w:rPr>
            </w:pPr>
          </w:p>
        </w:tc>
        <w:tc>
          <w:tcPr>
            <w:tcW w:w="1525" w:type="pct"/>
            <w:tcMar>
              <w:left w:w="58" w:type="dxa"/>
              <w:right w:w="58" w:type="dxa"/>
            </w:tcMar>
          </w:tcPr>
          <w:p w14:paraId="7F69822A" w14:textId="77777777" w:rsidR="00A61DB3" w:rsidRPr="008E02B5" w:rsidRDefault="00A61DB3" w:rsidP="00A61DB3">
            <w:pPr>
              <w:widowControl w:val="0"/>
              <w:spacing w:after="40"/>
              <w:jc w:val="left"/>
              <w:outlineLvl w:val="0"/>
              <w:rPr>
                <w:b/>
                <w:i/>
                <w:sz w:val="20"/>
                <w:szCs w:val="20"/>
              </w:rPr>
            </w:pPr>
          </w:p>
        </w:tc>
        <w:tc>
          <w:tcPr>
            <w:tcW w:w="1858" w:type="pct"/>
            <w:tcMar>
              <w:left w:w="58" w:type="dxa"/>
              <w:right w:w="58" w:type="dxa"/>
            </w:tcMar>
          </w:tcPr>
          <w:p w14:paraId="0DB384A4" w14:textId="77777777" w:rsidR="00A61DB3" w:rsidRPr="008E02B5" w:rsidRDefault="00A61DB3" w:rsidP="00A61DB3">
            <w:pPr>
              <w:widowControl w:val="0"/>
              <w:spacing w:after="40"/>
              <w:jc w:val="left"/>
              <w:outlineLvl w:val="0"/>
              <w:rPr>
                <w:b/>
                <w:i/>
                <w:sz w:val="20"/>
                <w:szCs w:val="20"/>
              </w:rPr>
            </w:pPr>
          </w:p>
        </w:tc>
      </w:tr>
      <w:tr w:rsidR="00A61DB3" w:rsidRPr="008E02B5" w14:paraId="7334AF11" w14:textId="77777777" w:rsidTr="00A61DB3">
        <w:tc>
          <w:tcPr>
            <w:tcW w:w="1093" w:type="pct"/>
            <w:tcMar>
              <w:left w:w="58" w:type="dxa"/>
              <w:right w:w="58" w:type="dxa"/>
            </w:tcMar>
          </w:tcPr>
          <w:p w14:paraId="4553E7BA" w14:textId="77777777" w:rsidR="00A61DB3" w:rsidRPr="008E02B5" w:rsidRDefault="00A61DB3" w:rsidP="00A61DB3">
            <w:pPr>
              <w:widowControl w:val="0"/>
              <w:spacing w:after="40"/>
              <w:jc w:val="left"/>
              <w:outlineLvl w:val="0"/>
              <w:rPr>
                <w:sz w:val="20"/>
                <w:szCs w:val="20"/>
              </w:rPr>
            </w:pPr>
            <w:r w:rsidRPr="008E02B5">
              <w:rPr>
                <w:sz w:val="20"/>
                <w:szCs w:val="20"/>
              </w:rPr>
              <w:t>Flexibility in implementation that enabled parties to select their own strategies and priorities in sectors and technologies</w:t>
            </w:r>
          </w:p>
        </w:tc>
        <w:tc>
          <w:tcPr>
            <w:tcW w:w="524" w:type="pct"/>
            <w:tcMar>
              <w:left w:w="58" w:type="dxa"/>
              <w:right w:w="58" w:type="dxa"/>
            </w:tcMar>
          </w:tcPr>
          <w:p w14:paraId="3EED94AD" w14:textId="77777777" w:rsidR="00A61DB3" w:rsidRPr="008E02B5" w:rsidRDefault="00A61DB3" w:rsidP="00A61DB3">
            <w:pPr>
              <w:widowControl w:val="0"/>
              <w:spacing w:after="40"/>
              <w:jc w:val="left"/>
              <w:outlineLvl w:val="0"/>
              <w:rPr>
                <w:sz w:val="20"/>
                <w:szCs w:val="20"/>
              </w:rPr>
            </w:pPr>
            <w:r w:rsidRPr="008E02B5">
              <w:rPr>
                <w:sz w:val="20"/>
                <w:szCs w:val="20"/>
              </w:rPr>
              <w:t xml:space="preserve">13 </w:t>
            </w:r>
          </w:p>
        </w:tc>
        <w:tc>
          <w:tcPr>
            <w:tcW w:w="1525" w:type="pct"/>
            <w:tcMar>
              <w:left w:w="58" w:type="dxa"/>
              <w:right w:w="58" w:type="dxa"/>
            </w:tcMar>
          </w:tcPr>
          <w:p w14:paraId="3B6D7CFA" w14:textId="77777777" w:rsidR="00A61DB3" w:rsidRPr="008E02B5" w:rsidRDefault="00A61DB3" w:rsidP="00A61DB3">
            <w:pPr>
              <w:widowControl w:val="0"/>
              <w:spacing w:after="40"/>
              <w:jc w:val="left"/>
              <w:outlineLvl w:val="0"/>
              <w:rPr>
                <w:sz w:val="20"/>
                <w:szCs w:val="20"/>
              </w:rPr>
            </w:pPr>
            <w:r w:rsidRPr="008E02B5">
              <w:rPr>
                <w:sz w:val="20"/>
                <w:szCs w:val="20"/>
              </w:rPr>
              <w:t>Text included in the draft template</w:t>
            </w:r>
          </w:p>
        </w:tc>
        <w:tc>
          <w:tcPr>
            <w:tcW w:w="1858" w:type="pct"/>
            <w:tcMar>
              <w:left w:w="58" w:type="dxa"/>
              <w:right w:w="58" w:type="dxa"/>
            </w:tcMar>
          </w:tcPr>
          <w:p w14:paraId="72604B46" w14:textId="77777777" w:rsidR="00A61DB3" w:rsidRPr="008E02B5" w:rsidRDefault="00A61DB3" w:rsidP="00A61DB3">
            <w:pPr>
              <w:widowControl w:val="0"/>
              <w:spacing w:after="40"/>
              <w:jc w:val="left"/>
              <w:outlineLvl w:val="0"/>
              <w:rPr>
                <w:sz w:val="20"/>
                <w:szCs w:val="20"/>
              </w:rPr>
            </w:pPr>
            <w:r w:rsidRPr="008E02B5">
              <w:rPr>
                <w:sz w:val="20"/>
                <w:szCs w:val="20"/>
              </w:rPr>
              <w:t>None</w:t>
            </w:r>
          </w:p>
        </w:tc>
      </w:tr>
      <w:tr w:rsidR="00A61DB3" w:rsidRPr="008E02B5" w14:paraId="78123FDA" w14:textId="77777777" w:rsidTr="00A61DB3">
        <w:tc>
          <w:tcPr>
            <w:tcW w:w="1093" w:type="pct"/>
            <w:tcMar>
              <w:left w:w="58" w:type="dxa"/>
              <w:right w:w="58" w:type="dxa"/>
            </w:tcMar>
          </w:tcPr>
          <w:p w14:paraId="472D1C15" w14:textId="77777777" w:rsidR="00A61DB3" w:rsidRPr="008E02B5" w:rsidRDefault="00A61DB3" w:rsidP="00A61DB3">
            <w:pPr>
              <w:widowControl w:val="0"/>
              <w:spacing w:after="40"/>
              <w:jc w:val="left"/>
              <w:outlineLvl w:val="0"/>
              <w:rPr>
                <w:sz w:val="20"/>
                <w:szCs w:val="20"/>
              </w:rPr>
            </w:pPr>
            <w:r w:rsidRPr="008E02B5">
              <w:rPr>
                <w:sz w:val="20"/>
                <w:szCs w:val="20"/>
              </w:rPr>
              <w:t>Cut-off dates for eligible capacity</w:t>
            </w:r>
          </w:p>
        </w:tc>
        <w:tc>
          <w:tcPr>
            <w:tcW w:w="524" w:type="pct"/>
            <w:tcMar>
              <w:left w:w="58" w:type="dxa"/>
              <w:right w:w="58" w:type="dxa"/>
            </w:tcMar>
          </w:tcPr>
          <w:p w14:paraId="289B23AD" w14:textId="77777777" w:rsidR="00A61DB3" w:rsidRPr="008E02B5" w:rsidRDefault="00A61DB3" w:rsidP="00A61DB3">
            <w:pPr>
              <w:widowControl w:val="0"/>
              <w:spacing w:after="40"/>
              <w:jc w:val="left"/>
              <w:outlineLvl w:val="0"/>
              <w:rPr>
                <w:sz w:val="20"/>
                <w:szCs w:val="20"/>
              </w:rPr>
            </w:pPr>
            <w:r w:rsidRPr="008E02B5">
              <w:rPr>
                <w:sz w:val="20"/>
                <w:szCs w:val="20"/>
              </w:rPr>
              <w:t>17</w:t>
            </w:r>
          </w:p>
        </w:tc>
        <w:tc>
          <w:tcPr>
            <w:tcW w:w="1525" w:type="pct"/>
            <w:tcMar>
              <w:left w:w="58" w:type="dxa"/>
              <w:right w:w="58" w:type="dxa"/>
            </w:tcMar>
          </w:tcPr>
          <w:p w14:paraId="62B479B7" w14:textId="77777777" w:rsidR="00A61DB3" w:rsidRPr="008E02B5" w:rsidRDefault="00A61DB3" w:rsidP="00A61DB3">
            <w:pPr>
              <w:widowControl w:val="0"/>
              <w:spacing w:after="40"/>
              <w:jc w:val="left"/>
              <w:outlineLvl w:val="0"/>
              <w:rPr>
                <w:sz w:val="20"/>
                <w:szCs w:val="20"/>
              </w:rPr>
            </w:pPr>
            <w:r w:rsidRPr="008E02B5">
              <w:rPr>
                <w:sz w:val="20"/>
                <w:szCs w:val="20"/>
              </w:rPr>
              <w:t>Text included in the draft template</w:t>
            </w:r>
          </w:p>
        </w:tc>
        <w:tc>
          <w:tcPr>
            <w:tcW w:w="1858" w:type="pct"/>
            <w:tcMar>
              <w:left w:w="58" w:type="dxa"/>
              <w:right w:w="58" w:type="dxa"/>
            </w:tcMar>
          </w:tcPr>
          <w:p w14:paraId="40AE4177" w14:textId="77777777" w:rsidR="00A61DB3" w:rsidRPr="008E02B5" w:rsidRDefault="00A61DB3" w:rsidP="00A61DB3">
            <w:pPr>
              <w:widowControl w:val="0"/>
              <w:spacing w:after="40"/>
              <w:jc w:val="left"/>
              <w:outlineLvl w:val="0"/>
              <w:rPr>
                <w:sz w:val="20"/>
                <w:szCs w:val="20"/>
              </w:rPr>
            </w:pPr>
            <w:r w:rsidRPr="008E02B5">
              <w:rPr>
                <w:sz w:val="20"/>
                <w:szCs w:val="20"/>
              </w:rPr>
              <w:t>None</w:t>
            </w:r>
          </w:p>
        </w:tc>
      </w:tr>
      <w:tr w:rsidR="00A61DB3" w:rsidRPr="008E02B5" w14:paraId="14DBD118" w14:textId="77777777" w:rsidTr="00A61DB3">
        <w:tc>
          <w:tcPr>
            <w:tcW w:w="1093" w:type="pct"/>
            <w:tcMar>
              <w:left w:w="58" w:type="dxa"/>
              <w:right w:w="58" w:type="dxa"/>
            </w:tcMar>
          </w:tcPr>
          <w:p w14:paraId="6F28954A" w14:textId="77777777" w:rsidR="00A61DB3" w:rsidRPr="008E02B5" w:rsidRDefault="00A61DB3" w:rsidP="00A61DB3">
            <w:pPr>
              <w:widowControl w:val="0"/>
              <w:spacing w:after="40"/>
              <w:jc w:val="left"/>
              <w:outlineLvl w:val="0"/>
              <w:rPr>
                <w:sz w:val="20"/>
                <w:szCs w:val="20"/>
              </w:rPr>
            </w:pPr>
            <w:r w:rsidRPr="008E02B5">
              <w:rPr>
                <w:sz w:val="20"/>
                <w:szCs w:val="20"/>
              </w:rPr>
              <w:t>Second and third conversions</w:t>
            </w:r>
          </w:p>
        </w:tc>
        <w:tc>
          <w:tcPr>
            <w:tcW w:w="524" w:type="pct"/>
            <w:tcMar>
              <w:left w:w="58" w:type="dxa"/>
              <w:right w:w="58" w:type="dxa"/>
            </w:tcMar>
          </w:tcPr>
          <w:p w14:paraId="02F424E8" w14:textId="77777777" w:rsidR="00A61DB3" w:rsidRPr="008E02B5" w:rsidRDefault="00A61DB3" w:rsidP="00A61DB3">
            <w:pPr>
              <w:widowControl w:val="0"/>
              <w:spacing w:after="40"/>
              <w:jc w:val="left"/>
              <w:outlineLvl w:val="0"/>
              <w:rPr>
                <w:sz w:val="20"/>
                <w:szCs w:val="20"/>
              </w:rPr>
            </w:pPr>
            <w:r w:rsidRPr="008E02B5">
              <w:rPr>
                <w:sz w:val="20"/>
                <w:szCs w:val="20"/>
              </w:rPr>
              <w:t>18</w:t>
            </w:r>
          </w:p>
        </w:tc>
        <w:tc>
          <w:tcPr>
            <w:tcW w:w="1525" w:type="pct"/>
            <w:tcMar>
              <w:left w:w="58" w:type="dxa"/>
              <w:right w:w="58" w:type="dxa"/>
            </w:tcMar>
          </w:tcPr>
          <w:p w14:paraId="6B3896D8" w14:textId="77777777" w:rsidR="00A61DB3" w:rsidRPr="008E02B5" w:rsidRDefault="00A61DB3" w:rsidP="00A61DB3">
            <w:pPr>
              <w:widowControl w:val="0"/>
              <w:spacing w:after="40"/>
              <w:jc w:val="left"/>
              <w:outlineLvl w:val="0"/>
              <w:rPr>
                <w:sz w:val="20"/>
                <w:szCs w:val="20"/>
              </w:rPr>
            </w:pPr>
            <w:r w:rsidRPr="008E02B5">
              <w:rPr>
                <w:sz w:val="20"/>
                <w:szCs w:val="20"/>
              </w:rPr>
              <w:t>Text included in the draft template</w:t>
            </w:r>
          </w:p>
        </w:tc>
        <w:tc>
          <w:tcPr>
            <w:tcW w:w="1858" w:type="pct"/>
            <w:tcMar>
              <w:left w:w="58" w:type="dxa"/>
              <w:right w:w="58" w:type="dxa"/>
            </w:tcMar>
          </w:tcPr>
          <w:p w14:paraId="74FFD002" w14:textId="77777777" w:rsidR="00A61DB3" w:rsidRPr="008E02B5" w:rsidRDefault="00A61DB3" w:rsidP="00A61DB3">
            <w:pPr>
              <w:widowControl w:val="0"/>
              <w:spacing w:after="40"/>
              <w:jc w:val="left"/>
              <w:outlineLvl w:val="0"/>
              <w:rPr>
                <w:sz w:val="20"/>
                <w:szCs w:val="20"/>
              </w:rPr>
            </w:pPr>
            <w:r w:rsidRPr="008E02B5">
              <w:rPr>
                <w:sz w:val="20"/>
                <w:szCs w:val="20"/>
              </w:rPr>
              <w:t>None</w:t>
            </w:r>
          </w:p>
        </w:tc>
      </w:tr>
      <w:tr w:rsidR="00A61DB3" w:rsidRPr="008E02B5" w14:paraId="1270B15E" w14:textId="77777777" w:rsidTr="00A61DB3">
        <w:tc>
          <w:tcPr>
            <w:tcW w:w="1093" w:type="pct"/>
            <w:tcMar>
              <w:left w:w="58" w:type="dxa"/>
              <w:right w:w="58" w:type="dxa"/>
            </w:tcMar>
          </w:tcPr>
          <w:p w14:paraId="4FF13CA4" w14:textId="77777777" w:rsidR="00A61DB3" w:rsidRPr="008E02B5" w:rsidRDefault="00A61DB3" w:rsidP="00A61DB3">
            <w:pPr>
              <w:widowControl w:val="0"/>
              <w:spacing w:after="40"/>
              <w:jc w:val="left"/>
              <w:outlineLvl w:val="0"/>
              <w:rPr>
                <w:sz w:val="20"/>
                <w:szCs w:val="20"/>
              </w:rPr>
            </w:pPr>
            <w:r w:rsidRPr="008E02B5">
              <w:rPr>
                <w:sz w:val="20"/>
                <w:szCs w:val="20"/>
              </w:rPr>
              <w:t>Other costs</w:t>
            </w:r>
          </w:p>
        </w:tc>
        <w:tc>
          <w:tcPr>
            <w:tcW w:w="524" w:type="pct"/>
            <w:tcMar>
              <w:left w:w="58" w:type="dxa"/>
              <w:right w:w="58" w:type="dxa"/>
            </w:tcMar>
          </w:tcPr>
          <w:p w14:paraId="74B03EE2" w14:textId="77777777" w:rsidR="00A61DB3" w:rsidRPr="008E02B5" w:rsidRDefault="00A61DB3" w:rsidP="00A61DB3">
            <w:pPr>
              <w:widowControl w:val="0"/>
              <w:spacing w:after="40"/>
              <w:jc w:val="left"/>
              <w:outlineLvl w:val="0"/>
              <w:rPr>
                <w:sz w:val="20"/>
                <w:szCs w:val="20"/>
              </w:rPr>
            </w:pPr>
            <w:r w:rsidRPr="008E02B5">
              <w:rPr>
                <w:sz w:val="20"/>
                <w:szCs w:val="20"/>
              </w:rPr>
              <w:t>25</w:t>
            </w:r>
          </w:p>
        </w:tc>
        <w:tc>
          <w:tcPr>
            <w:tcW w:w="1525" w:type="pct"/>
            <w:tcMar>
              <w:left w:w="58" w:type="dxa"/>
              <w:right w:w="58" w:type="dxa"/>
            </w:tcMar>
          </w:tcPr>
          <w:p w14:paraId="2869661B" w14:textId="77777777" w:rsidR="00A61DB3" w:rsidRPr="008E02B5" w:rsidRDefault="00A61DB3" w:rsidP="00A61DB3">
            <w:pPr>
              <w:widowControl w:val="0"/>
              <w:spacing w:after="40"/>
              <w:jc w:val="left"/>
              <w:outlineLvl w:val="0"/>
              <w:rPr>
                <w:sz w:val="20"/>
                <w:szCs w:val="20"/>
              </w:rPr>
            </w:pPr>
            <w:r w:rsidRPr="008E02B5">
              <w:rPr>
                <w:sz w:val="20"/>
                <w:szCs w:val="20"/>
              </w:rPr>
              <w:t>Text not included in the draft template</w:t>
            </w:r>
            <w:r>
              <w:rPr>
                <w:rStyle w:val="FootnoteReference"/>
                <w:sz w:val="20"/>
                <w:szCs w:val="20"/>
              </w:rPr>
              <w:footnoteReference w:id="7"/>
            </w:r>
          </w:p>
        </w:tc>
        <w:tc>
          <w:tcPr>
            <w:tcW w:w="1858" w:type="pct"/>
            <w:tcMar>
              <w:left w:w="58" w:type="dxa"/>
              <w:right w:w="58" w:type="dxa"/>
            </w:tcMar>
          </w:tcPr>
          <w:p w14:paraId="6E7ED2FA" w14:textId="77777777" w:rsidR="00A61DB3" w:rsidRPr="008E02B5" w:rsidRDefault="00A61DB3" w:rsidP="00A61DB3">
            <w:pPr>
              <w:widowControl w:val="0"/>
              <w:spacing w:after="40"/>
              <w:jc w:val="left"/>
              <w:outlineLvl w:val="0"/>
              <w:rPr>
                <w:sz w:val="20"/>
                <w:szCs w:val="20"/>
              </w:rPr>
            </w:pPr>
          </w:p>
        </w:tc>
      </w:tr>
      <w:tr w:rsidR="00A61DB3" w:rsidRPr="008E02B5" w14:paraId="3AA4675D" w14:textId="77777777" w:rsidTr="00A61DB3">
        <w:tc>
          <w:tcPr>
            <w:tcW w:w="1093" w:type="pct"/>
            <w:tcMar>
              <w:left w:w="58" w:type="dxa"/>
              <w:right w:w="58" w:type="dxa"/>
            </w:tcMar>
          </w:tcPr>
          <w:p w14:paraId="08511009" w14:textId="77777777" w:rsidR="00A61DB3" w:rsidRDefault="00A61DB3" w:rsidP="00A61DB3">
            <w:pPr>
              <w:widowControl w:val="0"/>
              <w:jc w:val="left"/>
              <w:outlineLvl w:val="0"/>
              <w:rPr>
                <w:sz w:val="20"/>
                <w:szCs w:val="20"/>
              </w:rPr>
            </w:pPr>
            <w:r w:rsidRPr="008E02B5">
              <w:rPr>
                <w:sz w:val="20"/>
                <w:szCs w:val="20"/>
              </w:rPr>
              <w:t>Eligibility of Annex F substances subject to high</w:t>
            </w:r>
            <w:r w:rsidRPr="008E02B5">
              <w:rPr>
                <w:sz w:val="20"/>
                <w:szCs w:val="20"/>
              </w:rPr>
              <w:noBreakHyphen/>
              <w:t>ambient</w:t>
            </w:r>
            <w:r w:rsidRPr="008E02B5">
              <w:rPr>
                <w:sz w:val="20"/>
                <w:szCs w:val="20"/>
              </w:rPr>
              <w:noBreakHyphen/>
            </w:r>
          </w:p>
          <w:p w14:paraId="28E0D52E" w14:textId="77777777" w:rsidR="00A61DB3" w:rsidRPr="008E02B5" w:rsidRDefault="00A61DB3" w:rsidP="00A61DB3">
            <w:pPr>
              <w:widowControl w:val="0"/>
              <w:jc w:val="left"/>
              <w:outlineLvl w:val="0"/>
              <w:rPr>
                <w:sz w:val="20"/>
                <w:szCs w:val="20"/>
              </w:rPr>
            </w:pPr>
            <w:r w:rsidRPr="008E02B5">
              <w:rPr>
                <w:sz w:val="20"/>
                <w:szCs w:val="20"/>
              </w:rPr>
              <w:t>temperature exemptions</w:t>
            </w:r>
          </w:p>
        </w:tc>
        <w:tc>
          <w:tcPr>
            <w:tcW w:w="524" w:type="pct"/>
            <w:tcMar>
              <w:left w:w="58" w:type="dxa"/>
              <w:right w:w="58" w:type="dxa"/>
            </w:tcMar>
          </w:tcPr>
          <w:p w14:paraId="545F0A1F" w14:textId="77777777" w:rsidR="00A61DB3" w:rsidRPr="008E02B5" w:rsidRDefault="00A61DB3" w:rsidP="00A61DB3">
            <w:pPr>
              <w:widowControl w:val="0"/>
              <w:spacing w:after="40"/>
              <w:jc w:val="left"/>
              <w:outlineLvl w:val="0"/>
              <w:rPr>
                <w:sz w:val="20"/>
                <w:szCs w:val="20"/>
              </w:rPr>
            </w:pPr>
            <w:r w:rsidRPr="008E02B5">
              <w:rPr>
                <w:sz w:val="20"/>
                <w:szCs w:val="20"/>
              </w:rPr>
              <w:t>35</w:t>
            </w:r>
          </w:p>
        </w:tc>
        <w:tc>
          <w:tcPr>
            <w:tcW w:w="1525" w:type="pct"/>
            <w:tcMar>
              <w:left w:w="58" w:type="dxa"/>
              <w:right w:w="58" w:type="dxa"/>
            </w:tcMar>
          </w:tcPr>
          <w:p w14:paraId="5D141AE1" w14:textId="77777777" w:rsidR="00A61DB3" w:rsidRPr="008E02B5" w:rsidRDefault="00A61DB3" w:rsidP="00A61DB3">
            <w:pPr>
              <w:widowControl w:val="0"/>
              <w:spacing w:after="40"/>
              <w:jc w:val="left"/>
              <w:outlineLvl w:val="0"/>
              <w:rPr>
                <w:sz w:val="20"/>
                <w:szCs w:val="20"/>
              </w:rPr>
            </w:pPr>
            <w:r w:rsidRPr="008E02B5">
              <w:rPr>
                <w:sz w:val="20"/>
                <w:szCs w:val="20"/>
              </w:rPr>
              <w:t>Text included in the draft template</w:t>
            </w:r>
          </w:p>
        </w:tc>
        <w:tc>
          <w:tcPr>
            <w:tcW w:w="1858" w:type="pct"/>
            <w:tcMar>
              <w:left w:w="58" w:type="dxa"/>
              <w:right w:w="58" w:type="dxa"/>
            </w:tcMar>
          </w:tcPr>
          <w:p w14:paraId="67581ED9" w14:textId="77777777" w:rsidR="00A61DB3" w:rsidRPr="008E02B5" w:rsidRDefault="00A61DB3" w:rsidP="00A61DB3">
            <w:pPr>
              <w:widowControl w:val="0"/>
              <w:spacing w:after="40"/>
              <w:jc w:val="left"/>
              <w:outlineLvl w:val="0"/>
              <w:rPr>
                <w:sz w:val="20"/>
                <w:szCs w:val="20"/>
              </w:rPr>
            </w:pPr>
            <w:r w:rsidRPr="008E02B5">
              <w:rPr>
                <w:sz w:val="20"/>
                <w:szCs w:val="20"/>
              </w:rPr>
              <w:t>None</w:t>
            </w:r>
          </w:p>
        </w:tc>
      </w:tr>
      <w:tr w:rsidR="00A61DB3" w:rsidRPr="008E02B5" w14:paraId="13B8DA13" w14:textId="77777777" w:rsidTr="00A61DB3">
        <w:tc>
          <w:tcPr>
            <w:tcW w:w="1093" w:type="pct"/>
            <w:tcMar>
              <w:left w:w="58" w:type="dxa"/>
              <w:right w:w="58" w:type="dxa"/>
            </w:tcMar>
          </w:tcPr>
          <w:p w14:paraId="501E3047" w14:textId="77777777" w:rsidR="00A61DB3" w:rsidRPr="008E02B5" w:rsidRDefault="00A61DB3" w:rsidP="00A61DB3">
            <w:pPr>
              <w:widowControl w:val="0"/>
              <w:spacing w:after="40"/>
              <w:jc w:val="left"/>
              <w:outlineLvl w:val="0"/>
              <w:rPr>
                <w:b/>
                <w:i/>
                <w:sz w:val="20"/>
                <w:szCs w:val="20"/>
              </w:rPr>
            </w:pPr>
            <w:r w:rsidRPr="008E02B5">
              <w:rPr>
                <w:b/>
                <w:i/>
                <w:sz w:val="20"/>
                <w:szCs w:val="20"/>
              </w:rPr>
              <w:t>Under discussion</w:t>
            </w:r>
          </w:p>
        </w:tc>
        <w:tc>
          <w:tcPr>
            <w:tcW w:w="524" w:type="pct"/>
            <w:tcMar>
              <w:left w:w="58" w:type="dxa"/>
              <w:right w:w="58" w:type="dxa"/>
            </w:tcMar>
          </w:tcPr>
          <w:p w14:paraId="312EF74D" w14:textId="77777777" w:rsidR="00A61DB3" w:rsidRPr="008E02B5" w:rsidRDefault="00A61DB3" w:rsidP="00A61DB3">
            <w:pPr>
              <w:widowControl w:val="0"/>
              <w:spacing w:after="40"/>
              <w:jc w:val="left"/>
              <w:outlineLvl w:val="0"/>
              <w:rPr>
                <w:b/>
                <w:i/>
                <w:sz w:val="20"/>
                <w:szCs w:val="20"/>
              </w:rPr>
            </w:pPr>
          </w:p>
        </w:tc>
        <w:tc>
          <w:tcPr>
            <w:tcW w:w="1525" w:type="pct"/>
            <w:tcMar>
              <w:left w:w="58" w:type="dxa"/>
              <w:right w:w="58" w:type="dxa"/>
            </w:tcMar>
          </w:tcPr>
          <w:p w14:paraId="71D200D6" w14:textId="77777777" w:rsidR="00A61DB3" w:rsidRPr="008E02B5" w:rsidRDefault="00A61DB3" w:rsidP="00A61DB3">
            <w:pPr>
              <w:widowControl w:val="0"/>
              <w:spacing w:after="40"/>
              <w:jc w:val="left"/>
              <w:outlineLvl w:val="0"/>
              <w:rPr>
                <w:b/>
                <w:i/>
                <w:sz w:val="20"/>
                <w:szCs w:val="20"/>
              </w:rPr>
            </w:pPr>
          </w:p>
        </w:tc>
        <w:tc>
          <w:tcPr>
            <w:tcW w:w="1858" w:type="pct"/>
            <w:tcMar>
              <w:left w:w="58" w:type="dxa"/>
              <w:right w:w="58" w:type="dxa"/>
            </w:tcMar>
          </w:tcPr>
          <w:p w14:paraId="207716F8" w14:textId="77777777" w:rsidR="00A61DB3" w:rsidRPr="008E02B5" w:rsidRDefault="00A61DB3" w:rsidP="00A61DB3">
            <w:pPr>
              <w:widowControl w:val="0"/>
              <w:spacing w:after="40"/>
              <w:jc w:val="left"/>
              <w:outlineLvl w:val="0"/>
              <w:rPr>
                <w:b/>
                <w:i/>
                <w:sz w:val="20"/>
                <w:szCs w:val="20"/>
              </w:rPr>
            </w:pPr>
          </w:p>
        </w:tc>
      </w:tr>
      <w:tr w:rsidR="00A61DB3" w:rsidRPr="008E02B5" w14:paraId="1882166B" w14:textId="77777777" w:rsidTr="00A61DB3">
        <w:tc>
          <w:tcPr>
            <w:tcW w:w="1093" w:type="pct"/>
            <w:tcMar>
              <w:left w:w="58" w:type="dxa"/>
              <w:right w:w="58" w:type="dxa"/>
            </w:tcMar>
          </w:tcPr>
          <w:p w14:paraId="3592C44C" w14:textId="77777777" w:rsidR="00A61DB3" w:rsidRPr="008E02B5" w:rsidRDefault="00A61DB3" w:rsidP="00A61DB3">
            <w:pPr>
              <w:widowControl w:val="0"/>
              <w:spacing w:after="40"/>
              <w:jc w:val="left"/>
              <w:outlineLvl w:val="0"/>
              <w:rPr>
                <w:sz w:val="20"/>
                <w:szCs w:val="20"/>
              </w:rPr>
            </w:pPr>
            <w:r w:rsidRPr="008E02B5">
              <w:rPr>
                <w:sz w:val="20"/>
                <w:szCs w:val="20"/>
              </w:rPr>
              <w:t>Sustained aggregate reductions in consumption and production</w:t>
            </w:r>
          </w:p>
        </w:tc>
        <w:tc>
          <w:tcPr>
            <w:tcW w:w="524" w:type="pct"/>
            <w:tcMar>
              <w:left w:w="58" w:type="dxa"/>
              <w:right w:w="58" w:type="dxa"/>
            </w:tcMar>
          </w:tcPr>
          <w:p w14:paraId="5A8176B1" w14:textId="77777777" w:rsidR="00A61DB3" w:rsidRPr="008E02B5" w:rsidRDefault="00A61DB3" w:rsidP="00A61DB3">
            <w:pPr>
              <w:widowControl w:val="0"/>
              <w:spacing w:after="40"/>
              <w:jc w:val="left"/>
              <w:outlineLvl w:val="0"/>
              <w:rPr>
                <w:sz w:val="20"/>
                <w:szCs w:val="20"/>
              </w:rPr>
            </w:pPr>
            <w:r w:rsidRPr="008E02B5">
              <w:rPr>
                <w:sz w:val="20"/>
                <w:szCs w:val="20"/>
              </w:rPr>
              <w:t>19</w:t>
            </w:r>
          </w:p>
        </w:tc>
        <w:tc>
          <w:tcPr>
            <w:tcW w:w="1525" w:type="pct"/>
            <w:tcMar>
              <w:left w:w="58" w:type="dxa"/>
              <w:right w:w="58" w:type="dxa"/>
            </w:tcMar>
          </w:tcPr>
          <w:p w14:paraId="33B35166" w14:textId="77777777" w:rsidR="00A61DB3" w:rsidRPr="008E02B5" w:rsidRDefault="00A61DB3" w:rsidP="00A61DB3">
            <w:pPr>
              <w:widowControl w:val="0"/>
              <w:spacing w:after="40"/>
              <w:jc w:val="left"/>
              <w:outlineLvl w:val="0"/>
              <w:rPr>
                <w:sz w:val="20"/>
                <w:szCs w:val="20"/>
              </w:rPr>
            </w:pPr>
            <w:r w:rsidRPr="008E02B5">
              <w:rPr>
                <w:sz w:val="20"/>
                <w:szCs w:val="20"/>
              </w:rPr>
              <w:t xml:space="preserve">Text included in the draft template </w:t>
            </w:r>
          </w:p>
          <w:p w14:paraId="01467B84" w14:textId="77777777" w:rsidR="00A61DB3" w:rsidRPr="008E02B5" w:rsidRDefault="00A61DB3" w:rsidP="00EB6A2A">
            <w:pPr>
              <w:widowControl w:val="0"/>
              <w:spacing w:after="40"/>
              <w:jc w:val="left"/>
              <w:outlineLvl w:val="0"/>
              <w:rPr>
                <w:sz w:val="20"/>
                <w:szCs w:val="20"/>
              </w:rPr>
            </w:pPr>
            <w:r w:rsidRPr="008E02B5">
              <w:rPr>
                <w:sz w:val="20"/>
                <w:szCs w:val="20"/>
              </w:rPr>
              <w:t>Document on key considerations for developing a methodology for establishing the starting point for sustained aggregate reductions in consumption and production was considered at the 82</w:t>
            </w:r>
            <w:r w:rsidRPr="008E02B5">
              <w:rPr>
                <w:sz w:val="20"/>
                <w:szCs w:val="20"/>
                <w:vertAlign w:val="superscript"/>
              </w:rPr>
              <w:t>nd</w:t>
            </w:r>
            <w:r w:rsidR="00EB6A2A">
              <w:rPr>
                <w:sz w:val="20"/>
                <w:szCs w:val="20"/>
              </w:rPr>
              <w:t> </w:t>
            </w:r>
            <w:r w:rsidRPr="008E02B5">
              <w:rPr>
                <w:sz w:val="20"/>
                <w:szCs w:val="20"/>
              </w:rPr>
              <w:t>meeting (UNEP/</w:t>
            </w:r>
            <w:proofErr w:type="spellStart"/>
            <w:r w:rsidRPr="008E02B5">
              <w:rPr>
                <w:sz w:val="20"/>
                <w:szCs w:val="20"/>
              </w:rPr>
              <w:t>OzL.Pro</w:t>
            </w:r>
            <w:proofErr w:type="spellEnd"/>
            <w:r w:rsidRPr="008E02B5">
              <w:rPr>
                <w:sz w:val="20"/>
                <w:szCs w:val="20"/>
              </w:rPr>
              <w:t>/</w:t>
            </w:r>
            <w:proofErr w:type="spellStart"/>
            <w:r w:rsidRPr="008E02B5">
              <w:rPr>
                <w:sz w:val="20"/>
                <w:szCs w:val="20"/>
              </w:rPr>
              <w:t>ExCom</w:t>
            </w:r>
            <w:proofErr w:type="spellEnd"/>
            <w:r w:rsidRPr="008E02B5">
              <w:rPr>
                <w:sz w:val="20"/>
                <w:szCs w:val="20"/>
              </w:rPr>
              <w:t>/82/66)</w:t>
            </w:r>
          </w:p>
        </w:tc>
        <w:tc>
          <w:tcPr>
            <w:tcW w:w="1858" w:type="pct"/>
            <w:tcMar>
              <w:left w:w="58" w:type="dxa"/>
              <w:right w:w="58" w:type="dxa"/>
            </w:tcMar>
          </w:tcPr>
          <w:p w14:paraId="07FD390B" w14:textId="77777777" w:rsidR="00A61DB3" w:rsidRPr="008E02B5" w:rsidRDefault="00A61DB3" w:rsidP="00D65C27">
            <w:pPr>
              <w:widowControl w:val="0"/>
              <w:spacing w:after="40"/>
              <w:jc w:val="left"/>
              <w:outlineLvl w:val="0"/>
              <w:rPr>
                <w:sz w:val="20"/>
                <w:szCs w:val="20"/>
              </w:rPr>
            </w:pPr>
            <w:r w:rsidRPr="008E02B5">
              <w:rPr>
                <w:sz w:val="20"/>
                <w:szCs w:val="20"/>
              </w:rPr>
              <w:t>To agree on a methodology for establishing the starting point for sustained aggregate reductions taking into</w:t>
            </w:r>
            <w:r w:rsidR="00EB6A2A">
              <w:rPr>
                <w:sz w:val="20"/>
                <w:szCs w:val="20"/>
              </w:rPr>
              <w:t xml:space="preserve"> </w:t>
            </w:r>
            <w:r w:rsidRPr="008E02B5">
              <w:rPr>
                <w:sz w:val="20"/>
                <w:szCs w:val="20"/>
              </w:rPr>
              <w:t>consideration the information contained</w:t>
            </w:r>
            <w:r w:rsidR="00EB6A2A">
              <w:rPr>
                <w:sz w:val="20"/>
                <w:szCs w:val="20"/>
              </w:rPr>
              <w:t xml:space="preserve"> </w:t>
            </w:r>
            <w:r w:rsidRPr="008E02B5">
              <w:rPr>
                <w:sz w:val="20"/>
                <w:szCs w:val="20"/>
              </w:rPr>
              <w:t>in document</w:t>
            </w:r>
            <w:r w:rsidR="00D65C27">
              <w:rPr>
                <w:sz w:val="20"/>
                <w:szCs w:val="20"/>
              </w:rPr>
              <w:t xml:space="preserve"> </w:t>
            </w:r>
            <w:r w:rsidRPr="008E02B5">
              <w:rPr>
                <w:sz w:val="20"/>
                <w:szCs w:val="20"/>
              </w:rPr>
              <w:t>UNEP/</w:t>
            </w:r>
            <w:proofErr w:type="spellStart"/>
            <w:r w:rsidRPr="008E02B5">
              <w:rPr>
                <w:sz w:val="20"/>
                <w:szCs w:val="20"/>
              </w:rPr>
              <w:t>OzL.Pro</w:t>
            </w:r>
            <w:proofErr w:type="spellEnd"/>
            <w:r w:rsidRPr="008E02B5">
              <w:rPr>
                <w:sz w:val="20"/>
                <w:szCs w:val="20"/>
              </w:rPr>
              <w:t>/</w:t>
            </w:r>
            <w:proofErr w:type="spellStart"/>
            <w:r w:rsidRPr="008E02B5">
              <w:rPr>
                <w:sz w:val="20"/>
                <w:szCs w:val="20"/>
              </w:rPr>
              <w:t>ExCom</w:t>
            </w:r>
            <w:proofErr w:type="spellEnd"/>
            <w:r w:rsidRPr="008E02B5">
              <w:rPr>
                <w:sz w:val="20"/>
                <w:szCs w:val="20"/>
              </w:rPr>
              <w:t>/82/66</w:t>
            </w:r>
          </w:p>
        </w:tc>
      </w:tr>
      <w:tr w:rsidR="00A61DB3" w:rsidRPr="008E02B5" w14:paraId="4A8E4332" w14:textId="77777777" w:rsidTr="00A61DB3">
        <w:tc>
          <w:tcPr>
            <w:tcW w:w="1093" w:type="pct"/>
            <w:tcMar>
              <w:left w:w="58" w:type="dxa"/>
              <w:right w:w="58" w:type="dxa"/>
            </w:tcMar>
          </w:tcPr>
          <w:p w14:paraId="51A2C76C" w14:textId="77777777" w:rsidR="00A61DB3" w:rsidRPr="008E02B5" w:rsidRDefault="00A61DB3" w:rsidP="00A61DB3">
            <w:pPr>
              <w:widowControl w:val="0"/>
              <w:spacing w:after="40"/>
              <w:jc w:val="left"/>
              <w:outlineLvl w:val="0"/>
              <w:rPr>
                <w:sz w:val="20"/>
                <w:szCs w:val="20"/>
              </w:rPr>
            </w:pPr>
            <w:r w:rsidRPr="008E02B5">
              <w:rPr>
                <w:sz w:val="20"/>
                <w:szCs w:val="20"/>
              </w:rPr>
              <w:t>Eligible incremental costs</w:t>
            </w:r>
          </w:p>
        </w:tc>
        <w:tc>
          <w:tcPr>
            <w:tcW w:w="524" w:type="pct"/>
            <w:tcMar>
              <w:left w:w="58" w:type="dxa"/>
              <w:right w:w="58" w:type="dxa"/>
            </w:tcMar>
          </w:tcPr>
          <w:p w14:paraId="6CC9536F" w14:textId="77777777" w:rsidR="00A61DB3" w:rsidRPr="008E02B5" w:rsidRDefault="00A61DB3" w:rsidP="00A61DB3">
            <w:pPr>
              <w:widowControl w:val="0"/>
              <w:spacing w:after="40"/>
              <w:jc w:val="left"/>
              <w:outlineLvl w:val="0"/>
              <w:rPr>
                <w:sz w:val="20"/>
                <w:szCs w:val="20"/>
              </w:rPr>
            </w:pPr>
            <w:r w:rsidRPr="008E02B5">
              <w:rPr>
                <w:sz w:val="20"/>
                <w:szCs w:val="20"/>
              </w:rPr>
              <w:t>15</w:t>
            </w:r>
          </w:p>
        </w:tc>
        <w:tc>
          <w:tcPr>
            <w:tcW w:w="1525" w:type="pct"/>
            <w:tcMar>
              <w:left w:w="58" w:type="dxa"/>
              <w:right w:w="58" w:type="dxa"/>
            </w:tcMar>
          </w:tcPr>
          <w:p w14:paraId="0292BFB7" w14:textId="77777777" w:rsidR="00A61DB3" w:rsidRPr="008E02B5" w:rsidRDefault="00A61DB3" w:rsidP="00A61DB3">
            <w:pPr>
              <w:widowControl w:val="0"/>
              <w:spacing w:after="40"/>
              <w:jc w:val="left"/>
              <w:outlineLvl w:val="0"/>
              <w:rPr>
                <w:sz w:val="20"/>
                <w:szCs w:val="20"/>
              </w:rPr>
            </w:pPr>
          </w:p>
        </w:tc>
        <w:tc>
          <w:tcPr>
            <w:tcW w:w="1858" w:type="pct"/>
            <w:tcMar>
              <w:left w:w="58" w:type="dxa"/>
              <w:right w:w="58" w:type="dxa"/>
            </w:tcMar>
          </w:tcPr>
          <w:p w14:paraId="52D182A8" w14:textId="77777777" w:rsidR="00A61DB3" w:rsidRPr="008E02B5" w:rsidRDefault="00A61DB3" w:rsidP="00A61DB3">
            <w:pPr>
              <w:widowControl w:val="0"/>
              <w:spacing w:after="40"/>
              <w:jc w:val="left"/>
              <w:outlineLvl w:val="0"/>
              <w:rPr>
                <w:sz w:val="20"/>
                <w:szCs w:val="20"/>
              </w:rPr>
            </w:pPr>
          </w:p>
        </w:tc>
      </w:tr>
      <w:tr w:rsidR="00A61DB3" w:rsidRPr="008E02B5" w14:paraId="488827E9" w14:textId="77777777" w:rsidTr="00A61DB3">
        <w:tc>
          <w:tcPr>
            <w:tcW w:w="1093" w:type="pct"/>
            <w:tcMar>
              <w:left w:w="58" w:type="dxa"/>
              <w:right w:w="58" w:type="dxa"/>
            </w:tcMar>
          </w:tcPr>
          <w:p w14:paraId="4EB4AFAD" w14:textId="77777777" w:rsidR="00A61DB3" w:rsidRPr="008E02B5" w:rsidRDefault="00A61DB3" w:rsidP="00A61DB3">
            <w:pPr>
              <w:widowControl w:val="0"/>
              <w:spacing w:after="40"/>
              <w:ind w:left="210" w:hanging="210"/>
              <w:jc w:val="left"/>
              <w:outlineLvl w:val="0"/>
              <w:rPr>
                <w:sz w:val="20"/>
                <w:szCs w:val="20"/>
              </w:rPr>
            </w:pPr>
            <w:r w:rsidRPr="008E02B5">
              <w:rPr>
                <w:sz w:val="20"/>
                <w:szCs w:val="20"/>
              </w:rPr>
              <w:tab/>
              <w:t>Consumption manufacturing sector</w:t>
            </w:r>
          </w:p>
        </w:tc>
        <w:tc>
          <w:tcPr>
            <w:tcW w:w="524" w:type="pct"/>
            <w:tcMar>
              <w:left w:w="58" w:type="dxa"/>
              <w:right w:w="58" w:type="dxa"/>
            </w:tcMar>
          </w:tcPr>
          <w:p w14:paraId="04C469E0" w14:textId="77777777" w:rsidR="00A61DB3" w:rsidRPr="008E02B5" w:rsidRDefault="00A61DB3" w:rsidP="00A61DB3">
            <w:pPr>
              <w:widowControl w:val="0"/>
              <w:spacing w:after="40"/>
              <w:jc w:val="left"/>
              <w:outlineLvl w:val="0"/>
              <w:rPr>
                <w:sz w:val="20"/>
                <w:szCs w:val="20"/>
              </w:rPr>
            </w:pPr>
            <w:r w:rsidRPr="008E02B5">
              <w:rPr>
                <w:sz w:val="20"/>
                <w:szCs w:val="20"/>
              </w:rPr>
              <w:t xml:space="preserve">15(a) </w:t>
            </w:r>
          </w:p>
        </w:tc>
        <w:tc>
          <w:tcPr>
            <w:tcW w:w="1525" w:type="pct"/>
            <w:tcMar>
              <w:left w:w="58" w:type="dxa"/>
              <w:right w:w="58" w:type="dxa"/>
            </w:tcMar>
          </w:tcPr>
          <w:p w14:paraId="7E1E6AAC" w14:textId="77777777" w:rsidR="00A61DB3" w:rsidRPr="008E02B5" w:rsidRDefault="00A61DB3" w:rsidP="00A61DB3">
            <w:pPr>
              <w:widowControl w:val="0"/>
              <w:spacing w:after="40"/>
              <w:jc w:val="left"/>
              <w:outlineLvl w:val="0"/>
              <w:rPr>
                <w:sz w:val="20"/>
                <w:szCs w:val="20"/>
              </w:rPr>
            </w:pPr>
            <w:r w:rsidRPr="008E02B5">
              <w:rPr>
                <w:sz w:val="20"/>
                <w:szCs w:val="20"/>
              </w:rPr>
              <w:t>Text on categories of eligible costs included in the draft template</w:t>
            </w:r>
          </w:p>
        </w:tc>
        <w:tc>
          <w:tcPr>
            <w:tcW w:w="1858" w:type="pct"/>
            <w:tcMar>
              <w:left w:w="58" w:type="dxa"/>
              <w:right w:w="58" w:type="dxa"/>
            </w:tcMar>
          </w:tcPr>
          <w:p w14:paraId="6FEF4071" w14:textId="18A9E462" w:rsidR="00A61DB3" w:rsidRPr="008E02B5" w:rsidRDefault="00A61DB3" w:rsidP="009217FE">
            <w:pPr>
              <w:widowControl w:val="0"/>
              <w:spacing w:after="40"/>
              <w:jc w:val="left"/>
              <w:outlineLvl w:val="0"/>
              <w:rPr>
                <w:sz w:val="20"/>
                <w:szCs w:val="20"/>
              </w:rPr>
            </w:pPr>
            <w:r w:rsidRPr="008E02B5">
              <w:rPr>
                <w:sz w:val="20"/>
                <w:szCs w:val="20"/>
              </w:rPr>
              <w:t>To consider establishing cost</w:t>
            </w:r>
            <w:r w:rsidRPr="008E02B5">
              <w:rPr>
                <w:sz w:val="20"/>
                <w:szCs w:val="20"/>
              </w:rPr>
              <w:noBreakHyphen/>
              <w:t>effectiveness thresholds based on the results of HFC stand-</w:t>
            </w:r>
            <w:r w:rsidRPr="003F45C5">
              <w:rPr>
                <w:sz w:val="20"/>
                <w:szCs w:val="20"/>
              </w:rPr>
              <w:t>alone investment projects and information contained in document UNEP/</w:t>
            </w:r>
            <w:proofErr w:type="spellStart"/>
            <w:r w:rsidRPr="003F45C5">
              <w:rPr>
                <w:sz w:val="20"/>
                <w:szCs w:val="20"/>
              </w:rPr>
              <w:t>OzL.Pro</w:t>
            </w:r>
            <w:proofErr w:type="spellEnd"/>
            <w:r w:rsidRPr="003F45C5">
              <w:rPr>
                <w:sz w:val="20"/>
                <w:szCs w:val="20"/>
              </w:rPr>
              <w:t>/</w:t>
            </w:r>
            <w:proofErr w:type="spellStart"/>
            <w:r w:rsidRPr="003F45C5">
              <w:rPr>
                <w:sz w:val="20"/>
                <w:szCs w:val="20"/>
              </w:rPr>
              <w:t>ExCom</w:t>
            </w:r>
            <w:proofErr w:type="spellEnd"/>
            <w:r w:rsidRPr="003F45C5">
              <w:rPr>
                <w:sz w:val="20"/>
                <w:szCs w:val="20"/>
              </w:rPr>
              <w:t>/</w:t>
            </w:r>
            <w:r w:rsidR="00800DB8" w:rsidRPr="003F45C5">
              <w:rPr>
                <w:sz w:val="20"/>
                <w:szCs w:val="20"/>
              </w:rPr>
              <w:t>87/49</w:t>
            </w:r>
            <w:r w:rsidRPr="003F45C5">
              <w:rPr>
                <w:sz w:val="20"/>
                <w:szCs w:val="20"/>
              </w:rPr>
              <w:t xml:space="preserve"> providing an analysis of and information on the incremental capital costs (ICC</w:t>
            </w:r>
            <w:r w:rsidR="00EB6A2A" w:rsidRPr="003F45C5">
              <w:rPr>
                <w:sz w:val="20"/>
                <w:szCs w:val="20"/>
              </w:rPr>
              <w:t>s</w:t>
            </w:r>
            <w:r w:rsidRPr="003F45C5">
              <w:rPr>
                <w:sz w:val="20"/>
                <w:szCs w:val="20"/>
              </w:rPr>
              <w:t>) and incremental operating costs (IOC</w:t>
            </w:r>
            <w:r w:rsidR="00EB6A2A" w:rsidRPr="003F45C5">
              <w:rPr>
                <w:sz w:val="20"/>
                <w:szCs w:val="20"/>
              </w:rPr>
              <w:t>s</w:t>
            </w:r>
            <w:r w:rsidRPr="003F45C5">
              <w:rPr>
                <w:sz w:val="20"/>
                <w:szCs w:val="20"/>
              </w:rPr>
              <w:t>) and their duration, and the</w:t>
            </w:r>
            <w:r w:rsidRPr="008E02B5">
              <w:rPr>
                <w:sz w:val="20"/>
                <w:szCs w:val="20"/>
              </w:rPr>
              <w:t xml:space="preserve"> cost</w:t>
            </w:r>
            <w:r w:rsidR="00EB6A2A">
              <w:rPr>
                <w:sz w:val="20"/>
                <w:szCs w:val="20"/>
              </w:rPr>
              <w:noBreakHyphen/>
            </w:r>
            <w:r w:rsidRPr="008E02B5">
              <w:rPr>
                <w:sz w:val="20"/>
                <w:szCs w:val="20"/>
              </w:rPr>
              <w:t>effectiveness of investment projects in the relevant manufa</w:t>
            </w:r>
            <w:r>
              <w:rPr>
                <w:sz w:val="20"/>
                <w:szCs w:val="20"/>
              </w:rPr>
              <w:t>cturing sectors and sub</w:t>
            </w:r>
            <w:r w:rsidR="009217FE">
              <w:rPr>
                <w:sz w:val="20"/>
                <w:szCs w:val="20"/>
              </w:rPr>
              <w:noBreakHyphen/>
            </w:r>
            <w:r>
              <w:rPr>
                <w:sz w:val="20"/>
                <w:szCs w:val="20"/>
              </w:rPr>
              <w:t>sectors</w:t>
            </w:r>
          </w:p>
        </w:tc>
      </w:tr>
      <w:tr w:rsidR="00A61DB3" w:rsidRPr="008E02B5" w14:paraId="74CCAAB7" w14:textId="77777777" w:rsidTr="00A61DB3">
        <w:tc>
          <w:tcPr>
            <w:tcW w:w="1093" w:type="pct"/>
            <w:tcMar>
              <w:left w:w="58" w:type="dxa"/>
              <w:right w:w="58" w:type="dxa"/>
            </w:tcMar>
          </w:tcPr>
          <w:p w14:paraId="2A6FEF09" w14:textId="77777777" w:rsidR="00A61DB3" w:rsidRPr="008E02B5" w:rsidRDefault="00A61DB3" w:rsidP="00EB6A2A">
            <w:pPr>
              <w:keepNext/>
              <w:keepLines/>
              <w:widowControl w:val="0"/>
              <w:tabs>
                <w:tab w:val="left" w:pos="232"/>
              </w:tabs>
              <w:spacing w:after="40"/>
              <w:jc w:val="left"/>
              <w:outlineLvl w:val="0"/>
              <w:rPr>
                <w:sz w:val="20"/>
                <w:szCs w:val="20"/>
              </w:rPr>
            </w:pPr>
            <w:r w:rsidRPr="008E02B5">
              <w:rPr>
                <w:sz w:val="20"/>
                <w:szCs w:val="20"/>
              </w:rPr>
              <w:tab/>
              <w:t>Production sector</w:t>
            </w:r>
          </w:p>
        </w:tc>
        <w:tc>
          <w:tcPr>
            <w:tcW w:w="524" w:type="pct"/>
            <w:tcMar>
              <w:left w:w="58" w:type="dxa"/>
              <w:right w:w="58" w:type="dxa"/>
            </w:tcMar>
          </w:tcPr>
          <w:p w14:paraId="2331FA7F" w14:textId="77777777" w:rsidR="00A61DB3" w:rsidRPr="008E02B5" w:rsidRDefault="00A61DB3" w:rsidP="00EB6A2A">
            <w:pPr>
              <w:keepNext/>
              <w:keepLines/>
              <w:widowControl w:val="0"/>
              <w:spacing w:after="40"/>
              <w:jc w:val="left"/>
              <w:outlineLvl w:val="0"/>
              <w:rPr>
                <w:sz w:val="20"/>
                <w:szCs w:val="20"/>
              </w:rPr>
            </w:pPr>
            <w:r w:rsidRPr="008E02B5">
              <w:rPr>
                <w:sz w:val="20"/>
                <w:szCs w:val="20"/>
              </w:rPr>
              <w:t>15(b)</w:t>
            </w:r>
          </w:p>
        </w:tc>
        <w:tc>
          <w:tcPr>
            <w:tcW w:w="1525" w:type="pct"/>
            <w:tcMar>
              <w:left w:w="58" w:type="dxa"/>
              <w:right w:w="58" w:type="dxa"/>
            </w:tcMar>
          </w:tcPr>
          <w:p w14:paraId="4F63A5E3" w14:textId="77777777" w:rsidR="00A61DB3" w:rsidRPr="008E02B5" w:rsidRDefault="00A61DB3" w:rsidP="00EB6A2A">
            <w:pPr>
              <w:keepNext/>
              <w:keepLines/>
              <w:widowControl w:val="0"/>
              <w:spacing w:after="40"/>
              <w:jc w:val="left"/>
              <w:outlineLvl w:val="0"/>
              <w:rPr>
                <w:sz w:val="20"/>
                <w:szCs w:val="20"/>
              </w:rPr>
            </w:pPr>
            <w:r w:rsidRPr="008E02B5">
              <w:rPr>
                <w:sz w:val="20"/>
                <w:szCs w:val="20"/>
              </w:rPr>
              <w:t>Text on categories of eligible costs included in the draft template</w:t>
            </w:r>
          </w:p>
        </w:tc>
        <w:tc>
          <w:tcPr>
            <w:tcW w:w="1858" w:type="pct"/>
            <w:tcMar>
              <w:left w:w="58" w:type="dxa"/>
              <w:right w:w="58" w:type="dxa"/>
            </w:tcMar>
          </w:tcPr>
          <w:p w14:paraId="3CDFE7CE" w14:textId="324CD197" w:rsidR="00A61DB3" w:rsidRPr="008E02B5" w:rsidRDefault="00A61DB3" w:rsidP="009217FE">
            <w:pPr>
              <w:keepNext/>
              <w:keepLines/>
              <w:widowControl w:val="0"/>
              <w:spacing w:after="40"/>
              <w:jc w:val="left"/>
              <w:outlineLvl w:val="0"/>
              <w:rPr>
                <w:sz w:val="20"/>
                <w:szCs w:val="20"/>
              </w:rPr>
            </w:pPr>
            <w:r w:rsidRPr="008E02B5">
              <w:rPr>
                <w:sz w:val="20"/>
                <w:szCs w:val="20"/>
              </w:rPr>
              <w:t>To consider, on a case</w:t>
            </w:r>
            <w:r w:rsidRPr="008E02B5">
              <w:rPr>
                <w:sz w:val="20"/>
                <w:szCs w:val="20"/>
              </w:rPr>
              <w:noBreakHyphen/>
              <w:t>by</w:t>
            </w:r>
            <w:r w:rsidRPr="008E02B5">
              <w:rPr>
                <w:sz w:val="20"/>
                <w:szCs w:val="20"/>
              </w:rPr>
              <w:noBreakHyphen/>
              <w:t>case basis, compensation for compliance</w:t>
            </w:r>
            <w:r w:rsidR="009217FE">
              <w:rPr>
                <w:sz w:val="20"/>
                <w:szCs w:val="20"/>
              </w:rPr>
              <w:noBreakHyphen/>
            </w:r>
            <w:r w:rsidRPr="008E02B5">
              <w:rPr>
                <w:sz w:val="20"/>
                <w:szCs w:val="20"/>
              </w:rPr>
              <w:t>related control obligations for the production sector</w:t>
            </w:r>
          </w:p>
        </w:tc>
      </w:tr>
      <w:tr w:rsidR="00A61DB3" w:rsidRPr="008E02B5" w14:paraId="59190D5F" w14:textId="77777777" w:rsidTr="00A61DB3">
        <w:tc>
          <w:tcPr>
            <w:tcW w:w="1093" w:type="pct"/>
            <w:tcMar>
              <w:left w:w="58" w:type="dxa"/>
              <w:right w:w="58" w:type="dxa"/>
            </w:tcMar>
          </w:tcPr>
          <w:p w14:paraId="6ABE295C" w14:textId="77777777" w:rsidR="00A61DB3" w:rsidRPr="008E02B5" w:rsidRDefault="00A61DB3" w:rsidP="00A61DB3">
            <w:pPr>
              <w:widowControl w:val="0"/>
              <w:tabs>
                <w:tab w:val="left" w:pos="232"/>
              </w:tabs>
              <w:spacing w:after="40"/>
              <w:ind w:left="170" w:hanging="170"/>
              <w:jc w:val="left"/>
              <w:outlineLvl w:val="0"/>
              <w:rPr>
                <w:sz w:val="20"/>
                <w:szCs w:val="20"/>
              </w:rPr>
            </w:pPr>
            <w:r w:rsidRPr="008E02B5">
              <w:rPr>
                <w:sz w:val="20"/>
                <w:szCs w:val="20"/>
              </w:rPr>
              <w:tab/>
              <w:t>Refrigeration servicing sector</w:t>
            </w:r>
          </w:p>
        </w:tc>
        <w:tc>
          <w:tcPr>
            <w:tcW w:w="524" w:type="pct"/>
            <w:tcMar>
              <w:left w:w="58" w:type="dxa"/>
              <w:right w:w="58" w:type="dxa"/>
            </w:tcMar>
          </w:tcPr>
          <w:p w14:paraId="1C45AA6E" w14:textId="77777777" w:rsidR="00A61DB3" w:rsidRPr="008E02B5" w:rsidRDefault="00A61DB3" w:rsidP="00A61DB3">
            <w:pPr>
              <w:widowControl w:val="0"/>
              <w:spacing w:after="40"/>
              <w:jc w:val="left"/>
              <w:outlineLvl w:val="0"/>
              <w:rPr>
                <w:sz w:val="20"/>
                <w:szCs w:val="20"/>
              </w:rPr>
            </w:pPr>
            <w:r w:rsidRPr="008E02B5">
              <w:rPr>
                <w:sz w:val="20"/>
                <w:szCs w:val="20"/>
              </w:rPr>
              <w:t>15(c)</w:t>
            </w:r>
          </w:p>
        </w:tc>
        <w:tc>
          <w:tcPr>
            <w:tcW w:w="1525" w:type="pct"/>
            <w:tcMar>
              <w:left w:w="58" w:type="dxa"/>
              <w:right w:w="58" w:type="dxa"/>
            </w:tcMar>
          </w:tcPr>
          <w:p w14:paraId="37A8090A" w14:textId="77777777" w:rsidR="00A61DB3" w:rsidRPr="008E02B5" w:rsidRDefault="00A61DB3" w:rsidP="00A61DB3">
            <w:pPr>
              <w:widowControl w:val="0"/>
              <w:spacing w:after="40"/>
              <w:jc w:val="left"/>
              <w:outlineLvl w:val="0"/>
              <w:rPr>
                <w:sz w:val="20"/>
                <w:szCs w:val="20"/>
              </w:rPr>
            </w:pPr>
            <w:r w:rsidRPr="008E02B5">
              <w:rPr>
                <w:sz w:val="20"/>
                <w:szCs w:val="20"/>
              </w:rPr>
              <w:t>Text on categories of eligible costs included in the draft template</w:t>
            </w:r>
          </w:p>
          <w:p w14:paraId="446F9E9F" w14:textId="04B67B0E" w:rsidR="00A61DB3" w:rsidRPr="008E02B5" w:rsidRDefault="00A61DB3" w:rsidP="009217FE">
            <w:pPr>
              <w:widowControl w:val="0"/>
              <w:spacing w:after="40"/>
              <w:jc w:val="left"/>
              <w:outlineLvl w:val="0"/>
              <w:rPr>
                <w:sz w:val="20"/>
                <w:szCs w:val="20"/>
                <w:vertAlign w:val="superscript"/>
              </w:rPr>
            </w:pPr>
            <w:r w:rsidRPr="008E02B5">
              <w:rPr>
                <w:sz w:val="20"/>
                <w:szCs w:val="20"/>
              </w:rPr>
              <w:lastRenderedPageBreak/>
              <w:t>A preliminary document on all aspects related to the refrigeration servicing sector that support the HFC phase-down was considered at the 82</w:t>
            </w:r>
            <w:r w:rsidRPr="008E02B5">
              <w:rPr>
                <w:sz w:val="20"/>
                <w:szCs w:val="20"/>
                <w:vertAlign w:val="superscript"/>
              </w:rPr>
              <w:t>nd</w:t>
            </w:r>
            <w:r w:rsidR="009217FE">
              <w:rPr>
                <w:sz w:val="20"/>
                <w:szCs w:val="20"/>
              </w:rPr>
              <w:t> </w:t>
            </w:r>
            <w:r w:rsidRPr="008E02B5">
              <w:rPr>
                <w:sz w:val="20"/>
                <w:szCs w:val="20"/>
              </w:rPr>
              <w:t>meeting (UNEP/</w:t>
            </w:r>
            <w:proofErr w:type="spellStart"/>
            <w:r w:rsidRPr="008E02B5">
              <w:rPr>
                <w:sz w:val="20"/>
                <w:szCs w:val="20"/>
              </w:rPr>
              <w:t>OzL.Pro</w:t>
            </w:r>
            <w:proofErr w:type="spellEnd"/>
            <w:r w:rsidRPr="008E02B5">
              <w:rPr>
                <w:sz w:val="20"/>
                <w:szCs w:val="20"/>
              </w:rPr>
              <w:t>/</w:t>
            </w:r>
            <w:proofErr w:type="spellStart"/>
            <w:r w:rsidRPr="008E02B5">
              <w:rPr>
                <w:sz w:val="20"/>
                <w:szCs w:val="20"/>
              </w:rPr>
              <w:t>ExCom</w:t>
            </w:r>
            <w:proofErr w:type="spellEnd"/>
            <w:r w:rsidRPr="008E02B5">
              <w:rPr>
                <w:sz w:val="20"/>
                <w:szCs w:val="20"/>
              </w:rPr>
              <w:t>/82/64)</w:t>
            </w:r>
          </w:p>
        </w:tc>
        <w:tc>
          <w:tcPr>
            <w:tcW w:w="1858" w:type="pct"/>
            <w:tcMar>
              <w:left w:w="58" w:type="dxa"/>
              <w:right w:w="58" w:type="dxa"/>
            </w:tcMar>
          </w:tcPr>
          <w:p w14:paraId="09251960" w14:textId="77777777" w:rsidR="00A61DB3" w:rsidRPr="003F45C5" w:rsidRDefault="00A61DB3" w:rsidP="00A61DB3">
            <w:pPr>
              <w:widowControl w:val="0"/>
              <w:spacing w:after="40"/>
              <w:jc w:val="left"/>
              <w:rPr>
                <w:sz w:val="20"/>
                <w:szCs w:val="20"/>
              </w:rPr>
            </w:pPr>
            <w:r w:rsidRPr="003F45C5">
              <w:rPr>
                <w:sz w:val="20"/>
                <w:szCs w:val="20"/>
              </w:rPr>
              <w:lastRenderedPageBreak/>
              <w:t>To consider establishing cost</w:t>
            </w:r>
            <w:r w:rsidRPr="003F45C5">
              <w:rPr>
                <w:sz w:val="20"/>
                <w:szCs w:val="20"/>
              </w:rPr>
              <w:noBreakHyphen/>
              <w:t>effectiveness thresholds based on document UNEP/</w:t>
            </w:r>
            <w:proofErr w:type="spellStart"/>
            <w:r w:rsidRPr="003F45C5">
              <w:rPr>
                <w:sz w:val="20"/>
                <w:szCs w:val="20"/>
              </w:rPr>
              <w:t>OzL.Pro</w:t>
            </w:r>
            <w:proofErr w:type="spellEnd"/>
            <w:r w:rsidRPr="003F45C5">
              <w:rPr>
                <w:sz w:val="20"/>
                <w:szCs w:val="20"/>
              </w:rPr>
              <w:t>/</w:t>
            </w:r>
            <w:proofErr w:type="spellStart"/>
            <w:r w:rsidRPr="003F45C5">
              <w:rPr>
                <w:sz w:val="20"/>
                <w:szCs w:val="20"/>
              </w:rPr>
              <w:t>ExCom</w:t>
            </w:r>
            <w:proofErr w:type="spellEnd"/>
            <w:r w:rsidRPr="003F45C5">
              <w:rPr>
                <w:sz w:val="20"/>
                <w:szCs w:val="20"/>
              </w:rPr>
              <w:t xml:space="preserve">/82/64 </w:t>
            </w:r>
            <w:r w:rsidRPr="003F45C5">
              <w:rPr>
                <w:sz w:val="20"/>
                <w:szCs w:val="20"/>
              </w:rPr>
              <w:lastRenderedPageBreak/>
              <w:t>and two documents submitted to the 8</w:t>
            </w:r>
            <w:r w:rsidR="00800DB8" w:rsidRPr="003F45C5">
              <w:rPr>
                <w:sz w:val="20"/>
                <w:szCs w:val="20"/>
              </w:rPr>
              <w:t>7</w:t>
            </w:r>
            <w:r w:rsidRPr="003F45C5">
              <w:rPr>
                <w:sz w:val="20"/>
                <w:szCs w:val="20"/>
                <w:vertAlign w:val="superscript"/>
              </w:rPr>
              <w:t>th</w:t>
            </w:r>
            <w:r w:rsidRPr="003F45C5">
              <w:t> </w:t>
            </w:r>
            <w:r w:rsidRPr="003F45C5">
              <w:rPr>
                <w:sz w:val="20"/>
                <w:szCs w:val="20"/>
              </w:rPr>
              <w:t>meeting:</w:t>
            </w:r>
          </w:p>
          <w:p w14:paraId="6F4B22A8" w14:textId="45B41648" w:rsidR="00A61DB3" w:rsidRPr="003F45C5" w:rsidRDefault="00A61DB3" w:rsidP="00A61DB3">
            <w:pPr>
              <w:widowControl w:val="0"/>
              <w:spacing w:after="40"/>
              <w:ind w:left="101" w:hanging="101"/>
              <w:jc w:val="left"/>
              <w:outlineLvl w:val="0"/>
              <w:rPr>
                <w:sz w:val="20"/>
                <w:szCs w:val="20"/>
              </w:rPr>
            </w:pPr>
            <w:r w:rsidRPr="003F45C5">
              <w:rPr>
                <w:sz w:val="20"/>
                <w:szCs w:val="20"/>
              </w:rPr>
              <w:tab/>
              <w:t>An analysis on the level and modalities of funding for the HFC phase-down in the refrigeration servicing sector (decision</w:t>
            </w:r>
            <w:r w:rsidR="009217FE">
              <w:rPr>
                <w:sz w:val="20"/>
                <w:szCs w:val="20"/>
              </w:rPr>
              <w:t> </w:t>
            </w:r>
            <w:r w:rsidRPr="003F45C5">
              <w:rPr>
                <w:sz w:val="20"/>
                <w:szCs w:val="20"/>
              </w:rPr>
              <w:t>83/65(b)) (UNEP/</w:t>
            </w:r>
            <w:proofErr w:type="spellStart"/>
            <w:r w:rsidRPr="003F45C5">
              <w:rPr>
                <w:sz w:val="20"/>
                <w:szCs w:val="20"/>
              </w:rPr>
              <w:t>OzL.Pro</w:t>
            </w:r>
            <w:proofErr w:type="spellEnd"/>
            <w:r w:rsidRPr="003F45C5">
              <w:rPr>
                <w:sz w:val="20"/>
                <w:szCs w:val="20"/>
              </w:rPr>
              <w:t>/</w:t>
            </w:r>
            <w:proofErr w:type="spellStart"/>
            <w:r w:rsidRPr="003F45C5">
              <w:rPr>
                <w:sz w:val="20"/>
                <w:szCs w:val="20"/>
              </w:rPr>
              <w:t>ExCom</w:t>
            </w:r>
            <w:proofErr w:type="spellEnd"/>
            <w:r w:rsidRPr="003F45C5">
              <w:rPr>
                <w:sz w:val="20"/>
                <w:szCs w:val="20"/>
              </w:rPr>
              <w:t>/</w:t>
            </w:r>
            <w:r w:rsidR="00800DB8" w:rsidRPr="003F45C5">
              <w:rPr>
                <w:sz w:val="20"/>
                <w:szCs w:val="20"/>
              </w:rPr>
              <w:t>87</w:t>
            </w:r>
            <w:r w:rsidRPr="003F45C5">
              <w:rPr>
                <w:sz w:val="20"/>
                <w:szCs w:val="20"/>
              </w:rPr>
              <w:t>/</w:t>
            </w:r>
            <w:r w:rsidR="00800DB8" w:rsidRPr="003F45C5">
              <w:rPr>
                <w:sz w:val="20"/>
                <w:szCs w:val="20"/>
              </w:rPr>
              <w:t>47</w:t>
            </w:r>
            <w:r w:rsidRPr="003F45C5">
              <w:rPr>
                <w:sz w:val="20"/>
                <w:szCs w:val="20"/>
              </w:rPr>
              <w:t>)</w:t>
            </w:r>
          </w:p>
          <w:p w14:paraId="307D7C5F" w14:textId="75BCC380" w:rsidR="00A61DB3" w:rsidRPr="003F45C5" w:rsidRDefault="00A61DB3" w:rsidP="009217FE">
            <w:pPr>
              <w:widowControl w:val="0"/>
              <w:tabs>
                <w:tab w:val="left" w:pos="140"/>
              </w:tabs>
              <w:spacing w:after="40"/>
              <w:ind w:left="140" w:hanging="140"/>
              <w:jc w:val="left"/>
              <w:rPr>
                <w:sz w:val="20"/>
                <w:szCs w:val="20"/>
              </w:rPr>
            </w:pPr>
            <w:r w:rsidRPr="003F45C5">
              <w:rPr>
                <w:sz w:val="20"/>
                <w:szCs w:val="20"/>
              </w:rPr>
              <w:tab/>
              <w:t>Potential strategies, policy measures and commitments, as well as projects and activities that could be integrated within stage</w:t>
            </w:r>
            <w:r w:rsidR="009217FE">
              <w:rPr>
                <w:sz w:val="20"/>
                <w:szCs w:val="20"/>
              </w:rPr>
              <w:t> </w:t>
            </w:r>
            <w:r w:rsidRPr="003F45C5">
              <w:rPr>
                <w:sz w:val="20"/>
                <w:szCs w:val="20"/>
              </w:rPr>
              <w:t>I of HFC phase-down plans for Article</w:t>
            </w:r>
            <w:r w:rsidR="009217FE">
              <w:rPr>
                <w:sz w:val="20"/>
                <w:szCs w:val="20"/>
              </w:rPr>
              <w:t> </w:t>
            </w:r>
            <w:r w:rsidRPr="003F45C5">
              <w:rPr>
                <w:sz w:val="20"/>
                <w:szCs w:val="20"/>
              </w:rPr>
              <w:t>5 countries to ensure limits on growth and reductions in HFC consumption that were sustained over time (decision 84/54(b)) (UNEP/</w:t>
            </w:r>
            <w:proofErr w:type="spellStart"/>
            <w:r w:rsidRPr="003F45C5">
              <w:rPr>
                <w:sz w:val="20"/>
                <w:szCs w:val="20"/>
              </w:rPr>
              <w:t>OzL.Pro</w:t>
            </w:r>
            <w:proofErr w:type="spellEnd"/>
            <w:r w:rsidRPr="003F45C5">
              <w:rPr>
                <w:sz w:val="20"/>
                <w:szCs w:val="20"/>
              </w:rPr>
              <w:t>/</w:t>
            </w:r>
            <w:proofErr w:type="spellStart"/>
            <w:r w:rsidRPr="003F45C5">
              <w:rPr>
                <w:sz w:val="20"/>
                <w:szCs w:val="20"/>
              </w:rPr>
              <w:t>ExCom</w:t>
            </w:r>
            <w:proofErr w:type="spellEnd"/>
            <w:r w:rsidRPr="003F45C5">
              <w:rPr>
                <w:sz w:val="20"/>
                <w:szCs w:val="20"/>
              </w:rPr>
              <w:t>/</w:t>
            </w:r>
            <w:r w:rsidR="00800DB8" w:rsidRPr="003F45C5">
              <w:rPr>
                <w:sz w:val="20"/>
                <w:szCs w:val="20"/>
              </w:rPr>
              <w:t>87</w:t>
            </w:r>
            <w:r w:rsidRPr="003F45C5">
              <w:rPr>
                <w:sz w:val="20"/>
                <w:szCs w:val="20"/>
              </w:rPr>
              <w:t>/</w:t>
            </w:r>
            <w:r w:rsidR="00800DB8" w:rsidRPr="003F45C5">
              <w:rPr>
                <w:sz w:val="20"/>
                <w:szCs w:val="20"/>
              </w:rPr>
              <w:t>45</w:t>
            </w:r>
            <w:r w:rsidRPr="003F45C5">
              <w:rPr>
                <w:sz w:val="20"/>
                <w:szCs w:val="20"/>
              </w:rPr>
              <w:t>)</w:t>
            </w:r>
          </w:p>
        </w:tc>
      </w:tr>
      <w:tr w:rsidR="00A61DB3" w:rsidRPr="008E02B5" w14:paraId="0349168B" w14:textId="77777777" w:rsidTr="00A61DB3">
        <w:tc>
          <w:tcPr>
            <w:tcW w:w="1093" w:type="pct"/>
            <w:tcMar>
              <w:left w:w="58" w:type="dxa"/>
              <w:right w:w="58" w:type="dxa"/>
            </w:tcMar>
          </w:tcPr>
          <w:p w14:paraId="3122CC94" w14:textId="77777777" w:rsidR="00A61DB3" w:rsidRPr="008E02B5" w:rsidRDefault="00A61DB3" w:rsidP="00A61DB3">
            <w:pPr>
              <w:widowControl w:val="0"/>
              <w:spacing w:after="40"/>
              <w:jc w:val="left"/>
              <w:rPr>
                <w:sz w:val="20"/>
                <w:szCs w:val="20"/>
              </w:rPr>
            </w:pPr>
            <w:r w:rsidRPr="008E02B5">
              <w:rPr>
                <w:sz w:val="20"/>
                <w:szCs w:val="20"/>
              </w:rPr>
              <w:lastRenderedPageBreak/>
              <w:t>Energy efficiency</w:t>
            </w:r>
          </w:p>
        </w:tc>
        <w:tc>
          <w:tcPr>
            <w:tcW w:w="524" w:type="pct"/>
            <w:tcMar>
              <w:left w:w="58" w:type="dxa"/>
              <w:right w:w="58" w:type="dxa"/>
            </w:tcMar>
          </w:tcPr>
          <w:p w14:paraId="1F0F2628" w14:textId="77777777" w:rsidR="00A61DB3" w:rsidRPr="008E02B5" w:rsidRDefault="00A61DB3" w:rsidP="00A61DB3">
            <w:pPr>
              <w:widowControl w:val="0"/>
              <w:spacing w:after="40"/>
              <w:jc w:val="left"/>
              <w:rPr>
                <w:sz w:val="20"/>
                <w:szCs w:val="20"/>
              </w:rPr>
            </w:pPr>
            <w:r w:rsidRPr="008E02B5">
              <w:rPr>
                <w:sz w:val="20"/>
                <w:szCs w:val="20"/>
              </w:rPr>
              <w:t xml:space="preserve">22 </w:t>
            </w:r>
          </w:p>
        </w:tc>
        <w:tc>
          <w:tcPr>
            <w:tcW w:w="1525" w:type="pct"/>
            <w:tcMar>
              <w:left w:w="58" w:type="dxa"/>
              <w:right w:w="58" w:type="dxa"/>
            </w:tcMar>
          </w:tcPr>
          <w:p w14:paraId="23377E96" w14:textId="77777777" w:rsidR="00A61DB3" w:rsidRPr="0066354D" w:rsidRDefault="00A61DB3" w:rsidP="00A61DB3">
            <w:pPr>
              <w:widowControl w:val="0"/>
              <w:spacing w:after="40"/>
              <w:jc w:val="left"/>
              <w:rPr>
                <w:sz w:val="20"/>
                <w:szCs w:val="20"/>
              </w:rPr>
            </w:pPr>
            <w:r w:rsidRPr="0066354D">
              <w:rPr>
                <w:sz w:val="20"/>
                <w:szCs w:val="20"/>
              </w:rPr>
              <w:t>At the 80</w:t>
            </w:r>
            <w:r w:rsidRPr="0066354D">
              <w:rPr>
                <w:sz w:val="20"/>
                <w:szCs w:val="20"/>
                <w:vertAlign w:val="superscript"/>
              </w:rPr>
              <w:t>th</w:t>
            </w:r>
            <w:r w:rsidRPr="0066354D">
              <w:rPr>
                <w:sz w:val="20"/>
                <w:szCs w:val="20"/>
              </w:rPr>
              <w:t xml:space="preserve"> meeting, the text related to energy efficiency was removed from the cost guidelines, in order to be discussed separately</w:t>
            </w:r>
          </w:p>
          <w:p w14:paraId="230000DC" w14:textId="63F25BB9" w:rsidR="00A61DB3" w:rsidRPr="0066354D" w:rsidRDefault="00A61DB3" w:rsidP="00A61DB3">
            <w:pPr>
              <w:widowControl w:val="0"/>
              <w:spacing w:after="40"/>
              <w:jc w:val="left"/>
              <w:rPr>
                <w:sz w:val="20"/>
                <w:szCs w:val="20"/>
              </w:rPr>
            </w:pPr>
            <w:r w:rsidRPr="0066354D">
              <w:rPr>
                <w:sz w:val="20"/>
                <w:szCs w:val="20"/>
              </w:rPr>
              <w:t>The following documents have been considered at the 83</w:t>
            </w:r>
            <w:r w:rsidRPr="0066354D">
              <w:rPr>
                <w:sz w:val="20"/>
                <w:szCs w:val="20"/>
                <w:vertAlign w:val="superscript"/>
              </w:rPr>
              <w:t>rd</w:t>
            </w:r>
            <w:r w:rsidRPr="0066354D">
              <w:rPr>
                <w:sz w:val="20"/>
                <w:szCs w:val="20"/>
              </w:rPr>
              <w:t xml:space="preserve"> and 84</w:t>
            </w:r>
            <w:r w:rsidRPr="0066354D">
              <w:rPr>
                <w:sz w:val="20"/>
                <w:szCs w:val="20"/>
                <w:vertAlign w:val="superscript"/>
              </w:rPr>
              <w:t>th</w:t>
            </w:r>
            <w:r w:rsidR="009217FE" w:rsidRPr="0066354D">
              <w:rPr>
                <w:sz w:val="20"/>
                <w:szCs w:val="20"/>
              </w:rPr>
              <w:t> </w:t>
            </w:r>
            <w:r w:rsidRPr="0066354D">
              <w:rPr>
                <w:sz w:val="20"/>
                <w:szCs w:val="20"/>
              </w:rPr>
              <w:t>meetings</w:t>
            </w:r>
            <w:r w:rsidR="006B1AB6" w:rsidRPr="0066354D">
              <w:rPr>
                <w:sz w:val="20"/>
                <w:szCs w:val="20"/>
              </w:rPr>
              <w:t>, and subsequently issued at the 86</w:t>
            </w:r>
            <w:r w:rsidR="006B1AB6" w:rsidRPr="0066354D">
              <w:rPr>
                <w:sz w:val="20"/>
                <w:szCs w:val="20"/>
                <w:vertAlign w:val="superscript"/>
              </w:rPr>
              <w:t>th</w:t>
            </w:r>
            <w:r w:rsidR="009217FE" w:rsidRPr="0066354D">
              <w:rPr>
                <w:sz w:val="20"/>
                <w:szCs w:val="20"/>
              </w:rPr>
              <w:t> </w:t>
            </w:r>
            <w:r w:rsidR="006B1AB6" w:rsidRPr="0066354D">
              <w:rPr>
                <w:sz w:val="20"/>
                <w:szCs w:val="20"/>
              </w:rPr>
              <w:t>meeting</w:t>
            </w:r>
            <w:r w:rsidRPr="0066354D">
              <w:rPr>
                <w:sz w:val="20"/>
                <w:szCs w:val="20"/>
              </w:rPr>
              <w:t xml:space="preserve">: </w:t>
            </w:r>
          </w:p>
          <w:p w14:paraId="66C5F5EC" w14:textId="77777777" w:rsidR="006B1AB6" w:rsidRPr="0066354D" w:rsidRDefault="00A61DB3" w:rsidP="00A61DB3">
            <w:pPr>
              <w:widowControl w:val="0"/>
              <w:spacing w:after="40"/>
              <w:ind w:left="101" w:hanging="101"/>
              <w:jc w:val="left"/>
              <w:outlineLvl w:val="0"/>
              <w:rPr>
                <w:sz w:val="20"/>
                <w:szCs w:val="20"/>
              </w:rPr>
            </w:pPr>
            <w:r w:rsidRPr="0066354D">
              <w:rPr>
                <w:sz w:val="20"/>
                <w:szCs w:val="20"/>
              </w:rPr>
              <w:tab/>
              <w:t>Ways to operationalize paragraph 16 of decision XXVIII/2 and paragraph 2 of decision XXX/5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/83/40,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/84/67</w:t>
            </w:r>
            <w:r w:rsidR="006B1AB6" w:rsidRPr="0066354D">
              <w:rPr>
                <w:sz w:val="20"/>
                <w:szCs w:val="20"/>
              </w:rPr>
              <w:t>,</w:t>
            </w:r>
          </w:p>
          <w:p w14:paraId="522DAC85" w14:textId="21F78CCD" w:rsidR="00A61DB3" w:rsidRPr="0066354D" w:rsidRDefault="006B1AB6" w:rsidP="00A61DB3">
            <w:pPr>
              <w:widowControl w:val="0"/>
              <w:spacing w:after="40"/>
              <w:ind w:left="101" w:hanging="101"/>
              <w:jc w:val="left"/>
              <w:outlineLvl w:val="0"/>
              <w:rPr>
                <w:sz w:val="20"/>
                <w:szCs w:val="20"/>
              </w:rPr>
            </w:pPr>
            <w:r w:rsidRPr="0066354D">
              <w:rPr>
                <w:sz w:val="20"/>
                <w:szCs w:val="20"/>
              </w:rPr>
              <w:t>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/86/92</w:t>
            </w:r>
            <w:r w:rsidR="00A61DB3" w:rsidRPr="0066354D">
              <w:rPr>
                <w:sz w:val="20"/>
                <w:szCs w:val="20"/>
              </w:rPr>
              <w:t xml:space="preserve">) </w:t>
            </w:r>
          </w:p>
          <w:p w14:paraId="633CC0DE" w14:textId="77777777" w:rsidR="00EA6012" w:rsidRPr="0066354D" w:rsidRDefault="00A61DB3" w:rsidP="00EA6012">
            <w:pPr>
              <w:widowControl w:val="0"/>
              <w:spacing w:after="40"/>
              <w:ind w:left="104" w:hanging="104"/>
              <w:jc w:val="left"/>
              <w:outlineLvl w:val="0"/>
              <w:rPr>
                <w:sz w:val="20"/>
                <w:szCs w:val="20"/>
              </w:rPr>
            </w:pPr>
            <w:r w:rsidRPr="0066354D">
              <w:rPr>
                <w:sz w:val="20"/>
                <w:szCs w:val="20"/>
              </w:rPr>
              <w:tab/>
              <w:t>Information on funds and financial institutions mobilizing resources for energy efficiency that may be utilized when phasing down HFCs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/83/41,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/84/68</w:t>
            </w:r>
            <w:r w:rsidR="009217FE" w:rsidRPr="0066354D">
              <w:rPr>
                <w:sz w:val="20"/>
                <w:szCs w:val="20"/>
              </w:rPr>
              <w:t>);</w:t>
            </w:r>
            <w:r w:rsidR="006B1AB6" w:rsidRPr="0066354D">
              <w:rPr>
                <w:sz w:val="20"/>
                <w:szCs w:val="20"/>
              </w:rPr>
              <w:t xml:space="preserve"> this document was followed by the document </w:t>
            </w:r>
            <w:r w:rsidR="009217FE" w:rsidRPr="0066354D">
              <w:rPr>
                <w:sz w:val="20"/>
                <w:szCs w:val="20"/>
              </w:rPr>
              <w:t>“</w:t>
            </w:r>
            <w:r w:rsidR="006B1AB6" w:rsidRPr="0066354D">
              <w:rPr>
                <w:sz w:val="20"/>
                <w:szCs w:val="20"/>
              </w:rPr>
              <w:t>Framework for consultations with relevant funds and financial institutions to explore the mobilization of additional financial resources for maintaining or enhancing energy efficiency when replacing HFCs (decision 84/89)</w:t>
            </w:r>
            <w:r w:rsidR="009217FE" w:rsidRPr="0066354D">
              <w:rPr>
                <w:sz w:val="20"/>
                <w:szCs w:val="20"/>
              </w:rPr>
              <w:t>”</w:t>
            </w:r>
            <w:r w:rsidR="006B1AB6" w:rsidRPr="0066354D">
              <w:rPr>
                <w:sz w:val="20"/>
                <w:szCs w:val="20"/>
              </w:rPr>
              <w:t xml:space="preserve"> </w:t>
            </w:r>
            <w:r w:rsidR="009217FE" w:rsidRPr="0066354D">
              <w:rPr>
                <w:sz w:val="20"/>
                <w:szCs w:val="20"/>
              </w:rPr>
              <w:t>(</w:t>
            </w:r>
            <w:r w:rsidR="006B1AB6" w:rsidRPr="0066354D">
              <w:rPr>
                <w:sz w:val="20"/>
                <w:szCs w:val="20"/>
              </w:rPr>
              <w:t>UNEP/</w:t>
            </w:r>
            <w:proofErr w:type="spellStart"/>
            <w:r w:rsidR="006B1AB6" w:rsidRPr="0066354D">
              <w:rPr>
                <w:sz w:val="20"/>
                <w:szCs w:val="20"/>
              </w:rPr>
              <w:t>OzL.Pro</w:t>
            </w:r>
            <w:proofErr w:type="spellEnd"/>
            <w:r w:rsidR="006B1AB6" w:rsidRPr="0066354D">
              <w:rPr>
                <w:sz w:val="20"/>
                <w:szCs w:val="20"/>
              </w:rPr>
              <w:t>/</w:t>
            </w:r>
            <w:proofErr w:type="spellStart"/>
            <w:r w:rsidR="006B1AB6" w:rsidRPr="0066354D">
              <w:rPr>
                <w:sz w:val="20"/>
                <w:szCs w:val="20"/>
              </w:rPr>
              <w:t>ExCom</w:t>
            </w:r>
            <w:proofErr w:type="spellEnd"/>
            <w:r w:rsidR="006B1AB6" w:rsidRPr="0066354D">
              <w:rPr>
                <w:sz w:val="20"/>
                <w:szCs w:val="20"/>
              </w:rPr>
              <w:t>/86/9</w:t>
            </w:r>
            <w:r w:rsidR="009217FE" w:rsidRPr="0066354D">
              <w:rPr>
                <w:sz w:val="20"/>
                <w:szCs w:val="20"/>
              </w:rPr>
              <w:t>3</w:t>
            </w:r>
            <w:r w:rsidR="006B1AB6" w:rsidRPr="0066354D">
              <w:rPr>
                <w:sz w:val="20"/>
                <w:szCs w:val="20"/>
              </w:rPr>
              <w:t>) discussed at the 86</w:t>
            </w:r>
            <w:r w:rsidR="006B1AB6" w:rsidRPr="0066354D">
              <w:rPr>
                <w:sz w:val="20"/>
                <w:szCs w:val="20"/>
                <w:vertAlign w:val="superscript"/>
              </w:rPr>
              <w:t>th</w:t>
            </w:r>
            <w:r w:rsidR="00EA6012" w:rsidRPr="0066354D">
              <w:t> </w:t>
            </w:r>
            <w:r w:rsidR="006B1AB6" w:rsidRPr="0066354D">
              <w:rPr>
                <w:sz w:val="20"/>
                <w:szCs w:val="20"/>
              </w:rPr>
              <w:t>meeting</w:t>
            </w:r>
          </w:p>
          <w:p w14:paraId="6874A251" w14:textId="14DFA800" w:rsidR="00A61DB3" w:rsidRPr="0066354D" w:rsidRDefault="00A61DB3" w:rsidP="00EA6012">
            <w:pPr>
              <w:widowControl w:val="0"/>
              <w:spacing w:after="40"/>
              <w:ind w:left="104" w:hanging="104"/>
              <w:jc w:val="left"/>
              <w:outlineLvl w:val="0"/>
              <w:rPr>
                <w:sz w:val="20"/>
                <w:szCs w:val="20"/>
              </w:rPr>
            </w:pPr>
            <w:r w:rsidRPr="0066354D">
              <w:rPr>
                <w:sz w:val="20"/>
                <w:szCs w:val="20"/>
              </w:rPr>
              <w:tab/>
              <w:t xml:space="preserve">Summary of the report by the Technology and Economic Assessment Panel (TEAP) on matters related to energy efficiency with regard to the </w:t>
            </w:r>
            <w:r w:rsidRPr="0066354D">
              <w:rPr>
                <w:sz w:val="20"/>
                <w:szCs w:val="20"/>
              </w:rPr>
              <w:lastRenderedPageBreak/>
              <w:t>issues identified in decision 82/83(e)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/83/42, 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/84/69)</w:t>
            </w:r>
            <w:r w:rsidRPr="0066354D">
              <w:rPr>
                <w:sz w:val="20"/>
                <w:szCs w:val="20"/>
                <w:vertAlign w:val="superscript"/>
              </w:rPr>
              <w:footnoteReference w:id="8"/>
            </w:r>
          </w:p>
        </w:tc>
        <w:tc>
          <w:tcPr>
            <w:tcW w:w="1858" w:type="pct"/>
            <w:tcMar>
              <w:left w:w="58" w:type="dxa"/>
              <w:right w:w="58" w:type="dxa"/>
            </w:tcMar>
          </w:tcPr>
          <w:p w14:paraId="5D83F7A2" w14:textId="45751576" w:rsidR="00A61DB3" w:rsidRPr="0066354D" w:rsidRDefault="00A61DB3" w:rsidP="00A61DB3">
            <w:pPr>
              <w:widowControl w:val="0"/>
              <w:spacing w:after="40"/>
              <w:jc w:val="left"/>
              <w:rPr>
                <w:sz w:val="20"/>
                <w:szCs w:val="20"/>
              </w:rPr>
            </w:pPr>
            <w:r w:rsidRPr="0066354D">
              <w:rPr>
                <w:sz w:val="20"/>
                <w:szCs w:val="20"/>
              </w:rPr>
              <w:lastRenderedPageBreak/>
              <w:t>To continue discussions separately under agenda item 13(g) “Matters related to the Kigali Amendment to the Montreal Protocol: Energy efficiency</w:t>
            </w:r>
            <w:r w:rsidR="00EA6012" w:rsidRPr="0066354D">
              <w:rPr>
                <w:sz w:val="20"/>
                <w:szCs w:val="20"/>
              </w:rPr>
              <w:t>,”</w:t>
            </w:r>
            <w:r w:rsidRPr="0066354D">
              <w:rPr>
                <w:sz w:val="20"/>
                <w:szCs w:val="20"/>
              </w:rPr>
              <w:t xml:space="preserve"> the following items:</w:t>
            </w:r>
          </w:p>
          <w:p w14:paraId="2ABFE582" w14:textId="3A829BCB" w:rsidR="00A61DB3" w:rsidRPr="0066354D" w:rsidRDefault="00A61DB3" w:rsidP="00A61DB3">
            <w:pPr>
              <w:widowControl w:val="0"/>
              <w:tabs>
                <w:tab w:val="left" w:pos="136"/>
              </w:tabs>
              <w:spacing w:after="40"/>
              <w:ind w:left="136" w:hanging="136"/>
              <w:jc w:val="left"/>
              <w:rPr>
                <w:sz w:val="20"/>
                <w:szCs w:val="20"/>
              </w:rPr>
            </w:pPr>
            <w:r w:rsidRPr="0066354D">
              <w:rPr>
                <w:sz w:val="20"/>
                <w:szCs w:val="20"/>
              </w:rPr>
              <w:tab/>
              <w:t>Ways to operationalize paragraph 16 of decision XXVIII/2 and paragraph 2 of decision XXX/5 (decision</w:t>
            </w:r>
            <w:r w:rsidR="00EA6012" w:rsidRPr="0066354D">
              <w:rPr>
                <w:sz w:val="20"/>
                <w:szCs w:val="20"/>
              </w:rPr>
              <w:t> </w:t>
            </w:r>
            <w:r w:rsidRPr="0066354D">
              <w:rPr>
                <w:sz w:val="20"/>
                <w:szCs w:val="20"/>
              </w:rPr>
              <w:t>84/88) (</w:t>
            </w:r>
            <w:r w:rsidR="00800DB8" w:rsidRPr="0066354D">
              <w:rPr>
                <w:sz w:val="20"/>
                <w:szCs w:val="20"/>
              </w:rPr>
              <w:t>UNEP/</w:t>
            </w:r>
            <w:proofErr w:type="spellStart"/>
            <w:r w:rsidR="00800DB8" w:rsidRPr="0066354D">
              <w:rPr>
                <w:sz w:val="20"/>
                <w:szCs w:val="20"/>
              </w:rPr>
              <w:t>OzL.Pro</w:t>
            </w:r>
            <w:proofErr w:type="spellEnd"/>
            <w:r w:rsidR="00800DB8" w:rsidRPr="0066354D">
              <w:rPr>
                <w:sz w:val="20"/>
                <w:szCs w:val="20"/>
              </w:rPr>
              <w:t>/</w:t>
            </w:r>
            <w:proofErr w:type="spellStart"/>
            <w:r w:rsidR="00800DB8" w:rsidRPr="0066354D">
              <w:rPr>
                <w:sz w:val="20"/>
                <w:szCs w:val="20"/>
              </w:rPr>
              <w:t>ExCom</w:t>
            </w:r>
            <w:proofErr w:type="spellEnd"/>
            <w:r w:rsidR="00800DB8" w:rsidRPr="0066354D">
              <w:rPr>
                <w:sz w:val="20"/>
                <w:szCs w:val="20"/>
              </w:rPr>
              <w:t>/87</w:t>
            </w:r>
            <w:r w:rsidRPr="0066354D">
              <w:rPr>
                <w:sz w:val="20"/>
                <w:szCs w:val="20"/>
              </w:rPr>
              <w:t>/</w:t>
            </w:r>
            <w:r w:rsidR="00800DB8" w:rsidRPr="0066354D">
              <w:rPr>
                <w:sz w:val="20"/>
                <w:szCs w:val="20"/>
              </w:rPr>
              <w:t>50</w:t>
            </w:r>
            <w:r w:rsidRPr="0066354D">
              <w:rPr>
                <w:sz w:val="20"/>
                <w:szCs w:val="20"/>
              </w:rPr>
              <w:t>)</w:t>
            </w:r>
          </w:p>
          <w:p w14:paraId="1ED47609" w14:textId="2DD92186" w:rsidR="00A61DB3" w:rsidRPr="0066354D" w:rsidRDefault="00A61DB3" w:rsidP="00071EA5">
            <w:pPr>
              <w:widowControl w:val="0"/>
              <w:tabs>
                <w:tab w:val="left" w:pos="136"/>
              </w:tabs>
              <w:ind w:left="130" w:hanging="130"/>
              <w:jc w:val="left"/>
              <w:rPr>
                <w:sz w:val="20"/>
                <w:szCs w:val="20"/>
              </w:rPr>
            </w:pPr>
            <w:r w:rsidRPr="0066354D">
              <w:rPr>
                <w:sz w:val="20"/>
                <w:szCs w:val="20"/>
              </w:rPr>
              <w:tab/>
              <w:t>A framework for consultations with relevant funds and financial institutions to explore, at both the governing and operational levels, the mobilization of financial resources, additional to those provided by the Multilateral Fund, for maintaining or enhancing energy efficiency when replacing HFCs with low</w:t>
            </w:r>
            <w:r w:rsidR="00EA6012" w:rsidRPr="0066354D">
              <w:rPr>
                <w:sz w:val="20"/>
                <w:szCs w:val="20"/>
              </w:rPr>
              <w:noBreakHyphen/>
            </w:r>
            <w:r w:rsidRPr="0066354D">
              <w:rPr>
                <w:sz w:val="20"/>
                <w:szCs w:val="20"/>
              </w:rPr>
              <w:t>GWP refrigerants in the refrigeration and air</w:t>
            </w:r>
            <w:r w:rsidR="00EA6012" w:rsidRPr="0066354D">
              <w:rPr>
                <w:sz w:val="20"/>
                <w:szCs w:val="20"/>
              </w:rPr>
              <w:noBreakHyphen/>
            </w:r>
            <w:r w:rsidRPr="0066354D">
              <w:rPr>
                <w:sz w:val="20"/>
                <w:szCs w:val="20"/>
              </w:rPr>
              <w:t>conditioning sector (decision </w:t>
            </w:r>
            <w:r w:rsidR="00071EA5" w:rsidRPr="0066354D">
              <w:rPr>
                <w:sz w:val="20"/>
                <w:szCs w:val="20"/>
              </w:rPr>
              <w:t>86/94</w:t>
            </w:r>
            <w:r w:rsidRPr="0066354D">
              <w:rPr>
                <w:sz w:val="20"/>
                <w:szCs w:val="20"/>
              </w:rPr>
              <w:t>)</w:t>
            </w:r>
            <w:r w:rsidR="00AA1DA8" w:rsidRPr="0066354D">
              <w:rPr>
                <w:sz w:val="20"/>
                <w:szCs w:val="20"/>
              </w:rPr>
              <w:t>.</w:t>
            </w:r>
            <w:r w:rsidRPr="0066354D">
              <w:rPr>
                <w:sz w:val="20"/>
                <w:szCs w:val="20"/>
              </w:rPr>
              <w:t xml:space="preserve"> </w:t>
            </w:r>
            <w:r w:rsidR="00AA1DA8" w:rsidRPr="0066354D">
              <w:rPr>
                <w:sz w:val="20"/>
                <w:szCs w:val="20"/>
              </w:rPr>
              <w:t>As a result of the discussion at the 86</w:t>
            </w:r>
            <w:r w:rsidR="00AA1DA8" w:rsidRPr="0066354D">
              <w:rPr>
                <w:sz w:val="20"/>
                <w:szCs w:val="20"/>
                <w:vertAlign w:val="superscript"/>
              </w:rPr>
              <w:t>th</w:t>
            </w:r>
            <w:r w:rsidR="00AA1DA8" w:rsidRPr="0066354D">
              <w:rPr>
                <w:sz w:val="20"/>
                <w:szCs w:val="20"/>
              </w:rPr>
              <w:t xml:space="preserve"> meeting, a working text was proposed for consideration at the 87</w:t>
            </w:r>
            <w:r w:rsidR="00AA1DA8" w:rsidRPr="0066354D">
              <w:rPr>
                <w:sz w:val="20"/>
                <w:szCs w:val="20"/>
                <w:vertAlign w:val="superscript"/>
              </w:rPr>
              <w:t>th</w:t>
            </w:r>
            <w:r w:rsidR="00EA6012" w:rsidRPr="0066354D">
              <w:rPr>
                <w:sz w:val="20"/>
                <w:szCs w:val="20"/>
              </w:rPr>
              <w:t> </w:t>
            </w:r>
            <w:r w:rsidR="00AA1DA8" w:rsidRPr="0066354D">
              <w:rPr>
                <w:sz w:val="20"/>
                <w:szCs w:val="20"/>
              </w:rPr>
              <w:t xml:space="preserve">meeting </w:t>
            </w:r>
            <w:r w:rsidRPr="0066354D">
              <w:rPr>
                <w:sz w:val="20"/>
                <w:szCs w:val="20"/>
              </w:rPr>
              <w:t>(UNEP/</w:t>
            </w:r>
            <w:proofErr w:type="spellStart"/>
            <w:r w:rsidRPr="0066354D">
              <w:rPr>
                <w:sz w:val="20"/>
                <w:szCs w:val="20"/>
              </w:rPr>
              <w:t>OzL.Pro</w:t>
            </w:r>
            <w:proofErr w:type="spellEnd"/>
            <w:r w:rsidRPr="0066354D">
              <w:rPr>
                <w:sz w:val="20"/>
                <w:szCs w:val="20"/>
              </w:rPr>
              <w:t>/</w:t>
            </w:r>
            <w:proofErr w:type="spellStart"/>
            <w:r w:rsidRPr="0066354D">
              <w:rPr>
                <w:sz w:val="20"/>
                <w:szCs w:val="20"/>
              </w:rPr>
              <w:t>ExCom</w:t>
            </w:r>
            <w:proofErr w:type="spellEnd"/>
            <w:r w:rsidRPr="0066354D">
              <w:rPr>
                <w:sz w:val="20"/>
                <w:szCs w:val="20"/>
              </w:rPr>
              <w:t>/</w:t>
            </w:r>
            <w:r w:rsidR="00800DB8" w:rsidRPr="0066354D">
              <w:rPr>
                <w:sz w:val="20"/>
                <w:szCs w:val="20"/>
              </w:rPr>
              <w:t>87/51</w:t>
            </w:r>
            <w:r w:rsidRPr="0066354D">
              <w:rPr>
                <w:sz w:val="20"/>
                <w:szCs w:val="20"/>
              </w:rPr>
              <w:t>)</w:t>
            </w:r>
          </w:p>
          <w:p w14:paraId="57C0E786" w14:textId="2104F2FC" w:rsidR="00071EA5" w:rsidRPr="0066354D" w:rsidRDefault="00071EA5" w:rsidP="00A61DB3">
            <w:pPr>
              <w:widowControl w:val="0"/>
              <w:tabs>
                <w:tab w:val="left" w:pos="136"/>
              </w:tabs>
              <w:spacing w:after="40"/>
              <w:ind w:left="136" w:hanging="136"/>
              <w:jc w:val="left"/>
              <w:rPr>
                <w:sz w:val="20"/>
                <w:szCs w:val="20"/>
              </w:rPr>
            </w:pPr>
            <w:r w:rsidRPr="0066354D">
              <w:rPr>
                <w:sz w:val="20"/>
                <w:szCs w:val="20"/>
              </w:rPr>
              <w:tab/>
              <w:t>Discussions will continue at the 87</w:t>
            </w:r>
            <w:r w:rsidRPr="0066354D">
              <w:rPr>
                <w:sz w:val="20"/>
                <w:szCs w:val="20"/>
                <w:vertAlign w:val="superscript"/>
              </w:rPr>
              <w:t>th</w:t>
            </w:r>
            <w:r w:rsidR="00EA6012" w:rsidRPr="0066354D">
              <w:t> </w:t>
            </w:r>
            <w:r w:rsidRPr="0066354D">
              <w:rPr>
                <w:sz w:val="20"/>
                <w:szCs w:val="20"/>
              </w:rPr>
              <w:t>meeting on the basis of the working document produced by the contact group established at the 86</w:t>
            </w:r>
            <w:r w:rsidRPr="0066354D">
              <w:rPr>
                <w:sz w:val="20"/>
                <w:szCs w:val="20"/>
                <w:vertAlign w:val="superscript"/>
              </w:rPr>
              <w:t>th</w:t>
            </w:r>
            <w:r w:rsidR="00EA6012" w:rsidRPr="0066354D">
              <w:rPr>
                <w:sz w:val="20"/>
                <w:szCs w:val="20"/>
              </w:rPr>
              <w:t> </w:t>
            </w:r>
            <w:r w:rsidRPr="0066354D">
              <w:rPr>
                <w:sz w:val="20"/>
                <w:szCs w:val="20"/>
              </w:rPr>
              <w:t>meeting (and contained in the document submitted to the 87</w:t>
            </w:r>
            <w:r w:rsidRPr="0066354D">
              <w:rPr>
                <w:sz w:val="20"/>
                <w:szCs w:val="20"/>
                <w:vertAlign w:val="superscript"/>
              </w:rPr>
              <w:t>th</w:t>
            </w:r>
            <w:r w:rsidR="00EA6012" w:rsidRPr="0066354D">
              <w:rPr>
                <w:sz w:val="20"/>
                <w:szCs w:val="20"/>
              </w:rPr>
              <w:t> </w:t>
            </w:r>
            <w:r w:rsidRPr="0066354D">
              <w:rPr>
                <w:sz w:val="20"/>
                <w:szCs w:val="20"/>
              </w:rPr>
              <w:t>meeting)</w:t>
            </w:r>
          </w:p>
          <w:p w14:paraId="1E7ED89F" w14:textId="5E83F931" w:rsidR="00A61DB3" w:rsidRPr="0066354D" w:rsidRDefault="00A61DB3" w:rsidP="00A61DB3">
            <w:pPr>
              <w:widowControl w:val="0"/>
              <w:spacing w:after="40"/>
              <w:jc w:val="left"/>
              <w:rPr>
                <w:sz w:val="20"/>
                <w:szCs w:val="20"/>
              </w:rPr>
            </w:pPr>
            <w:r w:rsidRPr="0066354D">
              <w:rPr>
                <w:sz w:val="20"/>
                <w:szCs w:val="20"/>
              </w:rPr>
              <w:t>To consider whether to integrate any decisions made on energy efficiency in the cost guidelines</w:t>
            </w:r>
          </w:p>
        </w:tc>
      </w:tr>
      <w:tr w:rsidR="00A61DB3" w:rsidRPr="008E02B5" w14:paraId="2E8350D1" w14:textId="77777777" w:rsidTr="00A61DB3">
        <w:tc>
          <w:tcPr>
            <w:tcW w:w="1093" w:type="pct"/>
            <w:tcMar>
              <w:left w:w="58" w:type="dxa"/>
              <w:right w:w="58" w:type="dxa"/>
            </w:tcMar>
          </w:tcPr>
          <w:p w14:paraId="25F2909D" w14:textId="77777777" w:rsidR="00A61DB3" w:rsidRPr="008E02B5" w:rsidRDefault="00A61DB3" w:rsidP="00A61DB3">
            <w:pPr>
              <w:widowControl w:val="0"/>
              <w:spacing w:after="40"/>
              <w:jc w:val="left"/>
              <w:rPr>
                <w:sz w:val="20"/>
                <w:szCs w:val="20"/>
              </w:rPr>
            </w:pPr>
            <w:r w:rsidRPr="008E02B5">
              <w:rPr>
                <w:sz w:val="20"/>
                <w:szCs w:val="20"/>
              </w:rPr>
              <w:lastRenderedPageBreak/>
              <w:t>Capacity building to address safety</w:t>
            </w:r>
          </w:p>
        </w:tc>
        <w:tc>
          <w:tcPr>
            <w:tcW w:w="524" w:type="pct"/>
            <w:tcMar>
              <w:left w:w="58" w:type="dxa"/>
              <w:right w:w="58" w:type="dxa"/>
            </w:tcMar>
          </w:tcPr>
          <w:p w14:paraId="65A2A0C4" w14:textId="77777777" w:rsidR="00A61DB3" w:rsidRPr="008E02B5" w:rsidRDefault="00A61DB3" w:rsidP="00A61DB3">
            <w:pPr>
              <w:widowControl w:val="0"/>
              <w:spacing w:after="40"/>
              <w:jc w:val="left"/>
              <w:rPr>
                <w:sz w:val="20"/>
                <w:szCs w:val="20"/>
              </w:rPr>
            </w:pPr>
            <w:r w:rsidRPr="008E02B5">
              <w:rPr>
                <w:sz w:val="20"/>
                <w:szCs w:val="20"/>
              </w:rPr>
              <w:t>23</w:t>
            </w:r>
          </w:p>
        </w:tc>
        <w:tc>
          <w:tcPr>
            <w:tcW w:w="1525" w:type="pct"/>
            <w:tcMar>
              <w:left w:w="58" w:type="dxa"/>
              <w:right w:w="58" w:type="dxa"/>
            </w:tcMar>
          </w:tcPr>
          <w:p w14:paraId="2AFE65DB" w14:textId="77777777" w:rsidR="00A61DB3" w:rsidRPr="008E02B5" w:rsidRDefault="00A61DB3" w:rsidP="00A61DB3">
            <w:pPr>
              <w:widowControl w:val="0"/>
              <w:spacing w:after="40"/>
              <w:jc w:val="left"/>
              <w:rPr>
                <w:sz w:val="20"/>
                <w:szCs w:val="20"/>
              </w:rPr>
            </w:pPr>
            <w:r w:rsidRPr="008E02B5">
              <w:rPr>
                <w:sz w:val="20"/>
                <w:szCs w:val="20"/>
              </w:rPr>
              <w:t xml:space="preserve">Text included in the draft template </w:t>
            </w:r>
          </w:p>
        </w:tc>
        <w:tc>
          <w:tcPr>
            <w:tcW w:w="1858" w:type="pct"/>
            <w:shd w:val="clear" w:color="auto" w:fill="auto"/>
            <w:tcMar>
              <w:left w:w="58" w:type="dxa"/>
              <w:right w:w="58" w:type="dxa"/>
            </w:tcMar>
          </w:tcPr>
          <w:p w14:paraId="7C96568D" w14:textId="2F4FD8CE" w:rsidR="00A61DB3" w:rsidRPr="008E02B5" w:rsidRDefault="00A61DB3" w:rsidP="00EA6012">
            <w:pPr>
              <w:widowControl w:val="0"/>
              <w:spacing w:after="40"/>
              <w:jc w:val="left"/>
              <w:rPr>
                <w:sz w:val="20"/>
                <w:szCs w:val="20"/>
              </w:rPr>
            </w:pPr>
            <w:r w:rsidRPr="008E02B5">
              <w:rPr>
                <w:sz w:val="20"/>
                <w:szCs w:val="20"/>
              </w:rPr>
              <w:t xml:space="preserve">To discuss the details on capacity building to address safety together with the discussions on </w:t>
            </w:r>
            <w:r>
              <w:rPr>
                <w:sz w:val="20"/>
                <w:szCs w:val="20"/>
              </w:rPr>
              <w:t xml:space="preserve">the </w:t>
            </w:r>
            <w:r w:rsidRPr="008E02B5">
              <w:rPr>
                <w:sz w:val="20"/>
                <w:szCs w:val="20"/>
              </w:rPr>
              <w:t>refrigeration servicing sector</w:t>
            </w:r>
            <w:r>
              <w:rPr>
                <w:sz w:val="20"/>
                <w:szCs w:val="20"/>
              </w:rPr>
              <w:t xml:space="preserve"> (decision</w:t>
            </w:r>
            <w:r w:rsidR="00EA6012">
              <w:rPr>
                <w:sz w:val="20"/>
                <w:szCs w:val="20"/>
              </w:rPr>
              <w:t> </w:t>
            </w:r>
            <w:r>
              <w:rPr>
                <w:sz w:val="20"/>
                <w:szCs w:val="20"/>
              </w:rPr>
              <w:t>81/67(c))</w:t>
            </w:r>
          </w:p>
        </w:tc>
      </w:tr>
      <w:tr w:rsidR="00A61DB3" w:rsidRPr="008E02B5" w14:paraId="26CD35F1" w14:textId="77777777" w:rsidTr="00A61DB3">
        <w:tc>
          <w:tcPr>
            <w:tcW w:w="1093" w:type="pct"/>
            <w:tcMar>
              <w:left w:w="58" w:type="dxa"/>
              <w:right w:w="58" w:type="dxa"/>
            </w:tcMar>
          </w:tcPr>
          <w:p w14:paraId="7EC0237C" w14:textId="77777777" w:rsidR="00A61DB3" w:rsidRPr="008E02B5" w:rsidRDefault="00A61DB3" w:rsidP="00A61DB3">
            <w:pPr>
              <w:widowControl w:val="0"/>
              <w:spacing w:after="40"/>
              <w:jc w:val="left"/>
              <w:rPr>
                <w:sz w:val="20"/>
                <w:szCs w:val="20"/>
              </w:rPr>
            </w:pPr>
            <w:r w:rsidRPr="008E02B5">
              <w:rPr>
                <w:sz w:val="20"/>
                <w:szCs w:val="20"/>
              </w:rPr>
              <w:t>Disposal</w:t>
            </w:r>
          </w:p>
        </w:tc>
        <w:tc>
          <w:tcPr>
            <w:tcW w:w="524" w:type="pct"/>
            <w:tcMar>
              <w:left w:w="58" w:type="dxa"/>
              <w:right w:w="58" w:type="dxa"/>
            </w:tcMar>
          </w:tcPr>
          <w:p w14:paraId="2C1E49C7" w14:textId="77777777" w:rsidR="00A61DB3" w:rsidRPr="008E02B5" w:rsidRDefault="00A61DB3" w:rsidP="00A61DB3">
            <w:pPr>
              <w:widowControl w:val="0"/>
              <w:spacing w:after="40"/>
              <w:jc w:val="left"/>
              <w:rPr>
                <w:sz w:val="20"/>
                <w:szCs w:val="20"/>
              </w:rPr>
            </w:pPr>
            <w:r w:rsidRPr="008E02B5">
              <w:rPr>
                <w:sz w:val="20"/>
                <w:szCs w:val="20"/>
              </w:rPr>
              <w:t>24</w:t>
            </w:r>
          </w:p>
        </w:tc>
        <w:tc>
          <w:tcPr>
            <w:tcW w:w="1525" w:type="pct"/>
            <w:tcMar>
              <w:left w:w="58" w:type="dxa"/>
              <w:right w:w="58" w:type="dxa"/>
            </w:tcMar>
          </w:tcPr>
          <w:p w14:paraId="21012957" w14:textId="77777777" w:rsidR="00A61DB3" w:rsidRPr="008E02B5" w:rsidRDefault="00A61DB3" w:rsidP="00A61DB3">
            <w:pPr>
              <w:widowControl w:val="0"/>
              <w:spacing w:after="40"/>
              <w:jc w:val="left"/>
              <w:rPr>
                <w:sz w:val="20"/>
                <w:szCs w:val="20"/>
              </w:rPr>
            </w:pPr>
            <w:r w:rsidRPr="008E02B5">
              <w:rPr>
                <w:sz w:val="20"/>
                <w:szCs w:val="20"/>
              </w:rPr>
              <w:t>Discussion started at the 82</w:t>
            </w:r>
            <w:r w:rsidRPr="008E02B5">
              <w:rPr>
                <w:sz w:val="20"/>
                <w:szCs w:val="20"/>
                <w:vertAlign w:val="superscript"/>
              </w:rPr>
              <w:t>nd</w:t>
            </w:r>
            <w:r w:rsidRPr="008E02B5">
              <w:rPr>
                <w:sz w:val="20"/>
                <w:szCs w:val="20"/>
              </w:rPr>
              <w:t> meeting based on the synthesis report on the pilot ODS disposal projects (UNEP/</w:t>
            </w:r>
            <w:proofErr w:type="spellStart"/>
            <w:r w:rsidRPr="008E02B5">
              <w:rPr>
                <w:sz w:val="20"/>
                <w:szCs w:val="20"/>
              </w:rPr>
              <w:t>OzL.Pro</w:t>
            </w:r>
            <w:proofErr w:type="spellEnd"/>
            <w:r w:rsidRPr="008E02B5">
              <w:rPr>
                <w:sz w:val="20"/>
                <w:szCs w:val="20"/>
              </w:rPr>
              <w:t>/</w:t>
            </w:r>
            <w:proofErr w:type="spellStart"/>
            <w:r w:rsidRPr="008E02B5">
              <w:rPr>
                <w:sz w:val="20"/>
                <w:szCs w:val="20"/>
              </w:rPr>
              <w:t>ExCom</w:t>
            </w:r>
            <w:proofErr w:type="spellEnd"/>
            <w:r w:rsidRPr="008E02B5">
              <w:rPr>
                <w:sz w:val="20"/>
                <w:szCs w:val="20"/>
              </w:rPr>
              <w:t xml:space="preserve">/82/21) </w:t>
            </w:r>
          </w:p>
        </w:tc>
        <w:tc>
          <w:tcPr>
            <w:tcW w:w="1858" w:type="pct"/>
            <w:shd w:val="clear" w:color="auto" w:fill="auto"/>
            <w:tcMar>
              <w:left w:w="58" w:type="dxa"/>
              <w:right w:w="58" w:type="dxa"/>
            </w:tcMar>
          </w:tcPr>
          <w:p w14:paraId="449BC479" w14:textId="2661731F" w:rsidR="00A61DB3" w:rsidRPr="008E02B5" w:rsidRDefault="00A61DB3" w:rsidP="00EA6012">
            <w:pPr>
              <w:widowControl w:val="0"/>
              <w:spacing w:after="40"/>
              <w:jc w:val="left"/>
              <w:rPr>
                <w:sz w:val="20"/>
                <w:szCs w:val="20"/>
              </w:rPr>
            </w:pPr>
            <w:r w:rsidRPr="008E02B5">
              <w:rPr>
                <w:sz w:val="20"/>
                <w:szCs w:val="20"/>
              </w:rPr>
              <w:t xml:space="preserve">To discuss the matter based on the document on the Synthesis report describing best practices and ways to consider operationalizing </w:t>
            </w:r>
            <w:r w:rsidRPr="003F45C5">
              <w:rPr>
                <w:sz w:val="20"/>
                <w:szCs w:val="20"/>
              </w:rPr>
              <w:t>paragraph 24 of decision</w:t>
            </w:r>
            <w:r w:rsidR="00EA6012">
              <w:rPr>
                <w:sz w:val="20"/>
                <w:szCs w:val="20"/>
              </w:rPr>
              <w:t> </w:t>
            </w:r>
            <w:r w:rsidRPr="003F45C5">
              <w:rPr>
                <w:sz w:val="20"/>
                <w:szCs w:val="20"/>
              </w:rPr>
              <w:t>XXVIII/2 (decision</w:t>
            </w:r>
            <w:r w:rsidR="00EA6012">
              <w:rPr>
                <w:sz w:val="20"/>
                <w:szCs w:val="20"/>
              </w:rPr>
              <w:t> </w:t>
            </w:r>
            <w:r w:rsidRPr="003F45C5">
              <w:rPr>
                <w:sz w:val="20"/>
                <w:szCs w:val="20"/>
              </w:rPr>
              <w:t>84/87(b)) (UNEP/</w:t>
            </w:r>
            <w:proofErr w:type="spellStart"/>
            <w:r w:rsidRPr="003F45C5">
              <w:rPr>
                <w:sz w:val="20"/>
                <w:szCs w:val="20"/>
              </w:rPr>
              <w:t>OzL.Pro</w:t>
            </w:r>
            <w:proofErr w:type="spellEnd"/>
            <w:r w:rsidRPr="003F45C5">
              <w:rPr>
                <w:sz w:val="20"/>
                <w:szCs w:val="20"/>
              </w:rPr>
              <w:t>/</w:t>
            </w:r>
            <w:proofErr w:type="spellStart"/>
            <w:r w:rsidRPr="003F45C5">
              <w:rPr>
                <w:sz w:val="20"/>
                <w:szCs w:val="20"/>
              </w:rPr>
              <w:t>ExCom</w:t>
            </w:r>
            <w:proofErr w:type="spellEnd"/>
            <w:r w:rsidRPr="003F45C5">
              <w:rPr>
                <w:sz w:val="20"/>
                <w:szCs w:val="20"/>
              </w:rPr>
              <w:t>/</w:t>
            </w:r>
            <w:r w:rsidR="00800DB8" w:rsidRPr="003F45C5">
              <w:rPr>
                <w:sz w:val="20"/>
                <w:szCs w:val="20"/>
              </w:rPr>
              <w:t>87/48</w:t>
            </w:r>
            <w:r w:rsidRPr="003F45C5">
              <w:rPr>
                <w:sz w:val="20"/>
                <w:szCs w:val="20"/>
              </w:rPr>
              <w:t>)</w:t>
            </w:r>
          </w:p>
        </w:tc>
      </w:tr>
    </w:tbl>
    <w:p w14:paraId="299B2C2E" w14:textId="77777777" w:rsidR="00A61DB3" w:rsidRPr="00AC72D7" w:rsidRDefault="00A61DB3" w:rsidP="00A61DB3">
      <w:pPr>
        <w:widowControl w:val="0"/>
        <w:jc w:val="left"/>
      </w:pPr>
    </w:p>
    <w:p w14:paraId="40FA9B15" w14:textId="77777777" w:rsidR="00A61DB3" w:rsidRPr="00AC72D7" w:rsidRDefault="00A61DB3" w:rsidP="00EB6A2A">
      <w:pPr>
        <w:pStyle w:val="Heading1"/>
      </w:pPr>
      <w:r w:rsidRPr="00AC72D7">
        <w:t>As summarized in Table 1 above, the following elements of the cost guidelines for the phase</w:t>
      </w:r>
      <w:r>
        <w:noBreakHyphen/>
      </w:r>
      <w:r w:rsidRPr="00AC72D7">
        <w:t>down of HFCs require further consideration by the Executive Committee:</w:t>
      </w:r>
    </w:p>
    <w:p w14:paraId="691C3B36" w14:textId="77777777" w:rsidR="00A61DB3" w:rsidRPr="00AC72D7" w:rsidRDefault="00A61DB3" w:rsidP="00A61DB3">
      <w:pPr>
        <w:widowControl w:val="0"/>
        <w:numPr>
          <w:ilvl w:val="0"/>
          <w:numId w:val="25"/>
        </w:numPr>
        <w:ind w:hanging="720"/>
        <w:contextualSpacing/>
      </w:pPr>
      <w:r w:rsidRPr="00AC72D7">
        <w:t>Methodology for determining the starting point for sustained aggregate reductions</w:t>
      </w:r>
    </w:p>
    <w:p w14:paraId="7B186480" w14:textId="77777777" w:rsidR="00A61DB3" w:rsidRPr="00AC72D7" w:rsidRDefault="00A61DB3" w:rsidP="00A61DB3">
      <w:pPr>
        <w:widowControl w:val="0"/>
        <w:numPr>
          <w:ilvl w:val="0"/>
          <w:numId w:val="25"/>
        </w:numPr>
        <w:ind w:hanging="720"/>
        <w:contextualSpacing/>
      </w:pPr>
      <w:r w:rsidRPr="00AC72D7">
        <w:t>Eligible incremental costs for the consumption manufacturing sector</w:t>
      </w:r>
    </w:p>
    <w:p w14:paraId="71D47330" w14:textId="77777777" w:rsidR="00A61DB3" w:rsidRPr="00AC72D7" w:rsidRDefault="00A61DB3" w:rsidP="00A61DB3">
      <w:pPr>
        <w:widowControl w:val="0"/>
        <w:numPr>
          <w:ilvl w:val="0"/>
          <w:numId w:val="25"/>
        </w:numPr>
        <w:ind w:hanging="720"/>
        <w:contextualSpacing/>
      </w:pPr>
      <w:r w:rsidRPr="00AC72D7">
        <w:t>Eligible incremental costs for the refrigeration servicing sector</w:t>
      </w:r>
    </w:p>
    <w:p w14:paraId="7E53FFD4" w14:textId="77777777" w:rsidR="00A61DB3" w:rsidRDefault="00A61DB3" w:rsidP="00A61DB3">
      <w:pPr>
        <w:widowControl w:val="0"/>
        <w:numPr>
          <w:ilvl w:val="0"/>
          <w:numId w:val="25"/>
        </w:numPr>
        <w:ind w:hanging="720"/>
        <w:contextualSpacing/>
      </w:pPr>
      <w:r w:rsidRPr="00AC72D7">
        <w:t>Energy efficiency</w:t>
      </w:r>
      <w:r>
        <w:t xml:space="preserve"> (being discussed under a separate agenda item)</w:t>
      </w:r>
    </w:p>
    <w:p w14:paraId="778A70E8" w14:textId="77777777" w:rsidR="00A61DB3" w:rsidRPr="00AC72D7" w:rsidRDefault="00A61DB3" w:rsidP="00A61DB3">
      <w:pPr>
        <w:widowControl w:val="0"/>
        <w:numPr>
          <w:ilvl w:val="0"/>
          <w:numId w:val="25"/>
        </w:numPr>
        <w:ind w:hanging="720"/>
        <w:contextualSpacing/>
      </w:pPr>
      <w:r w:rsidRPr="00AC72D7">
        <w:t>Disposal</w:t>
      </w:r>
    </w:p>
    <w:p w14:paraId="151A6F17" w14:textId="56F78F29" w:rsidR="00A61DB3" w:rsidRPr="003F45C5" w:rsidRDefault="00A61DB3" w:rsidP="00A61DB3">
      <w:pPr>
        <w:widowControl w:val="0"/>
        <w:numPr>
          <w:ilvl w:val="0"/>
          <w:numId w:val="25"/>
        </w:numPr>
        <w:ind w:hanging="720"/>
        <w:contextualSpacing/>
      </w:pPr>
      <w:r w:rsidRPr="003F45C5">
        <w:t>Other general matters related to HFC phase-down (not included in decision</w:t>
      </w:r>
      <w:r w:rsidR="00EA6012">
        <w:t> </w:t>
      </w:r>
      <w:r w:rsidRPr="003F45C5">
        <w:t>XXVIII/2)</w:t>
      </w:r>
    </w:p>
    <w:p w14:paraId="3224941B" w14:textId="77777777" w:rsidR="00A61DB3" w:rsidRPr="003F45C5" w:rsidRDefault="00A61DB3" w:rsidP="00A61DB3">
      <w:pPr>
        <w:widowControl w:val="0"/>
        <w:jc w:val="left"/>
        <w:rPr>
          <w:sz w:val="18"/>
          <w:szCs w:val="18"/>
        </w:rPr>
      </w:pPr>
    </w:p>
    <w:p w14:paraId="4052A5FA" w14:textId="77777777" w:rsidR="00A61DB3" w:rsidRPr="00AC72D7" w:rsidRDefault="00A61DB3" w:rsidP="00A61DB3">
      <w:pPr>
        <w:pStyle w:val="Heading1"/>
      </w:pPr>
      <w:r w:rsidRPr="003F45C5">
        <w:t>To facilitate the discussions at its 8</w:t>
      </w:r>
      <w:r w:rsidR="001D6C9A" w:rsidRPr="003F45C5">
        <w:t>7</w:t>
      </w:r>
      <w:r w:rsidRPr="003F45C5">
        <w:rPr>
          <w:vertAlign w:val="superscript"/>
        </w:rPr>
        <w:t>th</w:t>
      </w:r>
      <w:r w:rsidRPr="003F45C5">
        <w:t xml:space="preserve"> meeting</w:t>
      </w:r>
      <w:r w:rsidRPr="00AC72D7">
        <w:t xml:space="preserve">, the Executive Committee may wish to consider the summary on the progress achieved so far on each of the outstanding elements and the suggestions on how to continue its deliberations as presented below. </w:t>
      </w:r>
    </w:p>
    <w:p w14:paraId="3DB63D50" w14:textId="77777777" w:rsidR="00A61DB3" w:rsidRDefault="00A61DB3" w:rsidP="00A61DB3">
      <w:pPr>
        <w:keepNext/>
        <w:widowControl w:val="0"/>
        <w:rPr>
          <w:u w:val="single"/>
        </w:rPr>
      </w:pPr>
      <w:r w:rsidRPr="00AC72D7">
        <w:rPr>
          <w:u w:val="single"/>
        </w:rPr>
        <w:t>Methodology for determining the starting point for sustained aggregate reductions</w:t>
      </w:r>
    </w:p>
    <w:p w14:paraId="135B0992" w14:textId="77777777" w:rsidR="00A61DB3" w:rsidRPr="00AC72D7" w:rsidRDefault="00A61DB3" w:rsidP="00A61DB3">
      <w:pPr>
        <w:keepNext/>
        <w:widowControl w:val="0"/>
        <w:rPr>
          <w:u w:val="single"/>
        </w:rPr>
      </w:pPr>
    </w:p>
    <w:p w14:paraId="268AE1E9" w14:textId="74D00EA3" w:rsidR="00A61DB3" w:rsidRPr="00AC72D7" w:rsidRDefault="00A61DB3" w:rsidP="00A61DB3">
      <w:pPr>
        <w:pStyle w:val="Heading1"/>
      </w:pPr>
      <w:r w:rsidRPr="00AC72D7">
        <w:t>In response to decision 81/67(e), the Secretariat prepared document UNEP/</w:t>
      </w:r>
      <w:proofErr w:type="spellStart"/>
      <w:r w:rsidRPr="00AC72D7">
        <w:t>OzL.Pro</w:t>
      </w:r>
      <w:proofErr w:type="spellEnd"/>
      <w:r w:rsidRPr="00AC72D7">
        <w:t>/</w:t>
      </w:r>
      <w:proofErr w:type="spellStart"/>
      <w:r w:rsidRPr="00AC72D7">
        <w:t>ExCom</w:t>
      </w:r>
      <w:proofErr w:type="spellEnd"/>
      <w:r w:rsidRPr="00AC72D7">
        <w:t xml:space="preserve">/82/66, </w:t>
      </w:r>
      <w:r w:rsidR="00EA6012">
        <w:t>“</w:t>
      </w:r>
      <w:r w:rsidRPr="00AC72D7">
        <w:t>Key considerations for developing a methodology for establishing the starting point for sustained aggregate reductions for the consumption and production sectors under the Kigali Amendment.</w:t>
      </w:r>
      <w:r w:rsidR="00EA6012">
        <w:t>”</w:t>
      </w:r>
      <w:r w:rsidRPr="00AC72D7">
        <w:t xml:space="preserve"> Section</w:t>
      </w:r>
      <w:r w:rsidR="00EA6012">
        <w:t> </w:t>
      </w:r>
      <w:r w:rsidRPr="00AC72D7">
        <w:t>IV of the document set out a number of key considerations that informed the discussions of the contact group on the cost guidelines in the margins of the 82</w:t>
      </w:r>
      <w:r w:rsidRPr="00AC72D7">
        <w:rPr>
          <w:vertAlign w:val="superscript"/>
        </w:rPr>
        <w:t>nd</w:t>
      </w:r>
      <w:r w:rsidRPr="00AC72D7">
        <w:t>, 83</w:t>
      </w:r>
      <w:r w:rsidRPr="00AC72D7">
        <w:rPr>
          <w:vertAlign w:val="superscript"/>
        </w:rPr>
        <w:t>rd</w:t>
      </w:r>
      <w:r w:rsidRPr="00AC72D7">
        <w:t xml:space="preserve"> and 84</w:t>
      </w:r>
      <w:r w:rsidRPr="00AC72D7">
        <w:rPr>
          <w:vertAlign w:val="superscript"/>
        </w:rPr>
        <w:t>th</w:t>
      </w:r>
      <w:r w:rsidRPr="00AC72D7">
        <w:t xml:space="preserve"> meetings.</w:t>
      </w:r>
      <w:r w:rsidRPr="00AC72D7">
        <w:rPr>
          <w:vertAlign w:val="superscript"/>
        </w:rPr>
        <w:footnoteReference w:id="9"/>
      </w:r>
      <w:r w:rsidRPr="00AC72D7">
        <w:t xml:space="preserve"> The issues discussed by the contact group included, </w:t>
      </w:r>
      <w:r w:rsidRPr="00AC72D7">
        <w:rPr>
          <w:i/>
        </w:rPr>
        <w:t>inter alia</w:t>
      </w:r>
      <w:r w:rsidRPr="00AC72D7">
        <w:t xml:space="preserve">: </w:t>
      </w:r>
    </w:p>
    <w:p w14:paraId="39096024" w14:textId="77777777" w:rsidR="00A61DB3" w:rsidRPr="00AC72D7" w:rsidRDefault="00A61DB3" w:rsidP="00A61DB3">
      <w:pPr>
        <w:widowControl w:val="0"/>
        <w:numPr>
          <w:ilvl w:val="1"/>
          <w:numId w:val="1"/>
        </w:numPr>
        <w:spacing w:after="240"/>
        <w:outlineLvl w:val="1"/>
      </w:pPr>
      <w:r w:rsidRPr="00AC72D7">
        <w:t>The unit of measurement, where some members proposed to use metric tonnes (</w:t>
      </w:r>
      <w:proofErr w:type="spellStart"/>
      <w:r w:rsidRPr="00AC72D7">
        <w:t>mt</w:t>
      </w:r>
      <w:proofErr w:type="spellEnd"/>
      <w:r w:rsidRPr="00AC72D7">
        <w:t xml:space="preserve">), as that unit reflected the actual production of the converted plants, </w:t>
      </w:r>
      <w:r>
        <w:t xml:space="preserve">while </w:t>
      </w:r>
      <w:r w:rsidRPr="00AC72D7">
        <w:t xml:space="preserve">others proposed to use </w:t>
      </w:r>
      <w:r w:rsidRPr="00AC72D7">
        <w:lastRenderedPageBreak/>
        <w:t>CO</w:t>
      </w:r>
      <w:r w:rsidRPr="00AC72D7">
        <w:rPr>
          <w:vertAlign w:val="subscript"/>
        </w:rPr>
        <w:t>2</w:t>
      </w:r>
      <w:r>
        <w:rPr>
          <w:vertAlign w:val="subscript"/>
        </w:rPr>
        <w:noBreakHyphen/>
      </w:r>
      <w:r w:rsidRPr="00AC72D7">
        <w:t xml:space="preserve">equivalent tonnes in order to measure the environmental impact of the conversions, </w:t>
      </w:r>
      <w:r>
        <w:t>and</w:t>
      </w:r>
      <w:r w:rsidRPr="00AC72D7">
        <w:t xml:space="preserve"> others </w:t>
      </w:r>
      <w:r>
        <w:t xml:space="preserve">yet </w:t>
      </w:r>
      <w:r w:rsidRPr="00AC72D7">
        <w:t xml:space="preserve">suggested using both units of measurement at first and making a definitive decision about which </w:t>
      </w:r>
      <w:r>
        <w:t xml:space="preserve">one </w:t>
      </w:r>
      <w:r w:rsidRPr="00AC72D7">
        <w:t xml:space="preserve">to use once the pros and cons of each approach had been ascertained; </w:t>
      </w:r>
    </w:p>
    <w:p w14:paraId="37BA1D45" w14:textId="77777777" w:rsidR="00A61DB3" w:rsidRPr="00AC72D7" w:rsidRDefault="00A61DB3" w:rsidP="00A61DB3">
      <w:pPr>
        <w:widowControl w:val="0"/>
        <w:numPr>
          <w:ilvl w:val="1"/>
          <w:numId w:val="1"/>
        </w:numPr>
        <w:tabs>
          <w:tab w:val="clear" w:pos="0"/>
        </w:tabs>
        <w:spacing w:after="240"/>
        <w:outlineLvl w:val="1"/>
        <w:rPr>
          <w:rFonts w:eastAsia="Calibri"/>
          <w:noProof/>
          <w:color w:val="000000"/>
        </w:rPr>
      </w:pPr>
      <w:r w:rsidRPr="00AC72D7">
        <w:rPr>
          <w:rFonts w:eastAsia="Calibri"/>
          <w:noProof/>
        </w:rPr>
        <w:t>Possible options for determining the starting point, where it was proposed to use the HFC baseline including the HFC and HCFC components</w:t>
      </w:r>
      <w:r>
        <w:rPr>
          <w:rFonts w:eastAsia="Calibri"/>
          <w:noProof/>
        </w:rPr>
        <w:t>,</w:t>
      </w:r>
      <w:r w:rsidRPr="00AC72D7">
        <w:rPr>
          <w:vertAlign w:val="superscript"/>
        </w:rPr>
        <w:footnoteReference w:id="10"/>
      </w:r>
      <w:r w:rsidRPr="00AC72D7">
        <w:rPr>
          <w:rFonts w:eastAsia="Calibri"/>
          <w:noProof/>
        </w:rPr>
        <w:t xml:space="preserve"> the HFC component, or an intermediate value between the two. It was also proposed that Article 5 countries could choose as the starting point the HFC consumption from a number of previous years (e.g., the last year or the average of the last three years) or the year when the first HFC investment project had been approved by the Executive Committee;</w:t>
      </w:r>
    </w:p>
    <w:p w14:paraId="7A01B1E3" w14:textId="77777777" w:rsidR="00A61DB3" w:rsidRPr="00AC72D7" w:rsidRDefault="00A61DB3" w:rsidP="00A61DB3">
      <w:pPr>
        <w:widowControl w:val="0"/>
        <w:numPr>
          <w:ilvl w:val="1"/>
          <w:numId w:val="1"/>
        </w:numPr>
        <w:tabs>
          <w:tab w:val="clear" w:pos="0"/>
        </w:tabs>
        <w:spacing w:after="240"/>
        <w:outlineLvl w:val="1"/>
        <w:rPr>
          <w:rFonts w:eastAsia="Calibri"/>
          <w:noProof/>
          <w:color w:val="000000"/>
        </w:rPr>
      </w:pPr>
      <w:r w:rsidRPr="00AC72D7">
        <w:rPr>
          <w:rFonts w:eastAsia="Calibri"/>
          <w:noProof/>
        </w:rPr>
        <w:t>The inclusion in the starting point of HFC</w:t>
      </w:r>
      <w:r>
        <w:rPr>
          <w:rFonts w:eastAsia="Calibri"/>
          <w:noProof/>
        </w:rPr>
        <w:t>s</w:t>
      </w:r>
      <w:r w:rsidRPr="00AC72D7">
        <w:rPr>
          <w:rFonts w:eastAsia="Calibri"/>
          <w:noProof/>
        </w:rPr>
        <w:t xml:space="preserve"> contained in imported pre-blended polyols, and the exclusion of HFC</w:t>
      </w:r>
      <w:r>
        <w:rPr>
          <w:rFonts w:eastAsia="Calibri"/>
          <w:noProof/>
        </w:rPr>
        <w:t>s</w:t>
      </w:r>
      <w:r w:rsidRPr="00AC72D7">
        <w:rPr>
          <w:rFonts w:eastAsia="Calibri"/>
          <w:noProof/>
        </w:rPr>
        <w:t xml:space="preserve"> contained in exported pre-blended polyols, on the understanding that such consumption would be monitored and controlled by Article 5 countries;</w:t>
      </w:r>
      <w:r w:rsidRPr="00AC72D7">
        <w:rPr>
          <w:rFonts w:eastAsia="Calibri"/>
          <w:noProof/>
          <w:vertAlign w:val="superscript"/>
        </w:rPr>
        <w:footnoteReference w:id="11"/>
      </w:r>
      <w:r w:rsidRPr="00AC72D7">
        <w:rPr>
          <w:rFonts w:eastAsia="Calibri"/>
          <w:noProof/>
        </w:rPr>
        <w:t xml:space="preserve"> </w:t>
      </w:r>
    </w:p>
    <w:p w14:paraId="2E1238CB" w14:textId="77777777" w:rsidR="00A61DB3" w:rsidRPr="00AC72D7" w:rsidRDefault="00A61DB3" w:rsidP="00A61DB3">
      <w:pPr>
        <w:widowControl w:val="0"/>
        <w:numPr>
          <w:ilvl w:val="1"/>
          <w:numId w:val="1"/>
        </w:numPr>
        <w:tabs>
          <w:tab w:val="clear" w:pos="0"/>
        </w:tabs>
        <w:spacing w:after="240"/>
        <w:outlineLvl w:val="1"/>
        <w:rPr>
          <w:rFonts w:eastAsia="Calibri"/>
          <w:noProof/>
          <w:color w:val="000000"/>
        </w:rPr>
      </w:pPr>
      <w:r w:rsidRPr="00AC72D7">
        <w:rPr>
          <w:rFonts w:eastAsia="Calibri"/>
          <w:noProof/>
        </w:rPr>
        <w:t>The exclusion of the HFC phase</w:t>
      </w:r>
      <w:r w:rsidRPr="00AC72D7">
        <w:rPr>
          <w:rFonts w:eastAsia="Calibri"/>
          <w:noProof/>
        </w:rPr>
        <w:noBreakHyphen/>
        <w:t xml:space="preserve">down tail </w:t>
      </w:r>
      <w:r w:rsidRPr="00AC72D7">
        <w:t xml:space="preserve">(i.e., 20 per cent for Article 5 group 1 countries and 15 per cent for Article 5 group 2 countries) </w:t>
      </w:r>
      <w:r w:rsidRPr="00AC72D7">
        <w:rPr>
          <w:rFonts w:eastAsia="Calibri"/>
          <w:noProof/>
        </w:rPr>
        <w:t>from the starting point as the phase-out of that consumption was not mandated by the Montreal Protocol. While there was no consensus, some members indicated that deducting the consumption associated with the tail would imply that the starting point would be based on the HFC baseline for compliance</w:t>
      </w:r>
      <w:r>
        <w:rPr>
          <w:rFonts w:eastAsia="Calibri"/>
          <w:noProof/>
        </w:rPr>
        <w:t>,</w:t>
      </w:r>
      <w:r w:rsidRPr="00AC72D7">
        <w:rPr>
          <w:rFonts w:eastAsia="Calibri"/>
          <w:noProof/>
        </w:rPr>
        <w:t xml:space="preserve"> which would include the totality of the HFC and HCFC components; and</w:t>
      </w:r>
    </w:p>
    <w:p w14:paraId="0C1989CF" w14:textId="77777777" w:rsidR="00A61DB3" w:rsidRPr="003F45C5" w:rsidRDefault="00A61DB3" w:rsidP="00A61DB3">
      <w:pPr>
        <w:pStyle w:val="Heading2"/>
        <w:numPr>
          <w:ilvl w:val="1"/>
          <w:numId w:val="1"/>
        </w:numPr>
        <w:rPr>
          <w:rFonts w:eastAsia="Calibri"/>
          <w:noProof/>
        </w:rPr>
      </w:pPr>
      <w:r w:rsidRPr="00AC72D7">
        <w:rPr>
          <w:rFonts w:eastAsia="Calibri"/>
          <w:noProof/>
        </w:rPr>
        <w:t>Whether sustained reductions from the starting point should be accounted on a substance</w:t>
      </w:r>
      <w:r w:rsidRPr="00AC72D7">
        <w:rPr>
          <w:rFonts w:eastAsia="Calibri"/>
          <w:noProof/>
        </w:rPr>
        <w:noBreakHyphen/>
        <w:t>by</w:t>
      </w:r>
      <w:r w:rsidRPr="00AC72D7">
        <w:rPr>
          <w:rFonts w:eastAsia="Calibri"/>
          <w:noProof/>
        </w:rPr>
        <w:noBreakHyphen/>
        <w:t xml:space="preserve">substance basis. Different views were expressed, including that the starting point should be one </w:t>
      </w:r>
      <w:r w:rsidRPr="003F45C5">
        <w:rPr>
          <w:rFonts w:eastAsia="Calibri"/>
          <w:noProof/>
        </w:rPr>
        <w:t>unique number, and that reductions should be made by substance, but only for the most commonly used HFCs.</w:t>
      </w:r>
    </w:p>
    <w:p w14:paraId="4AC8774E" w14:textId="77777777" w:rsidR="00A61DB3" w:rsidRPr="003F45C5" w:rsidRDefault="00A61DB3" w:rsidP="00A61DB3">
      <w:pPr>
        <w:widowControl w:val="0"/>
        <w:rPr>
          <w:rFonts w:eastAsia="Calibri"/>
          <w:i/>
        </w:rPr>
      </w:pPr>
      <w:r w:rsidRPr="003F45C5">
        <w:rPr>
          <w:rFonts w:eastAsia="Calibri"/>
          <w:i/>
        </w:rPr>
        <w:t xml:space="preserve">Discussions at the </w:t>
      </w:r>
      <w:r w:rsidR="001D6C9A" w:rsidRPr="003F45C5">
        <w:rPr>
          <w:rFonts w:eastAsia="Calibri"/>
          <w:i/>
        </w:rPr>
        <w:t>87</w:t>
      </w:r>
      <w:r w:rsidRPr="003F45C5">
        <w:rPr>
          <w:rFonts w:eastAsia="Calibri"/>
          <w:i/>
          <w:vertAlign w:val="superscript"/>
        </w:rPr>
        <w:t>th</w:t>
      </w:r>
      <w:r w:rsidRPr="003F45C5">
        <w:rPr>
          <w:rFonts w:eastAsia="Calibri"/>
          <w:i/>
        </w:rPr>
        <w:t xml:space="preserve"> meeting on the starting point</w:t>
      </w:r>
    </w:p>
    <w:p w14:paraId="0795D284" w14:textId="77777777" w:rsidR="00A61DB3" w:rsidRPr="003F45C5" w:rsidRDefault="00A61DB3" w:rsidP="00A61DB3">
      <w:pPr>
        <w:widowControl w:val="0"/>
        <w:rPr>
          <w:rFonts w:eastAsia="Calibri"/>
        </w:rPr>
      </w:pPr>
    </w:p>
    <w:p w14:paraId="19B9CA01" w14:textId="49968E52" w:rsidR="00A61DB3" w:rsidRPr="00AC72D7" w:rsidRDefault="00A61DB3" w:rsidP="00A61DB3">
      <w:pPr>
        <w:pStyle w:val="Heading1"/>
      </w:pPr>
      <w:r w:rsidRPr="003F45C5">
        <w:t>The Executive Committee may wish to continue its discussions on the methodology for determining the starting point for sustained aggregate red</w:t>
      </w:r>
      <w:r w:rsidRPr="00AC72D7">
        <w:t>uctions, taking into account the considerations contained in document UNEP/</w:t>
      </w:r>
      <w:proofErr w:type="spellStart"/>
      <w:r w:rsidRPr="00AC72D7">
        <w:t>OzL.Pro</w:t>
      </w:r>
      <w:proofErr w:type="spellEnd"/>
      <w:r w:rsidRPr="00AC72D7">
        <w:t>/</w:t>
      </w:r>
      <w:proofErr w:type="spellStart"/>
      <w:r w:rsidRPr="00AC72D7">
        <w:t>ExCom</w:t>
      </w:r>
      <w:proofErr w:type="spellEnd"/>
      <w:r w:rsidRPr="00AC72D7">
        <w:t xml:space="preserve">/82/66, </w:t>
      </w:r>
      <w:r w:rsidR="00EA6012">
        <w:t>“</w:t>
      </w:r>
      <w:r w:rsidRPr="00AC72D7">
        <w:t>Key considerations for developing a methodology for establishing the starting point for sustained aggregate reductions for the consumption and production sectors under the Kigali Amendment.</w:t>
      </w:r>
      <w:r w:rsidR="00EA6012">
        <w:t>”</w:t>
      </w:r>
    </w:p>
    <w:p w14:paraId="078736BF" w14:textId="77777777" w:rsidR="00A61DB3" w:rsidRPr="00AC72D7" w:rsidRDefault="00A61DB3" w:rsidP="00A61DB3">
      <w:pPr>
        <w:widowControl w:val="0"/>
        <w:spacing w:after="240"/>
        <w:outlineLvl w:val="0"/>
      </w:pPr>
      <w:r w:rsidRPr="00AC72D7">
        <w:rPr>
          <w:u w:val="single"/>
        </w:rPr>
        <w:t>Eligible incremental costs for the consumption manufacturing sector</w:t>
      </w:r>
    </w:p>
    <w:p w14:paraId="694C0192" w14:textId="77777777" w:rsidR="00A61DB3" w:rsidRPr="00AC72D7" w:rsidRDefault="00A61DB3" w:rsidP="00D65C27">
      <w:pPr>
        <w:pStyle w:val="Heading1"/>
        <w:widowControl w:val="0"/>
      </w:pPr>
      <w:r w:rsidRPr="00AC72D7">
        <w:t>Preliminary discussions on cost-effectiveness thresholds for the phase-out of HFCs in the consumption manufacturing sector started at the 78</w:t>
      </w:r>
      <w:r w:rsidRPr="00AC72D7">
        <w:rPr>
          <w:vertAlign w:val="superscript"/>
        </w:rPr>
        <w:t>th</w:t>
      </w:r>
      <w:r w:rsidRPr="00AC72D7">
        <w:t xml:space="preserve"> meeting and continued at the 79</w:t>
      </w:r>
      <w:r w:rsidRPr="00AC72D7">
        <w:rPr>
          <w:vertAlign w:val="superscript"/>
        </w:rPr>
        <w:t>th</w:t>
      </w:r>
      <w:r w:rsidRPr="00AC72D7">
        <w:t xml:space="preserve"> meeting. During the discussions, members noted </w:t>
      </w:r>
      <w:r w:rsidRPr="00AC72D7">
        <w:rPr>
          <w:i/>
        </w:rPr>
        <w:t xml:space="preserve">inter alia </w:t>
      </w:r>
      <w:r w:rsidRPr="00AC72D7">
        <w:t>that the cost-effectiveness thresholds for the phase</w:t>
      </w:r>
      <w:r w:rsidRPr="00AC72D7">
        <w:noBreakHyphen/>
        <w:t xml:space="preserve">out of CFCs and HCFCs were not necessarily applicable to HFCs, that there was limited experience at the Fund in phasing out HFCs in certain sectors, and that the associated incremental costs might differ from the costs associated with phasing out other controlled substances. Accordingly, the Executive Committee considered that additional information was required to reach a decision on eligible incremental costs, and agreed to consider </w:t>
      </w:r>
      <w:r w:rsidRPr="00AC72D7">
        <w:lastRenderedPageBreak/>
        <w:t>approving a limited number of stand-alone HFC investment projects (decisions 78/3(g)</w:t>
      </w:r>
      <w:r w:rsidRPr="00AC72D7">
        <w:rPr>
          <w:vertAlign w:val="superscript"/>
        </w:rPr>
        <w:footnoteReference w:id="12"/>
      </w:r>
      <w:r w:rsidRPr="00AC72D7">
        <w:t xml:space="preserve"> and 79/45</w:t>
      </w:r>
      <w:r w:rsidRPr="00AC72D7">
        <w:rPr>
          <w:vertAlign w:val="superscript"/>
        </w:rPr>
        <w:footnoteReference w:id="13"/>
      </w:r>
      <w:r w:rsidRPr="00AC72D7">
        <w:t xml:space="preserve">). </w:t>
      </w:r>
    </w:p>
    <w:p w14:paraId="23E5231F" w14:textId="77777777" w:rsidR="00A61DB3" w:rsidRPr="00AC72D7" w:rsidRDefault="00A61DB3" w:rsidP="00293DE4">
      <w:pPr>
        <w:pStyle w:val="Heading1"/>
      </w:pPr>
      <w:r w:rsidRPr="00AC72D7">
        <w:t>In line with decisions 78/3(g) and 79/45, at its 80</w:t>
      </w:r>
      <w:r w:rsidRPr="00AC72D7">
        <w:rPr>
          <w:vertAlign w:val="superscript"/>
        </w:rPr>
        <w:t>th</w:t>
      </w:r>
      <w:r w:rsidRPr="00AC72D7">
        <w:t>, 81</w:t>
      </w:r>
      <w:r w:rsidRPr="00AC72D7">
        <w:rPr>
          <w:vertAlign w:val="superscript"/>
        </w:rPr>
        <w:t>st</w:t>
      </w:r>
      <w:r w:rsidRPr="00AC72D7">
        <w:t xml:space="preserve"> and 82</w:t>
      </w:r>
      <w:r w:rsidRPr="00AC72D7">
        <w:rPr>
          <w:vertAlign w:val="superscript"/>
        </w:rPr>
        <w:t>nd</w:t>
      </w:r>
      <w:r w:rsidRPr="00AC72D7">
        <w:t xml:space="preserve"> meetings the Executive Committee approved 10 stand-alone HFC investment projects in the domestic and commercial refrigeration manufacturing sectors.</w:t>
      </w:r>
      <w:r w:rsidRPr="00AC72D7">
        <w:rPr>
          <w:vertAlign w:val="superscript"/>
        </w:rPr>
        <w:footnoteReference w:id="14"/>
      </w:r>
    </w:p>
    <w:p w14:paraId="28811103" w14:textId="77777777" w:rsidR="00A61DB3" w:rsidRPr="003F45C5" w:rsidRDefault="00A61DB3" w:rsidP="00293DE4">
      <w:pPr>
        <w:pStyle w:val="Heading1"/>
        <w:rPr>
          <w:rFonts w:eastAsia="Calibri"/>
          <w:noProof/>
        </w:rPr>
      </w:pPr>
      <w:r w:rsidRPr="00AC72D7">
        <w:rPr>
          <w:rFonts w:eastAsia="Calibri"/>
          <w:noProof/>
        </w:rPr>
        <w:t>Additional discussions were held at the the 83</w:t>
      </w:r>
      <w:r w:rsidRPr="00AC72D7">
        <w:rPr>
          <w:rFonts w:eastAsia="Calibri"/>
          <w:noProof/>
          <w:vertAlign w:val="superscript"/>
        </w:rPr>
        <w:t>rd</w:t>
      </w:r>
      <w:r w:rsidRPr="00AC72D7">
        <w:rPr>
          <w:rFonts w:eastAsia="Calibri"/>
          <w:noProof/>
        </w:rPr>
        <w:t xml:space="preserve"> meeting, where one member proposed that the cost</w:t>
      </w:r>
      <w:r>
        <w:rPr>
          <w:rFonts w:eastAsia="Calibri"/>
          <w:noProof/>
        </w:rPr>
        <w:noBreakHyphen/>
      </w:r>
      <w:r w:rsidRPr="00AC72D7">
        <w:rPr>
          <w:rFonts w:eastAsia="Calibri"/>
          <w:noProof/>
        </w:rPr>
        <w:t>effectiveness thresholds should be established through an appropriate methodology, taking into account relevant information, decisions of the Executive Committee and results of the implementation of stand</w:t>
      </w:r>
      <w:r>
        <w:rPr>
          <w:rFonts w:eastAsia="Calibri"/>
          <w:noProof/>
        </w:rPr>
        <w:noBreakHyphen/>
      </w:r>
      <w:r w:rsidRPr="00AC72D7">
        <w:rPr>
          <w:rFonts w:eastAsia="Calibri"/>
          <w:noProof/>
        </w:rPr>
        <w:t>alone HFC investment projects;</w:t>
      </w:r>
      <w:r w:rsidRPr="00AC72D7">
        <w:rPr>
          <w:rFonts w:eastAsia="Calibri"/>
          <w:noProof/>
          <w:vertAlign w:val="superscript"/>
        </w:rPr>
        <w:footnoteReference w:id="15"/>
      </w:r>
      <w:r w:rsidRPr="00AC72D7">
        <w:rPr>
          <w:rFonts w:eastAsia="Calibri"/>
          <w:noProof/>
        </w:rPr>
        <w:t xml:space="preserve"> and at the 84</w:t>
      </w:r>
      <w:r w:rsidRPr="00AC72D7">
        <w:rPr>
          <w:rFonts w:eastAsia="Calibri"/>
          <w:noProof/>
          <w:vertAlign w:val="superscript"/>
        </w:rPr>
        <w:t>th</w:t>
      </w:r>
      <w:r w:rsidRPr="00AC72D7">
        <w:rPr>
          <w:rFonts w:eastAsia="Calibri"/>
          <w:noProof/>
        </w:rPr>
        <w:t xml:space="preserve"> meeting, where the</w:t>
      </w:r>
      <w:r>
        <w:rPr>
          <w:rFonts w:eastAsia="Calibri"/>
          <w:noProof/>
        </w:rPr>
        <w:t xml:space="preserve"> Executive Committee requested the</w:t>
      </w:r>
      <w:r w:rsidRPr="00AC72D7">
        <w:rPr>
          <w:rFonts w:eastAsia="Calibri"/>
          <w:noProof/>
        </w:rPr>
        <w:t xml:space="preserve"> Secretariat to prepare for the 86</w:t>
      </w:r>
      <w:r w:rsidRPr="00AC72D7">
        <w:rPr>
          <w:rFonts w:eastAsia="Calibri"/>
          <w:noProof/>
          <w:vertAlign w:val="superscript"/>
        </w:rPr>
        <w:t>th</w:t>
      </w:r>
      <w:r w:rsidRPr="00AC72D7">
        <w:rPr>
          <w:rFonts w:eastAsia="Calibri"/>
          <w:noProof/>
        </w:rPr>
        <w:t xml:space="preserve"> meeting an analysis of and information on the ICCs and IOCs and their duration in the consumption manufacturing sector (decision 84/87(a)). </w:t>
      </w:r>
      <w:r w:rsidRPr="00C375EB">
        <w:rPr>
          <w:rFonts w:eastAsia="Calibri"/>
          <w:noProof/>
        </w:rPr>
        <w:t>At the 84</w:t>
      </w:r>
      <w:r w:rsidRPr="00C375EB">
        <w:rPr>
          <w:rFonts w:eastAsia="Calibri"/>
          <w:noProof/>
          <w:vertAlign w:val="superscript"/>
        </w:rPr>
        <w:t>th</w:t>
      </w:r>
      <w:r w:rsidRPr="00C375EB">
        <w:rPr>
          <w:rFonts w:eastAsia="Calibri"/>
          <w:noProof/>
        </w:rPr>
        <w:t xml:space="preserve"> meeting, recognizing the valuable information to be gained from HFC-related stand-</w:t>
      </w:r>
      <w:r w:rsidRPr="003F45C5">
        <w:rPr>
          <w:rFonts w:eastAsia="Calibri"/>
          <w:noProof/>
        </w:rPr>
        <w:t>alone investment projects for use in the preparation of the cost guidelines for the phase-down of HFCs, the Executive Committee also decided to consider proposals for such projects up to the 87</w:t>
      </w:r>
      <w:r w:rsidRPr="003F45C5">
        <w:rPr>
          <w:rFonts w:eastAsia="Calibri"/>
          <w:noProof/>
          <w:vertAlign w:val="superscript"/>
        </w:rPr>
        <w:t>th</w:t>
      </w:r>
      <w:r w:rsidRPr="003F45C5">
        <w:rPr>
          <w:rFonts w:eastAsia="Calibri"/>
          <w:noProof/>
        </w:rPr>
        <w:t xml:space="preserve"> meeting, in accordance with the criteria set out in decisions 78/3(g), 79/45 and 81/53, and prioritizing projects in the stationary air-conditioning, commercial refrigeration and mobile air-conditioning sectors (decision 84/53).</w:t>
      </w:r>
    </w:p>
    <w:p w14:paraId="7A767521" w14:textId="77777777" w:rsidR="00A61DB3" w:rsidRPr="003F45C5" w:rsidRDefault="00A61DB3" w:rsidP="00293DE4">
      <w:pPr>
        <w:pStyle w:val="Heading1"/>
        <w:rPr>
          <w:rFonts w:eastAsia="Calibri"/>
          <w:strike/>
        </w:rPr>
      </w:pPr>
      <w:r w:rsidRPr="003F45C5">
        <w:t>Document UNEP/</w:t>
      </w:r>
      <w:proofErr w:type="spellStart"/>
      <w:r w:rsidRPr="003F45C5">
        <w:t>OzL.Pro</w:t>
      </w:r>
      <w:proofErr w:type="spellEnd"/>
      <w:r w:rsidRPr="003F45C5">
        <w:t>/</w:t>
      </w:r>
      <w:proofErr w:type="spellStart"/>
      <w:r w:rsidRPr="003F45C5">
        <w:t>ExCom</w:t>
      </w:r>
      <w:proofErr w:type="spellEnd"/>
      <w:r w:rsidRPr="003F45C5">
        <w:t>/</w:t>
      </w:r>
      <w:r w:rsidR="006D4CA9" w:rsidRPr="003F45C5">
        <w:t>87/49</w:t>
      </w:r>
      <w:r w:rsidRPr="003F45C5">
        <w:t xml:space="preserve"> containing </w:t>
      </w:r>
      <w:r w:rsidRPr="003F45C5">
        <w:rPr>
          <w:rFonts w:eastAsia="Calibri"/>
          <w:noProof/>
        </w:rPr>
        <w:t>an analysis of and information on the ICCs and IOCs and their duration in the consumption manufacturing sector</w:t>
      </w:r>
      <w:r w:rsidRPr="003F45C5">
        <w:t xml:space="preserve"> has been submitted to the 8</w:t>
      </w:r>
      <w:r w:rsidR="001D6C9A" w:rsidRPr="003F45C5">
        <w:t>7</w:t>
      </w:r>
      <w:r w:rsidRPr="003F45C5">
        <w:rPr>
          <w:vertAlign w:val="superscript"/>
        </w:rPr>
        <w:t>th</w:t>
      </w:r>
      <w:r w:rsidR="00293DE4" w:rsidRPr="003F45C5">
        <w:t> </w:t>
      </w:r>
      <w:r w:rsidRPr="003F45C5">
        <w:t xml:space="preserve">meeting in </w:t>
      </w:r>
      <w:r w:rsidRPr="003F45C5">
        <w:rPr>
          <w:rFonts w:eastAsia="Calibri"/>
          <w:noProof/>
        </w:rPr>
        <w:t>response to decision 84/87(a). The document presents a summary of the ICC, IOC and cost</w:t>
      </w:r>
      <w:r w:rsidR="00293DE4" w:rsidRPr="003F45C5">
        <w:rPr>
          <w:rFonts w:eastAsia="Calibri"/>
          <w:noProof/>
        </w:rPr>
        <w:noBreakHyphen/>
      </w:r>
      <w:r w:rsidRPr="003F45C5">
        <w:rPr>
          <w:rFonts w:eastAsia="Calibri"/>
          <w:noProof/>
        </w:rPr>
        <w:t xml:space="preserve">effectiveness of approved investment projects in the relevant manufacturing sectors and sub-sectors (in particular the refrigeration and air-conditioning and the foam sectors where the large majority of HCFCs and HFCs are used); a preliminary analysis </w:t>
      </w:r>
      <w:r w:rsidRPr="003F45C5">
        <w:t>on the ICC and IOC incurred in the conversion of HFC-consuming enterprises that have been completed; and conclusions and observations.</w:t>
      </w:r>
    </w:p>
    <w:p w14:paraId="2D787969" w14:textId="23185A57" w:rsidR="00A61DB3" w:rsidRPr="003F45C5" w:rsidRDefault="00A61DB3" w:rsidP="00A61DB3">
      <w:pPr>
        <w:widowControl w:val="0"/>
        <w:rPr>
          <w:rFonts w:eastAsia="Calibri"/>
          <w:i/>
        </w:rPr>
      </w:pPr>
      <w:r w:rsidRPr="003F45C5">
        <w:rPr>
          <w:rFonts w:eastAsia="Calibri"/>
          <w:i/>
        </w:rPr>
        <w:t>Discussions at the 8</w:t>
      </w:r>
      <w:r w:rsidR="001D6C9A" w:rsidRPr="003F45C5">
        <w:rPr>
          <w:rFonts w:eastAsia="Calibri"/>
          <w:i/>
        </w:rPr>
        <w:t>7</w:t>
      </w:r>
      <w:r w:rsidRPr="003F45C5">
        <w:rPr>
          <w:rFonts w:eastAsia="Calibri"/>
          <w:i/>
          <w:vertAlign w:val="superscript"/>
        </w:rPr>
        <w:t>th</w:t>
      </w:r>
      <w:r w:rsidRPr="003F45C5">
        <w:rPr>
          <w:rFonts w:eastAsia="Calibri"/>
          <w:i/>
        </w:rPr>
        <w:t xml:space="preserve"> meeting on </w:t>
      </w:r>
      <w:r w:rsidR="00EA6012">
        <w:rPr>
          <w:rFonts w:eastAsia="Calibri"/>
          <w:i/>
        </w:rPr>
        <w:t xml:space="preserve">the </w:t>
      </w:r>
      <w:r w:rsidRPr="003F45C5">
        <w:rPr>
          <w:rFonts w:eastAsia="Calibri"/>
          <w:i/>
        </w:rPr>
        <w:t>cost-effectiveness thresholds for the manufacturing sector</w:t>
      </w:r>
    </w:p>
    <w:p w14:paraId="01D685E4" w14:textId="77777777" w:rsidR="00A61DB3" w:rsidRPr="003F45C5" w:rsidRDefault="00A61DB3" w:rsidP="00A61DB3">
      <w:pPr>
        <w:widowControl w:val="0"/>
        <w:rPr>
          <w:rFonts w:eastAsia="Calibri"/>
        </w:rPr>
      </w:pPr>
    </w:p>
    <w:p w14:paraId="1DDB4004" w14:textId="77777777" w:rsidR="00A61DB3" w:rsidRPr="003F45C5" w:rsidRDefault="00A61DB3" w:rsidP="00EA6012">
      <w:pPr>
        <w:pStyle w:val="Heading1"/>
        <w:widowControl w:val="0"/>
      </w:pPr>
      <w:r w:rsidRPr="003F45C5">
        <w:t>The Executive Committee may wish to continue its discussions on the cost-effectiveness thresholds for the consumption manufacturing sector, taking into account the analysis contained in document UNEP/</w:t>
      </w:r>
      <w:proofErr w:type="spellStart"/>
      <w:r w:rsidRPr="003F45C5">
        <w:t>OzL.Pro</w:t>
      </w:r>
      <w:proofErr w:type="spellEnd"/>
      <w:r w:rsidRPr="003F45C5">
        <w:t>/</w:t>
      </w:r>
      <w:proofErr w:type="spellStart"/>
      <w:r w:rsidRPr="003F45C5">
        <w:t>ExCom</w:t>
      </w:r>
      <w:proofErr w:type="spellEnd"/>
      <w:r w:rsidRPr="003F45C5">
        <w:t>/</w:t>
      </w:r>
      <w:r w:rsidR="001D6C9A" w:rsidRPr="003F45C5">
        <w:t>87/</w:t>
      </w:r>
      <w:r w:rsidR="00A3638E" w:rsidRPr="003F45C5">
        <w:t>49</w:t>
      </w:r>
      <w:r w:rsidRPr="003F45C5">
        <w:t xml:space="preserve">. </w:t>
      </w:r>
    </w:p>
    <w:p w14:paraId="7F33982B" w14:textId="77777777" w:rsidR="00A61DB3" w:rsidRPr="00AC72D7" w:rsidRDefault="00A61DB3" w:rsidP="0066354D">
      <w:pPr>
        <w:widowControl w:val="0"/>
        <w:rPr>
          <w:u w:val="single"/>
        </w:rPr>
      </w:pPr>
      <w:r w:rsidRPr="00AC72D7">
        <w:rPr>
          <w:u w:val="single"/>
        </w:rPr>
        <w:t>Eligible incremental costs for the refrigeration servicing sector</w:t>
      </w:r>
    </w:p>
    <w:p w14:paraId="79619BBC" w14:textId="77777777" w:rsidR="00A61DB3" w:rsidRPr="00AC72D7" w:rsidRDefault="00A61DB3" w:rsidP="0066354D">
      <w:pPr>
        <w:widowControl w:val="0"/>
        <w:rPr>
          <w:u w:val="single"/>
        </w:rPr>
      </w:pPr>
    </w:p>
    <w:p w14:paraId="30A06DB7" w14:textId="77777777" w:rsidR="00A61DB3" w:rsidRPr="00AC72D7" w:rsidRDefault="00A61DB3" w:rsidP="0066354D">
      <w:pPr>
        <w:pStyle w:val="Heading1"/>
        <w:widowControl w:val="0"/>
      </w:pPr>
      <w:r w:rsidRPr="00AC72D7">
        <w:lastRenderedPageBreak/>
        <w:t>Extensive discussions on matters related to the refrigeration servicing sector for the phase-down of HFCs were initiated at the 80</w:t>
      </w:r>
      <w:r w:rsidRPr="00AC72D7">
        <w:rPr>
          <w:vertAlign w:val="superscript"/>
        </w:rPr>
        <w:t>th</w:t>
      </w:r>
      <w:r w:rsidRPr="00AC72D7">
        <w:t xml:space="preserve"> meeting and continued up to the 84</w:t>
      </w:r>
      <w:r w:rsidRPr="00AC72D7">
        <w:rPr>
          <w:vertAlign w:val="superscript"/>
        </w:rPr>
        <w:t>th</w:t>
      </w:r>
      <w:r w:rsidRPr="00AC72D7">
        <w:t xml:space="preserve"> meeting, as summarized below. </w:t>
      </w:r>
    </w:p>
    <w:p w14:paraId="159DC70C" w14:textId="77777777" w:rsidR="00A61DB3" w:rsidRPr="00AC72D7" w:rsidRDefault="00A61DB3" w:rsidP="00A61DB3">
      <w:pPr>
        <w:widowControl w:val="0"/>
        <w:tabs>
          <w:tab w:val="left" w:pos="720"/>
        </w:tabs>
        <w:spacing w:after="240"/>
        <w:outlineLvl w:val="0"/>
        <w:rPr>
          <w:i/>
        </w:rPr>
      </w:pPr>
      <w:r w:rsidRPr="00AC72D7">
        <w:rPr>
          <w:i/>
        </w:rPr>
        <w:t>Discussions at the 82</w:t>
      </w:r>
      <w:r w:rsidRPr="00AC72D7">
        <w:rPr>
          <w:i/>
          <w:vertAlign w:val="superscript"/>
        </w:rPr>
        <w:t>nd</w:t>
      </w:r>
      <w:r w:rsidRPr="00AC72D7">
        <w:rPr>
          <w:i/>
        </w:rPr>
        <w:t xml:space="preserve"> meeting on the refrigeration servicing sector</w:t>
      </w:r>
    </w:p>
    <w:p w14:paraId="60E9C85C" w14:textId="77777777" w:rsidR="00A61DB3" w:rsidRPr="00AC72D7" w:rsidRDefault="00A61DB3" w:rsidP="00A61DB3">
      <w:pPr>
        <w:pStyle w:val="Heading1"/>
      </w:pPr>
      <w:r w:rsidRPr="00AC72D7">
        <w:t>At its 82</w:t>
      </w:r>
      <w:r w:rsidRPr="00AC72D7">
        <w:rPr>
          <w:vertAlign w:val="superscript"/>
        </w:rPr>
        <w:t>nd</w:t>
      </w:r>
      <w:r w:rsidRPr="00AC72D7">
        <w:t xml:space="preserve"> meeting, the Executive Committee considered document</w:t>
      </w:r>
      <w:r w:rsidR="00293DE4">
        <w:t> </w:t>
      </w:r>
      <w:r w:rsidRPr="00AC72D7">
        <w:t>UNEP/</w:t>
      </w:r>
      <w:proofErr w:type="spellStart"/>
      <w:r w:rsidRPr="00AC72D7">
        <w:t>OzL.Pro</w:t>
      </w:r>
      <w:proofErr w:type="spellEnd"/>
      <w:r w:rsidRPr="00AC72D7">
        <w:t>/</w:t>
      </w:r>
      <w:proofErr w:type="spellStart"/>
      <w:r w:rsidRPr="00AC72D7">
        <w:t>ExCom</w:t>
      </w:r>
      <w:proofErr w:type="spellEnd"/>
      <w:r w:rsidRPr="00AC72D7">
        <w:t>/82/64, Preliminary document on all aspects related to the refrigeration servicing sector that support the HFC phase</w:t>
      </w:r>
      <w:r>
        <w:noBreakHyphen/>
      </w:r>
      <w:r w:rsidRPr="00AC72D7">
        <w:t>down, prepared in response to decision 80/76(c).</w:t>
      </w:r>
      <w:r w:rsidRPr="00AC72D7">
        <w:rPr>
          <w:vertAlign w:val="superscript"/>
        </w:rPr>
        <w:footnoteReference w:id="16"/>
      </w:r>
      <w:r w:rsidRPr="00AC72D7">
        <w:t xml:space="preserve"> The document presented an overview of the evolution of the refrigeration servicing sector since the inception of the Multilateral Fund; an analysis of the capacity that had been established and strengthened in relation to policy and regulatory frameworks, training and certification of refrigeration technicians, technical assistance activities; and the information needed for the development of training and competency-based certification programmes for technicians and customs officers. The document also discussed the joint implementation of decision XIX/6 (on HCFCs) and decision XXVIII/2 (on HFCs), taking into consideration the overlapping schedule of HCFC phase</w:t>
      </w:r>
      <w:r w:rsidR="00293DE4">
        <w:noBreakHyphen/>
      </w:r>
      <w:r w:rsidRPr="00AC72D7">
        <w:t xml:space="preserve">out and HFC phase-down. </w:t>
      </w:r>
    </w:p>
    <w:p w14:paraId="03B869B0" w14:textId="77777777" w:rsidR="00A61DB3" w:rsidRPr="00AC72D7" w:rsidRDefault="00A61DB3" w:rsidP="00A61DB3">
      <w:pPr>
        <w:pStyle w:val="Heading1"/>
      </w:pPr>
      <w:r w:rsidRPr="00AC72D7">
        <w:t xml:space="preserve">During the discussions, members identified additional activities in the refrigeration servicing sector that would be required beyond those already being implemented under </w:t>
      </w:r>
      <w:r>
        <w:t xml:space="preserve">the </w:t>
      </w:r>
      <w:r w:rsidRPr="00AC72D7">
        <w:t>HCFC phase-out, including: building capacity on risk assessment and management of flammable refrigerants; activities in the assembly and installation sub</w:t>
      </w:r>
      <w:r w:rsidRPr="00AC72D7">
        <w:noBreakHyphen/>
        <w:t>sector; enhancing and/or maintaining energy efficiency during installation and servicing; and ensuring reclamation of a wider variety of refrigerants, given the possibility of larger quantities of blends for disposal. The Committee also agreed to discuss matters related to an increase in funding for low-volume-consuming (LVC) countries when replacing HCFCs in the servicing sector under energy efficiency as it was related to decision XXX/5.</w:t>
      </w:r>
      <w:r>
        <w:rPr>
          <w:rStyle w:val="FootnoteReference"/>
        </w:rPr>
        <w:footnoteReference w:id="17"/>
      </w:r>
    </w:p>
    <w:p w14:paraId="54BB2681" w14:textId="77777777" w:rsidR="00A61DB3" w:rsidRPr="00AC72D7" w:rsidRDefault="00A61DB3" w:rsidP="00A61DB3">
      <w:pPr>
        <w:widowControl w:val="0"/>
        <w:tabs>
          <w:tab w:val="left" w:pos="720"/>
        </w:tabs>
        <w:spacing w:after="240"/>
        <w:outlineLvl w:val="0"/>
        <w:rPr>
          <w:i/>
        </w:rPr>
      </w:pPr>
      <w:r w:rsidRPr="00AC72D7">
        <w:rPr>
          <w:i/>
        </w:rPr>
        <w:t>Discussions at the 83</w:t>
      </w:r>
      <w:r w:rsidRPr="00AC72D7">
        <w:rPr>
          <w:i/>
          <w:vertAlign w:val="superscript"/>
        </w:rPr>
        <w:t>rd</w:t>
      </w:r>
      <w:r w:rsidRPr="00AC72D7">
        <w:rPr>
          <w:i/>
        </w:rPr>
        <w:t xml:space="preserve"> meeting on the refrigeration servicing sector</w:t>
      </w:r>
    </w:p>
    <w:p w14:paraId="2AC10B17" w14:textId="77777777" w:rsidR="00A61DB3" w:rsidRPr="003F45C5" w:rsidRDefault="00A61DB3" w:rsidP="00293DE4">
      <w:pPr>
        <w:pStyle w:val="Heading1"/>
        <w:rPr>
          <w:i/>
        </w:rPr>
      </w:pPr>
      <w:r w:rsidRPr="000B4987">
        <w:rPr>
          <w:rFonts w:eastAsia="Calibri"/>
          <w:noProof/>
        </w:rPr>
        <w:t>During the discussions of the contact group on the cost guidelines in the margins of the 83</w:t>
      </w:r>
      <w:r w:rsidRPr="000B4987">
        <w:rPr>
          <w:rFonts w:eastAsia="Calibri"/>
          <w:noProof/>
          <w:vertAlign w:val="superscript"/>
        </w:rPr>
        <w:t>rd</w:t>
      </w:r>
      <w:r w:rsidRPr="000B4987">
        <w:rPr>
          <w:rFonts w:eastAsia="Calibri"/>
          <w:noProof/>
        </w:rPr>
        <w:t xml:space="preserve"> meeting, members considered issues related to opportunities and synergies between implementing activities that would concurrently phase out HCFCs and phase down HFCs; challenges in the introduction of low-GWP alternatives; and the flexibility required by Article 5 countries to allocate funding to strategic priorities based on their consumption and national circumstances. Further to the report by the facilitator of the contact group, the Executive Committtee requested the </w:t>
      </w:r>
      <w:r w:rsidRPr="000B4987">
        <w:rPr>
          <w:rFonts w:eastAsia="Calibri"/>
          <w:noProof/>
          <w:color w:val="000000"/>
        </w:rPr>
        <w:t>Secretariat to prepare a document for the 85</w:t>
      </w:r>
      <w:r w:rsidRPr="000B4987">
        <w:rPr>
          <w:rFonts w:eastAsia="Calibri"/>
          <w:noProof/>
          <w:color w:val="000000"/>
          <w:vertAlign w:val="superscript"/>
        </w:rPr>
        <w:t>th</w:t>
      </w:r>
      <w:r w:rsidRPr="000B4987">
        <w:rPr>
          <w:rFonts w:eastAsia="Calibri"/>
          <w:noProof/>
          <w:color w:val="000000"/>
        </w:rPr>
        <w:t xml:space="preserve"> meeting, providing an analysis of the level and modalities of funding for HFC phase-down in the refrigeration servicing sector, in light of the information provided in document UNEP/OzL.Pro/ExCom/82/64 and guidance provided by the Executive Committee, including the flexibility Article 5 countries have in implementing their servicing sector activities in line with their national circumstances </w:t>
      </w:r>
      <w:r w:rsidRPr="003F45C5">
        <w:rPr>
          <w:rFonts w:eastAsia="Calibri"/>
          <w:noProof/>
          <w:color w:val="000000"/>
        </w:rPr>
        <w:t>and the implementation of planned and ongoing activities in their HCFC phase</w:t>
      </w:r>
      <w:r w:rsidR="00293DE4" w:rsidRPr="003F45C5">
        <w:rPr>
          <w:rFonts w:eastAsia="Calibri"/>
          <w:noProof/>
          <w:color w:val="000000"/>
        </w:rPr>
        <w:noBreakHyphen/>
      </w:r>
      <w:r w:rsidRPr="003F45C5">
        <w:rPr>
          <w:rFonts w:eastAsia="Calibri"/>
          <w:noProof/>
          <w:color w:val="000000"/>
        </w:rPr>
        <w:t>out management plans (HPMPs) (</w:t>
      </w:r>
      <w:r w:rsidRPr="003F45C5">
        <w:rPr>
          <w:rFonts w:eastAsia="Calibri"/>
          <w:noProof/>
        </w:rPr>
        <w:t>d</w:t>
      </w:r>
      <w:r w:rsidRPr="003F45C5">
        <w:rPr>
          <w:rFonts w:eastAsia="Calibri"/>
          <w:noProof/>
          <w:color w:val="000000"/>
        </w:rPr>
        <w:t xml:space="preserve">ecision 83/65(b)). In line with that decision, </w:t>
      </w:r>
      <w:r w:rsidRPr="003F45C5">
        <w:t>document </w:t>
      </w:r>
      <w:r w:rsidR="00A3638E" w:rsidRPr="003F45C5">
        <w:t>UNEP/</w:t>
      </w:r>
      <w:proofErr w:type="spellStart"/>
      <w:r w:rsidR="00A3638E" w:rsidRPr="003F45C5">
        <w:t>OzL.Pro</w:t>
      </w:r>
      <w:proofErr w:type="spellEnd"/>
      <w:r w:rsidR="00A3638E" w:rsidRPr="003F45C5">
        <w:t>/</w:t>
      </w:r>
      <w:proofErr w:type="spellStart"/>
      <w:r w:rsidR="00A3638E" w:rsidRPr="003F45C5">
        <w:t>ExCom</w:t>
      </w:r>
      <w:proofErr w:type="spellEnd"/>
      <w:r w:rsidR="00A3638E" w:rsidRPr="003F45C5">
        <w:t>/87/47</w:t>
      </w:r>
      <w:r w:rsidRPr="003F45C5">
        <w:t xml:space="preserve"> has been submitted to the present meeting</w:t>
      </w:r>
      <w:r w:rsidRPr="003F45C5">
        <w:rPr>
          <w:rFonts w:eastAsia="Calibri"/>
          <w:noProof/>
        </w:rPr>
        <w:t xml:space="preserve">. </w:t>
      </w:r>
    </w:p>
    <w:p w14:paraId="4AD33E3B" w14:textId="77777777" w:rsidR="00A61DB3" w:rsidRPr="003F45C5" w:rsidRDefault="00A61DB3" w:rsidP="001D4286">
      <w:pPr>
        <w:pStyle w:val="Heading1"/>
        <w:widowControl w:val="0"/>
        <w:numPr>
          <w:ilvl w:val="0"/>
          <w:numId w:val="0"/>
        </w:numPr>
        <w:tabs>
          <w:tab w:val="left" w:pos="720"/>
        </w:tabs>
        <w:rPr>
          <w:i/>
        </w:rPr>
      </w:pPr>
      <w:r w:rsidRPr="003F45C5">
        <w:rPr>
          <w:i/>
        </w:rPr>
        <w:t>Discussions at the 84</w:t>
      </w:r>
      <w:r w:rsidRPr="003F45C5">
        <w:rPr>
          <w:i/>
          <w:vertAlign w:val="superscript"/>
        </w:rPr>
        <w:t>th</w:t>
      </w:r>
      <w:r w:rsidRPr="003F45C5">
        <w:rPr>
          <w:i/>
        </w:rPr>
        <w:t xml:space="preserve"> meeting on the refrigeration servicing sector</w:t>
      </w:r>
    </w:p>
    <w:p w14:paraId="25074536" w14:textId="77777777" w:rsidR="00A61DB3" w:rsidRPr="00AC72D7" w:rsidRDefault="00A61DB3" w:rsidP="001D4286">
      <w:pPr>
        <w:pStyle w:val="Heading1"/>
        <w:widowControl w:val="0"/>
      </w:pPr>
      <w:r w:rsidRPr="003F45C5">
        <w:t>At its 84</w:t>
      </w:r>
      <w:r w:rsidRPr="003F45C5">
        <w:rPr>
          <w:vertAlign w:val="superscript"/>
        </w:rPr>
        <w:t>th</w:t>
      </w:r>
      <w:r w:rsidRPr="003F45C5">
        <w:t xml:space="preserve"> meeting, the Executive</w:t>
      </w:r>
      <w:r w:rsidRPr="00AC72D7">
        <w:t xml:space="preserve"> Committee discussed, under agenda item 12, “Analysis of the implications of parallel or integrated implementation of HCFC phase-out and HFC phase-down activities</w:t>
      </w:r>
      <w:r>
        <w:t>,</w:t>
      </w:r>
      <w:r w:rsidRPr="00AC72D7">
        <w:t>” document</w:t>
      </w:r>
      <w:r w:rsidR="00293DE4">
        <w:t> </w:t>
      </w:r>
      <w:r w:rsidRPr="00AC72D7">
        <w:t>UNEP/</w:t>
      </w:r>
      <w:proofErr w:type="spellStart"/>
      <w:r w:rsidRPr="00AC72D7">
        <w:t>OzL.Pro</w:t>
      </w:r>
      <w:proofErr w:type="spellEnd"/>
      <w:r w:rsidRPr="00AC72D7">
        <w:t>/</w:t>
      </w:r>
      <w:proofErr w:type="spellStart"/>
      <w:r w:rsidRPr="00AC72D7">
        <w:t>ExCom</w:t>
      </w:r>
      <w:proofErr w:type="spellEnd"/>
      <w:r w:rsidRPr="00AC72D7">
        <w:t xml:space="preserve">/84/65. The document described the compliance targets for HCFCs and </w:t>
      </w:r>
      <w:r w:rsidRPr="00AC72D7">
        <w:lastRenderedPageBreak/>
        <w:t>for HFCs, the estimated consumption of HCFCs and HFCs during the 2020-2030 period and their sectoral distribution, and presented an analysis of the extent to which HCFC phase-out and HFC phase</w:t>
      </w:r>
      <w:r w:rsidR="00293DE4">
        <w:noBreakHyphen/>
      </w:r>
      <w:r w:rsidRPr="00AC72D7">
        <w:t>down activities could be implemented in an integrated or parallel manner. The analysis indicated that</w:t>
      </w:r>
      <w:r>
        <w:t xml:space="preserve"> approximately 100 countries consumed HFCs exclusively in the refrigeration servicing sector, </w:t>
      </w:r>
      <w:r w:rsidRPr="00AC72D7">
        <w:t xml:space="preserve">and concluded </w:t>
      </w:r>
      <w:r w:rsidRPr="00AC72D7">
        <w:rPr>
          <w:i/>
        </w:rPr>
        <w:t xml:space="preserve">inter alia </w:t>
      </w:r>
      <w:r w:rsidRPr="00AC72D7">
        <w:t>that during the 2020</w:t>
      </w:r>
      <w:r w:rsidRPr="00AC72D7">
        <w:noBreakHyphen/>
        <w:t>2030 period Article 5 countries could implement an integrated, cost</w:t>
      </w:r>
      <w:r w:rsidR="00293DE4">
        <w:noBreakHyphen/>
      </w:r>
      <w:r w:rsidRPr="00AC72D7">
        <w:t>effective approach in simultaneously phasing out the remaining consumption of HCFCs and phasing down the consumption of HFCs used in the refrigeration servicing sector.</w:t>
      </w:r>
    </w:p>
    <w:p w14:paraId="22F6F20D" w14:textId="10324384" w:rsidR="00A61DB3" w:rsidRPr="00AC72D7" w:rsidRDefault="00A61DB3" w:rsidP="00A61DB3">
      <w:pPr>
        <w:pStyle w:val="Heading1"/>
      </w:pPr>
      <w:r w:rsidRPr="00AC72D7">
        <w:t>During the discussion, members highlighted potential synergies in HCFC phase-out and HFC phase</w:t>
      </w:r>
      <w:r w:rsidR="0022078F">
        <w:noBreakHyphen/>
      </w:r>
      <w:r w:rsidRPr="00AC72D7">
        <w:t>down in the refrigeration servicing sector, while noting opportunities in the foam, room air</w:t>
      </w:r>
      <w:r>
        <w:noBreakHyphen/>
      </w:r>
      <w:r w:rsidRPr="00AC72D7">
        <w:t>conditioning, commercial refrigeration and chiller manufacturing sectors. Subsequently, the Executive Committee requested the Secretariat to take into account the opportunities for integrated implementation of the phase-out of HCFC and phase-down of HFCs in the refrigeration servicing sector when developing the document on an analysis of the level and modalities of funding for the HFC phase</w:t>
      </w:r>
      <w:r>
        <w:noBreakHyphen/>
      </w:r>
      <w:r w:rsidRPr="00AC72D7">
        <w:t>down in the refrigeration servicing sector requested by decision 83/65(b) (decision</w:t>
      </w:r>
      <w:r w:rsidR="0022078F">
        <w:t> </w:t>
      </w:r>
      <w:r w:rsidRPr="00AC72D7">
        <w:t>84/86(b)(ii)).</w:t>
      </w:r>
    </w:p>
    <w:p w14:paraId="76B0907F" w14:textId="77777777" w:rsidR="00A61DB3" w:rsidRPr="003F45C5" w:rsidRDefault="00A61DB3" w:rsidP="00A61DB3">
      <w:pPr>
        <w:pStyle w:val="Heading1"/>
        <w:rPr>
          <w:rFonts w:eastAsia="Calibri"/>
          <w:noProof/>
        </w:rPr>
      </w:pPr>
      <w:r w:rsidRPr="00B7574F">
        <w:t>Also at its 84</w:t>
      </w:r>
      <w:r w:rsidRPr="00B7574F">
        <w:rPr>
          <w:vertAlign w:val="superscript"/>
        </w:rPr>
        <w:t>th</w:t>
      </w:r>
      <w:r w:rsidRPr="00B7574F">
        <w:t xml:space="preserve"> meeting, the Executive Committee considered under agenda item 9(a) “Overview of issues identified during project review</w:t>
      </w:r>
      <w:r>
        <w:t>,</w:t>
      </w:r>
      <w:r w:rsidRPr="00B7574F">
        <w:t xml:space="preserve">” requests for preparatory funding for HFC phase-down plans and demonstration pilot projects that were included in the </w:t>
      </w:r>
      <w:r w:rsidRPr="003F45C5">
        <w:t>work programme amendments of one implementing agency. Further to a discussion, the Committee requested the Secretariat to prepare for the 85</w:t>
      </w:r>
      <w:r w:rsidRPr="003F45C5">
        <w:rPr>
          <w:vertAlign w:val="superscript"/>
        </w:rPr>
        <w:t>th</w:t>
      </w:r>
      <w:r w:rsidRPr="003F45C5">
        <w:t> meeting: (a)</w:t>
      </w:r>
      <w:r w:rsidR="00293DE4" w:rsidRPr="003F45C5">
        <w:t> </w:t>
      </w:r>
      <w:r w:rsidRPr="003F45C5">
        <w:t>the draft guidelines for the preparation of HFC phase-down plans for Article 5 countries, and (b)</w:t>
      </w:r>
      <w:r w:rsidR="00293DE4" w:rsidRPr="003F45C5">
        <w:t> </w:t>
      </w:r>
      <w:r w:rsidRPr="003F45C5">
        <w:t>a</w:t>
      </w:r>
      <w:r w:rsidR="00293DE4" w:rsidRPr="003F45C5">
        <w:t> </w:t>
      </w:r>
      <w:r w:rsidRPr="003F45C5">
        <w:t>document discussing potential strategies, policy measures and commitments, as well as projects and activities that could be integrated within stage I of HFC phase</w:t>
      </w:r>
      <w:r w:rsidRPr="003F45C5">
        <w:noBreakHyphen/>
        <w:t>down plans for Article 5 countries to ensure limits on growth, and reductions in HFC consumption that were sustained over time, taking into account the parallel or integrated implementation of HCFC phase</w:t>
      </w:r>
      <w:r w:rsidRPr="003F45C5">
        <w:noBreakHyphen/>
        <w:t>out and HFC phase</w:t>
      </w:r>
      <w:r w:rsidRPr="003F45C5">
        <w:noBreakHyphen/>
        <w:t xml:space="preserve">down activities, where appropriate </w:t>
      </w:r>
      <w:r w:rsidRPr="003F45C5">
        <w:rPr>
          <w:bCs/>
          <w:iCs/>
        </w:rPr>
        <w:t>(decision</w:t>
      </w:r>
      <w:r w:rsidR="00293DE4" w:rsidRPr="003F45C5">
        <w:rPr>
          <w:bCs/>
          <w:iCs/>
        </w:rPr>
        <w:t> </w:t>
      </w:r>
      <w:r w:rsidRPr="003F45C5">
        <w:rPr>
          <w:bCs/>
          <w:iCs/>
        </w:rPr>
        <w:t>84/54).</w:t>
      </w:r>
      <w:r w:rsidRPr="003F45C5">
        <w:rPr>
          <w:rFonts w:eastAsia="Calibri"/>
          <w:noProof/>
        </w:rPr>
        <w:t xml:space="preserve"> In line with decision 84/54(b), document </w:t>
      </w:r>
      <w:r w:rsidRPr="003F45C5">
        <w:t>UNEP/</w:t>
      </w:r>
      <w:proofErr w:type="spellStart"/>
      <w:r w:rsidRPr="003F45C5">
        <w:t>OzL.Pro</w:t>
      </w:r>
      <w:proofErr w:type="spellEnd"/>
      <w:r w:rsidRPr="003F45C5">
        <w:t>/</w:t>
      </w:r>
      <w:proofErr w:type="spellStart"/>
      <w:r w:rsidRPr="003F45C5">
        <w:t>ExCom</w:t>
      </w:r>
      <w:proofErr w:type="spellEnd"/>
      <w:r w:rsidRPr="003F45C5">
        <w:t>/</w:t>
      </w:r>
      <w:r w:rsidR="00A3638E" w:rsidRPr="003F45C5">
        <w:t>87/45</w:t>
      </w:r>
      <w:r w:rsidRPr="003F45C5">
        <w:t xml:space="preserve"> has been submitted to the present meeting</w:t>
      </w:r>
      <w:r w:rsidRPr="003F45C5">
        <w:rPr>
          <w:rFonts w:eastAsia="Calibri"/>
          <w:noProof/>
        </w:rPr>
        <w:t xml:space="preserve">. </w:t>
      </w:r>
    </w:p>
    <w:p w14:paraId="6EA445AE" w14:textId="77777777" w:rsidR="00A61DB3" w:rsidRPr="003F45C5" w:rsidRDefault="00A61DB3" w:rsidP="00A61DB3">
      <w:pPr>
        <w:widowControl w:val="0"/>
        <w:rPr>
          <w:rFonts w:eastAsia="Calibri"/>
          <w:i/>
        </w:rPr>
      </w:pPr>
      <w:r w:rsidRPr="003F45C5">
        <w:rPr>
          <w:rFonts w:eastAsia="Calibri"/>
          <w:i/>
        </w:rPr>
        <w:t>Discussions at the 8</w:t>
      </w:r>
      <w:r w:rsidR="00932295" w:rsidRPr="003F45C5">
        <w:rPr>
          <w:rFonts w:eastAsia="Calibri"/>
          <w:i/>
        </w:rPr>
        <w:t>7</w:t>
      </w:r>
      <w:r w:rsidRPr="003F45C5">
        <w:rPr>
          <w:rFonts w:eastAsia="Calibri"/>
          <w:i/>
          <w:vertAlign w:val="superscript"/>
        </w:rPr>
        <w:t>th</w:t>
      </w:r>
      <w:r w:rsidRPr="003F45C5">
        <w:rPr>
          <w:rFonts w:eastAsia="Calibri"/>
          <w:i/>
        </w:rPr>
        <w:t xml:space="preserve"> meeting on the cost-effectiveness in the refrigeration servicing sector</w:t>
      </w:r>
    </w:p>
    <w:p w14:paraId="2F1213A1" w14:textId="77777777" w:rsidR="00A61DB3" w:rsidRPr="003F45C5" w:rsidRDefault="00A61DB3" w:rsidP="00A61DB3">
      <w:pPr>
        <w:widowControl w:val="0"/>
        <w:rPr>
          <w:rFonts w:eastAsia="Calibri"/>
        </w:rPr>
      </w:pPr>
    </w:p>
    <w:p w14:paraId="6387E539" w14:textId="77777777" w:rsidR="00A61DB3" w:rsidRPr="003F45C5" w:rsidRDefault="00A61DB3" w:rsidP="00A61DB3">
      <w:pPr>
        <w:pStyle w:val="Heading1"/>
      </w:pPr>
      <w:r w:rsidRPr="003F45C5">
        <w:t>The Executive Committee may wish to continue its discussions on the cost-effectiveness thresholds for the refrigeration servicing sector, taking into account the relevant information contained in the following documents:</w:t>
      </w:r>
    </w:p>
    <w:p w14:paraId="6F719E76" w14:textId="19A183F2" w:rsidR="00A61DB3" w:rsidRPr="003F45C5" w:rsidRDefault="00A61DB3" w:rsidP="00A61DB3">
      <w:pPr>
        <w:widowControl w:val="0"/>
        <w:numPr>
          <w:ilvl w:val="1"/>
          <w:numId w:val="1"/>
        </w:numPr>
        <w:spacing w:after="240"/>
        <w:outlineLvl w:val="1"/>
      </w:pPr>
      <w:r w:rsidRPr="003F45C5">
        <w:t>UNEP/</w:t>
      </w:r>
      <w:proofErr w:type="spellStart"/>
      <w:r w:rsidRPr="003F45C5">
        <w:t>OzL.Pro</w:t>
      </w:r>
      <w:proofErr w:type="spellEnd"/>
      <w:r w:rsidRPr="003F45C5">
        <w:t>/</w:t>
      </w:r>
      <w:proofErr w:type="spellStart"/>
      <w:r w:rsidRPr="003F45C5">
        <w:t>ExCom</w:t>
      </w:r>
      <w:proofErr w:type="spellEnd"/>
      <w:r w:rsidRPr="003F45C5">
        <w:t>/84/65, Analysis of the implications of parallel or integrated implementation of HCFC phase-out and HFC phase-down activities;</w:t>
      </w:r>
    </w:p>
    <w:p w14:paraId="74D8FE23" w14:textId="64AC1789" w:rsidR="00A61DB3" w:rsidRPr="003F45C5" w:rsidRDefault="00A61DB3" w:rsidP="00A61DB3">
      <w:pPr>
        <w:widowControl w:val="0"/>
        <w:numPr>
          <w:ilvl w:val="1"/>
          <w:numId w:val="1"/>
        </w:numPr>
        <w:spacing w:after="240"/>
        <w:outlineLvl w:val="1"/>
      </w:pPr>
      <w:r w:rsidRPr="003F45C5">
        <w:t>UNEP/</w:t>
      </w:r>
      <w:proofErr w:type="spellStart"/>
      <w:r w:rsidRPr="003F45C5">
        <w:t>OzL.Pro</w:t>
      </w:r>
      <w:proofErr w:type="spellEnd"/>
      <w:r w:rsidRPr="003F45C5">
        <w:t>/</w:t>
      </w:r>
      <w:proofErr w:type="spellStart"/>
      <w:r w:rsidRPr="003F45C5">
        <w:t>ExCom</w:t>
      </w:r>
      <w:proofErr w:type="spellEnd"/>
      <w:r w:rsidRPr="003F45C5">
        <w:t>/</w:t>
      </w:r>
      <w:r w:rsidR="00932295" w:rsidRPr="003F45C5">
        <w:t>87</w:t>
      </w:r>
      <w:r w:rsidR="001932AD" w:rsidRPr="003F45C5">
        <w:t>/</w:t>
      </w:r>
      <w:r w:rsidR="00A3638E" w:rsidRPr="003F45C5">
        <w:t>47</w:t>
      </w:r>
      <w:r w:rsidRPr="003F45C5">
        <w:t>, An analysis of the level and modalities of funding for the HFC phase-down in the refrigeration servicing sector (decision 83/65(b)); and</w:t>
      </w:r>
    </w:p>
    <w:p w14:paraId="439A8CDC" w14:textId="77777777" w:rsidR="00A61DB3" w:rsidRPr="00AC72D7" w:rsidRDefault="00A61DB3" w:rsidP="00A61DB3">
      <w:pPr>
        <w:widowControl w:val="0"/>
        <w:numPr>
          <w:ilvl w:val="1"/>
          <w:numId w:val="1"/>
        </w:numPr>
        <w:spacing w:after="240"/>
        <w:outlineLvl w:val="1"/>
      </w:pPr>
      <w:r w:rsidRPr="003F45C5">
        <w:t>UNEP/</w:t>
      </w:r>
      <w:proofErr w:type="spellStart"/>
      <w:r w:rsidRPr="003F45C5">
        <w:t>OzL.Pro</w:t>
      </w:r>
      <w:proofErr w:type="spellEnd"/>
      <w:r w:rsidRPr="003F45C5">
        <w:t>/</w:t>
      </w:r>
      <w:proofErr w:type="spellStart"/>
      <w:r w:rsidRPr="003F45C5">
        <w:t>ExCom</w:t>
      </w:r>
      <w:proofErr w:type="spellEnd"/>
      <w:r w:rsidRPr="003F45C5">
        <w:t>/</w:t>
      </w:r>
      <w:r w:rsidR="00932295" w:rsidRPr="003F45C5">
        <w:t>87/</w:t>
      </w:r>
      <w:r w:rsidR="00A3638E" w:rsidRPr="003F45C5">
        <w:t>45</w:t>
      </w:r>
      <w:r w:rsidRPr="003F45C5">
        <w:t>, Potential strategies, policy measures and commitments, as well as projects and activities that could be integrated within stage I of HFC phase</w:t>
      </w:r>
      <w:r w:rsidR="00293DE4" w:rsidRPr="003F45C5">
        <w:noBreakHyphen/>
      </w:r>
      <w:r w:rsidRPr="003F45C5">
        <w:t>down plans for Article 5 countries to ensure limits on growth, and reductions in HFC consumption that were sustained over</w:t>
      </w:r>
      <w:r w:rsidRPr="00AC72D7">
        <w:t xml:space="preserve"> time, taking into account the parallel or integrated implementation of HCFC phase-out and HFC phase-down activities, where appropriate (decision</w:t>
      </w:r>
      <w:r w:rsidR="00293DE4">
        <w:t> </w:t>
      </w:r>
      <w:r w:rsidRPr="00AC72D7">
        <w:t>84/54(b))</w:t>
      </w:r>
      <w:r>
        <w:t>.</w:t>
      </w:r>
    </w:p>
    <w:p w14:paraId="1B1AAF69" w14:textId="77777777" w:rsidR="00A61DB3" w:rsidRPr="00A10AE2" w:rsidRDefault="00A61DB3" w:rsidP="005C1C95">
      <w:pPr>
        <w:pStyle w:val="Heading1"/>
        <w:keepNext/>
      </w:pPr>
      <w:r w:rsidRPr="00A10AE2">
        <w:rPr>
          <w:rFonts w:eastAsia="Calibri"/>
          <w:noProof/>
          <w:color w:val="000000"/>
        </w:rPr>
        <w:lastRenderedPageBreak/>
        <w:t>T</w:t>
      </w:r>
      <w:r w:rsidRPr="00A10AE2">
        <w:t>he Executive Committee may also wish to note that:</w:t>
      </w:r>
    </w:p>
    <w:p w14:paraId="69C820AA" w14:textId="726B4207" w:rsidR="00A61DB3" w:rsidRPr="00A3638E" w:rsidRDefault="00A61DB3" w:rsidP="005C1C95">
      <w:pPr>
        <w:pStyle w:val="Heading2"/>
        <w:keepNext/>
        <w:widowControl/>
        <w:numPr>
          <w:ilvl w:val="1"/>
          <w:numId w:val="1"/>
        </w:numPr>
      </w:pPr>
      <w:r w:rsidRPr="00A10AE2">
        <w:t xml:space="preserve">During the </w:t>
      </w:r>
      <w:r>
        <w:t>IAPs</w:t>
      </w:r>
      <w:r w:rsidRPr="00A10AE2">
        <w:t xml:space="preserve"> established for the 85</w:t>
      </w:r>
      <w:r w:rsidRPr="00A10AE2">
        <w:rPr>
          <w:vertAlign w:val="superscript"/>
        </w:rPr>
        <w:t>th</w:t>
      </w:r>
      <w:r w:rsidRPr="00A10AE2">
        <w:t xml:space="preserve"> and 86</w:t>
      </w:r>
      <w:r w:rsidRPr="00A10AE2">
        <w:rPr>
          <w:vertAlign w:val="superscript"/>
        </w:rPr>
        <w:t>th</w:t>
      </w:r>
      <w:r>
        <w:t> </w:t>
      </w:r>
      <w:r w:rsidRPr="00A10AE2">
        <w:t>meetings, it app</w:t>
      </w:r>
      <w:r w:rsidR="005C1C95">
        <w:t xml:space="preserve">roved funding for new stages I, </w:t>
      </w:r>
      <w:r w:rsidRPr="00A10AE2">
        <w:t>II</w:t>
      </w:r>
      <w:r w:rsidR="005C1C95">
        <w:t xml:space="preserve"> </w:t>
      </w:r>
      <w:r w:rsidRPr="00A10AE2">
        <w:t>or III of HPMPs for 4</w:t>
      </w:r>
      <w:r>
        <w:t>2</w:t>
      </w:r>
      <w:r w:rsidR="005C1C95">
        <w:t xml:space="preserve"> Article </w:t>
      </w:r>
      <w:r w:rsidRPr="00A10AE2">
        <w:t>5 countries (i.e., 3</w:t>
      </w:r>
      <w:r>
        <w:t>5</w:t>
      </w:r>
      <w:r w:rsidRPr="00A10AE2">
        <w:t xml:space="preserve"> LVC countries and </w:t>
      </w:r>
      <w:r>
        <w:t>seven</w:t>
      </w:r>
      <w:r w:rsidR="005C1C95">
        <w:t xml:space="preserve"> </w:t>
      </w:r>
      <w:r w:rsidRPr="00A10AE2">
        <w:t>non</w:t>
      </w:r>
      <w:r>
        <w:noBreakHyphen/>
      </w:r>
      <w:r w:rsidRPr="00A10AE2">
        <w:t xml:space="preserve">LVC </w:t>
      </w:r>
      <w:r w:rsidRPr="00A3638E">
        <w:t>countries);</w:t>
      </w:r>
    </w:p>
    <w:p w14:paraId="3D9A0B93" w14:textId="77777777" w:rsidR="00A61DB3" w:rsidRPr="00A3638E" w:rsidRDefault="00A61DB3" w:rsidP="00A61DB3">
      <w:pPr>
        <w:pStyle w:val="Heading2"/>
        <w:numPr>
          <w:ilvl w:val="1"/>
          <w:numId w:val="1"/>
        </w:numPr>
      </w:pPr>
      <w:r w:rsidRPr="00A3638E">
        <w:t>An additional 47 Article 5 countries (i.e., 34 LVC countries and 13 non</w:t>
      </w:r>
      <w:r w:rsidRPr="00A3638E">
        <w:noBreakHyphen/>
        <w:t>LVC countries) are preparing submissions of new stages of their HPMPs for consideration at the 87</w:t>
      </w:r>
      <w:r w:rsidRPr="00A3638E">
        <w:rPr>
          <w:vertAlign w:val="superscript"/>
        </w:rPr>
        <w:t>th</w:t>
      </w:r>
      <w:r w:rsidRPr="00A3638E">
        <w:t xml:space="preserve"> or 88</w:t>
      </w:r>
      <w:r w:rsidRPr="00A3638E">
        <w:rPr>
          <w:vertAlign w:val="superscript"/>
        </w:rPr>
        <w:t>th</w:t>
      </w:r>
      <w:r w:rsidRPr="00A3638E">
        <w:t> meeting;</w:t>
      </w:r>
    </w:p>
    <w:p w14:paraId="59BADCDE" w14:textId="77777777" w:rsidR="00A61DB3" w:rsidRPr="00A10AE2" w:rsidRDefault="00A61DB3" w:rsidP="00A61DB3">
      <w:pPr>
        <w:pStyle w:val="Heading2"/>
        <w:numPr>
          <w:ilvl w:val="1"/>
          <w:numId w:val="1"/>
        </w:numPr>
      </w:pPr>
      <w:r w:rsidRPr="00A10AE2">
        <w:t>A total of 50 Article 5 countries have had their HPMPs approved for the total phase-out of HCFCs;</w:t>
      </w:r>
      <w:r w:rsidR="00293DE4">
        <w:t xml:space="preserve"> and</w:t>
      </w:r>
    </w:p>
    <w:p w14:paraId="70B82203" w14:textId="17ECE6E0" w:rsidR="00A61DB3" w:rsidRPr="00A10AE2" w:rsidRDefault="00A61DB3" w:rsidP="00A61DB3">
      <w:pPr>
        <w:pStyle w:val="Heading2"/>
        <w:numPr>
          <w:ilvl w:val="1"/>
          <w:numId w:val="1"/>
        </w:numPr>
      </w:pPr>
      <w:r w:rsidRPr="00A10AE2">
        <w:t xml:space="preserve">As </w:t>
      </w:r>
      <w:r w:rsidRPr="0066354D">
        <w:t xml:space="preserve">of </w:t>
      </w:r>
      <w:r w:rsidR="00804FFC" w:rsidRPr="0066354D">
        <w:t>26</w:t>
      </w:r>
      <w:r w:rsidRPr="0066354D">
        <w:t xml:space="preserve"> </w:t>
      </w:r>
      <w:r w:rsidR="00804FFC" w:rsidRPr="0066354D">
        <w:t>May 2021</w:t>
      </w:r>
      <w:r w:rsidRPr="0066354D">
        <w:t xml:space="preserve">, </w:t>
      </w:r>
      <w:r w:rsidR="00804FFC" w:rsidRPr="0066354D">
        <w:t>83</w:t>
      </w:r>
      <w:r w:rsidRPr="0066354D">
        <w:t xml:space="preserve"> Article 5 countries (i.e., 5</w:t>
      </w:r>
      <w:r w:rsidR="00804FFC" w:rsidRPr="0066354D">
        <w:t>8</w:t>
      </w:r>
      <w:r w:rsidRPr="0066354D">
        <w:t xml:space="preserve"> LVC countries and 2</w:t>
      </w:r>
      <w:r w:rsidR="00804FFC" w:rsidRPr="0066354D">
        <w:t>5</w:t>
      </w:r>
      <w:r w:rsidRPr="0066354D">
        <w:t xml:space="preserve"> non</w:t>
      </w:r>
      <w:r w:rsidRPr="0066354D">
        <w:noBreakHyphen/>
        <w:t>LVC</w:t>
      </w:r>
      <w:r w:rsidRPr="00A3638E">
        <w:t xml:space="preserve"> countries) had ra</w:t>
      </w:r>
      <w:r w:rsidRPr="00A10AE2">
        <w:t>tified the Kigali Amendment and would be able to submit requests for preparatory funding for HFC phase</w:t>
      </w:r>
      <w:r w:rsidRPr="00A10AE2">
        <w:noBreakHyphen/>
        <w:t xml:space="preserve">down plans. </w:t>
      </w:r>
    </w:p>
    <w:p w14:paraId="62FDC679" w14:textId="77777777" w:rsidR="00A61DB3" w:rsidRPr="00A10AE2" w:rsidRDefault="00A61DB3" w:rsidP="00A61DB3">
      <w:pPr>
        <w:pStyle w:val="Heading1"/>
      </w:pPr>
      <w:r w:rsidRPr="00A10AE2">
        <w:t xml:space="preserve">Therefore, in the near future, a large number of Article 5 countries could be implementing activities in the refrigeration servicing sector under their HPMPs and under their HFC phase-down plans. </w:t>
      </w:r>
    </w:p>
    <w:p w14:paraId="3CB3F3B0" w14:textId="77777777" w:rsidR="00A61DB3" w:rsidRPr="00AC72D7" w:rsidRDefault="00A61DB3" w:rsidP="00A61DB3">
      <w:pPr>
        <w:keepNext/>
        <w:rPr>
          <w:u w:val="single"/>
        </w:rPr>
      </w:pPr>
      <w:r w:rsidRPr="00A10AE2">
        <w:rPr>
          <w:u w:val="single"/>
        </w:rPr>
        <w:t>Energy efficiency</w:t>
      </w:r>
    </w:p>
    <w:p w14:paraId="5E9877B5" w14:textId="77777777" w:rsidR="00A61DB3" w:rsidRPr="00AC72D7" w:rsidRDefault="00A61DB3" w:rsidP="00A61DB3">
      <w:pPr>
        <w:widowControl w:val="0"/>
      </w:pPr>
    </w:p>
    <w:p w14:paraId="1A35539E" w14:textId="77777777" w:rsidR="00A61DB3" w:rsidRPr="000861E9" w:rsidRDefault="00A61DB3" w:rsidP="00A61DB3">
      <w:pPr>
        <w:pStyle w:val="Heading1"/>
      </w:pPr>
      <w:r w:rsidRPr="00AC72D7">
        <w:t>Matters related to energy efficiency were first discussed in the contact group on the cost guidelines for the phase-down of HFCs, established in the margins of the 81</w:t>
      </w:r>
      <w:r w:rsidRPr="00AC72D7">
        <w:rPr>
          <w:vertAlign w:val="superscript"/>
        </w:rPr>
        <w:t>st</w:t>
      </w:r>
      <w:r w:rsidRPr="00AC72D7">
        <w:t> meeting</w:t>
      </w:r>
      <w:r>
        <w:t xml:space="preserve"> and subsequently discussed under a separate agenda item since the 83</w:t>
      </w:r>
      <w:r w:rsidRPr="001E358F">
        <w:rPr>
          <w:vertAlign w:val="superscript"/>
        </w:rPr>
        <w:t>rd</w:t>
      </w:r>
      <w:r>
        <w:t xml:space="preserve"> meeting. </w:t>
      </w:r>
      <w:r w:rsidRPr="00FF2DFD">
        <w:t xml:space="preserve">Once the Executive Committee has finished its deliberations on energy efficiency, the Executive Committee may wish to consider whether </w:t>
      </w:r>
      <w:r w:rsidRPr="000861E9">
        <w:t xml:space="preserve">to include in the cost guidelines for </w:t>
      </w:r>
      <w:r>
        <w:t xml:space="preserve">the </w:t>
      </w:r>
      <w:r w:rsidRPr="000861E9">
        <w:t>phas</w:t>
      </w:r>
      <w:r>
        <w:t>e-</w:t>
      </w:r>
      <w:r w:rsidRPr="000861E9">
        <w:t xml:space="preserve">down </w:t>
      </w:r>
      <w:r>
        <w:t xml:space="preserve">of </w:t>
      </w:r>
      <w:r w:rsidRPr="000861E9">
        <w:t>HFCs in Article 5 countries any decision it has adopted on energy efficiency.</w:t>
      </w:r>
    </w:p>
    <w:p w14:paraId="0AD5875A" w14:textId="77777777" w:rsidR="00A61DB3" w:rsidRPr="00AC72D7" w:rsidRDefault="00A61DB3" w:rsidP="00A61DB3">
      <w:pPr>
        <w:keepNext/>
        <w:keepLines/>
        <w:rPr>
          <w:u w:val="single"/>
        </w:rPr>
      </w:pPr>
      <w:r w:rsidRPr="00AC72D7">
        <w:rPr>
          <w:u w:val="single"/>
        </w:rPr>
        <w:t>Disposal</w:t>
      </w:r>
    </w:p>
    <w:p w14:paraId="3CB64EF4" w14:textId="77777777" w:rsidR="00A61DB3" w:rsidRPr="00AC72D7" w:rsidRDefault="00A61DB3" w:rsidP="00A61DB3">
      <w:pPr>
        <w:keepNext/>
        <w:keepLines/>
      </w:pPr>
    </w:p>
    <w:p w14:paraId="38FFB684" w14:textId="77777777" w:rsidR="00A61DB3" w:rsidRPr="00AC72D7" w:rsidRDefault="00A61DB3" w:rsidP="00A61DB3">
      <w:pPr>
        <w:pStyle w:val="Heading1"/>
        <w:keepNext/>
        <w:keepLines/>
      </w:pPr>
      <w:r w:rsidRPr="00AC72D7">
        <w:t>Between its 58</w:t>
      </w:r>
      <w:r w:rsidRPr="00AC72D7">
        <w:rPr>
          <w:vertAlign w:val="superscript"/>
        </w:rPr>
        <w:t>th</w:t>
      </w:r>
      <w:r w:rsidRPr="00AC72D7">
        <w:t xml:space="preserve"> and 73</w:t>
      </w:r>
      <w:r w:rsidRPr="00AC72D7">
        <w:rPr>
          <w:vertAlign w:val="superscript"/>
        </w:rPr>
        <w:t>rd</w:t>
      </w:r>
      <w:r w:rsidRPr="00AC72D7">
        <w:t xml:space="preserve"> meetings, the Executive Committee approved funding for the preparation of 16 project proposals that resulted in the approval of pilot demonstration projects for ODS waste management and disposal in 11 Article 5 countries, two regional projects and one technical assistance project. </w:t>
      </w:r>
    </w:p>
    <w:p w14:paraId="4509B18E" w14:textId="77777777" w:rsidR="00A61DB3" w:rsidRDefault="00A61DB3" w:rsidP="00A61DB3">
      <w:pPr>
        <w:pStyle w:val="Heading1"/>
      </w:pPr>
      <w:r w:rsidRPr="00AC72D7">
        <w:t>At its 79</w:t>
      </w:r>
      <w:r w:rsidRPr="00AC72D7">
        <w:rPr>
          <w:vertAlign w:val="superscript"/>
        </w:rPr>
        <w:t>th</w:t>
      </w:r>
      <w:r w:rsidRPr="00AC72D7">
        <w:t xml:space="preserve"> meeting, the Executive Committee considered a progress report on the implementation of the pilot demonstration projects for ODS waste management and disposal.</w:t>
      </w:r>
      <w:r w:rsidRPr="00AC72D7">
        <w:rPr>
          <w:vertAlign w:val="superscript"/>
        </w:rPr>
        <w:footnoteReference w:id="18"/>
      </w:r>
      <w:r w:rsidRPr="00AC72D7">
        <w:t xml:space="preserve"> Further to a discussion, the Executive Committee requested the Secretariat to submit to the 82</w:t>
      </w:r>
      <w:r w:rsidRPr="00AC72D7">
        <w:rPr>
          <w:vertAlign w:val="superscript"/>
        </w:rPr>
        <w:t>nd</w:t>
      </w:r>
      <w:r w:rsidRPr="00AC72D7">
        <w:t xml:space="preserve"> meeting a synthesis report on the pilot ODS disposal projects that had been completed (decision 79/18(e)</w:t>
      </w:r>
      <w:r>
        <w:t>)</w:t>
      </w:r>
      <w:r w:rsidRPr="00AC72D7">
        <w:t>.</w:t>
      </w:r>
    </w:p>
    <w:p w14:paraId="1FED78FE" w14:textId="77777777" w:rsidR="00A61DB3" w:rsidRPr="00AC72D7" w:rsidRDefault="00A61DB3" w:rsidP="00A61DB3">
      <w:pPr>
        <w:pStyle w:val="Heading1"/>
      </w:pPr>
      <w:r>
        <w:t>At its 81</w:t>
      </w:r>
      <w:r w:rsidRPr="00D31ACF">
        <w:rPr>
          <w:vertAlign w:val="superscript"/>
        </w:rPr>
        <w:t>st</w:t>
      </w:r>
      <w:r>
        <w:t xml:space="preserve"> meeting, the Executive Committee decided to consider, at its 82</w:t>
      </w:r>
      <w:r w:rsidRPr="00D31ACF">
        <w:rPr>
          <w:vertAlign w:val="superscript"/>
        </w:rPr>
        <w:t>nd</w:t>
      </w:r>
      <w:r>
        <w:t xml:space="preserve"> meeting, issues related to funding the cost-effective management of stockpiles of used or unwanted controlled substances, including through destruction, in light of the paper prepared in response to decision</w:t>
      </w:r>
      <w:r w:rsidR="00293DE4">
        <w:t> </w:t>
      </w:r>
      <w:r>
        <w:t>79/18(e) (decision 81/67(d)).</w:t>
      </w:r>
    </w:p>
    <w:p w14:paraId="74476B08" w14:textId="77777777" w:rsidR="00A61DB3" w:rsidRPr="00AC72D7" w:rsidRDefault="00A61DB3" w:rsidP="00A61DB3">
      <w:pPr>
        <w:pStyle w:val="Heading1"/>
      </w:pPr>
      <w:r w:rsidRPr="00AC72D7">
        <w:t>At its 82</w:t>
      </w:r>
      <w:r w:rsidRPr="00AC72D7">
        <w:rPr>
          <w:vertAlign w:val="superscript"/>
        </w:rPr>
        <w:t>nd</w:t>
      </w:r>
      <w:r w:rsidRPr="00AC72D7">
        <w:t xml:space="preserve"> meeting, the Executive Committee considered matters related to disposal of ODS waste under:</w:t>
      </w:r>
    </w:p>
    <w:p w14:paraId="72E20C09" w14:textId="77777777" w:rsidR="00A61DB3" w:rsidRPr="00AC72D7" w:rsidRDefault="00A61DB3" w:rsidP="00A61DB3">
      <w:pPr>
        <w:widowControl w:val="0"/>
        <w:numPr>
          <w:ilvl w:val="1"/>
          <w:numId w:val="1"/>
        </w:numPr>
        <w:spacing w:after="240"/>
        <w:outlineLvl w:val="1"/>
      </w:pPr>
      <w:r w:rsidRPr="00AC72D7">
        <w:t>Agenda item 6(d), “Draft monitoring and evaluation work programme for the year 2019</w:t>
      </w:r>
      <w:r>
        <w:t>,</w:t>
      </w:r>
      <w:r w:rsidRPr="00AC72D7">
        <w:t xml:space="preserve">” where the Executive Committee approved the second phase of the evaluation of pilot </w:t>
      </w:r>
      <w:r w:rsidRPr="00AC72D7">
        <w:lastRenderedPageBreak/>
        <w:t>demonstration projects on ODS disposal and destruction;</w:t>
      </w:r>
      <w:r w:rsidRPr="00AC72D7">
        <w:rPr>
          <w:vertAlign w:val="superscript"/>
        </w:rPr>
        <w:footnoteReference w:id="19"/>
      </w:r>
      <w:r w:rsidRPr="00AC72D7">
        <w:t xml:space="preserve"> </w:t>
      </w:r>
    </w:p>
    <w:p w14:paraId="64F4B878" w14:textId="4D471FA7" w:rsidR="00A61DB3" w:rsidRPr="00AC72D7" w:rsidRDefault="00A61DB3" w:rsidP="00A61DB3">
      <w:pPr>
        <w:widowControl w:val="0"/>
        <w:numPr>
          <w:ilvl w:val="1"/>
          <w:numId w:val="1"/>
        </w:numPr>
        <w:spacing w:after="240"/>
        <w:outlineLvl w:val="1"/>
      </w:pPr>
      <w:r w:rsidRPr="00AC72D7">
        <w:t>Agenda item 7(c), “Synthesis report on the pilot ODS disposal projects (decision</w:t>
      </w:r>
      <w:r w:rsidR="00293DE4">
        <w:t> </w:t>
      </w:r>
      <w:r w:rsidRPr="00AC72D7">
        <w:t>79/18(e)</w:t>
      </w:r>
      <w:r>
        <w:t>,</w:t>
      </w:r>
      <w:r w:rsidRPr="00AC72D7">
        <w:t>” where the Executive Committee considered document UNEP/</w:t>
      </w:r>
      <w:proofErr w:type="spellStart"/>
      <w:r w:rsidRPr="00AC72D7">
        <w:t>OzL.Pro</w:t>
      </w:r>
      <w:proofErr w:type="spellEnd"/>
      <w:r w:rsidRPr="00AC72D7">
        <w:t>/</w:t>
      </w:r>
      <w:proofErr w:type="spellStart"/>
      <w:r w:rsidRPr="00AC72D7">
        <w:t>ExCom</w:t>
      </w:r>
      <w:proofErr w:type="spellEnd"/>
      <w:r w:rsidRPr="00AC72D7">
        <w:t>/82/21 submitted pursuant to decision 81/67(d). During the discussions, members expressed appreciation for the thoroughness of the report and raised a number of issues associated with the disposal and destruction of ODS, highlighting their relevance to HFC phase</w:t>
      </w:r>
      <w:r w:rsidR="005C1C95">
        <w:noBreakHyphen/>
      </w:r>
      <w:r w:rsidRPr="00AC72D7">
        <w:t>down and to discussions on the cost guidelines for the phase</w:t>
      </w:r>
      <w:r>
        <w:noBreakHyphen/>
      </w:r>
      <w:r w:rsidRPr="00AC72D7">
        <w:t xml:space="preserve">down of HFCs. Subsequently, the Executive Committee </w:t>
      </w:r>
      <w:r w:rsidRPr="00AC72D7">
        <w:rPr>
          <w:i/>
        </w:rPr>
        <w:t xml:space="preserve">inter alia </w:t>
      </w:r>
      <w:r w:rsidRPr="00AC72D7">
        <w:t xml:space="preserve">took note of the synthesis report, and requested bilateral and implementing agencies to apply, where appropriate, the findings and recommendations of the synthesis report; and </w:t>
      </w:r>
    </w:p>
    <w:p w14:paraId="1B55AF89" w14:textId="77777777" w:rsidR="00A61DB3" w:rsidRPr="00AC72D7" w:rsidRDefault="00A61DB3" w:rsidP="00A61DB3">
      <w:pPr>
        <w:widowControl w:val="0"/>
        <w:numPr>
          <w:ilvl w:val="1"/>
          <w:numId w:val="1"/>
        </w:numPr>
        <w:spacing w:after="240"/>
        <w:outlineLvl w:val="1"/>
      </w:pPr>
      <w:r w:rsidRPr="00AC72D7">
        <w:t>Agenda item 11(d), “Development of the cost guidelines for the phase-down of HFCs in Article</w:t>
      </w:r>
      <w:r w:rsidR="00293DE4">
        <w:t> </w:t>
      </w:r>
      <w:r w:rsidRPr="00AC72D7">
        <w:t>5 countries</w:t>
      </w:r>
      <w:r>
        <w:t>,</w:t>
      </w:r>
      <w:r w:rsidRPr="00AC72D7">
        <w:t xml:space="preserve">” where discussions took place </w:t>
      </w:r>
      <w:r>
        <w:t>in</w:t>
      </w:r>
      <w:r w:rsidRPr="00AC72D7">
        <w:t xml:space="preserve"> the contact group on the cost guidelines. In reporting to plenary, the facilitator of the contact group indicated that some members, while cognizant that disposal was important and mandated by decision XXVIII/2, were of the view that, as disposal was not required for compliance and was not an incremental cost, it should not be discussed as part of the HFC phase-down cost guidelines. Other members considered disposal to be of fundamental importance for Article</w:t>
      </w:r>
      <w:r>
        <w:t> </w:t>
      </w:r>
      <w:r w:rsidRPr="00AC72D7">
        <w:t>5 countries, particularly for LVC countries, and saw it as an integral part of the cost guidelines for HFC phase-down. Following the report by the facilitator of the contact group, the Executive Committee decided to continue discussing the cost guidelines for the phase</w:t>
      </w:r>
      <w:r>
        <w:noBreakHyphen/>
      </w:r>
      <w:r w:rsidRPr="00AC72D7">
        <w:t>down of HFCs in Article 5 countries at the 83</w:t>
      </w:r>
      <w:r w:rsidRPr="00AC72D7">
        <w:rPr>
          <w:vertAlign w:val="superscript"/>
        </w:rPr>
        <w:t>rd</w:t>
      </w:r>
      <w:r w:rsidRPr="00AC72D7">
        <w:t xml:space="preserve"> meeting</w:t>
      </w:r>
      <w:r>
        <w:t xml:space="preserve"> (decision</w:t>
      </w:r>
      <w:r w:rsidR="00293DE4">
        <w:t> </w:t>
      </w:r>
      <w:r>
        <w:t>82/84)</w:t>
      </w:r>
      <w:r w:rsidRPr="00AC72D7">
        <w:t>.</w:t>
      </w:r>
    </w:p>
    <w:p w14:paraId="413BC960" w14:textId="77777777" w:rsidR="00A61DB3" w:rsidRPr="00AC72D7" w:rsidRDefault="00A61DB3" w:rsidP="00A61DB3">
      <w:pPr>
        <w:pStyle w:val="Heading1"/>
        <w:rPr>
          <w:rFonts w:eastAsia="Calibri"/>
          <w:noProof/>
        </w:rPr>
      </w:pPr>
      <w:r w:rsidRPr="00AC72D7">
        <w:rPr>
          <w:rFonts w:eastAsia="Calibri"/>
          <w:noProof/>
        </w:rPr>
        <w:t>Discussions on disposal continued in the contact group on the cost guidelines, based on which the Executive Committee took the following decisions:</w:t>
      </w:r>
    </w:p>
    <w:p w14:paraId="2DA940F7" w14:textId="77777777" w:rsidR="00A61DB3" w:rsidRPr="00AC72D7" w:rsidRDefault="00A61DB3" w:rsidP="00A61DB3">
      <w:pPr>
        <w:numPr>
          <w:ilvl w:val="1"/>
          <w:numId w:val="1"/>
        </w:numPr>
        <w:spacing w:after="240"/>
        <w:outlineLvl w:val="1"/>
        <w:rPr>
          <w:rFonts w:eastAsia="Calibri"/>
          <w:noProof/>
        </w:rPr>
      </w:pPr>
      <w:r w:rsidRPr="00AC72D7">
        <w:rPr>
          <w:rFonts w:eastAsia="Calibri"/>
          <w:noProof/>
        </w:rPr>
        <w:t>At its 83</w:t>
      </w:r>
      <w:r w:rsidRPr="00AC72D7">
        <w:rPr>
          <w:rFonts w:eastAsia="Calibri"/>
          <w:noProof/>
          <w:vertAlign w:val="superscript"/>
        </w:rPr>
        <w:t>rd</w:t>
      </w:r>
      <w:r w:rsidRPr="00AC72D7">
        <w:rPr>
          <w:rFonts w:eastAsia="Calibri"/>
          <w:noProof/>
        </w:rPr>
        <w:t xml:space="preserve"> meeting, the Executive Committee agreed to further discuss the matter at the 84</w:t>
      </w:r>
      <w:r w:rsidRPr="00AC72D7">
        <w:rPr>
          <w:rFonts w:eastAsia="Calibri"/>
          <w:noProof/>
          <w:vertAlign w:val="superscript"/>
        </w:rPr>
        <w:t>th</w:t>
      </w:r>
      <w:r>
        <w:rPr>
          <w:rFonts w:eastAsia="Calibri"/>
          <w:noProof/>
        </w:rPr>
        <w:t> </w:t>
      </w:r>
      <w:r w:rsidRPr="00AC72D7">
        <w:rPr>
          <w:rFonts w:eastAsia="Calibri"/>
          <w:noProof/>
        </w:rPr>
        <w:t xml:space="preserve">meeting, in light of the final report on the evaluation of pilot demonstration projects on ODS disposal and destruction to be submitted by the Senior Monitoring and Evaluation Officer (decision 83/65(c)); and </w:t>
      </w:r>
    </w:p>
    <w:p w14:paraId="512E1C72" w14:textId="77777777" w:rsidR="00A61DB3" w:rsidRPr="00AC72D7" w:rsidRDefault="00A61DB3" w:rsidP="00A61DB3">
      <w:pPr>
        <w:pStyle w:val="Heading2"/>
        <w:numPr>
          <w:ilvl w:val="1"/>
          <w:numId w:val="1"/>
        </w:numPr>
      </w:pPr>
      <w:r w:rsidRPr="00AC72D7">
        <w:t>At its 84</w:t>
      </w:r>
      <w:r w:rsidRPr="00AC72D7">
        <w:rPr>
          <w:vertAlign w:val="superscript"/>
        </w:rPr>
        <w:t>th</w:t>
      </w:r>
      <w:r w:rsidRPr="00AC72D7">
        <w:t xml:space="preserve"> meeting, the Executive Committee requested the Secretariat to prepare for the 85</w:t>
      </w:r>
      <w:r w:rsidRPr="00AC72D7">
        <w:rPr>
          <w:vertAlign w:val="superscript"/>
        </w:rPr>
        <w:t>th</w:t>
      </w:r>
      <w:r>
        <w:t> </w:t>
      </w:r>
      <w:r w:rsidRPr="00AC72D7">
        <w:t>meeting a synthesis report describing best practices and ways for the Executive Committee to consider operationalizing paragraph 24 of decision XXVIII/2, taking into account the final report on the evaluation of the pilot demonstration projects on ODS disposal and destruction</w:t>
      </w:r>
      <w:r w:rsidRPr="00AC72D7">
        <w:rPr>
          <w:vertAlign w:val="superscript"/>
        </w:rPr>
        <w:footnoteReference w:id="20"/>
      </w:r>
      <w:r w:rsidRPr="00AC72D7">
        <w:t xml:space="preserve"> and the synthesis report on pilot ODS disposal projects;</w:t>
      </w:r>
      <w:r w:rsidRPr="00AC72D7">
        <w:rPr>
          <w:vertAlign w:val="superscript"/>
        </w:rPr>
        <w:footnoteReference w:id="21"/>
      </w:r>
      <w:r w:rsidRPr="00AC72D7">
        <w:t xml:space="preserve"> other relevant projects implemented in HPMPs; lessons learned from existing infrastructure and policies that could be used to establish the cost-effective management of stockpiles of used or unwanted controlled substances; and external funding opportunities and existing disposal programmes and partnerships (decision 84/87(b)). </w:t>
      </w:r>
    </w:p>
    <w:p w14:paraId="71061DA6" w14:textId="77777777" w:rsidR="00A61DB3" w:rsidRPr="003F45C5" w:rsidRDefault="00A61DB3" w:rsidP="00A61DB3">
      <w:pPr>
        <w:pStyle w:val="Heading1"/>
        <w:rPr>
          <w:rFonts w:eastAsia="Calibri"/>
          <w:i/>
        </w:rPr>
      </w:pPr>
      <w:r w:rsidRPr="00AC72D7">
        <w:t>Document UNEP/</w:t>
      </w:r>
      <w:proofErr w:type="spellStart"/>
      <w:r w:rsidRPr="00AC72D7">
        <w:t>OzL.Pro</w:t>
      </w:r>
      <w:proofErr w:type="spellEnd"/>
      <w:r w:rsidRPr="003F45C5">
        <w:t>/</w:t>
      </w:r>
      <w:proofErr w:type="spellStart"/>
      <w:r w:rsidRPr="003F45C5">
        <w:t>ExCom</w:t>
      </w:r>
      <w:proofErr w:type="spellEnd"/>
      <w:r w:rsidRPr="003F45C5">
        <w:t>/</w:t>
      </w:r>
      <w:r w:rsidR="00932295" w:rsidRPr="003F45C5">
        <w:t>87/</w:t>
      </w:r>
      <w:r w:rsidR="00A3638E" w:rsidRPr="003F45C5">
        <w:t>48</w:t>
      </w:r>
      <w:r w:rsidRPr="003F45C5">
        <w:t xml:space="preserve"> has been submitted to the 8</w:t>
      </w:r>
      <w:r w:rsidR="00932295" w:rsidRPr="003F45C5">
        <w:t>7</w:t>
      </w:r>
      <w:r w:rsidRPr="003F45C5">
        <w:rPr>
          <w:vertAlign w:val="superscript"/>
        </w:rPr>
        <w:t>th</w:t>
      </w:r>
      <w:r w:rsidRPr="003F45C5">
        <w:t xml:space="preserve"> meeting in </w:t>
      </w:r>
      <w:r w:rsidRPr="003F45C5">
        <w:rPr>
          <w:rFonts w:eastAsia="Calibri"/>
          <w:noProof/>
        </w:rPr>
        <w:t>response to decision</w:t>
      </w:r>
      <w:r w:rsidR="00A37A0D" w:rsidRPr="003F45C5">
        <w:rPr>
          <w:rFonts w:eastAsia="Calibri"/>
          <w:noProof/>
        </w:rPr>
        <w:t> </w:t>
      </w:r>
      <w:r w:rsidRPr="003F45C5">
        <w:rPr>
          <w:rFonts w:eastAsia="Calibri"/>
          <w:noProof/>
        </w:rPr>
        <w:t xml:space="preserve">84/87(b). </w:t>
      </w:r>
    </w:p>
    <w:p w14:paraId="12AC5A26" w14:textId="77777777" w:rsidR="00A61DB3" w:rsidRPr="003F45C5" w:rsidRDefault="00A61DB3" w:rsidP="00A61DB3">
      <w:pPr>
        <w:widowControl w:val="0"/>
        <w:tabs>
          <w:tab w:val="left" w:pos="720"/>
        </w:tabs>
        <w:spacing w:after="240"/>
        <w:outlineLvl w:val="0"/>
        <w:rPr>
          <w:rFonts w:eastAsia="Calibri"/>
          <w:i/>
        </w:rPr>
      </w:pPr>
      <w:r w:rsidRPr="003F45C5">
        <w:rPr>
          <w:rFonts w:eastAsia="Calibri"/>
          <w:i/>
        </w:rPr>
        <w:t>Discussions at the 8</w:t>
      </w:r>
      <w:r w:rsidR="00932295" w:rsidRPr="003F45C5">
        <w:rPr>
          <w:rFonts w:eastAsia="Calibri"/>
          <w:i/>
        </w:rPr>
        <w:t>7</w:t>
      </w:r>
      <w:r w:rsidRPr="003F45C5">
        <w:rPr>
          <w:rFonts w:eastAsia="Calibri"/>
          <w:i/>
          <w:vertAlign w:val="superscript"/>
        </w:rPr>
        <w:t>th</w:t>
      </w:r>
      <w:r w:rsidRPr="003F45C5">
        <w:rPr>
          <w:rFonts w:eastAsia="Calibri"/>
          <w:i/>
        </w:rPr>
        <w:t xml:space="preserve"> meeting on disposal of ODS waste</w:t>
      </w:r>
    </w:p>
    <w:p w14:paraId="790B2C8F" w14:textId="16D9752D" w:rsidR="00A61DB3" w:rsidRPr="00A95550" w:rsidRDefault="00A61DB3" w:rsidP="00A61DB3">
      <w:pPr>
        <w:pStyle w:val="Heading1"/>
        <w:rPr>
          <w:rFonts w:eastAsia="Calibri"/>
          <w:noProof/>
        </w:rPr>
      </w:pPr>
      <w:r w:rsidRPr="003F45C5">
        <w:rPr>
          <w:rFonts w:eastAsia="Calibri"/>
          <w:noProof/>
        </w:rPr>
        <w:t>The Executive Com</w:t>
      </w:r>
      <w:r w:rsidRPr="00A95550">
        <w:rPr>
          <w:rFonts w:eastAsia="Calibri"/>
          <w:noProof/>
        </w:rPr>
        <w:t>mittee may wish to continue its discussion on disposal of ODS waste taking into consideration document</w:t>
      </w:r>
      <w:r w:rsidR="005C1C95">
        <w:rPr>
          <w:rFonts w:eastAsia="Calibri"/>
          <w:noProof/>
        </w:rPr>
        <w:t> </w:t>
      </w:r>
      <w:r w:rsidR="00A3638E" w:rsidRPr="00A95550">
        <w:t>UNEP/</w:t>
      </w:r>
      <w:proofErr w:type="spellStart"/>
      <w:r w:rsidR="00A3638E" w:rsidRPr="00A95550">
        <w:t>OzL.Pro</w:t>
      </w:r>
      <w:proofErr w:type="spellEnd"/>
      <w:r w:rsidR="00A3638E" w:rsidRPr="00A95550">
        <w:t>/</w:t>
      </w:r>
      <w:proofErr w:type="spellStart"/>
      <w:r w:rsidR="00A3638E" w:rsidRPr="00A95550">
        <w:t>ExCom</w:t>
      </w:r>
      <w:proofErr w:type="spellEnd"/>
      <w:r w:rsidR="00932295" w:rsidRPr="00A95550">
        <w:t>/87/</w:t>
      </w:r>
      <w:r w:rsidR="00A3638E" w:rsidRPr="00A95550">
        <w:t>48</w:t>
      </w:r>
      <w:r w:rsidRPr="00A95550">
        <w:rPr>
          <w:rFonts w:eastAsia="Calibri"/>
          <w:noProof/>
        </w:rPr>
        <w:t xml:space="preserve">. </w:t>
      </w:r>
    </w:p>
    <w:p w14:paraId="3CB9521A" w14:textId="77777777" w:rsidR="00A61DB3" w:rsidRPr="00A95550" w:rsidRDefault="00A61DB3" w:rsidP="00A61DB3">
      <w:pPr>
        <w:keepNext/>
        <w:keepLines/>
        <w:widowControl w:val="0"/>
        <w:rPr>
          <w:u w:val="single"/>
        </w:rPr>
      </w:pPr>
      <w:r w:rsidRPr="00A95550">
        <w:rPr>
          <w:u w:val="single"/>
        </w:rPr>
        <w:lastRenderedPageBreak/>
        <w:t xml:space="preserve">Other general matters related to HFC phase-down </w:t>
      </w:r>
    </w:p>
    <w:p w14:paraId="2C8F7581" w14:textId="77777777" w:rsidR="00A61DB3" w:rsidRPr="00A95550" w:rsidRDefault="00A61DB3" w:rsidP="00A61DB3">
      <w:pPr>
        <w:keepNext/>
        <w:keepLines/>
        <w:widowControl w:val="0"/>
      </w:pPr>
    </w:p>
    <w:p w14:paraId="2FAD6EB2" w14:textId="77777777" w:rsidR="00643ADE" w:rsidRPr="0066354D" w:rsidRDefault="00A61DB3" w:rsidP="009217FE">
      <w:pPr>
        <w:pStyle w:val="Heading1"/>
      </w:pPr>
      <w:r w:rsidRPr="00A95550">
        <w:t>The document on the cost guidelines for the phase-down of HFCs submitted to the 80</w:t>
      </w:r>
      <w:r w:rsidRPr="00A95550">
        <w:rPr>
          <w:vertAlign w:val="superscript"/>
        </w:rPr>
        <w:t>th</w:t>
      </w:r>
      <w:r w:rsidRPr="00A95550">
        <w:t> meeting included overarching aspects</w:t>
      </w:r>
      <w:r w:rsidRPr="00A95550">
        <w:rPr>
          <w:vertAlign w:val="superscript"/>
        </w:rPr>
        <w:footnoteReference w:id="22"/>
      </w:r>
      <w:r w:rsidRPr="00A95550">
        <w:t xml:space="preserve"> that were already being applied in the context of enabling activities and stand</w:t>
      </w:r>
      <w:r w:rsidRPr="00A95550">
        <w:noBreakHyphen/>
        <w:t xml:space="preserve">alone HFC investment projects under implementation (the aspects are contained in Part III of Annex II to the present document). However, the Executive Committee has not reached an agreement on those </w:t>
      </w:r>
      <w:r w:rsidRPr="0066354D">
        <w:t xml:space="preserve">overarching aspects. </w:t>
      </w:r>
    </w:p>
    <w:p w14:paraId="169BA956" w14:textId="522E262E" w:rsidR="00A61DB3" w:rsidRPr="0066354D" w:rsidRDefault="00AA1DA8" w:rsidP="009217FE">
      <w:pPr>
        <w:pStyle w:val="Heading1"/>
      </w:pPr>
      <w:r w:rsidRPr="0066354D">
        <w:t>In addition</w:t>
      </w:r>
      <w:r w:rsidR="00643ADE" w:rsidRPr="0066354D">
        <w:t xml:space="preserve"> to the information </w:t>
      </w:r>
      <w:r w:rsidR="005C1C95" w:rsidRPr="0066354D">
        <w:t xml:space="preserve">contained </w:t>
      </w:r>
      <w:r w:rsidR="00643ADE" w:rsidRPr="0066354D">
        <w:t>in Annex II</w:t>
      </w:r>
      <w:r w:rsidRPr="0066354D">
        <w:t>, document</w:t>
      </w:r>
      <w:r w:rsidR="005C1C95" w:rsidRPr="0066354D">
        <w:t> </w:t>
      </w:r>
      <w:r w:rsidRPr="0066354D">
        <w:t>UNEP/</w:t>
      </w:r>
      <w:proofErr w:type="spellStart"/>
      <w:r w:rsidRPr="0066354D">
        <w:t>OzL.Pro</w:t>
      </w:r>
      <w:proofErr w:type="spellEnd"/>
      <w:r w:rsidRPr="0066354D">
        <w:t>/</w:t>
      </w:r>
      <w:proofErr w:type="spellStart"/>
      <w:r w:rsidRPr="0066354D">
        <w:t>ExCom</w:t>
      </w:r>
      <w:proofErr w:type="spellEnd"/>
      <w:r w:rsidRPr="0066354D">
        <w:t>/87/43 present</w:t>
      </w:r>
      <w:r w:rsidR="00643ADE" w:rsidRPr="0066354D">
        <w:t>ed</w:t>
      </w:r>
      <w:r w:rsidRPr="0066354D">
        <w:t xml:space="preserve"> an Update on the analysis of the implications of parallel or integrated implementation of HCFC phase</w:t>
      </w:r>
      <w:r w:rsidR="005C1C95" w:rsidRPr="0066354D">
        <w:noBreakHyphen/>
      </w:r>
      <w:r w:rsidRPr="0066354D">
        <w:t>out and HFC phase-down activities</w:t>
      </w:r>
      <w:r w:rsidR="00643ADE" w:rsidRPr="0066354D">
        <w:t>. This analysis indicates that potential funding increases for the Fund Secretariat, the Treasurer, t</w:t>
      </w:r>
      <w:r w:rsidR="005C1C95" w:rsidRPr="0066354D">
        <w:t>he core units of UNDP, UNIDO,</w:t>
      </w:r>
      <w:r w:rsidR="00643ADE" w:rsidRPr="0066354D">
        <w:t xml:space="preserve"> the World Bank, and UNEP CAP would need to be assessed in light of the additional information on the actual workload for the </w:t>
      </w:r>
      <w:r w:rsidR="005C1C95" w:rsidRPr="0066354D">
        <w:t xml:space="preserve">2022-2030 </w:t>
      </w:r>
      <w:r w:rsidR="00643ADE" w:rsidRPr="0066354D">
        <w:t>period that will be obtained from the results of ongoing policy discussions by the Executive Committee</w:t>
      </w:r>
      <w:r w:rsidR="005C1C95" w:rsidRPr="0066354D">
        <w:t>,</w:t>
      </w:r>
      <w:r w:rsidR="00643ADE" w:rsidRPr="0066354D">
        <w:t xml:space="preserve"> and from the analysis of additional HFC production and consumption data to be reported by Article 5 countries for 2020 and 2021.</w:t>
      </w:r>
    </w:p>
    <w:p w14:paraId="6CBC090E" w14:textId="77777777" w:rsidR="00A61DB3" w:rsidRPr="0066354D" w:rsidRDefault="00A61DB3" w:rsidP="00A61DB3">
      <w:pPr>
        <w:rPr>
          <w:rFonts w:eastAsia="Calibri"/>
          <w:i/>
        </w:rPr>
      </w:pPr>
      <w:r w:rsidRPr="0066354D">
        <w:rPr>
          <w:rFonts w:eastAsia="Calibri"/>
          <w:i/>
        </w:rPr>
        <w:t>Discussions at the 8</w:t>
      </w:r>
      <w:r w:rsidR="00932295" w:rsidRPr="0066354D">
        <w:rPr>
          <w:rFonts w:eastAsia="Calibri"/>
          <w:i/>
        </w:rPr>
        <w:t>7</w:t>
      </w:r>
      <w:r w:rsidRPr="0066354D">
        <w:rPr>
          <w:rFonts w:eastAsia="Calibri"/>
          <w:i/>
          <w:vertAlign w:val="superscript"/>
        </w:rPr>
        <w:t>th</w:t>
      </w:r>
      <w:r w:rsidRPr="0066354D">
        <w:rPr>
          <w:rFonts w:eastAsia="Calibri"/>
          <w:i/>
        </w:rPr>
        <w:t xml:space="preserve"> meeting on other general matters related to the HFC phase-down</w:t>
      </w:r>
    </w:p>
    <w:p w14:paraId="04B43C80" w14:textId="77777777" w:rsidR="00A61DB3" w:rsidRPr="0066354D" w:rsidRDefault="00A61DB3" w:rsidP="00A61DB3"/>
    <w:p w14:paraId="1181A8E2" w14:textId="77777777" w:rsidR="00A61DB3" w:rsidRPr="003F45C5" w:rsidRDefault="00A61DB3" w:rsidP="00A61DB3">
      <w:pPr>
        <w:pStyle w:val="Heading1"/>
      </w:pPr>
      <w:r w:rsidRPr="0066354D">
        <w:t>Noting that the overarching aspects are being applied, the Executive Committee may wish to consider whether to incorporate the text</w:t>
      </w:r>
      <w:r w:rsidRPr="003F45C5">
        <w:t xml:space="preserve"> contained in Part III of Annex II to the present document into the Draft template of the cost guidelines for the phase-down of HFCs contained in Annex I to the present document.</w:t>
      </w:r>
    </w:p>
    <w:p w14:paraId="3638AA4A" w14:textId="77777777" w:rsidR="00A61DB3" w:rsidRPr="003F45C5" w:rsidRDefault="00A61DB3" w:rsidP="00A61DB3">
      <w:pPr>
        <w:keepNext/>
        <w:rPr>
          <w:b/>
        </w:rPr>
      </w:pPr>
      <w:r w:rsidRPr="003F45C5">
        <w:rPr>
          <w:b/>
        </w:rPr>
        <w:t>Recommendation</w:t>
      </w:r>
    </w:p>
    <w:p w14:paraId="36E99799" w14:textId="77777777" w:rsidR="00A61DB3" w:rsidRPr="003F45C5" w:rsidRDefault="00A61DB3" w:rsidP="00A61DB3">
      <w:pPr>
        <w:keepNext/>
      </w:pPr>
    </w:p>
    <w:p w14:paraId="3A69A3B2" w14:textId="77777777" w:rsidR="00A61DB3" w:rsidRPr="003F45C5" w:rsidRDefault="00A61DB3" w:rsidP="00A61DB3">
      <w:pPr>
        <w:pStyle w:val="Heading1"/>
        <w:keepNext/>
      </w:pPr>
      <w:r w:rsidRPr="003F45C5">
        <w:t>The Executive Committee may wish:</w:t>
      </w:r>
    </w:p>
    <w:p w14:paraId="01B9B8B6" w14:textId="7F84508E" w:rsidR="00A61DB3" w:rsidRPr="003F45C5" w:rsidRDefault="00A61DB3" w:rsidP="00A61DB3">
      <w:pPr>
        <w:widowControl w:val="0"/>
        <w:numPr>
          <w:ilvl w:val="1"/>
          <w:numId w:val="1"/>
        </w:numPr>
        <w:tabs>
          <w:tab w:val="clear" w:pos="0"/>
        </w:tabs>
        <w:spacing w:after="240"/>
        <w:outlineLvl w:val="1"/>
      </w:pPr>
      <w:r w:rsidRPr="003F45C5">
        <w:t>To note document UNEP/</w:t>
      </w:r>
      <w:proofErr w:type="spellStart"/>
      <w:r w:rsidRPr="003F45C5">
        <w:t>OzL.Pro</w:t>
      </w:r>
      <w:proofErr w:type="spellEnd"/>
      <w:r w:rsidRPr="003F45C5">
        <w:t>/</w:t>
      </w:r>
      <w:proofErr w:type="spellStart"/>
      <w:r w:rsidRPr="003F45C5">
        <w:t>ExCom</w:t>
      </w:r>
      <w:proofErr w:type="spellEnd"/>
      <w:r w:rsidRPr="003F45C5">
        <w:t>/</w:t>
      </w:r>
      <w:r w:rsidR="00932295" w:rsidRPr="003F45C5">
        <w:t>87/44</w:t>
      </w:r>
      <w:r w:rsidRPr="003F45C5">
        <w:t xml:space="preserve"> on the </w:t>
      </w:r>
      <w:r w:rsidR="005C1C95">
        <w:t>d</w:t>
      </w:r>
      <w:r w:rsidRPr="003F45C5">
        <w:t xml:space="preserve">evelopment of the cost guidelines for the phase-down of HFCs in Article 5 countries: Draft criteria for funding; and </w:t>
      </w:r>
    </w:p>
    <w:p w14:paraId="4CEFD7D0" w14:textId="6113E8F2" w:rsidR="00A61DB3" w:rsidRPr="003F45C5" w:rsidRDefault="00A61DB3" w:rsidP="00A61DB3">
      <w:pPr>
        <w:pStyle w:val="Heading2"/>
        <w:numPr>
          <w:ilvl w:val="1"/>
          <w:numId w:val="1"/>
        </w:numPr>
        <w:sectPr w:rsidR="00A61DB3" w:rsidRPr="003F45C5"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r w:rsidRPr="003F45C5">
        <w:t>To continue its deliberations on the cost guidelines for the phase-down of HFCs in Article 5 countries in light</w:t>
      </w:r>
      <w:r w:rsidR="00932295" w:rsidRPr="003F45C5">
        <w:t xml:space="preserve"> of document</w:t>
      </w:r>
      <w:r w:rsidR="005C1C95">
        <w:t> </w:t>
      </w:r>
      <w:r w:rsidR="00932295" w:rsidRPr="003F45C5">
        <w:t>UNEP/</w:t>
      </w:r>
      <w:proofErr w:type="spellStart"/>
      <w:r w:rsidR="00932295" w:rsidRPr="003F45C5">
        <w:t>OzL.Pro</w:t>
      </w:r>
      <w:proofErr w:type="spellEnd"/>
      <w:r w:rsidR="00932295" w:rsidRPr="003F45C5">
        <w:t>/</w:t>
      </w:r>
      <w:proofErr w:type="spellStart"/>
      <w:r w:rsidR="00932295" w:rsidRPr="003F45C5">
        <w:t>ExCom</w:t>
      </w:r>
      <w:proofErr w:type="spellEnd"/>
      <w:r w:rsidR="00932295" w:rsidRPr="003F45C5">
        <w:t>/87/44</w:t>
      </w:r>
      <w:r w:rsidRPr="003F45C5">
        <w:t>.</w:t>
      </w:r>
    </w:p>
    <w:p w14:paraId="28371B29" w14:textId="77777777" w:rsidR="00A61DB3" w:rsidRPr="007509D3" w:rsidRDefault="00A61DB3" w:rsidP="00A61DB3">
      <w:pPr>
        <w:widowControl w:val="0"/>
        <w:tabs>
          <w:tab w:val="left" w:pos="8280"/>
        </w:tabs>
        <w:jc w:val="center"/>
        <w:rPr>
          <w:b/>
        </w:rPr>
      </w:pPr>
      <w:r w:rsidRPr="007509D3">
        <w:rPr>
          <w:b/>
        </w:rPr>
        <w:lastRenderedPageBreak/>
        <w:t>Annex I</w:t>
      </w:r>
    </w:p>
    <w:p w14:paraId="6519C125" w14:textId="77777777" w:rsidR="00A61DB3" w:rsidRPr="007509D3" w:rsidRDefault="00A61DB3" w:rsidP="00A61DB3">
      <w:pPr>
        <w:widowControl w:val="0"/>
        <w:tabs>
          <w:tab w:val="left" w:pos="8280"/>
        </w:tabs>
        <w:jc w:val="center"/>
        <w:rPr>
          <w:b/>
        </w:rPr>
      </w:pPr>
    </w:p>
    <w:p w14:paraId="28138CB2" w14:textId="77777777" w:rsidR="00A61DB3" w:rsidRPr="007509D3" w:rsidRDefault="00A61DB3" w:rsidP="00A61DB3">
      <w:pPr>
        <w:widowControl w:val="0"/>
        <w:tabs>
          <w:tab w:val="left" w:pos="8280"/>
        </w:tabs>
        <w:jc w:val="center"/>
        <w:rPr>
          <w:b/>
        </w:rPr>
      </w:pPr>
      <w:r w:rsidRPr="007509D3">
        <w:rPr>
          <w:b/>
        </w:rPr>
        <w:t>DRAFT TEMPLATE OF THE COST GUIDELINES FOR THE PHASE-DOWN OF HFCs</w:t>
      </w:r>
    </w:p>
    <w:p w14:paraId="110963DB" w14:textId="77777777" w:rsidR="00A61DB3" w:rsidRPr="007509D3" w:rsidRDefault="00A61DB3" w:rsidP="00A61DB3">
      <w:pPr>
        <w:widowControl w:val="0"/>
        <w:tabs>
          <w:tab w:val="left" w:pos="8280"/>
        </w:tabs>
        <w:jc w:val="center"/>
        <w:rPr>
          <w:b/>
        </w:rPr>
      </w:pPr>
      <w:r w:rsidRPr="007509D3">
        <w:rPr>
          <w:b/>
        </w:rPr>
        <w:t>(As of the 84</w:t>
      </w:r>
      <w:r w:rsidRPr="007509D3">
        <w:rPr>
          <w:b/>
          <w:vertAlign w:val="superscript"/>
        </w:rPr>
        <w:t>th</w:t>
      </w:r>
      <w:r w:rsidRPr="007509D3">
        <w:rPr>
          <w:b/>
        </w:rPr>
        <w:t> meeting)</w:t>
      </w:r>
    </w:p>
    <w:p w14:paraId="30487E35" w14:textId="77777777" w:rsidR="00A61DB3" w:rsidRPr="007509D3" w:rsidRDefault="00A61DB3" w:rsidP="00A61DB3">
      <w:pPr>
        <w:widowControl w:val="0"/>
        <w:tabs>
          <w:tab w:val="left" w:pos="8280"/>
        </w:tabs>
      </w:pPr>
    </w:p>
    <w:p w14:paraId="681E9330" w14:textId="77777777" w:rsidR="00A61DB3" w:rsidRPr="007509D3" w:rsidRDefault="00A61DB3" w:rsidP="00A61DB3">
      <w:pPr>
        <w:widowControl w:val="0"/>
        <w:rPr>
          <w:u w:val="single"/>
        </w:rPr>
      </w:pPr>
      <w:r w:rsidRPr="007509D3">
        <w:rPr>
          <w:u w:val="single"/>
        </w:rPr>
        <w:t>Background</w:t>
      </w:r>
    </w:p>
    <w:p w14:paraId="780193C4" w14:textId="77777777" w:rsidR="00A61DB3" w:rsidRPr="007509D3" w:rsidRDefault="00A61DB3" w:rsidP="00A61DB3">
      <w:pPr>
        <w:widowControl w:val="0"/>
      </w:pPr>
    </w:p>
    <w:p w14:paraId="6F8EC5A7" w14:textId="77777777" w:rsidR="00A61DB3" w:rsidRPr="00D31ACF" w:rsidRDefault="00A61DB3" w:rsidP="00A37A0D">
      <w:pPr>
        <w:pStyle w:val="Heading1"/>
        <w:numPr>
          <w:ilvl w:val="0"/>
          <w:numId w:val="27"/>
        </w:numPr>
        <w:tabs>
          <w:tab w:val="clear" w:pos="142"/>
        </w:tabs>
        <w:ind w:left="0"/>
      </w:pPr>
      <w:r w:rsidRPr="00D31ACF">
        <w:t>The present Annex contains the draft cost guidelines for the phase-down of HFCs based on the relevant elements of decision XXVIII/2 agreed by the Parties at their Twenty-Eighth Meeting. These draft cost guidelines contain elements agreed at the 78</w:t>
      </w:r>
      <w:r w:rsidRPr="00A37A0D">
        <w:rPr>
          <w:vertAlign w:val="superscript"/>
        </w:rPr>
        <w:t>th</w:t>
      </w:r>
      <w:r w:rsidRPr="00D31ACF">
        <w:t xml:space="preserve"> and 80</w:t>
      </w:r>
      <w:r w:rsidRPr="00A37A0D">
        <w:rPr>
          <w:vertAlign w:val="superscript"/>
        </w:rPr>
        <w:t>th</w:t>
      </w:r>
      <w:r w:rsidRPr="00D31ACF">
        <w:t> meetings of the Executive Committee, and will be updated pursuant to further discussions at future meetings of the Executive Committee.</w:t>
      </w:r>
    </w:p>
    <w:p w14:paraId="534196D2" w14:textId="77777777" w:rsidR="00A61DB3" w:rsidRPr="007509D3" w:rsidRDefault="00A61DB3" w:rsidP="00A61DB3">
      <w:pPr>
        <w:widowControl w:val="0"/>
        <w:rPr>
          <w:u w:val="single"/>
        </w:rPr>
      </w:pPr>
      <w:r w:rsidRPr="007509D3">
        <w:rPr>
          <w:u w:val="single"/>
        </w:rPr>
        <w:t xml:space="preserve">Draft cost guidelines for the phase-down of HFCs </w:t>
      </w:r>
    </w:p>
    <w:p w14:paraId="1643D992" w14:textId="77777777" w:rsidR="00A61DB3" w:rsidRPr="007509D3" w:rsidRDefault="00A61DB3" w:rsidP="00A61DB3">
      <w:pPr>
        <w:widowControl w:val="0"/>
      </w:pPr>
    </w:p>
    <w:p w14:paraId="43FE835D" w14:textId="77777777" w:rsidR="00A61DB3" w:rsidRPr="007509D3" w:rsidRDefault="00A61DB3" w:rsidP="00A61DB3">
      <w:pPr>
        <w:widowControl w:val="0"/>
        <w:rPr>
          <w:b/>
        </w:rPr>
      </w:pPr>
      <w:r w:rsidRPr="007509D3">
        <w:rPr>
          <w:b/>
        </w:rPr>
        <w:t>Flexibility in implementation that enables Parties to select their own strategies and priorities in sectors and technologies</w:t>
      </w:r>
    </w:p>
    <w:p w14:paraId="16027203" w14:textId="77777777" w:rsidR="00A61DB3" w:rsidRPr="007509D3" w:rsidRDefault="00A61DB3" w:rsidP="00A61DB3">
      <w:pPr>
        <w:widowControl w:val="0"/>
      </w:pPr>
    </w:p>
    <w:p w14:paraId="76DC8DCA" w14:textId="77777777" w:rsidR="00A61DB3" w:rsidRPr="007509D3" w:rsidRDefault="00A61DB3" w:rsidP="00A37A0D">
      <w:pPr>
        <w:pStyle w:val="Heading1"/>
      </w:pPr>
      <w:r w:rsidRPr="007509D3">
        <w:t>Article 5 countries will have flexibility to prioritize HFCs, define sectors, select technologies and alternatives and elaborate and implement their strategies to meet agreed HFC obligations, based on their specific needs and national circumstances, following a country-driven approach.</w:t>
      </w:r>
    </w:p>
    <w:p w14:paraId="06388123" w14:textId="77777777" w:rsidR="00A61DB3" w:rsidRPr="007509D3" w:rsidRDefault="00A61DB3" w:rsidP="00A61DB3">
      <w:pPr>
        <w:widowControl w:val="0"/>
        <w:rPr>
          <w:b/>
        </w:rPr>
      </w:pPr>
      <w:r w:rsidRPr="007509D3">
        <w:rPr>
          <w:b/>
        </w:rPr>
        <w:t>Cut-off date for eligible capacity</w:t>
      </w:r>
    </w:p>
    <w:p w14:paraId="40BECDD8" w14:textId="77777777" w:rsidR="00A61DB3" w:rsidRPr="007509D3" w:rsidRDefault="00A61DB3" w:rsidP="00A61DB3">
      <w:pPr>
        <w:widowControl w:val="0"/>
      </w:pPr>
    </w:p>
    <w:p w14:paraId="72EB9ECC" w14:textId="77777777" w:rsidR="00A61DB3" w:rsidRPr="007509D3" w:rsidRDefault="00A61DB3" w:rsidP="00A37A0D">
      <w:pPr>
        <w:pStyle w:val="Heading1"/>
      </w:pPr>
      <w:r w:rsidRPr="007509D3">
        <w:t>The cut-off date for eligible capacity is 1 January 2020 for those Parties with baseline years from 2020 to 2022, and 1 January 2024 for those Parties with baseline years from 2024 to 2026.</w:t>
      </w:r>
    </w:p>
    <w:p w14:paraId="5437F550" w14:textId="77777777" w:rsidR="00A61DB3" w:rsidRPr="007509D3" w:rsidRDefault="00A61DB3" w:rsidP="00A61DB3">
      <w:pPr>
        <w:widowControl w:val="0"/>
        <w:rPr>
          <w:b/>
        </w:rPr>
      </w:pPr>
      <w:r w:rsidRPr="007509D3">
        <w:rPr>
          <w:b/>
        </w:rPr>
        <w:t>Second and third conversions</w:t>
      </w:r>
    </w:p>
    <w:p w14:paraId="01CAEBFD" w14:textId="77777777" w:rsidR="00A61DB3" w:rsidRPr="007509D3" w:rsidRDefault="00A61DB3" w:rsidP="00A61DB3">
      <w:pPr>
        <w:widowControl w:val="0"/>
      </w:pPr>
    </w:p>
    <w:p w14:paraId="60CBE7EE" w14:textId="77777777" w:rsidR="00A61DB3" w:rsidRPr="007509D3" w:rsidRDefault="00A61DB3" w:rsidP="00A37A0D">
      <w:pPr>
        <w:pStyle w:val="Heading1"/>
      </w:pPr>
      <w:r w:rsidRPr="007509D3">
        <w:t>To apply the following principles for second and third conversion projects:</w:t>
      </w:r>
    </w:p>
    <w:p w14:paraId="098D76F3" w14:textId="77777777" w:rsidR="00A61DB3" w:rsidRPr="007509D3" w:rsidRDefault="00A61DB3" w:rsidP="00A61DB3">
      <w:pPr>
        <w:widowControl w:val="0"/>
        <w:numPr>
          <w:ilvl w:val="1"/>
          <w:numId w:val="1"/>
        </w:numPr>
        <w:tabs>
          <w:tab w:val="clear" w:pos="0"/>
        </w:tabs>
        <w:spacing w:after="240"/>
        <w:outlineLvl w:val="1"/>
      </w:pPr>
      <w:r w:rsidRPr="007509D3">
        <w:t>First conversions, in the context of a phase-down of HFCs, are defined as conversions to low</w:t>
      </w:r>
      <w:r>
        <w:noBreakHyphen/>
      </w:r>
      <w:r w:rsidRPr="007509D3">
        <w:t>global</w:t>
      </w:r>
      <w:r>
        <w:noBreakHyphen/>
      </w:r>
      <w:r w:rsidRPr="007509D3">
        <w:t xml:space="preserve">warming potential (GWP) or zero-GWP alternatives of enterprises that have never received any direct or indirect support, in part or in full, from the Multilateral Fund, including enterprises that converted to HFCs with their own resources; </w:t>
      </w:r>
    </w:p>
    <w:p w14:paraId="1318F876" w14:textId="77777777" w:rsidR="00A61DB3" w:rsidRPr="007509D3" w:rsidRDefault="00A61DB3" w:rsidP="00A61DB3">
      <w:pPr>
        <w:widowControl w:val="0"/>
        <w:numPr>
          <w:ilvl w:val="1"/>
          <w:numId w:val="1"/>
        </w:numPr>
        <w:tabs>
          <w:tab w:val="clear" w:pos="0"/>
        </w:tabs>
        <w:spacing w:after="240"/>
        <w:outlineLvl w:val="1"/>
      </w:pPr>
      <w:r w:rsidRPr="007509D3">
        <w:t>Enterprises that have already converted to HFCs in phasing out CFCs and/or HCFCs will be eligible to receive funding from the Multilateral Fund to meet agreed incremental costs in the same manner as enterprises eligible for first conversions;</w:t>
      </w:r>
    </w:p>
    <w:p w14:paraId="4000727A" w14:textId="77777777" w:rsidR="00A61DB3" w:rsidRPr="007509D3" w:rsidRDefault="00A61DB3" w:rsidP="00A61DB3">
      <w:pPr>
        <w:widowControl w:val="0"/>
        <w:numPr>
          <w:ilvl w:val="1"/>
          <w:numId w:val="1"/>
        </w:numPr>
        <w:tabs>
          <w:tab w:val="clear" w:pos="0"/>
        </w:tabs>
        <w:spacing w:after="240"/>
        <w:outlineLvl w:val="1"/>
      </w:pPr>
      <w:r w:rsidRPr="007509D3">
        <w:t xml:space="preserve">Enterprises that convert from HCFCs to high-GWP HFCs, after the date of adoption of the Amendment, under HCFC phase-out management plans already approved by the Executive Committee will be eligible to receive funding from the Multilateral Fund for a subsequent conversion to low-GWP or zero-GWP alternatives to meet agreed incremental costs in the same manner as enterprises eligible for first conversions; </w:t>
      </w:r>
    </w:p>
    <w:p w14:paraId="6C348138" w14:textId="77777777" w:rsidR="00A61DB3" w:rsidRPr="007509D3" w:rsidRDefault="00A61DB3" w:rsidP="00A61DB3">
      <w:pPr>
        <w:widowControl w:val="0"/>
        <w:numPr>
          <w:ilvl w:val="1"/>
          <w:numId w:val="1"/>
        </w:numPr>
        <w:tabs>
          <w:tab w:val="clear" w:pos="0"/>
        </w:tabs>
        <w:spacing w:after="240"/>
        <w:outlineLvl w:val="1"/>
      </w:pPr>
      <w:r w:rsidRPr="007509D3">
        <w:t>Enterprises that convert from HCFCs to high-GWP HFCs with their own resources before 2025 under the Amendment will be eligible to receive funding from the Multilateral Fund to meet agreed incremental costs in the same manner as enterprises eligible for first conversions; and</w:t>
      </w:r>
    </w:p>
    <w:p w14:paraId="354E2573" w14:textId="77777777" w:rsidR="00A61DB3" w:rsidRPr="007509D3" w:rsidRDefault="00A61DB3" w:rsidP="00A61DB3">
      <w:pPr>
        <w:widowControl w:val="0"/>
        <w:numPr>
          <w:ilvl w:val="1"/>
          <w:numId w:val="1"/>
        </w:numPr>
        <w:spacing w:after="240"/>
        <w:outlineLvl w:val="1"/>
      </w:pPr>
      <w:r w:rsidRPr="007509D3">
        <w:t xml:space="preserve">Enterprises that convert from HFCs to lower-GWP HFCs with Multilateral Fund support when no other alternatives are available will be eligible to receive funding from the Multilateral Fund for a subsequent conversion to low-GWP or zero-GWP alternatives if </w:t>
      </w:r>
      <w:r w:rsidRPr="007509D3">
        <w:lastRenderedPageBreak/>
        <w:t>necessary to meet the final HFC phase-down step.</w:t>
      </w:r>
    </w:p>
    <w:p w14:paraId="11FF7A08" w14:textId="77777777" w:rsidR="00A61DB3" w:rsidRPr="007509D3" w:rsidRDefault="00A61DB3" w:rsidP="00A61DB3">
      <w:pPr>
        <w:widowControl w:val="0"/>
        <w:rPr>
          <w:b/>
        </w:rPr>
      </w:pPr>
      <w:r w:rsidRPr="007509D3">
        <w:rPr>
          <w:b/>
        </w:rPr>
        <w:t>Sustained aggregate reductions</w:t>
      </w:r>
    </w:p>
    <w:p w14:paraId="10F942CD" w14:textId="77777777" w:rsidR="00A61DB3" w:rsidRPr="007509D3" w:rsidRDefault="00A61DB3" w:rsidP="00A61DB3">
      <w:pPr>
        <w:widowControl w:val="0"/>
      </w:pPr>
    </w:p>
    <w:p w14:paraId="4584674C" w14:textId="77777777" w:rsidR="00A61DB3" w:rsidRPr="007509D3" w:rsidRDefault="00A61DB3" w:rsidP="00A61DB3">
      <w:pPr>
        <w:pStyle w:val="Heading1"/>
      </w:pPr>
      <w:r w:rsidRPr="007509D3">
        <w:t>The remaining eligible consumption for funding in tonnage will be determined on the basis of the starting point of national aggregate consumption less the amount funded by previously approved projects in future multi-year agreement templates for HFC phase-down plans.</w:t>
      </w:r>
    </w:p>
    <w:p w14:paraId="037BAAA0" w14:textId="77777777" w:rsidR="00A61DB3" w:rsidRPr="007509D3" w:rsidRDefault="00A61DB3" w:rsidP="00A61DB3">
      <w:pPr>
        <w:widowControl w:val="0"/>
        <w:rPr>
          <w:b/>
        </w:rPr>
      </w:pPr>
      <w:r w:rsidRPr="007509D3">
        <w:rPr>
          <w:b/>
        </w:rPr>
        <w:t>Eligible incremental costs</w:t>
      </w:r>
    </w:p>
    <w:p w14:paraId="3A4D71B3" w14:textId="77777777" w:rsidR="00A61DB3" w:rsidRPr="007509D3" w:rsidRDefault="00A61DB3" w:rsidP="00A61DB3">
      <w:pPr>
        <w:widowControl w:val="0"/>
      </w:pPr>
    </w:p>
    <w:p w14:paraId="480FB4FF" w14:textId="77777777" w:rsidR="00A61DB3" w:rsidRPr="007509D3" w:rsidRDefault="00A61DB3" w:rsidP="00A61DB3">
      <w:pPr>
        <w:widowControl w:val="0"/>
        <w:ind w:firstLine="720"/>
        <w:rPr>
          <w:i/>
        </w:rPr>
      </w:pPr>
      <w:r w:rsidRPr="007509D3">
        <w:rPr>
          <w:i/>
        </w:rPr>
        <w:t>Consumption manufacturing sector</w:t>
      </w:r>
    </w:p>
    <w:p w14:paraId="1D9F73BB" w14:textId="77777777" w:rsidR="00A61DB3" w:rsidRPr="007509D3" w:rsidRDefault="00A61DB3" w:rsidP="00A61DB3">
      <w:pPr>
        <w:widowControl w:val="0"/>
      </w:pPr>
    </w:p>
    <w:p w14:paraId="09277F4A" w14:textId="77777777" w:rsidR="00A61DB3" w:rsidRPr="007509D3" w:rsidRDefault="00A61DB3" w:rsidP="00A61DB3">
      <w:pPr>
        <w:pStyle w:val="Heading1"/>
      </w:pPr>
      <w:r w:rsidRPr="007509D3">
        <w:t>To make the following categories of costs eligible and to include them in the cost calculation associated with the phase-down of HFCs in the consumption manufacturing sector:</w:t>
      </w:r>
    </w:p>
    <w:p w14:paraId="4B4AEFC2" w14:textId="77777777" w:rsidR="00A61DB3" w:rsidRPr="007509D3" w:rsidRDefault="00A61DB3" w:rsidP="00A61DB3">
      <w:pPr>
        <w:widowControl w:val="0"/>
        <w:numPr>
          <w:ilvl w:val="1"/>
          <w:numId w:val="1"/>
        </w:numPr>
        <w:tabs>
          <w:tab w:val="clear" w:pos="0"/>
        </w:tabs>
        <w:spacing w:after="240"/>
        <w:outlineLvl w:val="1"/>
      </w:pPr>
      <w:r w:rsidRPr="007509D3">
        <w:t>Incremental capital costs;</w:t>
      </w:r>
    </w:p>
    <w:p w14:paraId="14DCAFF5" w14:textId="77777777" w:rsidR="00A61DB3" w:rsidRPr="007509D3" w:rsidRDefault="00A61DB3" w:rsidP="00A61DB3">
      <w:pPr>
        <w:widowControl w:val="0"/>
        <w:numPr>
          <w:ilvl w:val="1"/>
          <w:numId w:val="1"/>
        </w:numPr>
        <w:tabs>
          <w:tab w:val="clear" w:pos="0"/>
        </w:tabs>
        <w:spacing w:after="240"/>
        <w:outlineLvl w:val="1"/>
      </w:pPr>
      <w:r w:rsidRPr="007509D3">
        <w:t>Incremental operating costs for a duration to be determined by the Executive Committee;</w:t>
      </w:r>
    </w:p>
    <w:p w14:paraId="7157129B" w14:textId="77777777" w:rsidR="00A61DB3" w:rsidRPr="007509D3" w:rsidRDefault="00A61DB3" w:rsidP="00A61DB3">
      <w:pPr>
        <w:widowControl w:val="0"/>
        <w:numPr>
          <w:ilvl w:val="1"/>
          <w:numId w:val="1"/>
        </w:numPr>
        <w:tabs>
          <w:tab w:val="clear" w:pos="0"/>
        </w:tabs>
        <w:spacing w:after="240"/>
        <w:outlineLvl w:val="1"/>
      </w:pPr>
      <w:r w:rsidRPr="007509D3">
        <w:t xml:space="preserve">Technical assistance activities; </w:t>
      </w:r>
    </w:p>
    <w:p w14:paraId="3471C4E3" w14:textId="77777777" w:rsidR="00A61DB3" w:rsidRPr="007509D3" w:rsidRDefault="00A61DB3" w:rsidP="00A61DB3">
      <w:pPr>
        <w:widowControl w:val="0"/>
        <w:numPr>
          <w:ilvl w:val="1"/>
          <w:numId w:val="1"/>
        </w:numPr>
        <w:tabs>
          <w:tab w:val="clear" w:pos="0"/>
        </w:tabs>
        <w:spacing w:after="240"/>
        <w:outlineLvl w:val="1"/>
      </w:pPr>
      <w:r w:rsidRPr="007509D3">
        <w:t>Research and development, when required to adapt and optimize alternatives to HFCs with low or zero GWP;</w:t>
      </w:r>
    </w:p>
    <w:p w14:paraId="0B9B069E" w14:textId="77777777" w:rsidR="00A61DB3" w:rsidRPr="007509D3" w:rsidRDefault="00A61DB3" w:rsidP="00A61DB3">
      <w:pPr>
        <w:widowControl w:val="0"/>
        <w:numPr>
          <w:ilvl w:val="1"/>
          <w:numId w:val="1"/>
        </w:numPr>
        <w:tabs>
          <w:tab w:val="clear" w:pos="0"/>
        </w:tabs>
        <w:spacing w:after="240"/>
        <w:outlineLvl w:val="1"/>
      </w:pPr>
      <w:r w:rsidRPr="007509D3">
        <w:t>Costs of patents and designs, and incremental costs of royalties, when necessary and cost</w:t>
      </w:r>
      <w:r w:rsidRPr="007509D3">
        <w:noBreakHyphen/>
        <w:t>effective; and</w:t>
      </w:r>
    </w:p>
    <w:p w14:paraId="5559A02E" w14:textId="77777777" w:rsidR="00A61DB3" w:rsidRPr="007509D3" w:rsidRDefault="00A61DB3" w:rsidP="00A61DB3">
      <w:pPr>
        <w:widowControl w:val="0"/>
        <w:numPr>
          <w:ilvl w:val="1"/>
          <w:numId w:val="1"/>
        </w:numPr>
        <w:tabs>
          <w:tab w:val="clear" w:pos="0"/>
        </w:tabs>
        <w:spacing w:after="240"/>
        <w:outlineLvl w:val="1"/>
      </w:pPr>
      <w:r w:rsidRPr="007509D3">
        <w:t>Costs of the safe introduction of flammable and toxic alternatives.</w:t>
      </w:r>
    </w:p>
    <w:p w14:paraId="6A62FB2C" w14:textId="77777777" w:rsidR="00A61DB3" w:rsidRPr="007509D3" w:rsidRDefault="00A61DB3" w:rsidP="00A61DB3">
      <w:pPr>
        <w:widowControl w:val="0"/>
        <w:ind w:left="720"/>
        <w:rPr>
          <w:i/>
        </w:rPr>
      </w:pPr>
      <w:r w:rsidRPr="007509D3">
        <w:rPr>
          <w:i/>
        </w:rPr>
        <w:t>Production sector</w:t>
      </w:r>
    </w:p>
    <w:p w14:paraId="724AA77D" w14:textId="77777777" w:rsidR="00A61DB3" w:rsidRPr="007509D3" w:rsidRDefault="00A61DB3" w:rsidP="00A61DB3">
      <w:pPr>
        <w:widowControl w:val="0"/>
      </w:pPr>
    </w:p>
    <w:p w14:paraId="350864D1" w14:textId="77777777" w:rsidR="00A61DB3" w:rsidRPr="007509D3" w:rsidRDefault="00A61DB3" w:rsidP="00A61DB3">
      <w:pPr>
        <w:pStyle w:val="Heading1"/>
      </w:pPr>
      <w:r w:rsidRPr="007509D3">
        <w:t>To make the following categories of costs eligible and to include them in the cost calculation associated with the phase-down of HFCs in the production sector:</w:t>
      </w:r>
    </w:p>
    <w:p w14:paraId="1E1069E3" w14:textId="77777777" w:rsidR="00A61DB3" w:rsidRPr="007509D3" w:rsidRDefault="00A61DB3" w:rsidP="00A61DB3">
      <w:pPr>
        <w:widowControl w:val="0"/>
        <w:numPr>
          <w:ilvl w:val="1"/>
          <w:numId w:val="1"/>
        </w:numPr>
        <w:tabs>
          <w:tab w:val="clear" w:pos="0"/>
        </w:tabs>
        <w:spacing w:after="240"/>
        <w:outlineLvl w:val="1"/>
      </w:pPr>
      <w:r w:rsidRPr="007509D3">
        <w:t>Lost profit due to the shutdown/closure of production facilities, as well as production reduction;</w:t>
      </w:r>
    </w:p>
    <w:p w14:paraId="76BAF9A3" w14:textId="77777777" w:rsidR="00A61DB3" w:rsidRPr="007509D3" w:rsidRDefault="00A61DB3" w:rsidP="00A61DB3">
      <w:pPr>
        <w:widowControl w:val="0"/>
        <w:numPr>
          <w:ilvl w:val="1"/>
          <w:numId w:val="1"/>
        </w:numPr>
        <w:tabs>
          <w:tab w:val="clear" w:pos="0"/>
        </w:tabs>
        <w:spacing w:after="240"/>
        <w:outlineLvl w:val="1"/>
      </w:pPr>
      <w:r w:rsidRPr="007509D3">
        <w:t>Compensation for displaced workers;</w:t>
      </w:r>
    </w:p>
    <w:p w14:paraId="7E07C9B0" w14:textId="77777777" w:rsidR="00A61DB3" w:rsidRPr="007509D3" w:rsidRDefault="00A61DB3" w:rsidP="00A61DB3">
      <w:pPr>
        <w:widowControl w:val="0"/>
        <w:numPr>
          <w:ilvl w:val="1"/>
          <w:numId w:val="1"/>
        </w:numPr>
        <w:tabs>
          <w:tab w:val="clear" w:pos="0"/>
        </w:tabs>
        <w:spacing w:after="240"/>
        <w:outlineLvl w:val="1"/>
      </w:pPr>
      <w:r w:rsidRPr="007509D3">
        <w:t>Dismantling of production facilities;</w:t>
      </w:r>
    </w:p>
    <w:p w14:paraId="0BD15F4D" w14:textId="77777777" w:rsidR="00A61DB3" w:rsidRPr="007509D3" w:rsidRDefault="00A61DB3" w:rsidP="00A61DB3">
      <w:pPr>
        <w:widowControl w:val="0"/>
        <w:numPr>
          <w:ilvl w:val="1"/>
          <w:numId w:val="1"/>
        </w:numPr>
        <w:tabs>
          <w:tab w:val="clear" w:pos="0"/>
        </w:tabs>
        <w:spacing w:after="240"/>
        <w:outlineLvl w:val="1"/>
      </w:pPr>
      <w:r w:rsidRPr="007509D3">
        <w:t>Technical assistance activities;</w:t>
      </w:r>
    </w:p>
    <w:p w14:paraId="7A41B1E9" w14:textId="77777777" w:rsidR="00A61DB3" w:rsidRPr="007509D3" w:rsidRDefault="00A61DB3" w:rsidP="00A61DB3">
      <w:pPr>
        <w:widowControl w:val="0"/>
        <w:numPr>
          <w:ilvl w:val="1"/>
          <w:numId w:val="1"/>
        </w:numPr>
        <w:tabs>
          <w:tab w:val="clear" w:pos="0"/>
        </w:tabs>
        <w:spacing w:after="240"/>
        <w:outlineLvl w:val="1"/>
      </w:pPr>
      <w:r w:rsidRPr="007509D3">
        <w:t xml:space="preserve">Research and development related to the production of low-GWP or zero-GWP alternatives to HFCs with a view to lowering the costs of alternatives; </w:t>
      </w:r>
    </w:p>
    <w:p w14:paraId="4553268A" w14:textId="77777777" w:rsidR="00A61DB3" w:rsidRPr="007509D3" w:rsidRDefault="00A61DB3" w:rsidP="00A61DB3">
      <w:pPr>
        <w:widowControl w:val="0"/>
        <w:numPr>
          <w:ilvl w:val="1"/>
          <w:numId w:val="1"/>
        </w:numPr>
        <w:tabs>
          <w:tab w:val="clear" w:pos="0"/>
        </w:tabs>
        <w:spacing w:after="240"/>
        <w:outlineLvl w:val="1"/>
      </w:pPr>
      <w:r w:rsidRPr="007509D3">
        <w:t>Costs of patents and designs or incremental costs of royalties;</w:t>
      </w:r>
    </w:p>
    <w:p w14:paraId="21FA4F61" w14:textId="77777777" w:rsidR="00A61DB3" w:rsidRPr="007509D3" w:rsidRDefault="00A61DB3" w:rsidP="00A61DB3">
      <w:pPr>
        <w:widowControl w:val="0"/>
        <w:numPr>
          <w:ilvl w:val="1"/>
          <w:numId w:val="1"/>
        </w:numPr>
        <w:spacing w:after="240"/>
        <w:outlineLvl w:val="1"/>
      </w:pPr>
      <w:r w:rsidRPr="007509D3">
        <w:t>Costs of converting facilities to produce low-GWP or zero-GWP alternatives to HFCs when technically feasible and cost-effective; and</w:t>
      </w:r>
    </w:p>
    <w:p w14:paraId="1AC40E83" w14:textId="77777777" w:rsidR="00A61DB3" w:rsidRPr="007509D3" w:rsidRDefault="00A61DB3" w:rsidP="00A61DB3">
      <w:pPr>
        <w:widowControl w:val="0"/>
        <w:numPr>
          <w:ilvl w:val="1"/>
          <w:numId w:val="1"/>
        </w:numPr>
        <w:tabs>
          <w:tab w:val="clear" w:pos="0"/>
        </w:tabs>
        <w:spacing w:after="240"/>
        <w:outlineLvl w:val="1"/>
      </w:pPr>
      <w:r w:rsidRPr="007509D3">
        <w:t>Costs of reducing emissions of HFC-23, a by-product from the production process of HCFC</w:t>
      </w:r>
      <w:r>
        <w:noBreakHyphen/>
      </w:r>
      <w:r w:rsidRPr="007509D3">
        <w:t xml:space="preserve">22, by reducing its emission rate in the process, destroying it from the off-gas, or by collecting and converting it to other environmentally safe chemicals; such costs should </w:t>
      </w:r>
      <w:r w:rsidRPr="007509D3">
        <w:lastRenderedPageBreak/>
        <w:t>be funded by the Multilateral Fund to meet the obligations of Article 5 Parties specified under the Amendment.</w:t>
      </w:r>
    </w:p>
    <w:p w14:paraId="6E6D7BFF" w14:textId="77777777" w:rsidR="00A61DB3" w:rsidRPr="007509D3" w:rsidRDefault="00A61DB3" w:rsidP="00A61DB3">
      <w:pPr>
        <w:widowControl w:val="0"/>
        <w:ind w:left="720"/>
        <w:rPr>
          <w:i/>
        </w:rPr>
      </w:pPr>
      <w:r w:rsidRPr="007509D3">
        <w:rPr>
          <w:i/>
        </w:rPr>
        <w:t>Refrigeration servicing sector</w:t>
      </w:r>
    </w:p>
    <w:p w14:paraId="793ADF9E" w14:textId="77777777" w:rsidR="00A61DB3" w:rsidRPr="007509D3" w:rsidRDefault="00A61DB3" w:rsidP="00A61DB3">
      <w:pPr>
        <w:widowControl w:val="0"/>
      </w:pPr>
    </w:p>
    <w:p w14:paraId="62A1A582" w14:textId="77777777" w:rsidR="00A61DB3" w:rsidRPr="007509D3" w:rsidRDefault="00A61DB3" w:rsidP="00A61DB3">
      <w:pPr>
        <w:pStyle w:val="Heading1"/>
      </w:pPr>
      <w:r w:rsidRPr="007509D3">
        <w:t>To make the following categories of costs eligible and to include them in the cost calculation associated with the phase-down of HFCs in the refrigeration servicing sector:</w:t>
      </w:r>
    </w:p>
    <w:p w14:paraId="6E5768D4" w14:textId="77777777" w:rsidR="00A61DB3" w:rsidRPr="007509D3" w:rsidRDefault="00A61DB3" w:rsidP="00A61DB3">
      <w:pPr>
        <w:widowControl w:val="0"/>
        <w:numPr>
          <w:ilvl w:val="1"/>
          <w:numId w:val="1"/>
        </w:numPr>
        <w:tabs>
          <w:tab w:val="clear" w:pos="0"/>
        </w:tabs>
        <w:spacing w:after="240"/>
        <w:outlineLvl w:val="1"/>
      </w:pPr>
      <w:r w:rsidRPr="007509D3">
        <w:t>Public awareness activities;</w:t>
      </w:r>
    </w:p>
    <w:p w14:paraId="2A5D8FD8" w14:textId="77777777" w:rsidR="00A61DB3" w:rsidRPr="007509D3" w:rsidRDefault="00A61DB3" w:rsidP="00A61DB3">
      <w:pPr>
        <w:widowControl w:val="0"/>
        <w:numPr>
          <w:ilvl w:val="1"/>
          <w:numId w:val="1"/>
        </w:numPr>
        <w:tabs>
          <w:tab w:val="clear" w:pos="0"/>
        </w:tabs>
        <w:spacing w:after="240"/>
        <w:outlineLvl w:val="1"/>
      </w:pPr>
      <w:r w:rsidRPr="007509D3">
        <w:t>Policy development and implementation;</w:t>
      </w:r>
    </w:p>
    <w:p w14:paraId="62640AA3" w14:textId="77777777" w:rsidR="00A61DB3" w:rsidRPr="007509D3" w:rsidRDefault="00A61DB3" w:rsidP="00A61DB3">
      <w:pPr>
        <w:widowControl w:val="0"/>
        <w:numPr>
          <w:ilvl w:val="1"/>
          <w:numId w:val="1"/>
        </w:numPr>
        <w:tabs>
          <w:tab w:val="clear" w:pos="0"/>
        </w:tabs>
        <w:spacing w:after="240"/>
        <w:outlineLvl w:val="1"/>
      </w:pPr>
      <w:r w:rsidRPr="007509D3">
        <w:t>Certification programmes and training of technicians on safe handling, good practices and safety in respect of alternatives, including training equipment;</w:t>
      </w:r>
    </w:p>
    <w:p w14:paraId="32F8FFC2" w14:textId="77777777" w:rsidR="00A61DB3" w:rsidRPr="007509D3" w:rsidRDefault="00A61DB3" w:rsidP="00A61DB3">
      <w:pPr>
        <w:widowControl w:val="0"/>
        <w:numPr>
          <w:ilvl w:val="1"/>
          <w:numId w:val="1"/>
        </w:numPr>
        <w:tabs>
          <w:tab w:val="clear" w:pos="0"/>
        </w:tabs>
        <w:spacing w:after="240"/>
        <w:outlineLvl w:val="1"/>
      </w:pPr>
      <w:r w:rsidRPr="007509D3">
        <w:t>Training of customs officers;</w:t>
      </w:r>
    </w:p>
    <w:p w14:paraId="15788893" w14:textId="77777777" w:rsidR="00A61DB3" w:rsidRPr="007509D3" w:rsidRDefault="00A61DB3" w:rsidP="00A61DB3">
      <w:pPr>
        <w:widowControl w:val="0"/>
        <w:numPr>
          <w:ilvl w:val="1"/>
          <w:numId w:val="1"/>
        </w:numPr>
        <w:tabs>
          <w:tab w:val="clear" w:pos="0"/>
        </w:tabs>
        <w:spacing w:after="240"/>
        <w:outlineLvl w:val="1"/>
      </w:pPr>
      <w:r w:rsidRPr="007509D3">
        <w:t>Prevention of illegal trade of HFCs;</w:t>
      </w:r>
    </w:p>
    <w:p w14:paraId="4C1C33BD" w14:textId="77777777" w:rsidR="00A61DB3" w:rsidRPr="007509D3" w:rsidRDefault="00A61DB3" w:rsidP="00A61DB3">
      <w:pPr>
        <w:widowControl w:val="0"/>
        <w:numPr>
          <w:ilvl w:val="1"/>
          <w:numId w:val="1"/>
        </w:numPr>
        <w:tabs>
          <w:tab w:val="clear" w:pos="0"/>
        </w:tabs>
        <w:spacing w:after="240"/>
        <w:outlineLvl w:val="1"/>
      </w:pPr>
      <w:r w:rsidRPr="007509D3">
        <w:t xml:space="preserve">Servicing tools; </w:t>
      </w:r>
    </w:p>
    <w:p w14:paraId="70F9A64F" w14:textId="77777777" w:rsidR="00A61DB3" w:rsidRPr="007509D3" w:rsidRDefault="00A61DB3" w:rsidP="00A61DB3">
      <w:pPr>
        <w:widowControl w:val="0"/>
        <w:numPr>
          <w:ilvl w:val="1"/>
          <w:numId w:val="1"/>
        </w:numPr>
        <w:tabs>
          <w:tab w:val="clear" w:pos="0"/>
        </w:tabs>
        <w:spacing w:after="240"/>
        <w:outlineLvl w:val="1"/>
      </w:pPr>
      <w:r w:rsidRPr="007509D3">
        <w:t>Refrigerant testing equipment for the refrigeration and air-conditioning sector; and</w:t>
      </w:r>
    </w:p>
    <w:p w14:paraId="346E1DEF" w14:textId="77777777" w:rsidR="00A61DB3" w:rsidRPr="007509D3" w:rsidRDefault="00A61DB3" w:rsidP="00A61DB3">
      <w:pPr>
        <w:widowControl w:val="0"/>
        <w:numPr>
          <w:ilvl w:val="1"/>
          <w:numId w:val="1"/>
        </w:numPr>
        <w:tabs>
          <w:tab w:val="clear" w:pos="0"/>
        </w:tabs>
        <w:spacing w:after="240"/>
        <w:outlineLvl w:val="1"/>
      </w:pPr>
      <w:r w:rsidRPr="007509D3">
        <w:t>Recycling and recovery of HFCs.</w:t>
      </w:r>
    </w:p>
    <w:p w14:paraId="7F7F2FC3" w14:textId="77777777" w:rsidR="00A61DB3" w:rsidRPr="007509D3" w:rsidRDefault="00A61DB3" w:rsidP="00A61DB3">
      <w:pPr>
        <w:widowControl w:val="0"/>
        <w:rPr>
          <w:b/>
        </w:rPr>
      </w:pPr>
      <w:r w:rsidRPr="007509D3">
        <w:rPr>
          <w:b/>
        </w:rPr>
        <w:t>Energy efficiency</w:t>
      </w:r>
    </w:p>
    <w:p w14:paraId="4D585927" w14:textId="77777777" w:rsidR="00A61DB3" w:rsidRPr="007509D3" w:rsidRDefault="00A61DB3" w:rsidP="00A61DB3">
      <w:pPr>
        <w:widowControl w:val="0"/>
        <w:rPr>
          <w:b/>
        </w:rPr>
      </w:pPr>
    </w:p>
    <w:p w14:paraId="51611D2F" w14:textId="77777777" w:rsidR="00A61DB3" w:rsidRPr="007509D3" w:rsidRDefault="00A61DB3" w:rsidP="00A61DB3">
      <w:pPr>
        <w:widowControl w:val="0"/>
        <w:rPr>
          <w:b/>
        </w:rPr>
      </w:pPr>
      <w:r w:rsidRPr="007509D3">
        <w:rPr>
          <w:b/>
        </w:rPr>
        <w:t>Capacity building to address safety</w:t>
      </w:r>
    </w:p>
    <w:p w14:paraId="15A9831F" w14:textId="77777777" w:rsidR="00A61DB3" w:rsidRPr="007509D3" w:rsidRDefault="00A61DB3" w:rsidP="00A61DB3">
      <w:pPr>
        <w:widowControl w:val="0"/>
        <w:rPr>
          <w:b/>
        </w:rPr>
      </w:pPr>
    </w:p>
    <w:p w14:paraId="2317F715" w14:textId="77777777" w:rsidR="00A61DB3" w:rsidRPr="007509D3" w:rsidRDefault="00A61DB3" w:rsidP="00A61DB3">
      <w:pPr>
        <w:widowControl w:val="0"/>
        <w:rPr>
          <w:b/>
        </w:rPr>
      </w:pPr>
      <w:r w:rsidRPr="007509D3">
        <w:rPr>
          <w:b/>
        </w:rPr>
        <w:t>Disposal</w:t>
      </w:r>
    </w:p>
    <w:p w14:paraId="696EAAA8" w14:textId="77777777" w:rsidR="00A61DB3" w:rsidRPr="007509D3" w:rsidRDefault="00A61DB3" w:rsidP="00A61DB3">
      <w:pPr>
        <w:widowControl w:val="0"/>
        <w:rPr>
          <w:b/>
        </w:rPr>
      </w:pPr>
    </w:p>
    <w:p w14:paraId="5595DA8D" w14:textId="77777777" w:rsidR="00A61DB3" w:rsidRPr="007509D3" w:rsidRDefault="00A61DB3" w:rsidP="00A61DB3">
      <w:pPr>
        <w:widowControl w:val="0"/>
        <w:rPr>
          <w:b/>
        </w:rPr>
      </w:pPr>
      <w:r w:rsidRPr="007509D3">
        <w:rPr>
          <w:b/>
        </w:rPr>
        <w:t>Eligibility of Annex F substances subject to high-ambient-temperature exemption</w:t>
      </w:r>
    </w:p>
    <w:p w14:paraId="70EE4629" w14:textId="77777777" w:rsidR="00A61DB3" w:rsidRPr="007509D3" w:rsidRDefault="00A61DB3" w:rsidP="00A61DB3">
      <w:pPr>
        <w:widowControl w:val="0"/>
      </w:pPr>
    </w:p>
    <w:p w14:paraId="0006852A" w14:textId="77777777" w:rsidR="00A61DB3" w:rsidRDefault="00A61DB3" w:rsidP="00A61DB3">
      <w:pPr>
        <w:pStyle w:val="Heading1"/>
      </w:pPr>
      <w:r w:rsidRPr="007509D3">
        <w:t>That amounts of Annex F substances that are subject to the high-ambient-temperature exemption are not eligible for funding under the Multilateral Fund while they are exempted for that Party.</w:t>
      </w:r>
    </w:p>
    <w:p w14:paraId="152F4FE3" w14:textId="77777777" w:rsidR="00A61DB3" w:rsidRDefault="00A61DB3" w:rsidP="00A61DB3">
      <w:pPr>
        <w:sectPr w:rsidR="00A61DB3" w:rsidSect="00A61DB3">
          <w:headerReference w:type="even" r:id="rId17"/>
          <w:headerReference w:type="default" r:id="rId18"/>
          <w:footerReference w:type="first" r:id="rId19"/>
          <w:pgSz w:w="12240" w:h="15840" w:code="1"/>
          <w:pgMar w:top="720" w:right="1440" w:bottom="864" w:left="1440" w:header="720" w:footer="475" w:gutter="0"/>
          <w:pgNumType w:start="1"/>
          <w:cols w:space="720"/>
          <w:docGrid w:linePitch="299"/>
        </w:sectPr>
      </w:pPr>
    </w:p>
    <w:p w14:paraId="531870B6" w14:textId="77777777" w:rsidR="00A61DB3" w:rsidRPr="007509D3" w:rsidRDefault="00A61DB3" w:rsidP="00A61DB3">
      <w:pPr>
        <w:widowControl w:val="0"/>
        <w:jc w:val="center"/>
        <w:rPr>
          <w:b/>
        </w:rPr>
      </w:pPr>
      <w:r w:rsidRPr="007509D3">
        <w:rPr>
          <w:b/>
        </w:rPr>
        <w:lastRenderedPageBreak/>
        <w:t>Annex II</w:t>
      </w:r>
    </w:p>
    <w:p w14:paraId="6BA8D4EB" w14:textId="77777777" w:rsidR="00A61DB3" w:rsidRPr="007509D3" w:rsidRDefault="00A61DB3" w:rsidP="00A61DB3">
      <w:pPr>
        <w:widowControl w:val="0"/>
        <w:jc w:val="center"/>
        <w:rPr>
          <w:b/>
        </w:rPr>
      </w:pPr>
    </w:p>
    <w:p w14:paraId="46FD2B17" w14:textId="77777777" w:rsidR="00A61DB3" w:rsidRPr="007509D3" w:rsidRDefault="00A61DB3" w:rsidP="00A61DB3">
      <w:pPr>
        <w:widowControl w:val="0"/>
        <w:jc w:val="center"/>
        <w:rPr>
          <w:b/>
          <w:caps/>
        </w:rPr>
      </w:pPr>
      <w:r w:rsidRPr="007509D3">
        <w:rPr>
          <w:b/>
          <w:caps/>
        </w:rPr>
        <w:t>Outstanding issues for further discussion by the Executive Committee ON THE COST GUIDELINES FOR THE PHASE-DOWN OF HFC</w:t>
      </w:r>
      <w:r w:rsidRPr="007509D3">
        <w:rPr>
          <w:b/>
        </w:rPr>
        <w:t>s</w:t>
      </w:r>
    </w:p>
    <w:p w14:paraId="796AE499" w14:textId="77777777" w:rsidR="00A61DB3" w:rsidRDefault="00A61DB3" w:rsidP="00A61DB3">
      <w:pPr>
        <w:widowControl w:val="0"/>
        <w:jc w:val="center"/>
        <w:rPr>
          <w:b/>
        </w:rPr>
      </w:pPr>
      <w:r w:rsidRPr="007509D3">
        <w:rPr>
          <w:b/>
        </w:rPr>
        <w:t>(As of the 84</w:t>
      </w:r>
      <w:r w:rsidRPr="007509D3">
        <w:rPr>
          <w:b/>
          <w:vertAlign w:val="superscript"/>
        </w:rPr>
        <w:t>th</w:t>
      </w:r>
      <w:r w:rsidRPr="007509D3">
        <w:rPr>
          <w:b/>
        </w:rPr>
        <w:t xml:space="preserve"> meeting)</w:t>
      </w:r>
    </w:p>
    <w:p w14:paraId="14D0BA38" w14:textId="77777777" w:rsidR="00A61DB3" w:rsidRPr="00AD30D1" w:rsidRDefault="00A61DB3" w:rsidP="00A61DB3">
      <w:pPr>
        <w:widowControl w:val="0"/>
        <w:tabs>
          <w:tab w:val="left" w:pos="5196"/>
        </w:tabs>
        <w:jc w:val="left"/>
        <w:rPr>
          <w:highlight w:val="yellow"/>
        </w:rPr>
      </w:pPr>
    </w:p>
    <w:p w14:paraId="2684BAE8" w14:textId="77777777" w:rsidR="00A61DB3" w:rsidRPr="00691FF7" w:rsidRDefault="00A61DB3" w:rsidP="00A61DB3">
      <w:r w:rsidRPr="00691FF7">
        <w:rPr>
          <w:u w:val="single"/>
        </w:rPr>
        <w:t>Note by the Secretariat</w:t>
      </w:r>
      <w:r w:rsidRPr="00691FF7">
        <w:t xml:space="preserve">: The outstanding issues for further discussion by the Executive Committee are presented in the following three parts: </w:t>
      </w:r>
    </w:p>
    <w:p w14:paraId="4D031179" w14:textId="77777777" w:rsidR="00A61DB3" w:rsidRPr="00691FF7" w:rsidRDefault="00A61DB3" w:rsidP="00A61DB3">
      <w:pPr>
        <w:widowControl w:val="0"/>
        <w:tabs>
          <w:tab w:val="left" w:pos="5196"/>
        </w:tabs>
        <w:jc w:val="left"/>
      </w:pPr>
    </w:p>
    <w:p w14:paraId="09C23BD5" w14:textId="77777777" w:rsidR="00A61DB3" w:rsidRPr="00691FF7" w:rsidRDefault="00A61DB3" w:rsidP="00A61DB3">
      <w:pPr>
        <w:widowControl w:val="0"/>
        <w:numPr>
          <w:ilvl w:val="0"/>
          <w:numId w:val="24"/>
        </w:numPr>
        <w:tabs>
          <w:tab w:val="left" w:pos="5196"/>
        </w:tabs>
        <w:contextualSpacing/>
        <w:jc w:val="left"/>
      </w:pPr>
      <w:r w:rsidRPr="00691FF7">
        <w:t>In relation to the cost guidelines</w:t>
      </w:r>
    </w:p>
    <w:p w14:paraId="7B7E0AEE" w14:textId="77777777" w:rsidR="00A61DB3" w:rsidRPr="00691FF7" w:rsidRDefault="00A61DB3" w:rsidP="00A61DB3">
      <w:pPr>
        <w:widowControl w:val="0"/>
        <w:numPr>
          <w:ilvl w:val="0"/>
          <w:numId w:val="24"/>
        </w:numPr>
        <w:tabs>
          <w:tab w:val="left" w:pos="5196"/>
        </w:tabs>
        <w:contextualSpacing/>
        <w:jc w:val="left"/>
      </w:pPr>
      <w:r w:rsidRPr="00691FF7">
        <w:t>Additional work to be requested from the Secretariat</w:t>
      </w:r>
    </w:p>
    <w:p w14:paraId="2D764147" w14:textId="77777777" w:rsidR="00A61DB3" w:rsidRPr="00691FF7" w:rsidRDefault="00A61DB3" w:rsidP="00A61DB3">
      <w:pPr>
        <w:widowControl w:val="0"/>
        <w:numPr>
          <w:ilvl w:val="0"/>
          <w:numId w:val="24"/>
        </w:numPr>
        <w:tabs>
          <w:tab w:val="left" w:pos="5196"/>
        </w:tabs>
        <w:contextualSpacing/>
        <w:jc w:val="left"/>
      </w:pPr>
      <w:r w:rsidRPr="00691FF7">
        <w:t>Other general matters related to HFC phase-down</w:t>
      </w:r>
    </w:p>
    <w:p w14:paraId="2CB2FB2A" w14:textId="77777777" w:rsidR="00A61DB3" w:rsidRDefault="00A61DB3" w:rsidP="00A61DB3">
      <w:pPr>
        <w:widowControl w:val="0"/>
        <w:tabs>
          <w:tab w:val="left" w:pos="5196"/>
        </w:tabs>
        <w:jc w:val="left"/>
      </w:pPr>
    </w:p>
    <w:p w14:paraId="695A40D7" w14:textId="77777777" w:rsidR="00A61DB3" w:rsidRDefault="00A61DB3" w:rsidP="00A61DB3">
      <w:pPr>
        <w:widowControl w:val="0"/>
        <w:tabs>
          <w:tab w:val="left" w:pos="5196"/>
        </w:tabs>
        <w:jc w:val="left"/>
      </w:pPr>
      <w:r>
        <w:t>A reference to the documents prepared by the Secretariat to discuss each subject has been included.</w:t>
      </w:r>
    </w:p>
    <w:p w14:paraId="467655FE" w14:textId="77777777" w:rsidR="00A61DB3" w:rsidRPr="007509D3" w:rsidRDefault="00A61DB3" w:rsidP="00A61DB3">
      <w:pPr>
        <w:widowControl w:val="0"/>
        <w:tabs>
          <w:tab w:val="left" w:pos="5196"/>
        </w:tabs>
        <w:jc w:val="left"/>
      </w:pPr>
    </w:p>
    <w:p w14:paraId="44CDBB9A" w14:textId="77777777" w:rsidR="00A61DB3" w:rsidRPr="007509D3" w:rsidRDefault="00A61DB3" w:rsidP="00A61DB3">
      <w:pPr>
        <w:widowControl w:val="0"/>
        <w:numPr>
          <w:ilvl w:val="0"/>
          <w:numId w:val="22"/>
        </w:numPr>
        <w:ind w:left="709" w:hanging="709"/>
        <w:contextualSpacing/>
        <w:jc w:val="left"/>
        <w:rPr>
          <w:b/>
        </w:rPr>
      </w:pPr>
      <w:r w:rsidRPr="007509D3">
        <w:rPr>
          <w:b/>
        </w:rPr>
        <w:t>IN RELATION TO THE COST GUIDELINES</w:t>
      </w:r>
    </w:p>
    <w:p w14:paraId="23A2E3FB" w14:textId="77777777" w:rsidR="00A61DB3" w:rsidRPr="007509D3" w:rsidRDefault="00A61DB3" w:rsidP="00A61DB3">
      <w:pPr>
        <w:widowControl w:val="0"/>
        <w:jc w:val="left"/>
        <w:rPr>
          <w:b/>
        </w:rPr>
      </w:pPr>
    </w:p>
    <w:p w14:paraId="3B10D047" w14:textId="77777777" w:rsidR="00A61DB3" w:rsidRPr="007509D3" w:rsidRDefault="00A61DB3" w:rsidP="00A61DB3">
      <w:pPr>
        <w:widowControl w:val="0"/>
        <w:jc w:val="left"/>
        <w:rPr>
          <w:b/>
        </w:rPr>
      </w:pPr>
      <w:r w:rsidRPr="007509D3">
        <w:rPr>
          <w:b/>
        </w:rPr>
        <w:t xml:space="preserve">Sustained aggregate reductions </w:t>
      </w:r>
    </w:p>
    <w:p w14:paraId="0F130132" w14:textId="77777777" w:rsidR="00A61DB3" w:rsidRDefault="00A61DB3" w:rsidP="00A61DB3">
      <w:pPr>
        <w:widowControl w:val="0"/>
        <w:outlineLvl w:val="0"/>
      </w:pPr>
    </w:p>
    <w:p w14:paraId="6721A6FD" w14:textId="77777777" w:rsidR="00A61DB3" w:rsidRPr="002C07A0" w:rsidRDefault="00A61DB3" w:rsidP="00A61DB3">
      <w:pPr>
        <w:widowControl w:val="0"/>
        <w:outlineLvl w:val="0"/>
        <w:rPr>
          <w:i/>
        </w:rPr>
      </w:pPr>
      <w:r w:rsidRPr="002C07A0">
        <w:rPr>
          <w:i/>
        </w:rPr>
        <w:t>(Reference documents: UNEP/</w:t>
      </w:r>
      <w:proofErr w:type="spellStart"/>
      <w:r w:rsidRPr="002C07A0">
        <w:rPr>
          <w:i/>
        </w:rPr>
        <w:t>OzL.Pro</w:t>
      </w:r>
      <w:proofErr w:type="spellEnd"/>
      <w:r w:rsidRPr="002C07A0">
        <w:rPr>
          <w:i/>
        </w:rPr>
        <w:t>/</w:t>
      </w:r>
      <w:proofErr w:type="spellStart"/>
      <w:r w:rsidRPr="002C07A0">
        <w:rPr>
          <w:i/>
        </w:rPr>
        <w:t>ExCom</w:t>
      </w:r>
      <w:proofErr w:type="spellEnd"/>
      <w:r w:rsidRPr="002C07A0">
        <w:rPr>
          <w:i/>
        </w:rPr>
        <w:t>/82/66)</w:t>
      </w:r>
    </w:p>
    <w:p w14:paraId="11103139" w14:textId="77777777" w:rsidR="00A61DB3" w:rsidRPr="007509D3" w:rsidRDefault="00A61DB3" w:rsidP="00A61DB3">
      <w:pPr>
        <w:widowControl w:val="0"/>
        <w:outlineLvl w:val="0"/>
      </w:pPr>
    </w:p>
    <w:p w14:paraId="353D0E1B" w14:textId="77777777" w:rsidR="00A61DB3" w:rsidRPr="007509D3" w:rsidRDefault="00A61DB3" w:rsidP="00A61DB3">
      <w:pPr>
        <w:widowControl w:val="0"/>
        <w:numPr>
          <w:ilvl w:val="1"/>
          <w:numId w:val="1"/>
        </w:numPr>
        <w:spacing w:after="240"/>
        <w:outlineLvl w:val="1"/>
      </w:pPr>
      <w:r w:rsidRPr="007509D3">
        <w:t>To use the following methodology [to be proposed by the Executive Committee] for determining the starting point for sustained aggregate reduction in HFC consumption and production, noting that the starting point should be expressed in [[CO</w:t>
      </w:r>
      <w:r w:rsidRPr="007509D3">
        <w:rPr>
          <w:vertAlign w:val="subscript"/>
        </w:rPr>
        <w:t>2</w:t>
      </w:r>
      <w:r w:rsidRPr="007509D3">
        <w:t>-equivalent] and/or [metric tonnes]];</w:t>
      </w:r>
    </w:p>
    <w:p w14:paraId="0252F6B5" w14:textId="77777777" w:rsidR="00A61DB3" w:rsidRPr="007509D3" w:rsidRDefault="00A61DB3" w:rsidP="00A61DB3">
      <w:pPr>
        <w:widowControl w:val="0"/>
        <w:numPr>
          <w:ilvl w:val="1"/>
          <w:numId w:val="1"/>
        </w:numPr>
        <w:spacing w:after="240"/>
        <w:outlineLvl w:val="1"/>
      </w:pPr>
      <w:r w:rsidRPr="007509D3">
        <w:t>[add text for production];</w:t>
      </w:r>
    </w:p>
    <w:p w14:paraId="43CF2983" w14:textId="77777777" w:rsidR="00A61DB3" w:rsidRPr="007509D3" w:rsidRDefault="00A61DB3" w:rsidP="00A61DB3">
      <w:pPr>
        <w:widowControl w:val="0"/>
        <w:numPr>
          <w:ilvl w:val="1"/>
          <w:numId w:val="1"/>
        </w:numPr>
        <w:spacing w:after="240"/>
        <w:outlineLvl w:val="1"/>
      </w:pPr>
      <w:r w:rsidRPr="007509D3">
        <w:t>[When determining the starting point for aggregate reduction in HFC consumption, the following approach will be followed with regard to the import and export of HFCs contained in pre-blended polyols, which had not been counted as consumption under Article</w:t>
      </w:r>
      <w:r w:rsidR="00A37A0D">
        <w:t> </w:t>
      </w:r>
      <w:r w:rsidRPr="007509D3">
        <w:t>7 of the Montreal Protocol:</w:t>
      </w:r>
    </w:p>
    <w:p w14:paraId="7D78636D" w14:textId="77777777" w:rsidR="00A61DB3" w:rsidRPr="007509D3" w:rsidRDefault="00A61DB3" w:rsidP="00A61DB3">
      <w:pPr>
        <w:widowControl w:val="0"/>
        <w:numPr>
          <w:ilvl w:val="2"/>
          <w:numId w:val="1"/>
        </w:numPr>
        <w:spacing w:after="240"/>
        <w:outlineLvl w:val="2"/>
      </w:pPr>
      <w:r w:rsidRPr="007509D3">
        <w:t>[Paragraph about internal production of pre-blended polyols];</w:t>
      </w:r>
    </w:p>
    <w:p w14:paraId="0E8B3F77" w14:textId="77777777" w:rsidR="00A61DB3" w:rsidRPr="007509D3" w:rsidRDefault="00A61DB3" w:rsidP="00A61DB3">
      <w:pPr>
        <w:widowControl w:val="0"/>
        <w:numPr>
          <w:ilvl w:val="2"/>
          <w:numId w:val="1"/>
        </w:numPr>
        <w:spacing w:after="240"/>
        <w:outlineLvl w:val="2"/>
      </w:pPr>
      <w:r w:rsidRPr="007509D3">
        <w:t>To request Article 5 countries to report under the country programme implementation report imports and exports of HFCs contained in pre</w:t>
      </w:r>
      <w:r w:rsidR="00A37A0D">
        <w:noBreakHyphen/>
      </w:r>
      <w:r w:rsidRPr="007509D3">
        <w:t>blended polyols;</w:t>
      </w:r>
    </w:p>
    <w:p w14:paraId="0F0E7D3E" w14:textId="77777777" w:rsidR="00A61DB3" w:rsidRPr="007509D3" w:rsidRDefault="00A61DB3" w:rsidP="00A61DB3">
      <w:pPr>
        <w:widowControl w:val="0"/>
        <w:numPr>
          <w:ilvl w:val="2"/>
          <w:numId w:val="1"/>
        </w:numPr>
        <w:spacing w:after="240"/>
        <w:outlineLvl w:val="2"/>
      </w:pPr>
      <w:r w:rsidRPr="007509D3">
        <w:t>To request Article 5 countries that wished to seek assistance for the phase-out of imports of HFCs contained in pre-blended polyols to include in the starting point for aggregate reduction in HFC consumption the amount of HFC imported contained in polyol systems during the years used as reference to determine the starting point; and</w:t>
      </w:r>
    </w:p>
    <w:p w14:paraId="39E7722A" w14:textId="77777777" w:rsidR="00A61DB3" w:rsidRPr="007509D3" w:rsidRDefault="00A61DB3" w:rsidP="00A61DB3">
      <w:pPr>
        <w:widowControl w:val="0"/>
        <w:numPr>
          <w:ilvl w:val="2"/>
          <w:numId w:val="1"/>
        </w:numPr>
        <w:spacing w:after="240"/>
        <w:outlineLvl w:val="2"/>
      </w:pPr>
      <w:r w:rsidRPr="007509D3">
        <w:t>To request Article 5 countries that export HFC contained in pre-blended polyols to deduct from the starting point for aggregate reduction in HFC consumption the amount of HFC exported contained in polyol systems during the years used as reference to determine the starting point.]</w:t>
      </w:r>
    </w:p>
    <w:p w14:paraId="7F138966" w14:textId="77777777" w:rsidR="00A61DB3" w:rsidRPr="007509D3" w:rsidRDefault="00A61DB3" w:rsidP="00A61DB3">
      <w:pPr>
        <w:keepNext/>
        <w:jc w:val="left"/>
        <w:rPr>
          <w:b/>
        </w:rPr>
      </w:pPr>
      <w:r w:rsidRPr="007509D3">
        <w:rPr>
          <w:b/>
        </w:rPr>
        <w:lastRenderedPageBreak/>
        <w:t>Eligible incremental costs</w:t>
      </w:r>
    </w:p>
    <w:p w14:paraId="2B8B0D96" w14:textId="77777777" w:rsidR="00A61DB3" w:rsidRPr="007509D3" w:rsidRDefault="00A61DB3" w:rsidP="00A61DB3">
      <w:pPr>
        <w:keepNext/>
        <w:ind w:firstLine="720"/>
        <w:jc w:val="left"/>
        <w:rPr>
          <w:i/>
        </w:rPr>
      </w:pPr>
    </w:p>
    <w:p w14:paraId="1094ECF7" w14:textId="77777777" w:rsidR="00A61DB3" w:rsidRPr="007509D3" w:rsidRDefault="00A61DB3" w:rsidP="00A61DB3">
      <w:pPr>
        <w:keepNext/>
        <w:ind w:firstLine="720"/>
        <w:jc w:val="left"/>
        <w:rPr>
          <w:i/>
        </w:rPr>
      </w:pPr>
      <w:r w:rsidRPr="007509D3">
        <w:rPr>
          <w:i/>
        </w:rPr>
        <w:t>Consumption manufacturing sector</w:t>
      </w:r>
    </w:p>
    <w:p w14:paraId="3C537F6C" w14:textId="77777777" w:rsidR="00A61DB3" w:rsidRDefault="00A61DB3" w:rsidP="00A61DB3">
      <w:pPr>
        <w:widowControl w:val="0"/>
        <w:jc w:val="left"/>
      </w:pPr>
    </w:p>
    <w:p w14:paraId="6A4C14D8" w14:textId="77777777" w:rsidR="00A61DB3" w:rsidRPr="003F45C5" w:rsidRDefault="00A61DB3" w:rsidP="00A61DB3">
      <w:pPr>
        <w:widowControl w:val="0"/>
        <w:jc w:val="left"/>
        <w:rPr>
          <w:i/>
        </w:rPr>
      </w:pPr>
      <w:r w:rsidRPr="00AF252E">
        <w:rPr>
          <w:i/>
        </w:rPr>
        <w:t>(Reference documents: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w:t>
      </w:r>
      <w:r w:rsidR="00800DB8" w:rsidRPr="003F45C5">
        <w:rPr>
          <w:i/>
        </w:rPr>
        <w:t>87/49</w:t>
      </w:r>
      <w:r w:rsidRPr="003F45C5">
        <w:rPr>
          <w:i/>
        </w:rPr>
        <w:t>)</w:t>
      </w:r>
    </w:p>
    <w:p w14:paraId="03C88EAB" w14:textId="77777777" w:rsidR="00A61DB3" w:rsidRPr="003F45C5" w:rsidRDefault="00A61DB3" w:rsidP="00A61DB3">
      <w:pPr>
        <w:widowControl w:val="0"/>
        <w:jc w:val="left"/>
      </w:pPr>
    </w:p>
    <w:p w14:paraId="4015F4B0" w14:textId="77777777" w:rsidR="00A61DB3" w:rsidRPr="003F45C5" w:rsidRDefault="00A61DB3" w:rsidP="00A61DB3">
      <w:pPr>
        <w:widowControl w:val="0"/>
        <w:numPr>
          <w:ilvl w:val="1"/>
          <w:numId w:val="1"/>
        </w:numPr>
        <w:spacing w:after="240"/>
        <w:outlineLvl w:val="1"/>
      </w:pPr>
      <w:r w:rsidRPr="003F45C5">
        <w:t>[To continue discussing the cost guidelines for the phase</w:t>
      </w:r>
      <w:r w:rsidRPr="003F45C5">
        <w:noBreakHyphen/>
        <w:t>down of HFCs in Article</w:t>
      </w:r>
      <w:r w:rsidR="00A37A0D" w:rsidRPr="003F45C5">
        <w:t> </w:t>
      </w:r>
      <w:r w:rsidRPr="003F45C5">
        <w:t xml:space="preserve">5 Parties, </w:t>
      </w:r>
      <w:r w:rsidRPr="003F45C5">
        <w:rPr>
          <w:i/>
        </w:rPr>
        <w:t>inter alia</w:t>
      </w:r>
      <w:r w:rsidRPr="003F45C5">
        <w:t xml:space="preserve"> including establishment of cost-effectiveness thresholds, through an appropriate methodology in relation to consumption manufacturing sector, taking into account relevant information, decisions of the Executive Committee and results from the implementation of stand-alone HFC investment projects in all sectors of HFCs]</w:t>
      </w:r>
      <w:r w:rsidR="00A37A0D" w:rsidRPr="003F45C5">
        <w:t>;</w:t>
      </w:r>
    </w:p>
    <w:p w14:paraId="2558D11E" w14:textId="77777777" w:rsidR="00A61DB3" w:rsidRPr="003F45C5" w:rsidRDefault="00A61DB3" w:rsidP="00A61DB3">
      <w:pPr>
        <w:widowControl w:val="0"/>
        <w:ind w:left="720"/>
        <w:jc w:val="left"/>
        <w:rPr>
          <w:i/>
        </w:rPr>
      </w:pPr>
      <w:r w:rsidRPr="003F45C5">
        <w:rPr>
          <w:i/>
        </w:rPr>
        <w:t>Refrigeration servicing sector</w:t>
      </w:r>
    </w:p>
    <w:p w14:paraId="5B5B22D2" w14:textId="77777777" w:rsidR="00A61DB3" w:rsidRPr="003F45C5" w:rsidRDefault="00A61DB3" w:rsidP="00A61DB3">
      <w:pPr>
        <w:widowControl w:val="0"/>
        <w:jc w:val="left"/>
      </w:pPr>
    </w:p>
    <w:p w14:paraId="5253B199" w14:textId="77777777" w:rsidR="00A61DB3" w:rsidRPr="003F45C5" w:rsidRDefault="00A61DB3" w:rsidP="00A61DB3">
      <w:pPr>
        <w:widowControl w:val="0"/>
      </w:pPr>
      <w:r w:rsidRPr="003F45C5">
        <w:rPr>
          <w:i/>
        </w:rPr>
        <w:t>(Reference documents: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/82/64,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/84/65,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/8</w:t>
      </w:r>
      <w:r w:rsidR="00800DB8" w:rsidRPr="003F45C5">
        <w:rPr>
          <w:i/>
        </w:rPr>
        <w:t>7/45</w:t>
      </w:r>
      <w:r w:rsidRPr="003F45C5">
        <w:rPr>
          <w:i/>
        </w:rPr>
        <w:t>,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/8</w:t>
      </w:r>
      <w:r w:rsidR="00800DB8" w:rsidRPr="003F45C5">
        <w:rPr>
          <w:i/>
        </w:rPr>
        <w:t>7</w:t>
      </w:r>
      <w:r w:rsidRPr="003F45C5">
        <w:rPr>
          <w:i/>
        </w:rPr>
        <w:t>/</w:t>
      </w:r>
      <w:r w:rsidR="00800DB8" w:rsidRPr="003F45C5">
        <w:rPr>
          <w:i/>
        </w:rPr>
        <w:t>47</w:t>
      </w:r>
      <w:r w:rsidRPr="003F45C5">
        <w:rPr>
          <w:i/>
        </w:rPr>
        <w:t>)</w:t>
      </w:r>
    </w:p>
    <w:p w14:paraId="6FD11637" w14:textId="77777777" w:rsidR="00A61DB3" w:rsidRPr="003F45C5" w:rsidRDefault="00A61DB3" w:rsidP="00A61DB3">
      <w:pPr>
        <w:widowControl w:val="0"/>
        <w:jc w:val="left"/>
      </w:pPr>
    </w:p>
    <w:p w14:paraId="434E41CD" w14:textId="77777777" w:rsidR="00A61DB3" w:rsidRPr="003F45C5" w:rsidRDefault="00A61DB3" w:rsidP="00A61DB3">
      <w:pPr>
        <w:widowControl w:val="0"/>
        <w:numPr>
          <w:ilvl w:val="1"/>
          <w:numId w:val="1"/>
        </w:numPr>
        <w:spacing w:after="240"/>
        <w:outlineLvl w:val="1"/>
      </w:pPr>
      <w:r w:rsidRPr="003F45C5">
        <w:t>[Consideration of paragraph 16 of decision XXVIII/2, [including consideration of maintaining energy efficiency in the servicing/end-user sector]]; [It is proposed to delete this paragraph as this issue is already being discussed separately under agenda item 13(b) on Matters related to the Kigali Amendment to the Montreal Protocol: Energy efficiency]</w:t>
      </w:r>
    </w:p>
    <w:p w14:paraId="2C3F3F33" w14:textId="77777777" w:rsidR="00A61DB3" w:rsidRPr="003F45C5" w:rsidRDefault="00A61DB3" w:rsidP="00A61DB3">
      <w:pPr>
        <w:widowControl w:val="0"/>
        <w:spacing w:after="240"/>
        <w:outlineLvl w:val="1"/>
        <w:rPr>
          <w:b/>
        </w:rPr>
      </w:pPr>
      <w:r w:rsidRPr="003F45C5">
        <w:rPr>
          <w:b/>
        </w:rPr>
        <w:t>Energy efficiency</w:t>
      </w:r>
    </w:p>
    <w:p w14:paraId="11684652" w14:textId="77777777" w:rsidR="00A61DB3" w:rsidRPr="003F45C5" w:rsidRDefault="00A61DB3" w:rsidP="00A61DB3">
      <w:pPr>
        <w:widowControl w:val="0"/>
        <w:spacing w:after="240"/>
        <w:outlineLvl w:val="1"/>
      </w:pPr>
      <w:r w:rsidRPr="003F45C5">
        <w:t>Note: This item is being considered outside the cost guidelines for the phase-down of HFCs.</w:t>
      </w:r>
    </w:p>
    <w:p w14:paraId="685E7381" w14:textId="77777777" w:rsidR="00A61DB3" w:rsidRPr="003F45C5" w:rsidRDefault="00A61DB3" w:rsidP="00A61DB3">
      <w:pPr>
        <w:widowControl w:val="0"/>
        <w:jc w:val="left"/>
        <w:rPr>
          <w:b/>
        </w:rPr>
      </w:pPr>
      <w:r w:rsidRPr="003F45C5">
        <w:rPr>
          <w:b/>
        </w:rPr>
        <w:t>Capacity building to address safety</w:t>
      </w:r>
    </w:p>
    <w:p w14:paraId="0A821327" w14:textId="77777777" w:rsidR="00A61DB3" w:rsidRPr="003F45C5" w:rsidRDefault="00A61DB3" w:rsidP="00A61DB3">
      <w:pPr>
        <w:widowControl w:val="0"/>
        <w:jc w:val="left"/>
        <w:rPr>
          <w:b/>
        </w:rPr>
      </w:pPr>
    </w:p>
    <w:p w14:paraId="3B25793D" w14:textId="77777777" w:rsidR="00A61DB3" w:rsidRPr="003F45C5" w:rsidRDefault="00A61DB3" w:rsidP="00A61DB3">
      <w:pPr>
        <w:widowControl w:val="0"/>
        <w:jc w:val="left"/>
        <w:rPr>
          <w:b/>
        </w:rPr>
      </w:pPr>
      <w:r w:rsidRPr="003F45C5">
        <w:t>Note: This item is being addressed under the refrigeration servicing sector.</w:t>
      </w:r>
    </w:p>
    <w:p w14:paraId="27A8EA3C" w14:textId="77777777" w:rsidR="00A61DB3" w:rsidRPr="003F45C5" w:rsidRDefault="00A61DB3" w:rsidP="00A61DB3">
      <w:pPr>
        <w:widowControl w:val="0"/>
        <w:jc w:val="left"/>
      </w:pPr>
    </w:p>
    <w:p w14:paraId="162EC7CE" w14:textId="77777777" w:rsidR="00A61DB3" w:rsidRPr="003F45C5" w:rsidRDefault="00A61DB3" w:rsidP="00A61DB3">
      <w:pPr>
        <w:widowControl w:val="0"/>
        <w:jc w:val="left"/>
        <w:rPr>
          <w:b/>
        </w:rPr>
      </w:pPr>
      <w:r w:rsidRPr="003F45C5">
        <w:rPr>
          <w:b/>
        </w:rPr>
        <w:t>Disposal</w:t>
      </w:r>
    </w:p>
    <w:p w14:paraId="1BB3F2AB" w14:textId="77777777" w:rsidR="00A61DB3" w:rsidRPr="003F45C5" w:rsidRDefault="00A61DB3" w:rsidP="00A61DB3">
      <w:pPr>
        <w:widowControl w:val="0"/>
      </w:pPr>
    </w:p>
    <w:p w14:paraId="617152E0" w14:textId="77777777" w:rsidR="00A61DB3" w:rsidRPr="003F45C5" w:rsidRDefault="00A61DB3" w:rsidP="00A61DB3">
      <w:pPr>
        <w:widowControl w:val="0"/>
        <w:rPr>
          <w:lang w:val="pt-BR"/>
        </w:rPr>
      </w:pPr>
      <w:r w:rsidRPr="003F45C5">
        <w:rPr>
          <w:i/>
          <w:lang w:val="pt-BR"/>
        </w:rPr>
        <w:t>(Reference documents: UNEP/OzL.Pro/ExCom/82/21, UNEP/OzL.Pro/ExCom/</w:t>
      </w:r>
      <w:r w:rsidR="00800DB8" w:rsidRPr="003F45C5">
        <w:rPr>
          <w:i/>
          <w:lang w:val="pt-BR"/>
        </w:rPr>
        <w:t>87</w:t>
      </w:r>
      <w:r w:rsidRPr="003F45C5">
        <w:rPr>
          <w:i/>
          <w:lang w:val="pt-BR"/>
        </w:rPr>
        <w:t>/</w:t>
      </w:r>
      <w:r w:rsidR="00800DB8" w:rsidRPr="003F45C5">
        <w:rPr>
          <w:i/>
          <w:lang w:val="pt-BR"/>
        </w:rPr>
        <w:t>48</w:t>
      </w:r>
      <w:r w:rsidRPr="003F45C5">
        <w:rPr>
          <w:i/>
          <w:lang w:val="pt-BR"/>
        </w:rPr>
        <w:t>)</w:t>
      </w:r>
    </w:p>
    <w:p w14:paraId="53854386" w14:textId="77777777" w:rsidR="00A61DB3" w:rsidRPr="003F45C5" w:rsidRDefault="00A61DB3" w:rsidP="00A61DB3">
      <w:pPr>
        <w:widowControl w:val="0"/>
        <w:rPr>
          <w:lang w:val="pt-BR"/>
        </w:rPr>
      </w:pPr>
    </w:p>
    <w:p w14:paraId="3A7C57F4" w14:textId="77777777" w:rsidR="00A61DB3" w:rsidRPr="003F45C5" w:rsidRDefault="00A61DB3" w:rsidP="00A61DB3">
      <w:pPr>
        <w:widowControl w:val="0"/>
        <w:numPr>
          <w:ilvl w:val="1"/>
          <w:numId w:val="1"/>
        </w:numPr>
        <w:spacing w:after="240"/>
        <w:outlineLvl w:val="1"/>
      </w:pPr>
      <w:r w:rsidRPr="003F45C5">
        <w:t>To consider, at the 84</w:t>
      </w:r>
      <w:r w:rsidRPr="003F45C5">
        <w:rPr>
          <w:vertAlign w:val="superscript"/>
        </w:rPr>
        <w:t>th</w:t>
      </w:r>
      <w:r w:rsidRPr="003F45C5">
        <w:t xml:space="preserve"> meeting, the matter of disposal of controlled substances, in light of the final report on the evaluation of pilot demonstration projects on ODS disposal and destruction to be submitted by the Senior Monitoring and Evaluation Officer;</w:t>
      </w:r>
    </w:p>
    <w:p w14:paraId="4F46F12C" w14:textId="77777777" w:rsidR="00A61DB3" w:rsidRPr="003F45C5" w:rsidRDefault="00A61DB3" w:rsidP="00A61DB3">
      <w:pPr>
        <w:widowControl w:val="0"/>
        <w:numPr>
          <w:ilvl w:val="0"/>
          <w:numId w:val="22"/>
        </w:numPr>
        <w:ind w:left="709" w:hanging="709"/>
        <w:contextualSpacing/>
        <w:rPr>
          <w:u w:val="single"/>
        </w:rPr>
      </w:pPr>
      <w:r w:rsidRPr="003F45C5">
        <w:rPr>
          <w:b/>
        </w:rPr>
        <w:t xml:space="preserve">ADDITIONAL WORK TO BE REQUESTED FROM THE SECRETARIAT </w:t>
      </w:r>
      <w:r w:rsidRPr="003F45C5">
        <w:rPr>
          <w:b/>
          <w:vertAlign w:val="superscript"/>
        </w:rPr>
        <w:footnoteReference w:id="23"/>
      </w:r>
    </w:p>
    <w:p w14:paraId="6F9F1466" w14:textId="77777777" w:rsidR="00A61DB3" w:rsidRPr="003F45C5" w:rsidRDefault="00A61DB3" w:rsidP="00A61DB3">
      <w:pPr>
        <w:widowControl w:val="0"/>
        <w:rPr>
          <w:u w:val="single"/>
        </w:rPr>
      </w:pPr>
    </w:p>
    <w:p w14:paraId="44DE9114" w14:textId="77777777" w:rsidR="00A61DB3" w:rsidRPr="003F45C5" w:rsidRDefault="00A61DB3" w:rsidP="00A61DB3">
      <w:pPr>
        <w:widowControl w:val="0"/>
        <w:rPr>
          <w:u w:val="single"/>
        </w:rPr>
      </w:pPr>
      <w:r w:rsidRPr="003F45C5">
        <w:rPr>
          <w:u w:val="single"/>
        </w:rPr>
        <w:t>In relation to the consumption manufacturing sector</w:t>
      </w:r>
    </w:p>
    <w:p w14:paraId="29708834" w14:textId="77777777" w:rsidR="00A61DB3" w:rsidRPr="003F45C5" w:rsidRDefault="00A61DB3" w:rsidP="00A61DB3">
      <w:pPr>
        <w:widowControl w:val="0"/>
      </w:pPr>
    </w:p>
    <w:p w14:paraId="5D2607DC" w14:textId="293BCAD5" w:rsidR="00A61DB3" w:rsidRPr="003F45C5" w:rsidRDefault="00A61DB3" w:rsidP="00A61DB3">
      <w:pPr>
        <w:widowControl w:val="0"/>
        <w:rPr>
          <w:i/>
        </w:rPr>
      </w:pPr>
      <w:r w:rsidRPr="003F45C5">
        <w:rPr>
          <w:i/>
        </w:rPr>
        <w:t>(Reference documents: UNEP/</w:t>
      </w:r>
      <w:proofErr w:type="spellStart"/>
      <w:r w:rsidRPr="003F45C5">
        <w:rPr>
          <w:i/>
        </w:rPr>
        <w:t>OzL.Pro</w:t>
      </w:r>
      <w:proofErr w:type="spellEnd"/>
      <w:r w:rsidRPr="003F45C5">
        <w:rPr>
          <w:i/>
        </w:rPr>
        <w:t>/</w:t>
      </w:r>
      <w:proofErr w:type="spellStart"/>
      <w:r w:rsidRPr="003F45C5">
        <w:rPr>
          <w:i/>
        </w:rPr>
        <w:t>ExCom</w:t>
      </w:r>
      <w:proofErr w:type="spellEnd"/>
      <w:r w:rsidRPr="003F45C5">
        <w:rPr>
          <w:i/>
        </w:rPr>
        <w:t>/8</w:t>
      </w:r>
      <w:r w:rsidR="00800DB8" w:rsidRPr="003F45C5">
        <w:rPr>
          <w:i/>
        </w:rPr>
        <w:t>7</w:t>
      </w:r>
      <w:r w:rsidR="00AE1EF4" w:rsidRPr="003F45C5">
        <w:rPr>
          <w:i/>
        </w:rPr>
        <w:t>/</w:t>
      </w:r>
      <w:r w:rsidR="00800DB8" w:rsidRPr="003F45C5">
        <w:rPr>
          <w:i/>
        </w:rPr>
        <w:t>49</w:t>
      </w:r>
      <w:r w:rsidRPr="003F45C5">
        <w:rPr>
          <w:i/>
        </w:rPr>
        <w:t>)</w:t>
      </w:r>
    </w:p>
    <w:p w14:paraId="17085C04" w14:textId="77777777" w:rsidR="00A61DB3" w:rsidRPr="003F45C5" w:rsidRDefault="00A61DB3" w:rsidP="00A61DB3">
      <w:pPr>
        <w:widowControl w:val="0"/>
      </w:pPr>
    </w:p>
    <w:p w14:paraId="36BEB7CE" w14:textId="77777777" w:rsidR="00A61DB3" w:rsidRPr="003F45C5" w:rsidRDefault="00A61DB3" w:rsidP="00A61DB3">
      <w:pPr>
        <w:widowControl w:val="0"/>
        <w:numPr>
          <w:ilvl w:val="1"/>
          <w:numId w:val="21"/>
        </w:numPr>
        <w:spacing w:after="240"/>
        <w:outlineLvl w:val="1"/>
      </w:pPr>
      <w:r w:rsidRPr="003F45C5">
        <w:t xml:space="preserve">[The Executive Committee decided to consider at a future meeting to request the Secretariat to undertake additional work, including to determine cost-effectiveness thresholds and thresholds for incremental operational costs for HFC-phase-down activities in the consumption manufacturing sector once progress in the implementation of HFC investment projects has been made;] </w:t>
      </w:r>
    </w:p>
    <w:p w14:paraId="4D9E3612" w14:textId="77777777" w:rsidR="00A61DB3" w:rsidRPr="007509D3" w:rsidRDefault="00A61DB3" w:rsidP="00A61DB3">
      <w:pPr>
        <w:widowControl w:val="0"/>
        <w:numPr>
          <w:ilvl w:val="0"/>
          <w:numId w:val="22"/>
        </w:numPr>
        <w:contextualSpacing/>
        <w:rPr>
          <w:b/>
        </w:rPr>
      </w:pPr>
      <w:r w:rsidRPr="007509D3">
        <w:rPr>
          <w:b/>
        </w:rPr>
        <w:lastRenderedPageBreak/>
        <w:t xml:space="preserve">OTHER GENERAL MATTERS RELATED TO HFC PHASE-DOWN </w:t>
      </w:r>
      <w:r w:rsidRPr="007509D3">
        <w:rPr>
          <w:b/>
          <w:vertAlign w:val="superscript"/>
        </w:rPr>
        <w:footnoteReference w:id="24"/>
      </w:r>
      <w:r w:rsidRPr="007509D3">
        <w:rPr>
          <w:b/>
        </w:rPr>
        <w:t xml:space="preserve"> </w:t>
      </w:r>
    </w:p>
    <w:p w14:paraId="498D4161" w14:textId="77777777" w:rsidR="00A61DB3" w:rsidRPr="007509D3" w:rsidRDefault="00A61DB3" w:rsidP="00A61DB3">
      <w:pPr>
        <w:widowControl w:val="0"/>
        <w:tabs>
          <w:tab w:val="left" w:pos="624"/>
          <w:tab w:val="left" w:pos="1247"/>
          <w:tab w:val="left" w:pos="1814"/>
          <w:tab w:val="left" w:pos="2381"/>
          <w:tab w:val="left" w:pos="2948"/>
          <w:tab w:val="left" w:pos="3515"/>
        </w:tabs>
        <w:jc w:val="left"/>
      </w:pPr>
    </w:p>
    <w:p w14:paraId="4B121535" w14:textId="77777777" w:rsidR="00A61DB3" w:rsidRPr="007509D3" w:rsidRDefault="00A61DB3" w:rsidP="00A61DB3">
      <w:pPr>
        <w:widowControl w:val="0"/>
        <w:numPr>
          <w:ilvl w:val="1"/>
          <w:numId w:val="23"/>
        </w:numPr>
        <w:spacing w:after="240"/>
        <w:outlineLvl w:val="1"/>
      </w:pPr>
      <w:r w:rsidRPr="007509D3">
        <w:t>To agree on the following prerequisites for an Article 5 country to access Multilateral Fund funding other than for enabling activities for the phase-down of HFC consumption and production:</w:t>
      </w:r>
    </w:p>
    <w:p w14:paraId="0FC46C79" w14:textId="77777777" w:rsidR="00A61DB3" w:rsidRPr="007509D3" w:rsidRDefault="00A61DB3" w:rsidP="00A61DB3">
      <w:pPr>
        <w:widowControl w:val="0"/>
        <w:numPr>
          <w:ilvl w:val="2"/>
          <w:numId w:val="1"/>
        </w:numPr>
        <w:spacing w:after="240"/>
        <w:outlineLvl w:val="2"/>
      </w:pPr>
      <w:r w:rsidRPr="007509D3">
        <w:t>Ratification, acceptance, or accession to the Kigali Amendment;</w:t>
      </w:r>
    </w:p>
    <w:p w14:paraId="7D8205BE" w14:textId="77777777" w:rsidR="00A61DB3" w:rsidRPr="007509D3" w:rsidRDefault="00A61DB3" w:rsidP="00A61DB3">
      <w:pPr>
        <w:widowControl w:val="0"/>
        <w:numPr>
          <w:ilvl w:val="2"/>
          <w:numId w:val="1"/>
        </w:numPr>
        <w:spacing w:after="240"/>
        <w:outlineLvl w:val="2"/>
      </w:pPr>
      <w:r w:rsidRPr="007509D3">
        <w:t>Establishment of an agreed starting point for a sustained aggregate reduction in HFC consumption and production, on the understanding that any phase-down of HFCs resulting from any project that might be approved by the Executive Committee would be deducted from the country’s starting point;</w:t>
      </w:r>
    </w:p>
    <w:p w14:paraId="0023352D" w14:textId="77777777" w:rsidR="00A61DB3" w:rsidRPr="007509D3" w:rsidRDefault="00A61DB3" w:rsidP="00A61DB3">
      <w:pPr>
        <w:widowControl w:val="0"/>
        <w:numPr>
          <w:ilvl w:val="1"/>
          <w:numId w:val="1"/>
        </w:numPr>
        <w:tabs>
          <w:tab w:val="clear" w:pos="0"/>
          <w:tab w:val="num" w:pos="131"/>
        </w:tabs>
        <w:spacing w:after="240"/>
        <w:outlineLvl w:val="1"/>
      </w:pPr>
      <w:r w:rsidRPr="007509D3">
        <w:t>[To agree that institutions and capacities in Article 5 countries developed with Multilateral Fund assistance for the phase-out of ODS should be used to the extent possible for the phase</w:t>
      </w:r>
      <w:r w:rsidRPr="007509D3">
        <w:noBreakHyphen/>
        <w:t>down of HFCs]; and</w:t>
      </w:r>
    </w:p>
    <w:p w14:paraId="61BBA93B" w14:textId="77777777" w:rsidR="00A61DB3" w:rsidRDefault="00A61DB3" w:rsidP="00A61DB3">
      <w:r w:rsidRPr="007509D3">
        <w:t>[To agree that the existing policies and guidelines of the Multilateral Fund [where applicable] for funding the phase</w:t>
      </w:r>
      <w:r w:rsidRPr="007509D3">
        <w:noBreakHyphen/>
        <w:t>out of ODS would be applicable to the funding of HFC phase-down [unless decided otherwise] [as long as agreed upon] by the Executive Committee [taking into account in particular decision XXVIII/2].]</w:t>
      </w:r>
    </w:p>
    <w:p w14:paraId="77582AE0" w14:textId="77777777" w:rsidR="00A61DB3" w:rsidRPr="007509D3" w:rsidRDefault="00A61DB3" w:rsidP="00A61DB3"/>
    <w:p w14:paraId="0C71D7ED" w14:textId="77777777" w:rsidR="00A61DB3" w:rsidRPr="00BB2764" w:rsidRDefault="00A61DB3" w:rsidP="00A61DB3">
      <w:pPr>
        <w:pStyle w:val="Heading2"/>
        <w:keepNext/>
        <w:widowControl/>
        <w:numPr>
          <w:ilvl w:val="0"/>
          <w:numId w:val="0"/>
        </w:numPr>
        <w:ind w:left="720"/>
        <w:rPr>
          <w:lang w:val="en-US"/>
        </w:rPr>
      </w:pPr>
    </w:p>
    <w:p w14:paraId="06755F04" w14:textId="77777777" w:rsidR="00A61DB3" w:rsidRDefault="00A61DB3" w:rsidP="004E7F9C">
      <w:pPr>
        <w:pStyle w:val="Title1"/>
        <w:sectPr w:rsidR="00A61DB3" w:rsidSect="00A61DB3">
          <w:headerReference w:type="even" r:id="rId20"/>
          <w:headerReference w:type="default" r:id="rId21"/>
          <w:footerReference w:type="default" r:id="rId22"/>
          <w:pgSz w:w="12240" w:h="15840" w:code="1"/>
          <w:pgMar w:top="720" w:right="1440" w:bottom="864" w:left="1440" w:header="720" w:footer="475" w:gutter="0"/>
          <w:pgNumType w:start="1"/>
          <w:cols w:space="720"/>
          <w:docGrid w:linePitch="299"/>
        </w:sectPr>
      </w:pPr>
    </w:p>
    <w:p w14:paraId="5FCACD9B" w14:textId="77777777" w:rsidR="00A61DB3" w:rsidRPr="000F0FC6" w:rsidRDefault="00A61DB3" w:rsidP="00A61DB3">
      <w:pPr>
        <w:widowControl w:val="0"/>
        <w:spacing w:after="240"/>
        <w:jc w:val="center"/>
        <w:outlineLvl w:val="1"/>
        <w:rPr>
          <w:b/>
        </w:rPr>
      </w:pPr>
      <w:r w:rsidRPr="000F0FC6">
        <w:rPr>
          <w:b/>
        </w:rPr>
        <w:lastRenderedPageBreak/>
        <w:t>Annex III</w:t>
      </w:r>
    </w:p>
    <w:p w14:paraId="023E9325" w14:textId="55510D3D" w:rsidR="00A61DB3" w:rsidRPr="000F0FC6" w:rsidRDefault="00A61DB3" w:rsidP="00A61DB3">
      <w:pPr>
        <w:widowControl w:val="0"/>
        <w:spacing w:after="240"/>
        <w:jc w:val="center"/>
        <w:outlineLvl w:val="1"/>
        <w:rPr>
          <w:b/>
        </w:rPr>
      </w:pPr>
      <w:r>
        <w:rPr>
          <w:b/>
        </w:rPr>
        <w:t>LIST OF DOCUMENTS ON HFC MATTERS THAT HAVE BEEN PREPARED SINCE THE</w:t>
      </w:r>
      <w:r w:rsidR="005C1C95">
        <w:rPr>
          <w:b/>
        </w:rPr>
        <w:t> </w:t>
      </w:r>
      <w:r>
        <w:rPr>
          <w:b/>
        </w:rPr>
        <w:t xml:space="preserve">ADOPTION OF THE KIGALI AMENDMENT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9"/>
        <w:gridCol w:w="2798"/>
        <w:gridCol w:w="6028"/>
      </w:tblGrid>
      <w:tr w:rsidR="00A61DB3" w:rsidRPr="003E38DE" w14:paraId="7DA59A89" w14:textId="77777777" w:rsidTr="00A61DB3">
        <w:trPr>
          <w:tblHeader/>
        </w:trPr>
        <w:tc>
          <w:tcPr>
            <w:tcW w:w="529" w:type="dxa"/>
            <w:tcBorders>
              <w:top w:val="single" w:sz="4" w:space="0" w:color="auto"/>
              <w:left w:val="single" w:sz="4" w:space="0" w:color="auto"/>
              <w:bottom w:val="single" w:sz="4" w:space="0" w:color="auto"/>
              <w:right w:val="single" w:sz="4" w:space="0" w:color="auto"/>
            </w:tcBorders>
          </w:tcPr>
          <w:p w14:paraId="359FB222" w14:textId="77777777" w:rsidR="00A61DB3" w:rsidRPr="003E38DE" w:rsidRDefault="00A61DB3" w:rsidP="00A61DB3">
            <w:pPr>
              <w:widowControl w:val="0"/>
              <w:jc w:val="center"/>
              <w:rPr>
                <w:b/>
                <w:sz w:val="20"/>
                <w:szCs w:val="20"/>
              </w:rPr>
            </w:pPr>
            <w:r w:rsidRPr="003E38DE">
              <w:rPr>
                <w:b/>
                <w:sz w:val="20"/>
                <w:szCs w:val="20"/>
              </w:rPr>
              <w:t>No</w:t>
            </w:r>
          </w:p>
        </w:tc>
        <w:tc>
          <w:tcPr>
            <w:tcW w:w="2798" w:type="dxa"/>
            <w:tcBorders>
              <w:top w:val="single" w:sz="4" w:space="0" w:color="auto"/>
              <w:left w:val="single" w:sz="4" w:space="0" w:color="auto"/>
              <w:bottom w:val="single" w:sz="4" w:space="0" w:color="auto"/>
              <w:right w:val="single" w:sz="4" w:space="0" w:color="auto"/>
            </w:tcBorders>
          </w:tcPr>
          <w:p w14:paraId="4A8184F7" w14:textId="77777777" w:rsidR="00A61DB3" w:rsidRPr="003E38DE" w:rsidRDefault="00A61DB3" w:rsidP="00A61DB3">
            <w:pPr>
              <w:widowControl w:val="0"/>
              <w:jc w:val="center"/>
              <w:rPr>
                <w:b/>
                <w:sz w:val="20"/>
                <w:szCs w:val="20"/>
              </w:rPr>
            </w:pPr>
            <w:r w:rsidRPr="003E38DE">
              <w:rPr>
                <w:b/>
                <w:sz w:val="20"/>
                <w:szCs w:val="20"/>
              </w:rPr>
              <w:t>UNEP/</w:t>
            </w:r>
            <w:proofErr w:type="spellStart"/>
            <w:r w:rsidRPr="003E38DE">
              <w:rPr>
                <w:b/>
                <w:sz w:val="20"/>
                <w:szCs w:val="20"/>
              </w:rPr>
              <w:t>OzL.Pro</w:t>
            </w:r>
            <w:proofErr w:type="spellEnd"/>
            <w:r w:rsidRPr="003E38DE">
              <w:rPr>
                <w:b/>
                <w:sz w:val="20"/>
                <w:szCs w:val="20"/>
              </w:rPr>
              <w:t>/</w:t>
            </w:r>
          </w:p>
        </w:tc>
        <w:tc>
          <w:tcPr>
            <w:tcW w:w="6028" w:type="dxa"/>
            <w:tcBorders>
              <w:top w:val="single" w:sz="4" w:space="0" w:color="auto"/>
              <w:left w:val="single" w:sz="4" w:space="0" w:color="auto"/>
              <w:bottom w:val="single" w:sz="4" w:space="0" w:color="auto"/>
              <w:right w:val="single" w:sz="4" w:space="0" w:color="auto"/>
            </w:tcBorders>
          </w:tcPr>
          <w:p w14:paraId="65D6D491" w14:textId="77777777" w:rsidR="00A61DB3" w:rsidRPr="003E38DE" w:rsidRDefault="00A61DB3" w:rsidP="00A61DB3">
            <w:pPr>
              <w:widowControl w:val="0"/>
              <w:jc w:val="center"/>
              <w:rPr>
                <w:b/>
                <w:sz w:val="20"/>
                <w:szCs w:val="20"/>
              </w:rPr>
            </w:pPr>
            <w:r w:rsidRPr="003E38DE">
              <w:rPr>
                <w:b/>
                <w:sz w:val="20"/>
                <w:szCs w:val="20"/>
              </w:rPr>
              <w:t>Title</w:t>
            </w:r>
          </w:p>
        </w:tc>
      </w:tr>
      <w:tr w:rsidR="00A61DB3" w:rsidRPr="003E38DE" w14:paraId="28A00F52"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55266E22" w14:textId="77777777" w:rsidR="00A61DB3" w:rsidRPr="003E38DE" w:rsidRDefault="00A61DB3" w:rsidP="00A61DB3">
            <w:pPr>
              <w:widowControl w:val="0"/>
              <w:jc w:val="right"/>
              <w:rPr>
                <w:sz w:val="20"/>
                <w:szCs w:val="20"/>
              </w:rPr>
            </w:pPr>
            <w:r w:rsidRPr="003E38DE">
              <w:rPr>
                <w:sz w:val="20"/>
                <w:szCs w:val="20"/>
              </w:rPr>
              <w:t>1</w:t>
            </w:r>
          </w:p>
        </w:tc>
        <w:tc>
          <w:tcPr>
            <w:tcW w:w="2798" w:type="dxa"/>
            <w:tcBorders>
              <w:top w:val="single" w:sz="4" w:space="0" w:color="auto"/>
              <w:left w:val="single" w:sz="4" w:space="0" w:color="auto"/>
              <w:bottom w:val="single" w:sz="4" w:space="0" w:color="auto"/>
              <w:right w:val="single" w:sz="4" w:space="0" w:color="auto"/>
            </w:tcBorders>
          </w:tcPr>
          <w:p w14:paraId="3E5BEBA3"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/77/70/Rev.1</w:t>
            </w:r>
          </w:p>
        </w:tc>
        <w:tc>
          <w:tcPr>
            <w:tcW w:w="6028" w:type="dxa"/>
            <w:tcBorders>
              <w:top w:val="single" w:sz="4" w:space="0" w:color="auto"/>
              <w:left w:val="single" w:sz="4" w:space="0" w:color="auto"/>
              <w:bottom w:val="single" w:sz="4" w:space="0" w:color="auto"/>
              <w:right w:val="single" w:sz="4" w:space="0" w:color="auto"/>
            </w:tcBorders>
          </w:tcPr>
          <w:p w14:paraId="676BAB86" w14:textId="77777777" w:rsidR="00A61DB3" w:rsidRPr="003E38DE" w:rsidRDefault="00A61DB3" w:rsidP="00A61DB3">
            <w:pPr>
              <w:widowControl w:val="0"/>
              <w:jc w:val="left"/>
              <w:rPr>
                <w:sz w:val="20"/>
                <w:szCs w:val="20"/>
              </w:rPr>
            </w:pPr>
            <w:r w:rsidRPr="003E38DE">
              <w:rPr>
                <w:sz w:val="20"/>
                <w:szCs w:val="20"/>
              </w:rPr>
              <w:t>Issues relevant to the Executive Committee arising from the Twenty</w:t>
            </w:r>
            <w:r>
              <w:rPr>
                <w:sz w:val="20"/>
                <w:szCs w:val="20"/>
              </w:rPr>
              <w:noBreakHyphen/>
            </w:r>
            <w:r w:rsidRPr="003E38DE">
              <w:rPr>
                <w:sz w:val="20"/>
                <w:szCs w:val="20"/>
              </w:rPr>
              <w:t>eighth Meeting of the Parties to the Montreal Protocol</w:t>
            </w:r>
          </w:p>
        </w:tc>
      </w:tr>
      <w:tr w:rsidR="00A61DB3" w:rsidRPr="003E38DE" w14:paraId="3AA40C23"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1F7875E3" w14:textId="77777777" w:rsidR="00A61DB3" w:rsidRPr="003E38DE" w:rsidRDefault="00A61DB3" w:rsidP="00A61DB3">
            <w:pPr>
              <w:widowControl w:val="0"/>
              <w:jc w:val="right"/>
              <w:rPr>
                <w:sz w:val="20"/>
                <w:szCs w:val="20"/>
              </w:rPr>
            </w:pPr>
            <w:r w:rsidRPr="003E38DE">
              <w:rPr>
                <w:sz w:val="20"/>
                <w:szCs w:val="20"/>
              </w:rPr>
              <w:t>2</w:t>
            </w:r>
          </w:p>
        </w:tc>
        <w:tc>
          <w:tcPr>
            <w:tcW w:w="2798" w:type="dxa"/>
            <w:tcBorders>
              <w:top w:val="single" w:sz="4" w:space="0" w:color="auto"/>
              <w:left w:val="single" w:sz="4" w:space="0" w:color="auto"/>
              <w:bottom w:val="single" w:sz="4" w:space="0" w:color="auto"/>
              <w:right w:val="single" w:sz="4" w:space="0" w:color="auto"/>
            </w:tcBorders>
          </w:tcPr>
          <w:p w14:paraId="6B4F48AC"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/78/4 &amp; Corr.1</w:t>
            </w:r>
          </w:p>
        </w:tc>
        <w:tc>
          <w:tcPr>
            <w:tcW w:w="6028" w:type="dxa"/>
            <w:tcBorders>
              <w:top w:val="single" w:sz="4" w:space="0" w:color="auto"/>
              <w:left w:val="single" w:sz="4" w:space="0" w:color="auto"/>
              <w:bottom w:val="single" w:sz="4" w:space="0" w:color="auto"/>
              <w:right w:val="single" w:sz="4" w:space="0" w:color="auto"/>
            </w:tcBorders>
          </w:tcPr>
          <w:p w14:paraId="5BA3EC10" w14:textId="77777777" w:rsidR="00A61DB3" w:rsidRPr="003E38DE" w:rsidRDefault="00A61DB3" w:rsidP="00A37A0D">
            <w:pPr>
              <w:widowControl w:val="0"/>
              <w:jc w:val="left"/>
              <w:rPr>
                <w:sz w:val="20"/>
                <w:szCs w:val="20"/>
              </w:rPr>
            </w:pPr>
            <w:r w:rsidRPr="003E38DE">
              <w:rPr>
                <w:sz w:val="20"/>
                <w:szCs w:val="20"/>
              </w:rPr>
              <w:t>Available information on HFC consumption and production in Article</w:t>
            </w:r>
            <w:r w:rsidR="00A37A0D">
              <w:rPr>
                <w:sz w:val="20"/>
                <w:szCs w:val="20"/>
              </w:rPr>
              <w:t> </w:t>
            </w:r>
            <w:r w:rsidRPr="003E38DE">
              <w:rPr>
                <w:sz w:val="20"/>
                <w:szCs w:val="20"/>
              </w:rPr>
              <w:t>5 countries</w:t>
            </w:r>
          </w:p>
        </w:tc>
      </w:tr>
      <w:tr w:rsidR="00A61DB3" w:rsidRPr="003E38DE" w14:paraId="1D0E0838"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42726AE3" w14:textId="77777777" w:rsidR="00A61DB3" w:rsidRPr="003E38DE" w:rsidRDefault="00A61DB3" w:rsidP="00A61DB3">
            <w:pPr>
              <w:widowControl w:val="0"/>
              <w:jc w:val="right"/>
              <w:rPr>
                <w:sz w:val="20"/>
                <w:szCs w:val="20"/>
              </w:rPr>
            </w:pPr>
            <w:r w:rsidRPr="003E38DE">
              <w:rPr>
                <w:sz w:val="20"/>
                <w:szCs w:val="20"/>
              </w:rPr>
              <w:t>3</w:t>
            </w:r>
          </w:p>
        </w:tc>
        <w:tc>
          <w:tcPr>
            <w:tcW w:w="2798" w:type="dxa"/>
            <w:tcBorders>
              <w:top w:val="single" w:sz="4" w:space="0" w:color="auto"/>
              <w:left w:val="single" w:sz="4" w:space="0" w:color="auto"/>
              <w:bottom w:val="single" w:sz="4" w:space="0" w:color="auto"/>
              <w:right w:val="single" w:sz="4" w:space="0" w:color="auto"/>
            </w:tcBorders>
          </w:tcPr>
          <w:p w14:paraId="3A7B6DF1"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/78/5 &amp; Corr.1</w:t>
            </w:r>
          </w:p>
        </w:tc>
        <w:tc>
          <w:tcPr>
            <w:tcW w:w="6028" w:type="dxa"/>
            <w:tcBorders>
              <w:top w:val="single" w:sz="4" w:space="0" w:color="auto"/>
              <w:left w:val="single" w:sz="4" w:space="0" w:color="auto"/>
              <w:bottom w:val="single" w:sz="4" w:space="0" w:color="auto"/>
              <w:right w:val="single" w:sz="4" w:space="0" w:color="auto"/>
            </w:tcBorders>
          </w:tcPr>
          <w:p w14:paraId="2C358A79" w14:textId="77777777" w:rsidR="00A61DB3" w:rsidRPr="003E38DE" w:rsidRDefault="00A61DB3" w:rsidP="00A37A0D">
            <w:pPr>
              <w:widowControl w:val="0"/>
              <w:jc w:val="left"/>
              <w:rPr>
                <w:sz w:val="20"/>
                <w:szCs w:val="20"/>
              </w:rPr>
            </w:pPr>
            <w:r w:rsidRPr="003E38DE">
              <w:rPr>
                <w:sz w:val="20"/>
                <w:szCs w:val="20"/>
              </w:rPr>
              <w:t>Information relevant to the development of the cost guidelines for the phase</w:t>
            </w:r>
            <w:r w:rsidR="00A37A0D">
              <w:rPr>
                <w:sz w:val="20"/>
                <w:szCs w:val="20"/>
              </w:rPr>
              <w:noBreakHyphen/>
            </w:r>
            <w:r w:rsidRPr="003E38DE">
              <w:rPr>
                <w:sz w:val="20"/>
                <w:szCs w:val="20"/>
              </w:rPr>
              <w:t>down of HFCs in Article 5 countries: Draft criteria for funding</w:t>
            </w:r>
          </w:p>
        </w:tc>
      </w:tr>
      <w:tr w:rsidR="00A61DB3" w:rsidRPr="003E38DE" w14:paraId="51656BF9"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3E5E1207" w14:textId="77777777" w:rsidR="00A61DB3" w:rsidRPr="003E38DE" w:rsidRDefault="00A61DB3" w:rsidP="00A61DB3">
            <w:pPr>
              <w:widowControl w:val="0"/>
              <w:jc w:val="right"/>
              <w:rPr>
                <w:sz w:val="20"/>
                <w:szCs w:val="20"/>
              </w:rPr>
            </w:pPr>
            <w:r w:rsidRPr="003E38DE">
              <w:rPr>
                <w:sz w:val="20"/>
                <w:szCs w:val="20"/>
              </w:rPr>
              <w:t>4</w:t>
            </w:r>
          </w:p>
        </w:tc>
        <w:tc>
          <w:tcPr>
            <w:tcW w:w="2798" w:type="dxa"/>
            <w:tcBorders>
              <w:top w:val="single" w:sz="4" w:space="0" w:color="auto"/>
              <w:left w:val="single" w:sz="4" w:space="0" w:color="auto"/>
              <w:bottom w:val="single" w:sz="4" w:space="0" w:color="auto"/>
              <w:right w:val="single" w:sz="4" w:space="0" w:color="auto"/>
            </w:tcBorders>
          </w:tcPr>
          <w:p w14:paraId="39E66D89"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 xml:space="preserve">/78/6 </w:t>
            </w:r>
          </w:p>
        </w:tc>
        <w:tc>
          <w:tcPr>
            <w:tcW w:w="6028" w:type="dxa"/>
            <w:tcBorders>
              <w:top w:val="single" w:sz="4" w:space="0" w:color="auto"/>
              <w:left w:val="single" w:sz="4" w:space="0" w:color="auto"/>
              <w:bottom w:val="single" w:sz="4" w:space="0" w:color="auto"/>
              <w:right w:val="single" w:sz="4" w:space="0" w:color="auto"/>
            </w:tcBorders>
          </w:tcPr>
          <w:p w14:paraId="5804F630" w14:textId="77777777" w:rsidR="00A61DB3" w:rsidRPr="003E38DE" w:rsidRDefault="00A61DB3" w:rsidP="00A37A0D">
            <w:pPr>
              <w:widowControl w:val="0"/>
              <w:jc w:val="left"/>
              <w:rPr>
                <w:sz w:val="20"/>
                <w:szCs w:val="20"/>
              </w:rPr>
            </w:pPr>
            <w:r w:rsidRPr="003E38DE">
              <w:rPr>
                <w:sz w:val="20"/>
                <w:szCs w:val="20"/>
              </w:rPr>
              <w:t>Information relevant to the development of the cost guidelines for the phase</w:t>
            </w:r>
            <w:r w:rsidR="00A37A0D">
              <w:rPr>
                <w:sz w:val="20"/>
                <w:szCs w:val="20"/>
              </w:rPr>
              <w:noBreakHyphen/>
            </w:r>
            <w:r w:rsidRPr="003E38DE">
              <w:rPr>
                <w:sz w:val="20"/>
                <w:szCs w:val="20"/>
              </w:rPr>
              <w:t>down of HFCs in Article 5 countries: Enabling activities</w:t>
            </w:r>
          </w:p>
        </w:tc>
      </w:tr>
      <w:tr w:rsidR="00A61DB3" w:rsidRPr="003E38DE" w14:paraId="44791BF2"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3AEC15CF" w14:textId="77777777" w:rsidR="00A61DB3" w:rsidRPr="003E38DE" w:rsidRDefault="00A61DB3" w:rsidP="00A61DB3">
            <w:pPr>
              <w:widowControl w:val="0"/>
              <w:jc w:val="right"/>
              <w:rPr>
                <w:sz w:val="20"/>
                <w:szCs w:val="20"/>
              </w:rPr>
            </w:pPr>
            <w:r w:rsidRPr="003E38DE">
              <w:rPr>
                <w:sz w:val="20"/>
                <w:szCs w:val="20"/>
              </w:rPr>
              <w:t>5</w:t>
            </w:r>
          </w:p>
        </w:tc>
        <w:tc>
          <w:tcPr>
            <w:tcW w:w="2798" w:type="dxa"/>
            <w:tcBorders>
              <w:top w:val="single" w:sz="4" w:space="0" w:color="auto"/>
              <w:left w:val="single" w:sz="4" w:space="0" w:color="auto"/>
              <w:bottom w:val="single" w:sz="4" w:space="0" w:color="auto"/>
              <w:right w:val="single" w:sz="4" w:space="0" w:color="auto"/>
            </w:tcBorders>
          </w:tcPr>
          <w:p w14:paraId="0E0D84B0"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/78/7</w:t>
            </w:r>
          </w:p>
        </w:tc>
        <w:tc>
          <w:tcPr>
            <w:tcW w:w="6028" w:type="dxa"/>
            <w:tcBorders>
              <w:top w:val="single" w:sz="4" w:space="0" w:color="auto"/>
              <w:left w:val="single" w:sz="4" w:space="0" w:color="auto"/>
              <w:bottom w:val="single" w:sz="4" w:space="0" w:color="auto"/>
              <w:right w:val="single" w:sz="4" w:space="0" w:color="auto"/>
            </w:tcBorders>
          </w:tcPr>
          <w:p w14:paraId="37A8094A" w14:textId="77777777" w:rsidR="00A61DB3" w:rsidRPr="003E38DE" w:rsidRDefault="00A61DB3" w:rsidP="00A37A0D">
            <w:pPr>
              <w:widowControl w:val="0"/>
              <w:jc w:val="left"/>
              <w:rPr>
                <w:sz w:val="20"/>
                <w:szCs w:val="20"/>
              </w:rPr>
            </w:pPr>
            <w:r w:rsidRPr="003E38DE">
              <w:rPr>
                <w:sz w:val="20"/>
                <w:szCs w:val="20"/>
              </w:rPr>
              <w:t>Information relevant to the development of the cost guidelines for the phase</w:t>
            </w:r>
            <w:r w:rsidR="00A37A0D">
              <w:rPr>
                <w:sz w:val="20"/>
                <w:szCs w:val="20"/>
              </w:rPr>
              <w:noBreakHyphen/>
            </w:r>
            <w:r w:rsidRPr="003E38DE">
              <w:rPr>
                <w:sz w:val="20"/>
                <w:szCs w:val="20"/>
              </w:rPr>
              <w:t>down of HFCs in Article 5 countries: Institutional strengthening</w:t>
            </w:r>
          </w:p>
        </w:tc>
      </w:tr>
      <w:tr w:rsidR="00A61DB3" w:rsidRPr="003E38DE" w14:paraId="4F6812AB"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7531F85D" w14:textId="77777777" w:rsidR="00A61DB3" w:rsidRPr="003E38DE" w:rsidRDefault="00A61DB3" w:rsidP="00A61DB3">
            <w:pPr>
              <w:widowControl w:val="0"/>
              <w:jc w:val="right"/>
              <w:rPr>
                <w:sz w:val="20"/>
                <w:szCs w:val="20"/>
              </w:rPr>
            </w:pPr>
            <w:r w:rsidRPr="003E38DE">
              <w:rPr>
                <w:sz w:val="20"/>
                <w:szCs w:val="20"/>
              </w:rPr>
              <w:t>6</w:t>
            </w:r>
          </w:p>
        </w:tc>
        <w:tc>
          <w:tcPr>
            <w:tcW w:w="2798" w:type="dxa"/>
            <w:tcBorders>
              <w:top w:val="single" w:sz="4" w:space="0" w:color="auto"/>
              <w:left w:val="single" w:sz="4" w:space="0" w:color="auto"/>
              <w:bottom w:val="single" w:sz="4" w:space="0" w:color="auto"/>
              <w:right w:val="single" w:sz="4" w:space="0" w:color="auto"/>
            </w:tcBorders>
          </w:tcPr>
          <w:p w14:paraId="191205BE"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/78/8</w:t>
            </w:r>
          </w:p>
        </w:tc>
        <w:tc>
          <w:tcPr>
            <w:tcW w:w="6028" w:type="dxa"/>
            <w:tcBorders>
              <w:top w:val="single" w:sz="4" w:space="0" w:color="auto"/>
              <w:left w:val="single" w:sz="4" w:space="0" w:color="auto"/>
              <w:bottom w:val="single" w:sz="4" w:space="0" w:color="auto"/>
              <w:right w:val="single" w:sz="4" w:space="0" w:color="auto"/>
            </w:tcBorders>
          </w:tcPr>
          <w:p w14:paraId="63730A89" w14:textId="77777777" w:rsidR="00A61DB3" w:rsidRPr="003E38DE" w:rsidRDefault="00A61DB3" w:rsidP="00A37A0D">
            <w:pPr>
              <w:widowControl w:val="0"/>
              <w:jc w:val="left"/>
              <w:rPr>
                <w:sz w:val="20"/>
                <w:szCs w:val="20"/>
              </w:rPr>
            </w:pPr>
            <w:r w:rsidRPr="003E38DE">
              <w:rPr>
                <w:sz w:val="20"/>
                <w:szCs w:val="20"/>
              </w:rPr>
              <w:t>Identification of issues to be considered in relation to existing HCFC phase</w:t>
            </w:r>
            <w:r w:rsidR="00A37A0D">
              <w:rPr>
                <w:sz w:val="20"/>
                <w:szCs w:val="20"/>
              </w:rPr>
              <w:noBreakHyphen/>
            </w:r>
            <w:r w:rsidRPr="003E38DE">
              <w:rPr>
                <w:sz w:val="20"/>
                <w:szCs w:val="20"/>
              </w:rPr>
              <w:t>out activities</w:t>
            </w:r>
          </w:p>
        </w:tc>
      </w:tr>
      <w:tr w:rsidR="00A61DB3" w:rsidRPr="003E38DE" w14:paraId="637C1E39"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66A10F59" w14:textId="77777777" w:rsidR="00A61DB3" w:rsidRPr="003E38DE" w:rsidRDefault="00A61DB3" w:rsidP="00A61DB3">
            <w:pPr>
              <w:widowControl w:val="0"/>
              <w:jc w:val="right"/>
              <w:rPr>
                <w:sz w:val="20"/>
                <w:szCs w:val="20"/>
              </w:rPr>
            </w:pPr>
            <w:r w:rsidRPr="003E38DE">
              <w:rPr>
                <w:sz w:val="20"/>
                <w:szCs w:val="20"/>
              </w:rPr>
              <w:t>7</w:t>
            </w:r>
          </w:p>
        </w:tc>
        <w:tc>
          <w:tcPr>
            <w:tcW w:w="2798" w:type="dxa"/>
            <w:tcBorders>
              <w:top w:val="single" w:sz="4" w:space="0" w:color="auto"/>
              <w:left w:val="single" w:sz="4" w:space="0" w:color="auto"/>
              <w:bottom w:val="single" w:sz="4" w:space="0" w:color="auto"/>
              <w:right w:val="single" w:sz="4" w:space="0" w:color="auto"/>
            </w:tcBorders>
          </w:tcPr>
          <w:p w14:paraId="4BD6B262"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/78/9 and Corr.1</w:t>
            </w:r>
          </w:p>
        </w:tc>
        <w:tc>
          <w:tcPr>
            <w:tcW w:w="6028" w:type="dxa"/>
            <w:tcBorders>
              <w:top w:val="single" w:sz="4" w:space="0" w:color="auto"/>
              <w:left w:val="single" w:sz="4" w:space="0" w:color="auto"/>
              <w:bottom w:val="single" w:sz="4" w:space="0" w:color="auto"/>
              <w:right w:val="single" w:sz="4" w:space="0" w:color="auto"/>
            </w:tcBorders>
          </w:tcPr>
          <w:p w14:paraId="06862668" w14:textId="77777777" w:rsidR="00A61DB3" w:rsidRPr="003E38DE" w:rsidRDefault="00A61DB3" w:rsidP="00A61DB3">
            <w:pPr>
              <w:widowControl w:val="0"/>
              <w:jc w:val="left"/>
              <w:rPr>
                <w:sz w:val="20"/>
                <w:szCs w:val="20"/>
              </w:rPr>
            </w:pPr>
            <w:r w:rsidRPr="003E38DE">
              <w:rPr>
                <w:sz w:val="20"/>
                <w:szCs w:val="20"/>
              </w:rPr>
              <w:t>Key aspects related to HFC-23 by-product control technologies</w:t>
            </w:r>
          </w:p>
        </w:tc>
      </w:tr>
      <w:tr w:rsidR="00A61DB3" w:rsidRPr="003E38DE" w14:paraId="67AD16E5"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2BA0649F" w14:textId="77777777" w:rsidR="00A61DB3" w:rsidRPr="003E38DE" w:rsidRDefault="00A61DB3" w:rsidP="00A61DB3">
            <w:pPr>
              <w:widowControl w:val="0"/>
              <w:jc w:val="right"/>
              <w:rPr>
                <w:sz w:val="20"/>
                <w:szCs w:val="20"/>
              </w:rPr>
            </w:pPr>
            <w:r w:rsidRPr="003E38DE">
              <w:rPr>
                <w:sz w:val="20"/>
                <w:szCs w:val="20"/>
              </w:rPr>
              <w:t>8</w:t>
            </w:r>
          </w:p>
        </w:tc>
        <w:tc>
          <w:tcPr>
            <w:tcW w:w="2798" w:type="dxa"/>
            <w:tcBorders>
              <w:top w:val="single" w:sz="4" w:space="0" w:color="auto"/>
              <w:left w:val="single" w:sz="4" w:space="0" w:color="auto"/>
              <w:bottom w:val="single" w:sz="4" w:space="0" w:color="auto"/>
              <w:right w:val="single" w:sz="4" w:space="0" w:color="auto"/>
            </w:tcBorders>
          </w:tcPr>
          <w:p w14:paraId="43410187"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/78/10 and Corr.1</w:t>
            </w:r>
          </w:p>
        </w:tc>
        <w:tc>
          <w:tcPr>
            <w:tcW w:w="6028" w:type="dxa"/>
            <w:tcBorders>
              <w:top w:val="single" w:sz="4" w:space="0" w:color="auto"/>
              <w:left w:val="single" w:sz="4" w:space="0" w:color="auto"/>
              <w:bottom w:val="single" w:sz="4" w:space="0" w:color="auto"/>
              <w:right w:val="single" w:sz="4" w:space="0" w:color="auto"/>
            </w:tcBorders>
          </w:tcPr>
          <w:p w14:paraId="2FE462BF" w14:textId="77777777" w:rsidR="00A61DB3" w:rsidRPr="003E38DE" w:rsidRDefault="00A61DB3" w:rsidP="00A61DB3">
            <w:pPr>
              <w:widowControl w:val="0"/>
              <w:jc w:val="left"/>
              <w:rPr>
                <w:sz w:val="20"/>
                <w:szCs w:val="20"/>
              </w:rPr>
            </w:pPr>
            <w:r w:rsidRPr="003E38DE">
              <w:rPr>
                <w:sz w:val="20"/>
                <w:szCs w:val="20"/>
              </w:rPr>
              <w:t>Draft procedures for Article 5 countries that have HFC consumption baseline years from 2020 to 2022 in accessing additional contributions for enabling activities</w:t>
            </w:r>
          </w:p>
        </w:tc>
      </w:tr>
      <w:tr w:rsidR="00A61DB3" w:rsidRPr="003E38DE" w14:paraId="206C4FE0"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76544367" w14:textId="77777777" w:rsidR="00A61DB3" w:rsidRPr="003E38DE" w:rsidRDefault="00A61DB3" w:rsidP="00A61DB3">
            <w:pPr>
              <w:widowControl w:val="0"/>
              <w:jc w:val="right"/>
              <w:rPr>
                <w:sz w:val="20"/>
                <w:szCs w:val="20"/>
              </w:rPr>
            </w:pPr>
            <w:r w:rsidRPr="003E38DE">
              <w:rPr>
                <w:sz w:val="20"/>
                <w:szCs w:val="20"/>
              </w:rPr>
              <w:t>9</w:t>
            </w:r>
          </w:p>
        </w:tc>
        <w:tc>
          <w:tcPr>
            <w:tcW w:w="2798" w:type="dxa"/>
            <w:tcBorders>
              <w:top w:val="single" w:sz="4" w:space="0" w:color="auto"/>
              <w:left w:val="single" w:sz="4" w:space="0" w:color="auto"/>
              <w:bottom w:val="single" w:sz="4" w:space="0" w:color="auto"/>
              <w:right w:val="single" w:sz="4" w:space="0" w:color="auto"/>
            </w:tcBorders>
          </w:tcPr>
          <w:p w14:paraId="19AABC0F"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/79/45 and Corr.1</w:t>
            </w:r>
          </w:p>
        </w:tc>
        <w:tc>
          <w:tcPr>
            <w:tcW w:w="6028" w:type="dxa"/>
            <w:tcBorders>
              <w:top w:val="single" w:sz="4" w:space="0" w:color="auto"/>
              <w:left w:val="single" w:sz="4" w:space="0" w:color="auto"/>
              <w:bottom w:val="single" w:sz="4" w:space="0" w:color="auto"/>
              <w:right w:val="single" w:sz="4" w:space="0" w:color="auto"/>
            </w:tcBorders>
          </w:tcPr>
          <w:p w14:paraId="45FD45D1" w14:textId="77777777" w:rsidR="00A61DB3" w:rsidRPr="003E38DE" w:rsidRDefault="00A61DB3" w:rsidP="00A37A0D">
            <w:pPr>
              <w:widowControl w:val="0"/>
              <w:jc w:val="left"/>
              <w:rPr>
                <w:sz w:val="20"/>
                <w:szCs w:val="20"/>
              </w:rPr>
            </w:pPr>
            <w:r w:rsidRPr="003E38DE">
              <w:rPr>
                <w:sz w:val="20"/>
                <w:szCs w:val="20"/>
              </w:rPr>
              <w:t>Overall analysis of the results of the surveys on ODS alternatives (decision</w:t>
            </w:r>
            <w:r w:rsidR="00A37A0D">
              <w:rPr>
                <w:sz w:val="20"/>
                <w:szCs w:val="20"/>
              </w:rPr>
              <w:t> </w:t>
            </w:r>
            <w:r w:rsidRPr="003E38DE">
              <w:rPr>
                <w:sz w:val="20"/>
                <w:szCs w:val="20"/>
              </w:rPr>
              <w:t>74/53)</w:t>
            </w:r>
          </w:p>
        </w:tc>
      </w:tr>
      <w:tr w:rsidR="00A61DB3" w:rsidRPr="003E38DE" w14:paraId="19DB4DCF"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7640FBE5" w14:textId="77777777" w:rsidR="00A61DB3" w:rsidRPr="003E38DE" w:rsidRDefault="00A61DB3" w:rsidP="00A61DB3">
            <w:pPr>
              <w:widowControl w:val="0"/>
              <w:jc w:val="right"/>
              <w:rPr>
                <w:sz w:val="20"/>
                <w:szCs w:val="20"/>
              </w:rPr>
            </w:pPr>
            <w:r w:rsidRPr="003E38DE">
              <w:rPr>
                <w:sz w:val="20"/>
                <w:szCs w:val="20"/>
              </w:rPr>
              <w:t>10</w:t>
            </w:r>
          </w:p>
        </w:tc>
        <w:tc>
          <w:tcPr>
            <w:tcW w:w="2798" w:type="dxa"/>
            <w:tcBorders>
              <w:top w:val="single" w:sz="4" w:space="0" w:color="auto"/>
              <w:left w:val="single" w:sz="4" w:space="0" w:color="auto"/>
              <w:bottom w:val="single" w:sz="4" w:space="0" w:color="auto"/>
              <w:right w:val="single" w:sz="4" w:space="0" w:color="auto"/>
            </w:tcBorders>
          </w:tcPr>
          <w:p w14:paraId="360C70E2"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/79/46</w:t>
            </w:r>
          </w:p>
        </w:tc>
        <w:tc>
          <w:tcPr>
            <w:tcW w:w="6028" w:type="dxa"/>
            <w:tcBorders>
              <w:top w:val="single" w:sz="4" w:space="0" w:color="auto"/>
              <w:left w:val="single" w:sz="4" w:space="0" w:color="auto"/>
              <w:bottom w:val="single" w:sz="4" w:space="0" w:color="auto"/>
              <w:right w:val="single" w:sz="4" w:space="0" w:color="auto"/>
            </w:tcBorders>
          </w:tcPr>
          <w:p w14:paraId="16536F23"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 (decision 78/3)</w:t>
            </w:r>
          </w:p>
        </w:tc>
      </w:tr>
      <w:tr w:rsidR="00A61DB3" w:rsidRPr="003E38DE" w14:paraId="460F4223"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0D44CB9B" w14:textId="77777777" w:rsidR="00A61DB3" w:rsidRPr="003E38DE" w:rsidRDefault="00A61DB3" w:rsidP="00A61DB3">
            <w:pPr>
              <w:widowControl w:val="0"/>
              <w:jc w:val="right"/>
              <w:rPr>
                <w:sz w:val="20"/>
                <w:szCs w:val="20"/>
              </w:rPr>
            </w:pPr>
            <w:r w:rsidRPr="003E38DE">
              <w:rPr>
                <w:sz w:val="20"/>
                <w:szCs w:val="20"/>
              </w:rPr>
              <w:t>11</w:t>
            </w:r>
          </w:p>
        </w:tc>
        <w:tc>
          <w:tcPr>
            <w:tcW w:w="2798" w:type="dxa"/>
            <w:tcBorders>
              <w:top w:val="single" w:sz="4" w:space="0" w:color="auto"/>
              <w:left w:val="single" w:sz="4" w:space="0" w:color="auto"/>
              <w:bottom w:val="single" w:sz="4" w:space="0" w:color="auto"/>
              <w:right w:val="single" w:sz="4" w:space="0" w:color="auto"/>
            </w:tcBorders>
          </w:tcPr>
          <w:p w14:paraId="23439EC6"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/79/47</w:t>
            </w:r>
          </w:p>
        </w:tc>
        <w:tc>
          <w:tcPr>
            <w:tcW w:w="6028" w:type="dxa"/>
            <w:tcBorders>
              <w:top w:val="single" w:sz="4" w:space="0" w:color="auto"/>
              <w:left w:val="single" w:sz="4" w:space="0" w:color="auto"/>
              <w:bottom w:val="single" w:sz="4" w:space="0" w:color="auto"/>
              <w:right w:val="single" w:sz="4" w:space="0" w:color="auto"/>
            </w:tcBorders>
          </w:tcPr>
          <w:p w14:paraId="742EE4DF"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guidelines on enabling activities (decision</w:t>
            </w:r>
            <w:r>
              <w:rPr>
                <w:sz w:val="20"/>
                <w:szCs w:val="20"/>
              </w:rPr>
              <w:t> </w:t>
            </w:r>
            <w:r w:rsidRPr="003E38DE">
              <w:rPr>
                <w:sz w:val="20"/>
                <w:szCs w:val="20"/>
              </w:rPr>
              <w:t>78/4(a)</w:t>
            </w:r>
          </w:p>
        </w:tc>
      </w:tr>
      <w:tr w:rsidR="00A61DB3" w:rsidRPr="003E38DE" w14:paraId="28AF7B66"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52690DC2" w14:textId="77777777" w:rsidR="00A61DB3" w:rsidRPr="003E38DE" w:rsidRDefault="00A61DB3" w:rsidP="00A61DB3">
            <w:pPr>
              <w:widowControl w:val="0"/>
              <w:jc w:val="right"/>
              <w:rPr>
                <w:sz w:val="20"/>
                <w:szCs w:val="20"/>
              </w:rPr>
            </w:pPr>
            <w:r w:rsidRPr="003E38DE">
              <w:rPr>
                <w:sz w:val="20"/>
                <w:szCs w:val="20"/>
              </w:rPr>
              <w:t>12</w:t>
            </w:r>
          </w:p>
        </w:tc>
        <w:tc>
          <w:tcPr>
            <w:tcW w:w="2798" w:type="dxa"/>
            <w:tcBorders>
              <w:top w:val="single" w:sz="4" w:space="0" w:color="auto"/>
              <w:left w:val="single" w:sz="4" w:space="0" w:color="auto"/>
              <w:bottom w:val="single" w:sz="4" w:space="0" w:color="auto"/>
              <w:right w:val="single" w:sz="4" w:space="0" w:color="auto"/>
            </w:tcBorders>
          </w:tcPr>
          <w:p w14:paraId="2341AB89"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/79/48, Corr.1, Corr.2, and Add.1</w:t>
            </w:r>
          </w:p>
        </w:tc>
        <w:tc>
          <w:tcPr>
            <w:tcW w:w="6028" w:type="dxa"/>
            <w:tcBorders>
              <w:top w:val="single" w:sz="4" w:space="0" w:color="auto"/>
              <w:left w:val="single" w:sz="4" w:space="0" w:color="auto"/>
              <w:bottom w:val="single" w:sz="4" w:space="0" w:color="auto"/>
              <w:right w:val="single" w:sz="4" w:space="0" w:color="auto"/>
            </w:tcBorders>
          </w:tcPr>
          <w:p w14:paraId="295E7B5E" w14:textId="77777777" w:rsidR="00A61DB3" w:rsidRPr="003E38DE" w:rsidRDefault="00A61DB3" w:rsidP="00A37A0D">
            <w:pPr>
              <w:widowControl w:val="0"/>
              <w:jc w:val="left"/>
              <w:rPr>
                <w:sz w:val="20"/>
                <w:szCs w:val="20"/>
              </w:rPr>
            </w:pPr>
            <w:r w:rsidRPr="003E38DE">
              <w:rPr>
                <w:sz w:val="20"/>
                <w:szCs w:val="20"/>
              </w:rPr>
              <w:t>Key aspects related to HFC-23 by-product control technologies (decision</w:t>
            </w:r>
            <w:r w:rsidR="00A37A0D">
              <w:rPr>
                <w:sz w:val="20"/>
                <w:szCs w:val="20"/>
              </w:rPr>
              <w:t> </w:t>
            </w:r>
            <w:r w:rsidRPr="003E38DE">
              <w:rPr>
                <w:sz w:val="20"/>
                <w:szCs w:val="20"/>
              </w:rPr>
              <w:t>78/5)</w:t>
            </w:r>
          </w:p>
        </w:tc>
      </w:tr>
      <w:tr w:rsidR="00A61DB3" w:rsidRPr="003E38DE" w14:paraId="4A6309B7"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6F1DBF02" w14:textId="77777777" w:rsidR="00A61DB3" w:rsidRPr="003E38DE" w:rsidRDefault="00A61DB3" w:rsidP="00A61DB3">
            <w:pPr>
              <w:widowControl w:val="0"/>
              <w:jc w:val="right"/>
              <w:rPr>
                <w:sz w:val="20"/>
                <w:szCs w:val="20"/>
              </w:rPr>
            </w:pPr>
            <w:r w:rsidRPr="003E38DE">
              <w:rPr>
                <w:sz w:val="20"/>
                <w:szCs w:val="20"/>
              </w:rPr>
              <w:t>13</w:t>
            </w:r>
          </w:p>
        </w:tc>
        <w:tc>
          <w:tcPr>
            <w:tcW w:w="2798" w:type="dxa"/>
            <w:tcBorders>
              <w:top w:val="single" w:sz="4" w:space="0" w:color="auto"/>
              <w:left w:val="single" w:sz="4" w:space="0" w:color="auto"/>
              <w:bottom w:val="single" w:sz="4" w:space="0" w:color="auto"/>
              <w:right w:val="single" w:sz="4" w:space="0" w:color="auto"/>
            </w:tcBorders>
          </w:tcPr>
          <w:p w14:paraId="6335B074"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/79/49</w:t>
            </w:r>
          </w:p>
        </w:tc>
        <w:tc>
          <w:tcPr>
            <w:tcW w:w="6028" w:type="dxa"/>
            <w:tcBorders>
              <w:top w:val="single" w:sz="4" w:space="0" w:color="auto"/>
              <w:left w:val="single" w:sz="4" w:space="0" w:color="auto"/>
              <w:bottom w:val="single" w:sz="4" w:space="0" w:color="auto"/>
              <w:right w:val="single" w:sz="4" w:space="0" w:color="auto"/>
            </w:tcBorders>
          </w:tcPr>
          <w:p w14:paraId="1DBF2E61" w14:textId="77777777" w:rsidR="00A61DB3" w:rsidRPr="003E38DE" w:rsidRDefault="00A61DB3" w:rsidP="00A61DB3">
            <w:pPr>
              <w:widowControl w:val="0"/>
              <w:jc w:val="left"/>
              <w:rPr>
                <w:sz w:val="20"/>
                <w:szCs w:val="20"/>
              </w:rPr>
            </w:pPr>
            <w:r w:rsidRPr="003E38DE">
              <w:rPr>
                <w:sz w:val="20"/>
                <w:szCs w:val="20"/>
              </w:rPr>
              <w:t>Procedures for Article 5 countries that have HFC baseline years from 2020 to 2022 in accessing additional voluntary contributions for enabling activities</w:t>
            </w:r>
          </w:p>
        </w:tc>
      </w:tr>
      <w:tr w:rsidR="00A61DB3" w:rsidRPr="003E38DE" w14:paraId="78065D61"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5478A073" w14:textId="77777777" w:rsidR="00A61DB3" w:rsidRPr="003E38DE" w:rsidRDefault="00A61DB3" w:rsidP="00A61DB3">
            <w:pPr>
              <w:widowControl w:val="0"/>
              <w:jc w:val="right"/>
              <w:rPr>
                <w:sz w:val="20"/>
                <w:szCs w:val="20"/>
              </w:rPr>
            </w:pPr>
            <w:r w:rsidRPr="003E38DE">
              <w:rPr>
                <w:sz w:val="20"/>
                <w:szCs w:val="20"/>
              </w:rPr>
              <w:t>14</w:t>
            </w:r>
          </w:p>
        </w:tc>
        <w:tc>
          <w:tcPr>
            <w:tcW w:w="2798" w:type="dxa"/>
            <w:tcBorders>
              <w:top w:val="single" w:sz="4" w:space="0" w:color="auto"/>
              <w:left w:val="single" w:sz="4" w:space="0" w:color="auto"/>
              <w:bottom w:val="single" w:sz="4" w:space="0" w:color="auto"/>
              <w:right w:val="single" w:sz="4" w:space="0" w:color="auto"/>
            </w:tcBorders>
          </w:tcPr>
          <w:p w14:paraId="32B035FE"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/80/54</w:t>
            </w:r>
          </w:p>
        </w:tc>
        <w:tc>
          <w:tcPr>
            <w:tcW w:w="6028" w:type="dxa"/>
            <w:tcBorders>
              <w:top w:val="single" w:sz="4" w:space="0" w:color="auto"/>
              <w:left w:val="single" w:sz="4" w:space="0" w:color="auto"/>
              <w:bottom w:val="single" w:sz="4" w:space="0" w:color="auto"/>
              <w:right w:val="single" w:sz="4" w:space="0" w:color="auto"/>
            </w:tcBorders>
          </w:tcPr>
          <w:p w14:paraId="2D141F6D" w14:textId="77777777" w:rsidR="00A61DB3" w:rsidRPr="003E38DE" w:rsidRDefault="00A61DB3" w:rsidP="00A61DB3">
            <w:pPr>
              <w:widowControl w:val="0"/>
              <w:jc w:val="left"/>
              <w:rPr>
                <w:sz w:val="20"/>
                <w:szCs w:val="20"/>
              </w:rPr>
            </w:pPr>
            <w:r w:rsidRPr="003E38DE">
              <w:rPr>
                <w:sz w:val="20"/>
                <w:szCs w:val="20"/>
              </w:rPr>
              <w:t>Overall analysis of the results of the surveys of ODS alternatives</w:t>
            </w:r>
          </w:p>
        </w:tc>
      </w:tr>
      <w:tr w:rsidR="00A61DB3" w:rsidRPr="003E38DE" w14:paraId="635CCF56"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273948B4" w14:textId="77777777" w:rsidR="00A61DB3" w:rsidRPr="003E38DE" w:rsidRDefault="00A61DB3" w:rsidP="00A61DB3">
            <w:pPr>
              <w:widowControl w:val="0"/>
              <w:jc w:val="right"/>
              <w:rPr>
                <w:sz w:val="20"/>
                <w:szCs w:val="20"/>
              </w:rPr>
            </w:pPr>
            <w:r w:rsidRPr="003E38DE">
              <w:rPr>
                <w:sz w:val="20"/>
                <w:szCs w:val="20"/>
              </w:rPr>
              <w:t>15</w:t>
            </w:r>
          </w:p>
        </w:tc>
        <w:tc>
          <w:tcPr>
            <w:tcW w:w="2798" w:type="dxa"/>
            <w:tcBorders>
              <w:top w:val="single" w:sz="4" w:space="0" w:color="auto"/>
              <w:left w:val="single" w:sz="4" w:space="0" w:color="auto"/>
              <w:bottom w:val="single" w:sz="4" w:space="0" w:color="auto"/>
              <w:right w:val="single" w:sz="4" w:space="0" w:color="auto"/>
            </w:tcBorders>
          </w:tcPr>
          <w:p w14:paraId="5BA6DB9C"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/80/55</w:t>
            </w:r>
          </w:p>
        </w:tc>
        <w:tc>
          <w:tcPr>
            <w:tcW w:w="6028" w:type="dxa"/>
            <w:tcBorders>
              <w:top w:val="single" w:sz="4" w:space="0" w:color="auto"/>
              <w:left w:val="single" w:sz="4" w:space="0" w:color="auto"/>
              <w:bottom w:val="single" w:sz="4" w:space="0" w:color="auto"/>
              <w:right w:val="single" w:sz="4" w:space="0" w:color="auto"/>
            </w:tcBorders>
          </w:tcPr>
          <w:p w14:paraId="2B43CEAF"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 (decisions</w:t>
            </w:r>
            <w:r w:rsidR="00A37A0D">
              <w:rPr>
                <w:sz w:val="20"/>
                <w:szCs w:val="20"/>
              </w:rPr>
              <w:t> </w:t>
            </w:r>
            <w:r w:rsidRPr="003E38DE">
              <w:rPr>
                <w:sz w:val="20"/>
                <w:szCs w:val="20"/>
              </w:rPr>
              <w:t>78/3(</w:t>
            </w:r>
            <w:proofErr w:type="spellStart"/>
            <w:r w:rsidRPr="003E38DE">
              <w:rPr>
                <w:sz w:val="20"/>
                <w:szCs w:val="20"/>
              </w:rPr>
              <w:t>i</w:t>
            </w:r>
            <w:proofErr w:type="spellEnd"/>
            <w:r w:rsidRPr="003E38DE">
              <w:rPr>
                <w:sz w:val="20"/>
                <w:szCs w:val="20"/>
              </w:rPr>
              <w:t>) and</w:t>
            </w:r>
            <w:r>
              <w:rPr>
                <w:sz w:val="20"/>
                <w:szCs w:val="20"/>
              </w:rPr>
              <w:t> </w:t>
            </w:r>
            <w:r w:rsidRPr="003E38DE">
              <w:rPr>
                <w:sz w:val="20"/>
                <w:szCs w:val="20"/>
              </w:rPr>
              <w:t>79/44(b))</w:t>
            </w:r>
          </w:p>
        </w:tc>
      </w:tr>
      <w:tr w:rsidR="00A61DB3" w:rsidRPr="003E38DE" w14:paraId="70B69FB2"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7A8B062F" w14:textId="77777777" w:rsidR="00A61DB3" w:rsidRPr="003E38DE" w:rsidRDefault="00A61DB3" w:rsidP="00A61DB3">
            <w:pPr>
              <w:widowControl w:val="0"/>
              <w:jc w:val="right"/>
              <w:rPr>
                <w:sz w:val="20"/>
                <w:szCs w:val="20"/>
              </w:rPr>
            </w:pPr>
            <w:r w:rsidRPr="003E38DE">
              <w:rPr>
                <w:sz w:val="20"/>
                <w:szCs w:val="20"/>
              </w:rPr>
              <w:t>16</w:t>
            </w:r>
          </w:p>
        </w:tc>
        <w:tc>
          <w:tcPr>
            <w:tcW w:w="2798" w:type="dxa"/>
            <w:tcBorders>
              <w:top w:val="single" w:sz="4" w:space="0" w:color="auto"/>
              <w:left w:val="single" w:sz="4" w:space="0" w:color="auto"/>
              <w:bottom w:val="single" w:sz="4" w:space="0" w:color="auto"/>
              <w:right w:val="single" w:sz="4" w:space="0" w:color="auto"/>
            </w:tcBorders>
          </w:tcPr>
          <w:p w14:paraId="42792126"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/80/56 and Add.1</w:t>
            </w:r>
          </w:p>
        </w:tc>
        <w:tc>
          <w:tcPr>
            <w:tcW w:w="6028" w:type="dxa"/>
            <w:tcBorders>
              <w:top w:val="single" w:sz="4" w:space="0" w:color="auto"/>
              <w:left w:val="single" w:sz="4" w:space="0" w:color="auto"/>
              <w:bottom w:val="single" w:sz="4" w:space="0" w:color="auto"/>
              <w:right w:val="single" w:sz="4" w:space="0" w:color="auto"/>
            </w:tcBorders>
          </w:tcPr>
          <w:p w14:paraId="3BF9942F" w14:textId="77777777" w:rsidR="00A61DB3" w:rsidRPr="003E38DE" w:rsidRDefault="00A61DB3" w:rsidP="00A61DB3">
            <w:pPr>
              <w:widowControl w:val="0"/>
              <w:jc w:val="left"/>
              <w:rPr>
                <w:sz w:val="20"/>
                <w:szCs w:val="20"/>
              </w:rPr>
            </w:pPr>
            <w:r w:rsidRPr="003E38DE">
              <w:rPr>
                <w:sz w:val="20"/>
                <w:szCs w:val="20"/>
              </w:rPr>
              <w:t>Key aspects related to HFC-23 by-product control technologies</w:t>
            </w:r>
          </w:p>
        </w:tc>
      </w:tr>
      <w:tr w:rsidR="00A61DB3" w:rsidRPr="003E38DE" w14:paraId="64A94B3D"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29195A97" w14:textId="77777777" w:rsidR="00A61DB3" w:rsidRPr="003E38DE" w:rsidRDefault="00A61DB3" w:rsidP="00A61DB3">
            <w:pPr>
              <w:widowControl w:val="0"/>
              <w:jc w:val="right"/>
              <w:rPr>
                <w:sz w:val="20"/>
                <w:szCs w:val="20"/>
              </w:rPr>
            </w:pPr>
            <w:r w:rsidRPr="003E38DE">
              <w:rPr>
                <w:sz w:val="20"/>
                <w:szCs w:val="20"/>
              </w:rPr>
              <w:t>17</w:t>
            </w:r>
          </w:p>
        </w:tc>
        <w:tc>
          <w:tcPr>
            <w:tcW w:w="2798" w:type="dxa"/>
            <w:tcBorders>
              <w:top w:val="single" w:sz="4" w:space="0" w:color="auto"/>
              <w:left w:val="single" w:sz="4" w:space="0" w:color="auto"/>
              <w:bottom w:val="single" w:sz="4" w:space="0" w:color="auto"/>
              <w:right w:val="single" w:sz="4" w:space="0" w:color="auto"/>
            </w:tcBorders>
          </w:tcPr>
          <w:p w14:paraId="4CB50E20"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/81/53</w:t>
            </w:r>
          </w:p>
        </w:tc>
        <w:tc>
          <w:tcPr>
            <w:tcW w:w="6028" w:type="dxa"/>
            <w:tcBorders>
              <w:top w:val="single" w:sz="4" w:space="0" w:color="auto"/>
              <w:left w:val="single" w:sz="4" w:space="0" w:color="auto"/>
              <w:bottom w:val="single" w:sz="4" w:space="0" w:color="auto"/>
              <w:right w:val="single" w:sz="4" w:space="0" w:color="auto"/>
            </w:tcBorders>
          </w:tcPr>
          <w:p w14:paraId="58EBAF1A"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 (decisions</w:t>
            </w:r>
            <w:r>
              <w:rPr>
                <w:sz w:val="20"/>
                <w:szCs w:val="20"/>
              </w:rPr>
              <w:t> </w:t>
            </w:r>
            <w:r w:rsidRPr="003E38DE">
              <w:rPr>
                <w:sz w:val="20"/>
                <w:szCs w:val="20"/>
              </w:rPr>
              <w:t>78/3(</w:t>
            </w:r>
            <w:proofErr w:type="spellStart"/>
            <w:r w:rsidRPr="003E38DE">
              <w:rPr>
                <w:sz w:val="20"/>
                <w:szCs w:val="20"/>
              </w:rPr>
              <w:t>i</w:t>
            </w:r>
            <w:proofErr w:type="spellEnd"/>
            <w:r w:rsidRPr="003E38DE">
              <w:rPr>
                <w:sz w:val="20"/>
                <w:szCs w:val="20"/>
              </w:rPr>
              <w:t>),</w:t>
            </w:r>
            <w:r>
              <w:rPr>
                <w:sz w:val="20"/>
                <w:szCs w:val="20"/>
              </w:rPr>
              <w:t> </w:t>
            </w:r>
            <w:r w:rsidRPr="003E38DE">
              <w:rPr>
                <w:sz w:val="20"/>
                <w:szCs w:val="20"/>
              </w:rPr>
              <w:t>79/44(b) and 80/76(b))</w:t>
            </w:r>
          </w:p>
        </w:tc>
      </w:tr>
      <w:tr w:rsidR="00A61DB3" w:rsidRPr="003E38DE" w14:paraId="453CC69C"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4DB85859" w14:textId="77777777" w:rsidR="00A61DB3" w:rsidRPr="003E38DE" w:rsidRDefault="00A61DB3" w:rsidP="00A61DB3">
            <w:pPr>
              <w:widowControl w:val="0"/>
              <w:jc w:val="right"/>
              <w:rPr>
                <w:sz w:val="20"/>
                <w:szCs w:val="20"/>
              </w:rPr>
            </w:pPr>
            <w:r w:rsidRPr="003E38DE">
              <w:rPr>
                <w:sz w:val="20"/>
                <w:szCs w:val="20"/>
              </w:rPr>
              <w:t>18</w:t>
            </w:r>
          </w:p>
        </w:tc>
        <w:tc>
          <w:tcPr>
            <w:tcW w:w="2798" w:type="dxa"/>
            <w:tcBorders>
              <w:top w:val="single" w:sz="4" w:space="0" w:color="auto"/>
              <w:left w:val="single" w:sz="4" w:space="0" w:color="auto"/>
              <w:bottom w:val="single" w:sz="4" w:space="0" w:color="auto"/>
              <w:right w:val="single" w:sz="4" w:space="0" w:color="auto"/>
            </w:tcBorders>
          </w:tcPr>
          <w:p w14:paraId="34222B78"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/81/54</w:t>
            </w:r>
          </w:p>
        </w:tc>
        <w:tc>
          <w:tcPr>
            <w:tcW w:w="6028" w:type="dxa"/>
            <w:tcBorders>
              <w:top w:val="single" w:sz="4" w:space="0" w:color="auto"/>
              <w:left w:val="single" w:sz="4" w:space="0" w:color="auto"/>
              <w:bottom w:val="single" w:sz="4" w:space="0" w:color="auto"/>
              <w:right w:val="single" w:sz="4" w:space="0" w:color="auto"/>
            </w:tcBorders>
          </w:tcPr>
          <w:p w14:paraId="1DEA6BF8" w14:textId="77777777" w:rsidR="00A61DB3" w:rsidRPr="003E38DE" w:rsidRDefault="00A61DB3" w:rsidP="00A37A0D">
            <w:pPr>
              <w:widowControl w:val="0"/>
              <w:jc w:val="left"/>
              <w:rPr>
                <w:sz w:val="20"/>
                <w:szCs w:val="20"/>
              </w:rPr>
            </w:pPr>
            <w:r w:rsidRPr="003E38DE">
              <w:rPr>
                <w:sz w:val="20"/>
                <w:szCs w:val="20"/>
              </w:rPr>
              <w:t>Key aspects related to HFC-23 by-product control technologies (decisions</w:t>
            </w:r>
            <w:r w:rsidR="00A37A0D">
              <w:rPr>
                <w:sz w:val="20"/>
                <w:szCs w:val="20"/>
              </w:rPr>
              <w:t> </w:t>
            </w:r>
            <w:r w:rsidRPr="003E38DE">
              <w:rPr>
                <w:sz w:val="20"/>
                <w:szCs w:val="20"/>
              </w:rPr>
              <w:t>78/5(e), 79/47(e) and 80/77(b))</w:t>
            </w:r>
          </w:p>
        </w:tc>
      </w:tr>
      <w:tr w:rsidR="00A61DB3" w:rsidRPr="003E38DE" w14:paraId="1A39BB57"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479C2D62" w14:textId="77777777" w:rsidR="00A61DB3" w:rsidRPr="003E38DE" w:rsidRDefault="00A61DB3" w:rsidP="00A61DB3">
            <w:pPr>
              <w:widowControl w:val="0"/>
              <w:jc w:val="right"/>
              <w:rPr>
                <w:sz w:val="20"/>
                <w:szCs w:val="20"/>
              </w:rPr>
            </w:pPr>
            <w:r w:rsidRPr="003E38DE">
              <w:rPr>
                <w:sz w:val="20"/>
                <w:szCs w:val="20"/>
              </w:rPr>
              <w:t>19</w:t>
            </w:r>
          </w:p>
        </w:tc>
        <w:tc>
          <w:tcPr>
            <w:tcW w:w="2798" w:type="dxa"/>
            <w:tcBorders>
              <w:top w:val="single" w:sz="4" w:space="0" w:color="auto"/>
              <w:left w:val="single" w:sz="4" w:space="0" w:color="auto"/>
              <w:bottom w:val="single" w:sz="4" w:space="0" w:color="auto"/>
              <w:right w:val="single" w:sz="4" w:space="0" w:color="auto"/>
            </w:tcBorders>
          </w:tcPr>
          <w:p w14:paraId="4D85D2DB"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/81/55</w:t>
            </w:r>
          </w:p>
        </w:tc>
        <w:tc>
          <w:tcPr>
            <w:tcW w:w="6028" w:type="dxa"/>
            <w:tcBorders>
              <w:top w:val="single" w:sz="4" w:space="0" w:color="auto"/>
              <w:left w:val="single" w:sz="4" w:space="0" w:color="auto"/>
              <w:bottom w:val="single" w:sz="4" w:space="0" w:color="auto"/>
              <w:right w:val="single" w:sz="4" w:space="0" w:color="auto"/>
            </w:tcBorders>
          </w:tcPr>
          <w:p w14:paraId="21F6F5A0" w14:textId="77777777" w:rsidR="00A61DB3" w:rsidRPr="003E38DE" w:rsidRDefault="00A61DB3" w:rsidP="00A37A0D">
            <w:pPr>
              <w:widowControl w:val="0"/>
              <w:jc w:val="left"/>
              <w:rPr>
                <w:sz w:val="20"/>
                <w:szCs w:val="20"/>
              </w:rPr>
            </w:pPr>
            <w:r w:rsidRPr="003E38DE">
              <w:rPr>
                <w:sz w:val="20"/>
                <w:szCs w:val="20"/>
              </w:rPr>
              <w:t>Implications for the Multilateral Fund institutions in terms of the expected workload in the coming years including in relation to the Kigali Amendment for the phase-down of HFCs (decision</w:t>
            </w:r>
            <w:r w:rsidR="00A37A0D">
              <w:rPr>
                <w:sz w:val="20"/>
                <w:szCs w:val="20"/>
              </w:rPr>
              <w:t> </w:t>
            </w:r>
            <w:r w:rsidRPr="003E38DE">
              <w:rPr>
                <w:sz w:val="20"/>
                <w:szCs w:val="20"/>
              </w:rPr>
              <w:t>80/34(f))</w:t>
            </w:r>
          </w:p>
        </w:tc>
      </w:tr>
      <w:tr w:rsidR="00A61DB3" w:rsidRPr="003E38DE" w14:paraId="35BAD528"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33D4C5A2" w14:textId="77777777" w:rsidR="00A61DB3" w:rsidRPr="003E38DE" w:rsidRDefault="00A61DB3" w:rsidP="00A61DB3">
            <w:pPr>
              <w:widowControl w:val="0"/>
              <w:jc w:val="right"/>
              <w:rPr>
                <w:sz w:val="20"/>
                <w:szCs w:val="20"/>
              </w:rPr>
            </w:pPr>
            <w:r w:rsidRPr="003E38DE">
              <w:rPr>
                <w:sz w:val="20"/>
                <w:szCs w:val="20"/>
              </w:rPr>
              <w:t>20</w:t>
            </w:r>
          </w:p>
        </w:tc>
        <w:tc>
          <w:tcPr>
            <w:tcW w:w="2798" w:type="dxa"/>
            <w:tcBorders>
              <w:top w:val="single" w:sz="4" w:space="0" w:color="auto"/>
              <w:left w:val="single" w:sz="4" w:space="0" w:color="auto"/>
              <w:bottom w:val="single" w:sz="4" w:space="0" w:color="auto"/>
              <w:right w:val="single" w:sz="4" w:space="0" w:color="auto"/>
            </w:tcBorders>
          </w:tcPr>
          <w:p w14:paraId="04AEA734"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/82/64</w:t>
            </w:r>
          </w:p>
        </w:tc>
        <w:tc>
          <w:tcPr>
            <w:tcW w:w="6028" w:type="dxa"/>
            <w:tcBorders>
              <w:top w:val="single" w:sz="4" w:space="0" w:color="auto"/>
              <w:left w:val="single" w:sz="4" w:space="0" w:color="auto"/>
              <w:bottom w:val="single" w:sz="4" w:space="0" w:color="auto"/>
              <w:right w:val="single" w:sz="4" w:space="0" w:color="auto"/>
            </w:tcBorders>
            <w:vAlign w:val="bottom"/>
          </w:tcPr>
          <w:p w14:paraId="3B513714" w14:textId="77777777" w:rsidR="00A61DB3" w:rsidRPr="003E38DE" w:rsidRDefault="00A61DB3" w:rsidP="00A61DB3">
            <w:pPr>
              <w:widowControl w:val="0"/>
              <w:jc w:val="left"/>
              <w:rPr>
                <w:sz w:val="20"/>
                <w:szCs w:val="20"/>
              </w:rPr>
            </w:pPr>
            <w:r w:rsidRPr="003E38DE">
              <w:rPr>
                <w:sz w:val="20"/>
                <w:szCs w:val="20"/>
              </w:rPr>
              <w:t>Preliminary document on all aspects related to the refrigeration servicing sector that support the HFC phase</w:t>
            </w:r>
            <w:r w:rsidRPr="003E38DE">
              <w:rPr>
                <w:sz w:val="20"/>
                <w:szCs w:val="20"/>
              </w:rPr>
              <w:noBreakHyphen/>
              <w:t>down (decision 80/76(c))</w:t>
            </w:r>
          </w:p>
        </w:tc>
      </w:tr>
      <w:tr w:rsidR="00A61DB3" w:rsidRPr="003E38DE" w14:paraId="1EDE1CE9"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5B901FAB" w14:textId="77777777" w:rsidR="00A61DB3" w:rsidRPr="003E38DE" w:rsidRDefault="00A61DB3" w:rsidP="00A61DB3">
            <w:pPr>
              <w:widowControl w:val="0"/>
              <w:jc w:val="right"/>
              <w:rPr>
                <w:sz w:val="20"/>
                <w:szCs w:val="20"/>
              </w:rPr>
            </w:pPr>
            <w:r w:rsidRPr="003E38DE">
              <w:rPr>
                <w:sz w:val="20"/>
                <w:szCs w:val="20"/>
              </w:rPr>
              <w:t>21</w:t>
            </w:r>
          </w:p>
        </w:tc>
        <w:tc>
          <w:tcPr>
            <w:tcW w:w="2798" w:type="dxa"/>
            <w:tcBorders>
              <w:top w:val="single" w:sz="4" w:space="0" w:color="auto"/>
              <w:left w:val="single" w:sz="4" w:space="0" w:color="auto"/>
              <w:bottom w:val="single" w:sz="4" w:space="0" w:color="auto"/>
              <w:right w:val="single" w:sz="4" w:space="0" w:color="auto"/>
            </w:tcBorders>
          </w:tcPr>
          <w:p w14:paraId="431BCF8B"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/82/65 and Add.1</w:t>
            </w:r>
          </w:p>
        </w:tc>
        <w:tc>
          <w:tcPr>
            <w:tcW w:w="6028" w:type="dxa"/>
            <w:tcBorders>
              <w:top w:val="single" w:sz="4" w:space="0" w:color="auto"/>
              <w:left w:val="single" w:sz="4" w:space="0" w:color="auto"/>
              <w:bottom w:val="single" w:sz="4" w:space="0" w:color="auto"/>
              <w:right w:val="single" w:sz="4" w:space="0" w:color="auto"/>
            </w:tcBorders>
            <w:vAlign w:val="bottom"/>
          </w:tcPr>
          <w:p w14:paraId="1CF5DAF8" w14:textId="77777777" w:rsidR="00A61DB3" w:rsidRPr="003E38DE" w:rsidRDefault="00A61DB3" w:rsidP="00A37A0D">
            <w:pPr>
              <w:widowControl w:val="0"/>
              <w:jc w:val="left"/>
              <w:rPr>
                <w:sz w:val="20"/>
                <w:szCs w:val="20"/>
              </w:rPr>
            </w:pPr>
            <w:r w:rsidRPr="003E38DE">
              <w:rPr>
                <w:sz w:val="20"/>
                <w:szCs w:val="20"/>
                <w:lang w:val="en-US"/>
              </w:rPr>
              <w:t>Summary of the Parties’ deliberations at the 40</w:t>
            </w:r>
            <w:r w:rsidRPr="003E38DE">
              <w:rPr>
                <w:sz w:val="20"/>
                <w:szCs w:val="20"/>
                <w:vertAlign w:val="superscript"/>
                <w:lang w:val="en-US"/>
              </w:rPr>
              <w:t>th</w:t>
            </w:r>
            <w:r w:rsidRPr="003E38DE">
              <w:rPr>
                <w:sz w:val="20"/>
                <w:szCs w:val="20"/>
                <w:lang w:val="en-US"/>
              </w:rPr>
              <w:t xml:space="preserve"> Meeting of the Open</w:t>
            </w:r>
            <w:r>
              <w:rPr>
                <w:sz w:val="20"/>
                <w:szCs w:val="20"/>
                <w:lang w:val="en-US"/>
              </w:rPr>
              <w:noBreakHyphen/>
            </w:r>
            <w:r w:rsidRPr="003E38DE">
              <w:rPr>
                <w:sz w:val="20"/>
                <w:szCs w:val="20"/>
                <w:lang w:val="en-US"/>
              </w:rPr>
              <w:t>Ended Working Group and the Thirtieth Meeting of the Parties to the Montreal Protocol in relation to the Technology and Economic Assessment Panel’s report on issues related to energy efficiency</w:t>
            </w:r>
            <w:r w:rsidRPr="003E38DE">
              <w:rPr>
                <w:strike/>
                <w:sz w:val="20"/>
                <w:szCs w:val="20"/>
                <w:lang w:val="en-US"/>
              </w:rPr>
              <w:t xml:space="preserve"> </w:t>
            </w:r>
            <w:r w:rsidRPr="003E38DE">
              <w:rPr>
                <w:sz w:val="20"/>
                <w:szCs w:val="20"/>
                <w:lang w:val="en-US"/>
              </w:rPr>
              <w:t>(decision</w:t>
            </w:r>
            <w:r w:rsidR="00A37A0D">
              <w:rPr>
                <w:sz w:val="20"/>
                <w:szCs w:val="20"/>
                <w:lang w:val="en-US"/>
              </w:rPr>
              <w:t> </w:t>
            </w:r>
            <w:r w:rsidRPr="003E38DE">
              <w:rPr>
                <w:sz w:val="20"/>
                <w:szCs w:val="20"/>
                <w:lang w:val="en-US"/>
              </w:rPr>
              <w:t>81/67(b))</w:t>
            </w:r>
          </w:p>
        </w:tc>
      </w:tr>
      <w:tr w:rsidR="00A61DB3" w:rsidRPr="003E38DE" w14:paraId="32F88293"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4A07CEB1" w14:textId="77777777" w:rsidR="00A61DB3" w:rsidRPr="003E38DE" w:rsidRDefault="00A61DB3" w:rsidP="00A61DB3">
            <w:pPr>
              <w:widowControl w:val="0"/>
              <w:jc w:val="right"/>
              <w:rPr>
                <w:sz w:val="20"/>
                <w:szCs w:val="20"/>
              </w:rPr>
            </w:pPr>
            <w:r w:rsidRPr="003E38DE">
              <w:rPr>
                <w:sz w:val="20"/>
                <w:szCs w:val="20"/>
              </w:rPr>
              <w:t>22</w:t>
            </w:r>
          </w:p>
        </w:tc>
        <w:tc>
          <w:tcPr>
            <w:tcW w:w="2798" w:type="dxa"/>
            <w:tcBorders>
              <w:top w:val="single" w:sz="4" w:space="0" w:color="auto"/>
              <w:left w:val="single" w:sz="4" w:space="0" w:color="auto"/>
              <w:bottom w:val="single" w:sz="4" w:space="0" w:color="auto"/>
              <w:right w:val="single" w:sz="4" w:space="0" w:color="auto"/>
            </w:tcBorders>
          </w:tcPr>
          <w:p w14:paraId="2891310C"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/82/66</w:t>
            </w:r>
          </w:p>
        </w:tc>
        <w:tc>
          <w:tcPr>
            <w:tcW w:w="6028" w:type="dxa"/>
            <w:tcBorders>
              <w:top w:val="single" w:sz="4" w:space="0" w:color="auto"/>
              <w:left w:val="single" w:sz="4" w:space="0" w:color="auto"/>
              <w:bottom w:val="single" w:sz="4" w:space="0" w:color="auto"/>
              <w:right w:val="single" w:sz="4" w:space="0" w:color="auto"/>
            </w:tcBorders>
            <w:vAlign w:val="bottom"/>
          </w:tcPr>
          <w:p w14:paraId="65135D8B" w14:textId="77777777" w:rsidR="00A61DB3" w:rsidRPr="003E38DE" w:rsidRDefault="00A61DB3" w:rsidP="00A37A0D">
            <w:pPr>
              <w:widowControl w:val="0"/>
              <w:jc w:val="left"/>
              <w:rPr>
                <w:sz w:val="20"/>
                <w:szCs w:val="20"/>
              </w:rPr>
            </w:pPr>
            <w:r w:rsidRPr="003E38DE">
              <w:rPr>
                <w:sz w:val="20"/>
                <w:szCs w:val="20"/>
              </w:rPr>
              <w:t>Key considerations for developing a methodology for establishing the starting point for sustained aggregate reductions for the consumption and production sectors under the Kigali Amendment (decision</w:t>
            </w:r>
            <w:r w:rsidR="00A37A0D">
              <w:rPr>
                <w:sz w:val="20"/>
                <w:szCs w:val="20"/>
              </w:rPr>
              <w:t> </w:t>
            </w:r>
            <w:r w:rsidRPr="003E38DE">
              <w:rPr>
                <w:sz w:val="20"/>
                <w:szCs w:val="20"/>
              </w:rPr>
              <w:t>81/67(e))</w:t>
            </w:r>
          </w:p>
        </w:tc>
      </w:tr>
      <w:tr w:rsidR="00A61DB3" w:rsidRPr="003E38DE" w14:paraId="3D2F9E43"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02B61C85" w14:textId="77777777" w:rsidR="00A61DB3" w:rsidRPr="003E38DE" w:rsidRDefault="00A61DB3" w:rsidP="00A61DB3">
            <w:pPr>
              <w:widowControl w:val="0"/>
              <w:jc w:val="right"/>
              <w:rPr>
                <w:sz w:val="20"/>
                <w:szCs w:val="20"/>
              </w:rPr>
            </w:pPr>
            <w:r w:rsidRPr="003E38DE">
              <w:rPr>
                <w:sz w:val="20"/>
                <w:szCs w:val="20"/>
              </w:rPr>
              <w:lastRenderedPageBreak/>
              <w:t>23</w:t>
            </w:r>
          </w:p>
        </w:tc>
        <w:tc>
          <w:tcPr>
            <w:tcW w:w="2798" w:type="dxa"/>
            <w:tcBorders>
              <w:top w:val="single" w:sz="4" w:space="0" w:color="auto"/>
              <w:left w:val="single" w:sz="4" w:space="0" w:color="auto"/>
              <w:bottom w:val="single" w:sz="4" w:space="0" w:color="auto"/>
              <w:right w:val="single" w:sz="4" w:space="0" w:color="auto"/>
            </w:tcBorders>
          </w:tcPr>
          <w:p w14:paraId="1F70C900"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/82/67 and Add.1</w:t>
            </w:r>
          </w:p>
        </w:tc>
        <w:tc>
          <w:tcPr>
            <w:tcW w:w="6028" w:type="dxa"/>
            <w:tcBorders>
              <w:top w:val="single" w:sz="4" w:space="0" w:color="auto"/>
              <w:left w:val="single" w:sz="4" w:space="0" w:color="auto"/>
              <w:bottom w:val="single" w:sz="4" w:space="0" w:color="auto"/>
              <w:right w:val="single" w:sz="4" w:space="0" w:color="auto"/>
            </w:tcBorders>
          </w:tcPr>
          <w:p w14:paraId="44DBBEB2"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 (decision 81/67(f))</w:t>
            </w:r>
          </w:p>
        </w:tc>
      </w:tr>
      <w:tr w:rsidR="00A61DB3" w:rsidRPr="003E38DE" w14:paraId="41354D8B"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66D743E2" w14:textId="77777777" w:rsidR="00A61DB3" w:rsidRPr="003E38DE" w:rsidRDefault="00A61DB3" w:rsidP="00A61DB3">
            <w:pPr>
              <w:widowControl w:val="0"/>
              <w:jc w:val="right"/>
              <w:rPr>
                <w:sz w:val="20"/>
                <w:szCs w:val="20"/>
              </w:rPr>
            </w:pPr>
            <w:r w:rsidRPr="003E38DE">
              <w:rPr>
                <w:sz w:val="20"/>
                <w:szCs w:val="20"/>
              </w:rPr>
              <w:t>24</w:t>
            </w:r>
          </w:p>
        </w:tc>
        <w:tc>
          <w:tcPr>
            <w:tcW w:w="2798" w:type="dxa"/>
            <w:tcBorders>
              <w:top w:val="single" w:sz="4" w:space="0" w:color="auto"/>
              <w:left w:val="single" w:sz="4" w:space="0" w:color="auto"/>
              <w:bottom w:val="single" w:sz="4" w:space="0" w:color="auto"/>
              <w:right w:val="single" w:sz="4" w:space="0" w:color="auto"/>
            </w:tcBorders>
          </w:tcPr>
          <w:p w14:paraId="6B54233E"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/82/68 and Corr.1</w:t>
            </w:r>
          </w:p>
        </w:tc>
        <w:tc>
          <w:tcPr>
            <w:tcW w:w="6028" w:type="dxa"/>
            <w:tcBorders>
              <w:top w:val="single" w:sz="4" w:space="0" w:color="auto"/>
              <w:left w:val="single" w:sz="4" w:space="0" w:color="auto"/>
              <w:bottom w:val="single" w:sz="4" w:space="0" w:color="auto"/>
              <w:right w:val="single" w:sz="4" w:space="0" w:color="auto"/>
            </w:tcBorders>
            <w:vAlign w:val="center"/>
          </w:tcPr>
          <w:p w14:paraId="15D9022E" w14:textId="77777777" w:rsidR="00A61DB3" w:rsidRPr="003E38DE" w:rsidRDefault="00A61DB3" w:rsidP="00A37A0D">
            <w:pPr>
              <w:widowControl w:val="0"/>
              <w:jc w:val="left"/>
              <w:rPr>
                <w:sz w:val="20"/>
                <w:szCs w:val="20"/>
              </w:rPr>
            </w:pPr>
            <w:r w:rsidRPr="003E38DE">
              <w:rPr>
                <w:sz w:val="20"/>
                <w:szCs w:val="20"/>
              </w:rPr>
              <w:t>Cost-effective options for controlling HFC-23 by</w:t>
            </w:r>
            <w:r w:rsidRPr="003E38DE">
              <w:rPr>
                <w:sz w:val="20"/>
                <w:szCs w:val="20"/>
              </w:rPr>
              <w:noBreakHyphen/>
              <w:t xml:space="preserve">product emissions </w:t>
            </w:r>
            <w:r w:rsidRPr="003E38DE">
              <w:rPr>
                <w:caps/>
                <w:sz w:val="20"/>
                <w:szCs w:val="20"/>
              </w:rPr>
              <w:t>(</w:t>
            </w:r>
            <w:r w:rsidRPr="003E38DE">
              <w:rPr>
                <w:sz w:val="20"/>
                <w:szCs w:val="20"/>
              </w:rPr>
              <w:t>decision</w:t>
            </w:r>
            <w:r w:rsidR="00A37A0D">
              <w:rPr>
                <w:sz w:val="20"/>
                <w:szCs w:val="20"/>
              </w:rPr>
              <w:t> </w:t>
            </w:r>
            <w:r w:rsidRPr="003E38DE">
              <w:rPr>
                <w:sz w:val="20"/>
                <w:szCs w:val="20"/>
              </w:rPr>
              <w:t>81/68(e))</w:t>
            </w:r>
          </w:p>
        </w:tc>
      </w:tr>
      <w:tr w:rsidR="00A61DB3" w:rsidRPr="003E38DE" w14:paraId="13F98F29" w14:textId="77777777" w:rsidTr="00A61DB3">
        <w:trPr>
          <w:cantSplit/>
        </w:trPr>
        <w:tc>
          <w:tcPr>
            <w:tcW w:w="529" w:type="dxa"/>
            <w:tcBorders>
              <w:top w:val="single" w:sz="4" w:space="0" w:color="auto"/>
              <w:left w:val="single" w:sz="4" w:space="0" w:color="auto"/>
              <w:bottom w:val="single" w:sz="4" w:space="0" w:color="auto"/>
              <w:right w:val="single" w:sz="4" w:space="0" w:color="auto"/>
            </w:tcBorders>
            <w:tcMar>
              <w:right w:w="173" w:type="dxa"/>
            </w:tcMar>
          </w:tcPr>
          <w:p w14:paraId="34EC9521" w14:textId="77777777" w:rsidR="00A61DB3" w:rsidRPr="003E38DE" w:rsidRDefault="00A61DB3" w:rsidP="00A61DB3">
            <w:pPr>
              <w:widowControl w:val="0"/>
              <w:jc w:val="right"/>
              <w:rPr>
                <w:sz w:val="20"/>
                <w:szCs w:val="20"/>
              </w:rPr>
            </w:pPr>
            <w:r w:rsidRPr="003E38DE">
              <w:rPr>
                <w:sz w:val="20"/>
                <w:szCs w:val="20"/>
              </w:rPr>
              <w:t>25</w:t>
            </w:r>
          </w:p>
        </w:tc>
        <w:tc>
          <w:tcPr>
            <w:tcW w:w="2798" w:type="dxa"/>
            <w:tcBorders>
              <w:top w:val="single" w:sz="4" w:space="0" w:color="auto"/>
              <w:left w:val="single" w:sz="4" w:space="0" w:color="auto"/>
              <w:bottom w:val="single" w:sz="4" w:space="0" w:color="auto"/>
              <w:right w:val="single" w:sz="4" w:space="0" w:color="auto"/>
            </w:tcBorders>
          </w:tcPr>
          <w:p w14:paraId="7321DF56"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/82/69</w:t>
            </w:r>
          </w:p>
        </w:tc>
        <w:tc>
          <w:tcPr>
            <w:tcW w:w="6028" w:type="dxa"/>
            <w:tcBorders>
              <w:top w:val="single" w:sz="4" w:space="0" w:color="auto"/>
              <w:left w:val="single" w:sz="4" w:space="0" w:color="auto"/>
              <w:bottom w:val="single" w:sz="4" w:space="0" w:color="auto"/>
              <w:right w:val="single" w:sz="4" w:space="0" w:color="auto"/>
            </w:tcBorders>
            <w:vAlign w:val="bottom"/>
          </w:tcPr>
          <w:p w14:paraId="7581E9F7" w14:textId="77777777" w:rsidR="00A61DB3" w:rsidRPr="003E38DE" w:rsidRDefault="00A61DB3" w:rsidP="00A37A0D">
            <w:pPr>
              <w:widowControl w:val="0"/>
              <w:jc w:val="left"/>
              <w:rPr>
                <w:sz w:val="20"/>
                <w:szCs w:val="20"/>
              </w:rPr>
            </w:pPr>
            <w:r w:rsidRPr="003E38DE">
              <w:rPr>
                <w:sz w:val="20"/>
                <w:szCs w:val="20"/>
              </w:rPr>
              <w:t>Key aspects related to HFC-23 by-product control technologies: options related to the control of HFC-23 by-product emissions in Argentina (decision</w:t>
            </w:r>
            <w:r w:rsidR="00A37A0D">
              <w:rPr>
                <w:sz w:val="20"/>
                <w:szCs w:val="20"/>
              </w:rPr>
              <w:t> </w:t>
            </w:r>
            <w:r w:rsidRPr="003E38DE">
              <w:rPr>
                <w:sz w:val="20"/>
                <w:szCs w:val="20"/>
              </w:rPr>
              <w:t>81/68)</w:t>
            </w:r>
          </w:p>
        </w:tc>
      </w:tr>
      <w:tr w:rsidR="00A61DB3" w:rsidRPr="003E38DE" w14:paraId="7AAA4C15" w14:textId="77777777" w:rsidTr="00A61DB3">
        <w:trPr>
          <w:cantSplit/>
        </w:trPr>
        <w:tc>
          <w:tcPr>
            <w:tcW w:w="529" w:type="dxa"/>
            <w:tcMar>
              <w:right w:w="173" w:type="dxa"/>
            </w:tcMar>
          </w:tcPr>
          <w:p w14:paraId="67F5D70F" w14:textId="77777777" w:rsidR="00A61DB3" w:rsidRPr="003E38DE" w:rsidRDefault="00A61DB3" w:rsidP="00A61DB3">
            <w:pPr>
              <w:widowControl w:val="0"/>
              <w:jc w:val="right"/>
              <w:rPr>
                <w:sz w:val="20"/>
                <w:szCs w:val="20"/>
              </w:rPr>
            </w:pPr>
            <w:r w:rsidRPr="003E38DE">
              <w:rPr>
                <w:sz w:val="20"/>
                <w:szCs w:val="20"/>
              </w:rPr>
              <w:t>26</w:t>
            </w:r>
          </w:p>
        </w:tc>
        <w:tc>
          <w:tcPr>
            <w:tcW w:w="2798" w:type="dxa"/>
          </w:tcPr>
          <w:p w14:paraId="5D483902"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 xml:space="preserve">/82/70 </w:t>
            </w:r>
          </w:p>
        </w:tc>
        <w:tc>
          <w:tcPr>
            <w:tcW w:w="6028" w:type="dxa"/>
            <w:vAlign w:val="bottom"/>
          </w:tcPr>
          <w:p w14:paraId="36BFE468" w14:textId="77777777" w:rsidR="00A61DB3" w:rsidRPr="003E38DE" w:rsidRDefault="00A61DB3" w:rsidP="00A61DB3">
            <w:pPr>
              <w:widowControl w:val="0"/>
              <w:jc w:val="left"/>
              <w:rPr>
                <w:sz w:val="20"/>
                <w:szCs w:val="20"/>
              </w:rPr>
            </w:pPr>
            <w:r w:rsidRPr="003E38DE">
              <w:rPr>
                <w:sz w:val="20"/>
                <w:szCs w:val="20"/>
              </w:rPr>
              <w:t>Matters relevant to the Multilateral Fund arising from the 40</w:t>
            </w:r>
            <w:r w:rsidRPr="003E38DE">
              <w:rPr>
                <w:sz w:val="20"/>
                <w:szCs w:val="20"/>
                <w:vertAlign w:val="superscript"/>
              </w:rPr>
              <w:t>th</w:t>
            </w:r>
            <w:r w:rsidRPr="003E38DE">
              <w:rPr>
                <w:sz w:val="20"/>
                <w:szCs w:val="20"/>
              </w:rPr>
              <w:t xml:space="preserve"> Meeting of the Open-Ended Working Group </w:t>
            </w:r>
            <w:r w:rsidRPr="003E38DE">
              <w:rPr>
                <w:sz w:val="20"/>
                <w:szCs w:val="20"/>
                <w:lang w:val="en-US"/>
              </w:rPr>
              <w:t>and the Thirtieth Meeting of the Parties to the Montreal Protocol</w:t>
            </w:r>
          </w:p>
        </w:tc>
      </w:tr>
      <w:tr w:rsidR="00A61DB3" w:rsidRPr="003E38DE" w14:paraId="4D32D6F7" w14:textId="77777777" w:rsidTr="00A61DB3">
        <w:trPr>
          <w:cantSplit/>
        </w:trPr>
        <w:tc>
          <w:tcPr>
            <w:tcW w:w="529" w:type="dxa"/>
            <w:tcMar>
              <w:right w:w="173" w:type="dxa"/>
            </w:tcMar>
          </w:tcPr>
          <w:p w14:paraId="7235CDD1" w14:textId="77777777" w:rsidR="00A61DB3" w:rsidRPr="003E38DE" w:rsidRDefault="00A61DB3" w:rsidP="00A61DB3">
            <w:pPr>
              <w:widowControl w:val="0"/>
              <w:jc w:val="right"/>
              <w:rPr>
                <w:sz w:val="20"/>
                <w:szCs w:val="20"/>
              </w:rPr>
            </w:pPr>
            <w:r w:rsidRPr="003E38DE">
              <w:rPr>
                <w:sz w:val="20"/>
                <w:szCs w:val="20"/>
              </w:rPr>
              <w:t>27</w:t>
            </w:r>
          </w:p>
        </w:tc>
        <w:tc>
          <w:tcPr>
            <w:tcW w:w="2798" w:type="dxa"/>
          </w:tcPr>
          <w:p w14:paraId="1525C570"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/83/40</w:t>
            </w:r>
          </w:p>
        </w:tc>
        <w:tc>
          <w:tcPr>
            <w:tcW w:w="6028" w:type="dxa"/>
          </w:tcPr>
          <w:p w14:paraId="65140C90" w14:textId="77777777" w:rsidR="00A61DB3" w:rsidRPr="003E38DE" w:rsidRDefault="00A61DB3" w:rsidP="00A37A0D">
            <w:pPr>
              <w:widowControl w:val="0"/>
              <w:jc w:val="left"/>
              <w:rPr>
                <w:sz w:val="20"/>
                <w:szCs w:val="20"/>
              </w:rPr>
            </w:pPr>
            <w:r w:rsidRPr="003E38DE">
              <w:rPr>
                <w:sz w:val="20"/>
                <w:szCs w:val="20"/>
              </w:rPr>
              <w:t>Paper on ways to operationalize paragraph 16 of decision XXVIII/2 and paragraph</w:t>
            </w:r>
            <w:r w:rsidR="00A37A0D">
              <w:rPr>
                <w:sz w:val="20"/>
                <w:szCs w:val="20"/>
              </w:rPr>
              <w:t> </w:t>
            </w:r>
            <w:r w:rsidRPr="003E38DE">
              <w:rPr>
                <w:sz w:val="20"/>
                <w:szCs w:val="20"/>
              </w:rPr>
              <w:t>2 of decision XXX/5 of the Parties</w:t>
            </w:r>
          </w:p>
        </w:tc>
      </w:tr>
      <w:tr w:rsidR="00A61DB3" w:rsidRPr="003E38DE" w14:paraId="03F0E5A4" w14:textId="77777777" w:rsidTr="00A61DB3">
        <w:trPr>
          <w:cantSplit/>
        </w:trPr>
        <w:tc>
          <w:tcPr>
            <w:tcW w:w="529" w:type="dxa"/>
            <w:tcMar>
              <w:right w:w="173" w:type="dxa"/>
            </w:tcMar>
          </w:tcPr>
          <w:p w14:paraId="326D95BA" w14:textId="77777777" w:rsidR="00A61DB3" w:rsidRPr="003E38DE" w:rsidRDefault="00A61DB3" w:rsidP="00A61DB3">
            <w:pPr>
              <w:widowControl w:val="0"/>
              <w:jc w:val="right"/>
              <w:rPr>
                <w:sz w:val="20"/>
                <w:szCs w:val="20"/>
              </w:rPr>
            </w:pPr>
            <w:r w:rsidRPr="003E38DE">
              <w:rPr>
                <w:sz w:val="20"/>
                <w:szCs w:val="20"/>
              </w:rPr>
              <w:t>28</w:t>
            </w:r>
          </w:p>
        </w:tc>
        <w:tc>
          <w:tcPr>
            <w:tcW w:w="2798" w:type="dxa"/>
          </w:tcPr>
          <w:p w14:paraId="3115CBCD"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/83/41</w:t>
            </w:r>
          </w:p>
        </w:tc>
        <w:tc>
          <w:tcPr>
            <w:tcW w:w="6028" w:type="dxa"/>
          </w:tcPr>
          <w:p w14:paraId="2C383909" w14:textId="77777777" w:rsidR="00A61DB3" w:rsidRPr="003E38DE" w:rsidRDefault="00A61DB3" w:rsidP="00A61DB3">
            <w:pPr>
              <w:widowControl w:val="0"/>
              <w:jc w:val="left"/>
              <w:rPr>
                <w:sz w:val="20"/>
                <w:szCs w:val="20"/>
              </w:rPr>
            </w:pPr>
            <w:r w:rsidRPr="003E38DE">
              <w:rPr>
                <w:sz w:val="20"/>
                <w:szCs w:val="20"/>
              </w:rPr>
              <w:t>Paper on information on relevant funds and financial institutions mobilizing resources for energy efficiency that may be utilized when phasing down HFCs</w:t>
            </w:r>
          </w:p>
        </w:tc>
      </w:tr>
      <w:tr w:rsidR="00A61DB3" w:rsidRPr="003E38DE" w14:paraId="1C294E62" w14:textId="77777777" w:rsidTr="00A61DB3">
        <w:trPr>
          <w:cantSplit/>
        </w:trPr>
        <w:tc>
          <w:tcPr>
            <w:tcW w:w="529" w:type="dxa"/>
            <w:tcMar>
              <w:right w:w="173" w:type="dxa"/>
            </w:tcMar>
          </w:tcPr>
          <w:p w14:paraId="4BA6701C" w14:textId="77777777" w:rsidR="00A61DB3" w:rsidRPr="003E38DE" w:rsidRDefault="00A61DB3" w:rsidP="00A61DB3">
            <w:pPr>
              <w:widowControl w:val="0"/>
              <w:jc w:val="right"/>
              <w:rPr>
                <w:sz w:val="20"/>
                <w:szCs w:val="20"/>
              </w:rPr>
            </w:pPr>
            <w:r w:rsidRPr="003E38DE">
              <w:rPr>
                <w:sz w:val="20"/>
                <w:szCs w:val="20"/>
              </w:rPr>
              <w:t>29</w:t>
            </w:r>
          </w:p>
        </w:tc>
        <w:tc>
          <w:tcPr>
            <w:tcW w:w="2798" w:type="dxa"/>
          </w:tcPr>
          <w:p w14:paraId="4B27D077"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/83/42</w:t>
            </w:r>
          </w:p>
        </w:tc>
        <w:tc>
          <w:tcPr>
            <w:tcW w:w="6028" w:type="dxa"/>
          </w:tcPr>
          <w:p w14:paraId="51754D74" w14:textId="77777777" w:rsidR="00A61DB3" w:rsidRPr="003E38DE" w:rsidRDefault="00A61DB3" w:rsidP="00A61DB3">
            <w:pPr>
              <w:widowControl w:val="0"/>
              <w:jc w:val="left"/>
              <w:rPr>
                <w:sz w:val="20"/>
                <w:szCs w:val="20"/>
              </w:rPr>
            </w:pPr>
            <w:r w:rsidRPr="003E38DE">
              <w:rPr>
                <w:sz w:val="20"/>
                <w:szCs w:val="20"/>
              </w:rPr>
              <w:t>Summary of the report by the Technology and Economic Assessment Panel on matters related to energy efficiency with regard to the issues identified in decision 82/83(e)</w:t>
            </w:r>
          </w:p>
        </w:tc>
      </w:tr>
      <w:tr w:rsidR="00A61DB3" w:rsidRPr="003E38DE" w14:paraId="1E26BEB5" w14:textId="77777777" w:rsidTr="00A61DB3">
        <w:trPr>
          <w:cantSplit/>
        </w:trPr>
        <w:tc>
          <w:tcPr>
            <w:tcW w:w="529" w:type="dxa"/>
            <w:tcMar>
              <w:right w:w="173" w:type="dxa"/>
            </w:tcMar>
          </w:tcPr>
          <w:p w14:paraId="77B0C703" w14:textId="77777777" w:rsidR="00A61DB3" w:rsidRPr="003E38DE" w:rsidRDefault="00A61DB3" w:rsidP="00A61DB3">
            <w:pPr>
              <w:widowControl w:val="0"/>
              <w:jc w:val="right"/>
              <w:rPr>
                <w:sz w:val="20"/>
                <w:szCs w:val="20"/>
              </w:rPr>
            </w:pPr>
            <w:r w:rsidRPr="003E38DE">
              <w:rPr>
                <w:sz w:val="20"/>
                <w:szCs w:val="20"/>
              </w:rPr>
              <w:t>30</w:t>
            </w:r>
          </w:p>
        </w:tc>
        <w:tc>
          <w:tcPr>
            <w:tcW w:w="2798" w:type="dxa"/>
          </w:tcPr>
          <w:p w14:paraId="53CFADE2"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/83/43</w:t>
            </w:r>
          </w:p>
        </w:tc>
        <w:tc>
          <w:tcPr>
            <w:tcW w:w="6028" w:type="dxa"/>
          </w:tcPr>
          <w:p w14:paraId="614E913D"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w:t>
            </w:r>
          </w:p>
        </w:tc>
      </w:tr>
      <w:tr w:rsidR="00A61DB3" w:rsidRPr="003E38DE" w14:paraId="7BF02BD1" w14:textId="77777777" w:rsidTr="00A61DB3">
        <w:trPr>
          <w:cantSplit/>
        </w:trPr>
        <w:tc>
          <w:tcPr>
            <w:tcW w:w="529" w:type="dxa"/>
            <w:tcMar>
              <w:right w:w="173" w:type="dxa"/>
            </w:tcMar>
          </w:tcPr>
          <w:p w14:paraId="4F6EEEA9" w14:textId="77777777" w:rsidR="00A61DB3" w:rsidRPr="003E38DE" w:rsidRDefault="00A61DB3" w:rsidP="00A61DB3">
            <w:pPr>
              <w:widowControl w:val="0"/>
              <w:jc w:val="right"/>
              <w:rPr>
                <w:sz w:val="20"/>
                <w:szCs w:val="20"/>
              </w:rPr>
            </w:pPr>
            <w:r w:rsidRPr="003E38DE">
              <w:rPr>
                <w:sz w:val="20"/>
                <w:szCs w:val="20"/>
              </w:rPr>
              <w:t>31</w:t>
            </w:r>
          </w:p>
        </w:tc>
        <w:tc>
          <w:tcPr>
            <w:tcW w:w="2798" w:type="dxa"/>
          </w:tcPr>
          <w:p w14:paraId="6DC6991E"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 xml:space="preserve">/83/44 </w:t>
            </w:r>
          </w:p>
        </w:tc>
        <w:tc>
          <w:tcPr>
            <w:tcW w:w="6028" w:type="dxa"/>
          </w:tcPr>
          <w:p w14:paraId="76ECF7ED" w14:textId="77777777" w:rsidR="00A61DB3" w:rsidRPr="003E38DE" w:rsidRDefault="00A61DB3" w:rsidP="00A61DB3">
            <w:pPr>
              <w:widowControl w:val="0"/>
              <w:jc w:val="left"/>
              <w:rPr>
                <w:sz w:val="20"/>
                <w:szCs w:val="20"/>
              </w:rPr>
            </w:pPr>
            <w:r w:rsidRPr="003E38DE">
              <w:rPr>
                <w:sz w:val="20"/>
                <w:szCs w:val="20"/>
              </w:rPr>
              <w:t>Key aspects related to HFC-23 by-product control technologies Argentina project options</w:t>
            </w:r>
          </w:p>
        </w:tc>
      </w:tr>
      <w:tr w:rsidR="00A61DB3" w:rsidRPr="003E38DE" w14:paraId="7747F5B6" w14:textId="77777777" w:rsidTr="00A61DB3">
        <w:trPr>
          <w:cantSplit/>
        </w:trPr>
        <w:tc>
          <w:tcPr>
            <w:tcW w:w="529" w:type="dxa"/>
            <w:tcMar>
              <w:right w:w="173" w:type="dxa"/>
            </w:tcMar>
          </w:tcPr>
          <w:p w14:paraId="47CDE058" w14:textId="77777777" w:rsidR="00A61DB3" w:rsidRPr="003E38DE" w:rsidRDefault="00A61DB3" w:rsidP="00A61DB3">
            <w:pPr>
              <w:widowControl w:val="0"/>
              <w:jc w:val="right"/>
              <w:rPr>
                <w:sz w:val="20"/>
                <w:szCs w:val="20"/>
              </w:rPr>
            </w:pPr>
            <w:r w:rsidRPr="003E38DE">
              <w:rPr>
                <w:sz w:val="20"/>
                <w:szCs w:val="20"/>
              </w:rPr>
              <w:t>32</w:t>
            </w:r>
          </w:p>
        </w:tc>
        <w:tc>
          <w:tcPr>
            <w:tcW w:w="2798" w:type="dxa"/>
          </w:tcPr>
          <w:p w14:paraId="40246DB4"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/84/65</w:t>
            </w:r>
          </w:p>
        </w:tc>
        <w:tc>
          <w:tcPr>
            <w:tcW w:w="6028" w:type="dxa"/>
          </w:tcPr>
          <w:p w14:paraId="50917525" w14:textId="77777777" w:rsidR="00A61DB3" w:rsidRPr="003E38DE" w:rsidRDefault="00A61DB3" w:rsidP="00A61DB3">
            <w:pPr>
              <w:widowControl w:val="0"/>
              <w:jc w:val="left"/>
              <w:rPr>
                <w:sz w:val="20"/>
                <w:szCs w:val="20"/>
              </w:rPr>
            </w:pPr>
            <w:r w:rsidRPr="003E38DE">
              <w:rPr>
                <w:sz w:val="20"/>
                <w:szCs w:val="20"/>
              </w:rPr>
              <w:t>Analysis of the implications of parallel or integrated implementation of HCFC phase-out and HFC phase-down activities</w:t>
            </w:r>
          </w:p>
        </w:tc>
      </w:tr>
      <w:tr w:rsidR="00A61DB3" w:rsidRPr="003E38DE" w14:paraId="721B957D" w14:textId="77777777" w:rsidTr="00A61DB3">
        <w:trPr>
          <w:cantSplit/>
        </w:trPr>
        <w:tc>
          <w:tcPr>
            <w:tcW w:w="529" w:type="dxa"/>
            <w:tcMar>
              <w:right w:w="173" w:type="dxa"/>
            </w:tcMar>
          </w:tcPr>
          <w:p w14:paraId="1EAA4F30" w14:textId="77777777" w:rsidR="00A61DB3" w:rsidRPr="003E38DE" w:rsidRDefault="00A61DB3" w:rsidP="00A61DB3">
            <w:pPr>
              <w:widowControl w:val="0"/>
              <w:jc w:val="right"/>
              <w:rPr>
                <w:sz w:val="20"/>
                <w:szCs w:val="20"/>
              </w:rPr>
            </w:pPr>
            <w:r w:rsidRPr="003E38DE">
              <w:rPr>
                <w:sz w:val="20"/>
                <w:szCs w:val="20"/>
              </w:rPr>
              <w:t>33</w:t>
            </w:r>
          </w:p>
        </w:tc>
        <w:tc>
          <w:tcPr>
            <w:tcW w:w="2798" w:type="dxa"/>
          </w:tcPr>
          <w:p w14:paraId="06ACB8E3"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/84/66</w:t>
            </w:r>
          </w:p>
        </w:tc>
        <w:tc>
          <w:tcPr>
            <w:tcW w:w="6028" w:type="dxa"/>
          </w:tcPr>
          <w:p w14:paraId="2B3D84C7" w14:textId="77777777" w:rsidR="00A61DB3" w:rsidRPr="003E38DE" w:rsidRDefault="00A61DB3" w:rsidP="00A37A0D">
            <w:pPr>
              <w:widowControl w:val="0"/>
              <w:jc w:val="left"/>
              <w:rPr>
                <w:sz w:val="20"/>
                <w:szCs w:val="20"/>
              </w:rPr>
            </w:pPr>
            <w:r w:rsidRPr="003E38DE">
              <w:rPr>
                <w:sz w:val="20"/>
                <w:szCs w:val="20"/>
              </w:rPr>
              <w:t>Development of the cost guidelines for the phase-down of HFCs in Article</w:t>
            </w:r>
            <w:r w:rsidR="00A37A0D">
              <w:rPr>
                <w:sz w:val="20"/>
                <w:szCs w:val="20"/>
              </w:rPr>
              <w:t> </w:t>
            </w:r>
            <w:r w:rsidRPr="003E38DE">
              <w:rPr>
                <w:sz w:val="20"/>
                <w:szCs w:val="20"/>
              </w:rPr>
              <w:t>5 countries: Draft criteria for funding</w:t>
            </w:r>
          </w:p>
        </w:tc>
      </w:tr>
      <w:tr w:rsidR="00A61DB3" w:rsidRPr="003E38DE" w14:paraId="7E58420E" w14:textId="77777777" w:rsidTr="00A61DB3">
        <w:trPr>
          <w:cantSplit/>
        </w:trPr>
        <w:tc>
          <w:tcPr>
            <w:tcW w:w="529" w:type="dxa"/>
            <w:tcMar>
              <w:right w:w="173" w:type="dxa"/>
            </w:tcMar>
          </w:tcPr>
          <w:p w14:paraId="2742DC64" w14:textId="77777777" w:rsidR="00A61DB3" w:rsidRPr="003E38DE" w:rsidRDefault="00A61DB3" w:rsidP="00A61DB3">
            <w:pPr>
              <w:widowControl w:val="0"/>
              <w:jc w:val="right"/>
              <w:rPr>
                <w:sz w:val="20"/>
                <w:szCs w:val="20"/>
              </w:rPr>
            </w:pPr>
            <w:r w:rsidRPr="003E38DE">
              <w:rPr>
                <w:sz w:val="20"/>
                <w:szCs w:val="20"/>
              </w:rPr>
              <w:t>34</w:t>
            </w:r>
          </w:p>
        </w:tc>
        <w:tc>
          <w:tcPr>
            <w:tcW w:w="2798" w:type="dxa"/>
          </w:tcPr>
          <w:p w14:paraId="4B0DA518"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/84/67</w:t>
            </w:r>
          </w:p>
        </w:tc>
        <w:tc>
          <w:tcPr>
            <w:tcW w:w="6028" w:type="dxa"/>
          </w:tcPr>
          <w:p w14:paraId="65836F78" w14:textId="77777777" w:rsidR="00A61DB3" w:rsidRPr="003E38DE" w:rsidRDefault="00A61DB3" w:rsidP="00A37A0D">
            <w:pPr>
              <w:widowControl w:val="0"/>
              <w:jc w:val="left"/>
              <w:rPr>
                <w:sz w:val="20"/>
                <w:szCs w:val="20"/>
              </w:rPr>
            </w:pPr>
            <w:r w:rsidRPr="003E38DE">
              <w:rPr>
                <w:sz w:val="20"/>
                <w:szCs w:val="20"/>
              </w:rPr>
              <w:t>Paper on ways to operationalize paragraph 16 of decision XXVIII/2 and paragraph</w:t>
            </w:r>
            <w:r w:rsidR="00A37A0D">
              <w:rPr>
                <w:sz w:val="20"/>
                <w:szCs w:val="20"/>
              </w:rPr>
              <w:t> </w:t>
            </w:r>
            <w:r w:rsidRPr="003E38DE">
              <w:rPr>
                <w:sz w:val="20"/>
                <w:szCs w:val="20"/>
              </w:rPr>
              <w:t>2 of decision XXX/5 of the Parties</w:t>
            </w:r>
          </w:p>
        </w:tc>
      </w:tr>
      <w:tr w:rsidR="00A61DB3" w:rsidRPr="003E38DE" w14:paraId="46D1B284" w14:textId="77777777" w:rsidTr="00A61DB3">
        <w:trPr>
          <w:cantSplit/>
        </w:trPr>
        <w:tc>
          <w:tcPr>
            <w:tcW w:w="529" w:type="dxa"/>
            <w:tcMar>
              <w:right w:w="173" w:type="dxa"/>
            </w:tcMar>
          </w:tcPr>
          <w:p w14:paraId="1AEB0FC5" w14:textId="77777777" w:rsidR="00A61DB3" w:rsidRPr="003E38DE" w:rsidRDefault="00A61DB3" w:rsidP="00A61DB3">
            <w:pPr>
              <w:widowControl w:val="0"/>
              <w:jc w:val="right"/>
              <w:rPr>
                <w:sz w:val="20"/>
                <w:szCs w:val="20"/>
              </w:rPr>
            </w:pPr>
            <w:r w:rsidRPr="003E38DE">
              <w:rPr>
                <w:sz w:val="20"/>
                <w:szCs w:val="20"/>
              </w:rPr>
              <w:t>35</w:t>
            </w:r>
          </w:p>
        </w:tc>
        <w:tc>
          <w:tcPr>
            <w:tcW w:w="2798" w:type="dxa"/>
          </w:tcPr>
          <w:p w14:paraId="46C8B5A2"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/84/68</w:t>
            </w:r>
          </w:p>
        </w:tc>
        <w:tc>
          <w:tcPr>
            <w:tcW w:w="6028" w:type="dxa"/>
          </w:tcPr>
          <w:p w14:paraId="1CECE31E" w14:textId="77777777" w:rsidR="00A61DB3" w:rsidRPr="003E38DE" w:rsidRDefault="00A61DB3" w:rsidP="00A61DB3">
            <w:pPr>
              <w:widowControl w:val="0"/>
              <w:jc w:val="left"/>
              <w:rPr>
                <w:sz w:val="20"/>
                <w:szCs w:val="20"/>
              </w:rPr>
            </w:pPr>
            <w:r w:rsidRPr="003E38DE">
              <w:rPr>
                <w:sz w:val="20"/>
                <w:szCs w:val="20"/>
              </w:rPr>
              <w:t>Paper on information on relevant funds and financial institutions mobilizing resources for energy efficiency that may be utilized when phasing down HFCs</w:t>
            </w:r>
          </w:p>
        </w:tc>
      </w:tr>
      <w:tr w:rsidR="00A61DB3" w:rsidRPr="003E38DE" w14:paraId="514EB8F6" w14:textId="77777777" w:rsidTr="00A61DB3">
        <w:trPr>
          <w:cantSplit/>
        </w:trPr>
        <w:tc>
          <w:tcPr>
            <w:tcW w:w="529" w:type="dxa"/>
            <w:tcMar>
              <w:right w:w="173" w:type="dxa"/>
            </w:tcMar>
          </w:tcPr>
          <w:p w14:paraId="75BA49C4" w14:textId="77777777" w:rsidR="00A61DB3" w:rsidRPr="003E38DE" w:rsidRDefault="00A61DB3" w:rsidP="00A61DB3">
            <w:pPr>
              <w:widowControl w:val="0"/>
              <w:jc w:val="right"/>
              <w:rPr>
                <w:sz w:val="20"/>
                <w:szCs w:val="20"/>
              </w:rPr>
            </w:pPr>
            <w:r w:rsidRPr="003E38DE">
              <w:rPr>
                <w:sz w:val="20"/>
                <w:szCs w:val="20"/>
              </w:rPr>
              <w:t>36</w:t>
            </w:r>
          </w:p>
        </w:tc>
        <w:tc>
          <w:tcPr>
            <w:tcW w:w="2798" w:type="dxa"/>
          </w:tcPr>
          <w:p w14:paraId="06ACDFEA"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/84/69</w:t>
            </w:r>
          </w:p>
        </w:tc>
        <w:tc>
          <w:tcPr>
            <w:tcW w:w="6028" w:type="dxa"/>
          </w:tcPr>
          <w:p w14:paraId="3116C34A" w14:textId="77777777" w:rsidR="00A61DB3" w:rsidRPr="003E38DE" w:rsidRDefault="00A61DB3" w:rsidP="00A61DB3">
            <w:pPr>
              <w:widowControl w:val="0"/>
              <w:jc w:val="left"/>
              <w:rPr>
                <w:sz w:val="20"/>
                <w:szCs w:val="20"/>
              </w:rPr>
            </w:pPr>
            <w:r w:rsidRPr="003E38DE">
              <w:rPr>
                <w:sz w:val="20"/>
                <w:szCs w:val="20"/>
              </w:rPr>
              <w:t>Summary of the report by the Technology and Economic Assessment Panel on matters related to energy efficiency with regard to the issues identified in decision 82/83(e)</w:t>
            </w:r>
          </w:p>
        </w:tc>
      </w:tr>
      <w:tr w:rsidR="00A61DB3" w:rsidRPr="003E38DE" w14:paraId="45DB100A" w14:textId="77777777" w:rsidTr="00A61DB3">
        <w:trPr>
          <w:cantSplit/>
        </w:trPr>
        <w:tc>
          <w:tcPr>
            <w:tcW w:w="529" w:type="dxa"/>
            <w:tcMar>
              <w:right w:w="173" w:type="dxa"/>
            </w:tcMar>
          </w:tcPr>
          <w:p w14:paraId="541A8F5B" w14:textId="77777777" w:rsidR="00A61DB3" w:rsidRPr="003E38DE" w:rsidRDefault="00A61DB3" w:rsidP="00A61DB3">
            <w:pPr>
              <w:widowControl w:val="0"/>
              <w:jc w:val="right"/>
              <w:rPr>
                <w:sz w:val="20"/>
                <w:szCs w:val="20"/>
              </w:rPr>
            </w:pPr>
            <w:r w:rsidRPr="003E38DE">
              <w:rPr>
                <w:sz w:val="20"/>
                <w:szCs w:val="20"/>
              </w:rPr>
              <w:t>37</w:t>
            </w:r>
          </w:p>
        </w:tc>
        <w:tc>
          <w:tcPr>
            <w:tcW w:w="2798" w:type="dxa"/>
          </w:tcPr>
          <w:p w14:paraId="19FA75AB"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/84/70</w:t>
            </w:r>
          </w:p>
        </w:tc>
        <w:tc>
          <w:tcPr>
            <w:tcW w:w="6028" w:type="dxa"/>
          </w:tcPr>
          <w:p w14:paraId="3880F245" w14:textId="77777777" w:rsidR="00A61DB3" w:rsidRPr="003E38DE" w:rsidRDefault="00A61DB3" w:rsidP="00A61DB3">
            <w:pPr>
              <w:widowControl w:val="0"/>
              <w:jc w:val="left"/>
              <w:rPr>
                <w:sz w:val="20"/>
                <w:szCs w:val="20"/>
              </w:rPr>
            </w:pPr>
            <w:r w:rsidRPr="003E38DE">
              <w:rPr>
                <w:sz w:val="20"/>
                <w:szCs w:val="20"/>
              </w:rPr>
              <w:t xml:space="preserve">Key aspects related to HFC-23 by-product control technologies </w:t>
            </w:r>
          </w:p>
        </w:tc>
      </w:tr>
      <w:tr w:rsidR="00A61DB3" w:rsidRPr="003E38DE" w14:paraId="1FEEAF6D" w14:textId="77777777" w:rsidTr="00A61DB3">
        <w:trPr>
          <w:cantSplit/>
        </w:trPr>
        <w:tc>
          <w:tcPr>
            <w:tcW w:w="529" w:type="dxa"/>
            <w:tcMar>
              <w:right w:w="173" w:type="dxa"/>
            </w:tcMar>
          </w:tcPr>
          <w:p w14:paraId="00033AB6" w14:textId="77777777" w:rsidR="00A61DB3" w:rsidRPr="003E38DE" w:rsidRDefault="00A61DB3" w:rsidP="00A61DB3">
            <w:pPr>
              <w:widowControl w:val="0"/>
              <w:jc w:val="right"/>
              <w:rPr>
                <w:sz w:val="20"/>
                <w:szCs w:val="20"/>
              </w:rPr>
            </w:pPr>
            <w:r w:rsidRPr="003E38DE">
              <w:rPr>
                <w:sz w:val="20"/>
                <w:szCs w:val="20"/>
              </w:rPr>
              <w:t>38</w:t>
            </w:r>
          </w:p>
        </w:tc>
        <w:tc>
          <w:tcPr>
            <w:tcW w:w="2798" w:type="dxa"/>
          </w:tcPr>
          <w:p w14:paraId="16EFFAE3"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/84/71</w:t>
            </w:r>
          </w:p>
        </w:tc>
        <w:tc>
          <w:tcPr>
            <w:tcW w:w="6028" w:type="dxa"/>
          </w:tcPr>
          <w:p w14:paraId="0F7894BC" w14:textId="77777777" w:rsidR="00A61DB3" w:rsidRPr="003E38DE" w:rsidRDefault="00A61DB3" w:rsidP="00A61DB3">
            <w:pPr>
              <w:widowControl w:val="0"/>
              <w:jc w:val="left"/>
              <w:rPr>
                <w:sz w:val="20"/>
                <w:szCs w:val="20"/>
              </w:rPr>
            </w:pPr>
            <w:r w:rsidRPr="003E38DE">
              <w:rPr>
                <w:sz w:val="20"/>
                <w:szCs w:val="20"/>
              </w:rPr>
              <w:t xml:space="preserve">Key aspects related to HFC-23 by-product control technologies: Argentina </w:t>
            </w:r>
          </w:p>
        </w:tc>
      </w:tr>
      <w:tr w:rsidR="00A61DB3" w:rsidRPr="003E38DE" w14:paraId="287F7F3A" w14:textId="77777777" w:rsidTr="00A61DB3">
        <w:trPr>
          <w:cantSplit/>
        </w:trPr>
        <w:tc>
          <w:tcPr>
            <w:tcW w:w="529" w:type="dxa"/>
            <w:tcMar>
              <w:right w:w="173" w:type="dxa"/>
            </w:tcMar>
          </w:tcPr>
          <w:p w14:paraId="22CCB07E" w14:textId="77777777" w:rsidR="00A61DB3" w:rsidRPr="003E38DE" w:rsidRDefault="00A61DB3" w:rsidP="00A61DB3">
            <w:pPr>
              <w:widowControl w:val="0"/>
              <w:jc w:val="right"/>
              <w:rPr>
                <w:sz w:val="20"/>
                <w:szCs w:val="20"/>
              </w:rPr>
            </w:pPr>
            <w:r w:rsidRPr="003E38DE">
              <w:rPr>
                <w:sz w:val="20"/>
                <w:szCs w:val="20"/>
              </w:rPr>
              <w:t>39</w:t>
            </w:r>
          </w:p>
        </w:tc>
        <w:tc>
          <w:tcPr>
            <w:tcW w:w="2798" w:type="dxa"/>
          </w:tcPr>
          <w:p w14:paraId="219BA356"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/84/72</w:t>
            </w:r>
          </w:p>
        </w:tc>
        <w:tc>
          <w:tcPr>
            <w:tcW w:w="6028" w:type="dxa"/>
          </w:tcPr>
          <w:p w14:paraId="6AD5D5FF" w14:textId="77777777" w:rsidR="00A61DB3" w:rsidRPr="003E38DE" w:rsidRDefault="00A61DB3" w:rsidP="00A61DB3">
            <w:pPr>
              <w:widowControl w:val="0"/>
              <w:jc w:val="left"/>
              <w:rPr>
                <w:sz w:val="20"/>
                <w:szCs w:val="20"/>
              </w:rPr>
            </w:pPr>
            <w:r w:rsidRPr="003E38DE">
              <w:rPr>
                <w:sz w:val="20"/>
                <w:szCs w:val="20"/>
              </w:rPr>
              <w:t>Key aspects related to HFC-23 by-product control technologies: Mexico</w:t>
            </w:r>
          </w:p>
        </w:tc>
      </w:tr>
      <w:tr w:rsidR="00A61DB3" w:rsidRPr="003E38DE" w14:paraId="5884E1D0" w14:textId="77777777" w:rsidTr="00A61DB3">
        <w:trPr>
          <w:cantSplit/>
        </w:trPr>
        <w:tc>
          <w:tcPr>
            <w:tcW w:w="529" w:type="dxa"/>
            <w:tcMar>
              <w:right w:w="173" w:type="dxa"/>
            </w:tcMar>
          </w:tcPr>
          <w:p w14:paraId="3E409F60" w14:textId="77777777" w:rsidR="00A61DB3" w:rsidRPr="003E38DE" w:rsidRDefault="00A61DB3" w:rsidP="00A61DB3">
            <w:pPr>
              <w:widowControl w:val="0"/>
              <w:jc w:val="right"/>
              <w:rPr>
                <w:sz w:val="20"/>
                <w:szCs w:val="20"/>
              </w:rPr>
            </w:pPr>
            <w:r w:rsidRPr="003E38DE">
              <w:rPr>
                <w:sz w:val="20"/>
                <w:szCs w:val="20"/>
              </w:rPr>
              <w:t>40</w:t>
            </w:r>
          </w:p>
        </w:tc>
        <w:tc>
          <w:tcPr>
            <w:tcW w:w="2798" w:type="dxa"/>
          </w:tcPr>
          <w:p w14:paraId="502EEE68"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/85/63</w:t>
            </w:r>
          </w:p>
        </w:tc>
        <w:tc>
          <w:tcPr>
            <w:tcW w:w="6028" w:type="dxa"/>
          </w:tcPr>
          <w:p w14:paraId="337CDF07" w14:textId="77777777" w:rsidR="00A61DB3" w:rsidRPr="003E38DE" w:rsidRDefault="00A61DB3" w:rsidP="00A37A0D">
            <w:pPr>
              <w:widowControl w:val="0"/>
              <w:jc w:val="left"/>
              <w:rPr>
                <w:sz w:val="20"/>
                <w:szCs w:val="20"/>
              </w:rPr>
            </w:pPr>
            <w:r w:rsidRPr="003E38DE">
              <w:rPr>
                <w:sz w:val="20"/>
                <w:szCs w:val="20"/>
              </w:rPr>
              <w:t>Key aspects related to HFC-23 by-product control technologies (decisions</w:t>
            </w:r>
            <w:r w:rsidR="00A37A0D">
              <w:rPr>
                <w:sz w:val="20"/>
                <w:szCs w:val="20"/>
              </w:rPr>
              <w:t> </w:t>
            </w:r>
            <w:r w:rsidRPr="003E38DE">
              <w:rPr>
                <w:sz w:val="20"/>
                <w:szCs w:val="20"/>
              </w:rPr>
              <w:t>84/90 and 84/91)</w:t>
            </w:r>
          </w:p>
        </w:tc>
      </w:tr>
      <w:tr w:rsidR="00A61DB3" w:rsidRPr="003E38DE" w14:paraId="4E884D83" w14:textId="77777777" w:rsidTr="00A61DB3">
        <w:trPr>
          <w:cantSplit/>
        </w:trPr>
        <w:tc>
          <w:tcPr>
            <w:tcW w:w="529" w:type="dxa"/>
            <w:tcMar>
              <w:right w:w="173" w:type="dxa"/>
            </w:tcMar>
          </w:tcPr>
          <w:p w14:paraId="7CD7D355" w14:textId="77777777" w:rsidR="00A61DB3" w:rsidRPr="003E38DE" w:rsidRDefault="00A61DB3" w:rsidP="00A61DB3">
            <w:pPr>
              <w:widowControl w:val="0"/>
              <w:jc w:val="right"/>
              <w:rPr>
                <w:sz w:val="20"/>
                <w:szCs w:val="20"/>
              </w:rPr>
            </w:pPr>
            <w:r w:rsidRPr="003E38DE">
              <w:rPr>
                <w:sz w:val="20"/>
                <w:szCs w:val="20"/>
              </w:rPr>
              <w:t>41</w:t>
            </w:r>
          </w:p>
        </w:tc>
        <w:tc>
          <w:tcPr>
            <w:tcW w:w="2798" w:type="dxa"/>
          </w:tcPr>
          <w:p w14:paraId="7ED35DDC"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/85/64</w:t>
            </w:r>
          </w:p>
        </w:tc>
        <w:tc>
          <w:tcPr>
            <w:tcW w:w="6028" w:type="dxa"/>
          </w:tcPr>
          <w:p w14:paraId="0DC4B60A" w14:textId="77777777" w:rsidR="00A61DB3" w:rsidRPr="003E38DE" w:rsidRDefault="00A61DB3" w:rsidP="00A61DB3">
            <w:pPr>
              <w:widowControl w:val="0"/>
              <w:jc w:val="left"/>
              <w:rPr>
                <w:sz w:val="20"/>
                <w:szCs w:val="20"/>
              </w:rPr>
            </w:pPr>
            <w:r w:rsidRPr="003E38DE">
              <w:rPr>
                <w:sz w:val="20"/>
                <w:szCs w:val="20"/>
              </w:rPr>
              <w:t xml:space="preserve">Key aspects related to HFC-23 by-product control technologies: Argentina </w:t>
            </w:r>
          </w:p>
        </w:tc>
      </w:tr>
      <w:tr w:rsidR="00A61DB3" w:rsidRPr="003E38DE" w14:paraId="299868D9" w14:textId="77777777" w:rsidTr="00A61DB3">
        <w:trPr>
          <w:cantSplit/>
        </w:trPr>
        <w:tc>
          <w:tcPr>
            <w:tcW w:w="529" w:type="dxa"/>
            <w:tcMar>
              <w:right w:w="173" w:type="dxa"/>
            </w:tcMar>
          </w:tcPr>
          <w:p w14:paraId="5E12770D" w14:textId="77777777" w:rsidR="00A61DB3" w:rsidRPr="003E38DE" w:rsidRDefault="00A61DB3" w:rsidP="00A61DB3">
            <w:pPr>
              <w:widowControl w:val="0"/>
              <w:jc w:val="right"/>
              <w:rPr>
                <w:sz w:val="20"/>
                <w:szCs w:val="20"/>
              </w:rPr>
            </w:pPr>
            <w:r w:rsidRPr="003E38DE">
              <w:rPr>
                <w:sz w:val="20"/>
                <w:szCs w:val="20"/>
              </w:rPr>
              <w:t>42</w:t>
            </w:r>
          </w:p>
        </w:tc>
        <w:tc>
          <w:tcPr>
            <w:tcW w:w="2798" w:type="dxa"/>
          </w:tcPr>
          <w:p w14:paraId="056E0D1C" w14:textId="77777777" w:rsidR="00A61DB3" w:rsidRPr="003E38DE" w:rsidRDefault="00A61DB3" w:rsidP="00A61DB3">
            <w:pPr>
              <w:widowControl w:val="0"/>
              <w:jc w:val="left"/>
              <w:rPr>
                <w:sz w:val="20"/>
                <w:szCs w:val="20"/>
              </w:rPr>
            </w:pPr>
            <w:proofErr w:type="spellStart"/>
            <w:r w:rsidRPr="003E38DE">
              <w:rPr>
                <w:sz w:val="20"/>
                <w:szCs w:val="20"/>
              </w:rPr>
              <w:t>ExCom</w:t>
            </w:r>
            <w:proofErr w:type="spellEnd"/>
            <w:r w:rsidRPr="003E38DE">
              <w:rPr>
                <w:sz w:val="20"/>
                <w:szCs w:val="20"/>
              </w:rPr>
              <w:t>/85/65</w:t>
            </w:r>
          </w:p>
        </w:tc>
        <w:tc>
          <w:tcPr>
            <w:tcW w:w="6028" w:type="dxa"/>
          </w:tcPr>
          <w:p w14:paraId="69F9A769" w14:textId="77777777" w:rsidR="00A61DB3" w:rsidRPr="003E38DE" w:rsidRDefault="00A61DB3" w:rsidP="00A61DB3">
            <w:pPr>
              <w:widowControl w:val="0"/>
              <w:jc w:val="left"/>
              <w:rPr>
                <w:sz w:val="20"/>
                <w:szCs w:val="20"/>
              </w:rPr>
            </w:pPr>
            <w:r w:rsidRPr="003E38DE">
              <w:rPr>
                <w:sz w:val="20"/>
                <w:szCs w:val="20"/>
              </w:rPr>
              <w:t>Key aspects related to HFC-23 by-product control technologies: Mexico</w:t>
            </w:r>
          </w:p>
        </w:tc>
      </w:tr>
      <w:tr w:rsidR="00A61DB3" w:rsidRPr="003E38DE" w14:paraId="5B8650BD" w14:textId="77777777" w:rsidTr="00A61DB3">
        <w:trPr>
          <w:cantSplit/>
        </w:trPr>
        <w:tc>
          <w:tcPr>
            <w:tcW w:w="529" w:type="dxa"/>
            <w:tcMar>
              <w:right w:w="173" w:type="dxa"/>
            </w:tcMar>
          </w:tcPr>
          <w:p w14:paraId="56FB106B" w14:textId="77777777" w:rsidR="00A61DB3" w:rsidRPr="003E38DE" w:rsidRDefault="00A61DB3" w:rsidP="00A61DB3">
            <w:pPr>
              <w:widowControl w:val="0"/>
              <w:jc w:val="right"/>
              <w:rPr>
                <w:sz w:val="20"/>
                <w:szCs w:val="20"/>
              </w:rPr>
            </w:pPr>
            <w:r>
              <w:rPr>
                <w:sz w:val="20"/>
                <w:szCs w:val="20"/>
              </w:rPr>
              <w:t>43</w:t>
            </w:r>
          </w:p>
        </w:tc>
        <w:tc>
          <w:tcPr>
            <w:tcW w:w="2798" w:type="dxa"/>
          </w:tcPr>
          <w:p w14:paraId="78B1AC90" w14:textId="0BFA065B" w:rsidR="00A61DB3" w:rsidRPr="003E38DE" w:rsidRDefault="00A61DB3" w:rsidP="00083553">
            <w:pPr>
              <w:widowControl w:val="0"/>
              <w:jc w:val="left"/>
              <w:rPr>
                <w:sz w:val="20"/>
                <w:szCs w:val="20"/>
              </w:rPr>
            </w:pPr>
            <w:proofErr w:type="spellStart"/>
            <w:r>
              <w:rPr>
                <w:sz w:val="20"/>
                <w:szCs w:val="20"/>
              </w:rPr>
              <w:t>ExCom</w:t>
            </w:r>
            <w:proofErr w:type="spellEnd"/>
            <w:r>
              <w:rPr>
                <w:sz w:val="20"/>
                <w:szCs w:val="20"/>
              </w:rPr>
              <w:t>/86/86</w:t>
            </w:r>
            <w:r w:rsidR="00083553">
              <w:rPr>
                <w:sz w:val="20"/>
                <w:szCs w:val="20"/>
                <w:highlight w:val="cyan"/>
              </w:rPr>
              <w:t xml:space="preserve"> </w:t>
            </w:r>
            <w:r w:rsidR="00083553">
              <w:rPr>
                <w:sz w:val="20"/>
                <w:szCs w:val="20"/>
              </w:rPr>
              <w:t xml:space="preserve"> </w:t>
            </w:r>
          </w:p>
        </w:tc>
        <w:tc>
          <w:tcPr>
            <w:tcW w:w="6028" w:type="dxa"/>
          </w:tcPr>
          <w:p w14:paraId="53360C65" w14:textId="77777777" w:rsidR="00A61DB3" w:rsidRPr="003E38DE" w:rsidRDefault="00A61DB3" w:rsidP="00A37A0D">
            <w:pPr>
              <w:widowControl w:val="0"/>
              <w:jc w:val="left"/>
              <w:rPr>
                <w:sz w:val="20"/>
                <w:szCs w:val="20"/>
              </w:rPr>
            </w:pPr>
            <w:r>
              <w:rPr>
                <w:sz w:val="20"/>
                <w:szCs w:val="20"/>
              </w:rPr>
              <w:t>D</w:t>
            </w:r>
            <w:r w:rsidRPr="00B27FF6">
              <w:rPr>
                <w:sz w:val="20"/>
                <w:szCs w:val="20"/>
              </w:rPr>
              <w:t>evelopment of the cost guidelines for the phase-down of HFCs in Article</w:t>
            </w:r>
            <w:r w:rsidR="00A37A0D">
              <w:rPr>
                <w:sz w:val="20"/>
                <w:szCs w:val="20"/>
              </w:rPr>
              <w:t> </w:t>
            </w:r>
            <w:r w:rsidRPr="00B27FF6">
              <w:rPr>
                <w:sz w:val="20"/>
                <w:szCs w:val="20"/>
              </w:rPr>
              <w:t>5 countries</w:t>
            </w:r>
            <w:r>
              <w:rPr>
                <w:sz w:val="20"/>
                <w:szCs w:val="20"/>
              </w:rPr>
              <w:t>: Draft criteria for funding</w:t>
            </w:r>
          </w:p>
        </w:tc>
      </w:tr>
      <w:tr w:rsidR="00A61DB3" w:rsidRPr="003E38DE" w14:paraId="4A49CF5A" w14:textId="77777777" w:rsidTr="00A61DB3">
        <w:trPr>
          <w:cantSplit/>
        </w:trPr>
        <w:tc>
          <w:tcPr>
            <w:tcW w:w="529" w:type="dxa"/>
            <w:tcMar>
              <w:right w:w="173" w:type="dxa"/>
            </w:tcMar>
          </w:tcPr>
          <w:p w14:paraId="4AD43887" w14:textId="77777777" w:rsidR="00A61DB3" w:rsidRPr="003E38DE" w:rsidRDefault="00A61DB3" w:rsidP="00A61DB3">
            <w:pPr>
              <w:widowControl w:val="0"/>
              <w:jc w:val="right"/>
              <w:rPr>
                <w:sz w:val="20"/>
                <w:szCs w:val="20"/>
              </w:rPr>
            </w:pPr>
            <w:r w:rsidRPr="003E38DE">
              <w:rPr>
                <w:sz w:val="20"/>
                <w:szCs w:val="20"/>
              </w:rPr>
              <w:t>4</w:t>
            </w:r>
            <w:r>
              <w:rPr>
                <w:sz w:val="20"/>
                <w:szCs w:val="20"/>
              </w:rPr>
              <w:t>4</w:t>
            </w:r>
          </w:p>
        </w:tc>
        <w:tc>
          <w:tcPr>
            <w:tcW w:w="2798" w:type="dxa"/>
          </w:tcPr>
          <w:p w14:paraId="4A897307" w14:textId="69151D03"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/86/87</w:t>
            </w:r>
          </w:p>
        </w:tc>
        <w:tc>
          <w:tcPr>
            <w:tcW w:w="6028" w:type="dxa"/>
          </w:tcPr>
          <w:p w14:paraId="160EA12C" w14:textId="77777777" w:rsidR="00A61DB3" w:rsidRPr="003E38DE" w:rsidRDefault="00A61DB3" w:rsidP="00A37A0D">
            <w:pPr>
              <w:widowControl w:val="0"/>
              <w:jc w:val="left"/>
              <w:rPr>
                <w:sz w:val="20"/>
                <w:szCs w:val="20"/>
              </w:rPr>
            </w:pPr>
            <w:r w:rsidRPr="003E38DE">
              <w:rPr>
                <w:rFonts w:eastAsia="Calibri"/>
                <w:sz w:val="20"/>
                <w:szCs w:val="20"/>
                <w:lang w:eastAsia="en-CA"/>
              </w:rPr>
              <w:t>A document discussing potential strategies, policy measures and commitments, as well as projects and activities that could be integrated within stage I of HFC phase-down plans for Article 5 countries to ensure limits on growth and sustainable reductions in HFC consumption (decision</w:t>
            </w:r>
            <w:r w:rsidR="00A37A0D">
              <w:rPr>
                <w:rFonts w:eastAsia="Calibri"/>
                <w:sz w:val="20"/>
                <w:szCs w:val="20"/>
                <w:lang w:eastAsia="en-CA"/>
              </w:rPr>
              <w:t> </w:t>
            </w:r>
            <w:r w:rsidRPr="003E38DE">
              <w:rPr>
                <w:rFonts w:eastAsia="Calibri"/>
                <w:sz w:val="20"/>
                <w:szCs w:val="20"/>
                <w:lang w:eastAsia="en-CA"/>
              </w:rPr>
              <w:t>84/54(b))</w:t>
            </w:r>
          </w:p>
        </w:tc>
      </w:tr>
      <w:tr w:rsidR="00A61DB3" w:rsidRPr="003E38DE" w14:paraId="31C5D6FC" w14:textId="77777777" w:rsidTr="00A61DB3">
        <w:trPr>
          <w:cantSplit/>
        </w:trPr>
        <w:tc>
          <w:tcPr>
            <w:tcW w:w="529" w:type="dxa"/>
            <w:tcMar>
              <w:right w:w="173" w:type="dxa"/>
            </w:tcMar>
          </w:tcPr>
          <w:p w14:paraId="0CA49CA5" w14:textId="77777777" w:rsidR="00A61DB3" w:rsidRPr="003E38DE" w:rsidRDefault="00A61DB3" w:rsidP="00A61DB3">
            <w:pPr>
              <w:widowControl w:val="0"/>
              <w:jc w:val="right"/>
              <w:rPr>
                <w:sz w:val="20"/>
                <w:szCs w:val="20"/>
              </w:rPr>
            </w:pPr>
            <w:r w:rsidRPr="003E38DE">
              <w:rPr>
                <w:sz w:val="20"/>
                <w:szCs w:val="20"/>
              </w:rPr>
              <w:t>4</w:t>
            </w:r>
            <w:r>
              <w:rPr>
                <w:sz w:val="20"/>
                <w:szCs w:val="20"/>
              </w:rPr>
              <w:t>5</w:t>
            </w:r>
          </w:p>
        </w:tc>
        <w:tc>
          <w:tcPr>
            <w:tcW w:w="2798" w:type="dxa"/>
          </w:tcPr>
          <w:p w14:paraId="221A1D77" w14:textId="33BD6325" w:rsidR="00A61DB3" w:rsidRPr="003E38DE" w:rsidRDefault="00A61DB3" w:rsidP="00083553">
            <w:pPr>
              <w:widowControl w:val="0"/>
              <w:jc w:val="left"/>
              <w:rPr>
                <w:sz w:val="20"/>
                <w:szCs w:val="20"/>
              </w:rPr>
            </w:pPr>
            <w:proofErr w:type="spellStart"/>
            <w:r w:rsidRPr="003E38DE">
              <w:rPr>
                <w:sz w:val="20"/>
                <w:szCs w:val="20"/>
              </w:rPr>
              <w:t>ExCom</w:t>
            </w:r>
            <w:proofErr w:type="spellEnd"/>
            <w:r w:rsidRPr="003E38DE">
              <w:rPr>
                <w:sz w:val="20"/>
                <w:szCs w:val="20"/>
              </w:rPr>
              <w:t>/86/88</w:t>
            </w:r>
          </w:p>
        </w:tc>
        <w:tc>
          <w:tcPr>
            <w:tcW w:w="6028" w:type="dxa"/>
          </w:tcPr>
          <w:p w14:paraId="5EE9288F" w14:textId="77777777" w:rsidR="00A61DB3" w:rsidRPr="003E38DE" w:rsidRDefault="00A61DB3" w:rsidP="00A37A0D">
            <w:pPr>
              <w:widowControl w:val="0"/>
              <w:jc w:val="left"/>
              <w:rPr>
                <w:sz w:val="20"/>
                <w:szCs w:val="20"/>
              </w:rPr>
            </w:pPr>
            <w:r w:rsidRPr="003E38DE">
              <w:rPr>
                <w:rFonts w:eastAsia="Calibri"/>
                <w:sz w:val="20"/>
                <w:szCs w:val="20"/>
                <w:lang w:eastAsia="en-CA"/>
              </w:rPr>
              <w:t>Draft guidelines for the preparation of HFC phase-down plans for Article</w:t>
            </w:r>
            <w:r w:rsidR="00A37A0D">
              <w:rPr>
                <w:rFonts w:eastAsia="Calibri"/>
                <w:sz w:val="20"/>
                <w:szCs w:val="20"/>
                <w:lang w:eastAsia="en-CA"/>
              </w:rPr>
              <w:t> </w:t>
            </w:r>
            <w:r w:rsidRPr="003E38DE">
              <w:rPr>
                <w:rFonts w:eastAsia="Calibri"/>
                <w:sz w:val="20"/>
                <w:szCs w:val="20"/>
                <w:lang w:eastAsia="en-CA"/>
              </w:rPr>
              <w:t>5 countries (decision 84/54(a))</w:t>
            </w:r>
          </w:p>
        </w:tc>
      </w:tr>
      <w:tr w:rsidR="00A61DB3" w:rsidRPr="003E38DE" w14:paraId="23FDFC0A" w14:textId="77777777" w:rsidTr="00A61DB3">
        <w:trPr>
          <w:cantSplit/>
        </w:trPr>
        <w:tc>
          <w:tcPr>
            <w:tcW w:w="529" w:type="dxa"/>
            <w:tcMar>
              <w:right w:w="173" w:type="dxa"/>
            </w:tcMar>
          </w:tcPr>
          <w:p w14:paraId="0DD53DA5" w14:textId="77777777" w:rsidR="00A61DB3" w:rsidRPr="003E38DE" w:rsidRDefault="00A61DB3" w:rsidP="00A61DB3">
            <w:pPr>
              <w:widowControl w:val="0"/>
              <w:jc w:val="right"/>
              <w:rPr>
                <w:sz w:val="20"/>
                <w:szCs w:val="20"/>
              </w:rPr>
            </w:pPr>
            <w:r w:rsidRPr="003E38DE">
              <w:rPr>
                <w:sz w:val="20"/>
                <w:szCs w:val="20"/>
              </w:rPr>
              <w:t>4</w:t>
            </w:r>
            <w:r>
              <w:rPr>
                <w:sz w:val="20"/>
                <w:szCs w:val="20"/>
              </w:rPr>
              <w:t>6</w:t>
            </w:r>
          </w:p>
        </w:tc>
        <w:tc>
          <w:tcPr>
            <w:tcW w:w="2798" w:type="dxa"/>
          </w:tcPr>
          <w:p w14:paraId="48AA89FB" w14:textId="45C35169"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/86/89</w:t>
            </w:r>
          </w:p>
        </w:tc>
        <w:tc>
          <w:tcPr>
            <w:tcW w:w="6028" w:type="dxa"/>
          </w:tcPr>
          <w:p w14:paraId="517C2E03" w14:textId="77777777" w:rsidR="00A61DB3" w:rsidRPr="003E38DE" w:rsidRDefault="00A61DB3" w:rsidP="00A37A0D">
            <w:pPr>
              <w:widowControl w:val="0"/>
              <w:jc w:val="left"/>
              <w:rPr>
                <w:sz w:val="20"/>
                <w:szCs w:val="20"/>
              </w:rPr>
            </w:pPr>
            <w:r w:rsidRPr="003E38DE">
              <w:rPr>
                <w:rFonts w:eastAsia="Calibri"/>
                <w:sz w:val="20"/>
                <w:szCs w:val="20"/>
                <w:lang w:eastAsia="en-CA"/>
              </w:rPr>
              <w:t>Analysis of the level and modalities of funding for HFC phase</w:t>
            </w:r>
            <w:r w:rsidRPr="003E38DE">
              <w:rPr>
                <w:rFonts w:eastAsia="Calibri"/>
                <w:sz w:val="20"/>
                <w:szCs w:val="20"/>
                <w:lang w:eastAsia="en-CA"/>
              </w:rPr>
              <w:noBreakHyphen/>
              <w:t>down in the refrigeration servicing sector (decisions 83/65(b) and</w:t>
            </w:r>
            <w:r w:rsidR="00A37A0D">
              <w:rPr>
                <w:rFonts w:eastAsia="Calibri"/>
                <w:sz w:val="20"/>
                <w:szCs w:val="20"/>
                <w:lang w:eastAsia="en-CA"/>
              </w:rPr>
              <w:t> </w:t>
            </w:r>
            <w:r w:rsidRPr="003E38DE">
              <w:rPr>
                <w:rFonts w:eastAsia="Calibri"/>
                <w:sz w:val="20"/>
                <w:szCs w:val="20"/>
                <w:lang w:eastAsia="en-CA"/>
              </w:rPr>
              <w:t>84/86(b)(ii))</w:t>
            </w:r>
          </w:p>
        </w:tc>
      </w:tr>
      <w:tr w:rsidR="00A61DB3" w:rsidRPr="003E38DE" w14:paraId="78D50F0D" w14:textId="77777777" w:rsidTr="00A61DB3">
        <w:trPr>
          <w:cantSplit/>
        </w:trPr>
        <w:tc>
          <w:tcPr>
            <w:tcW w:w="529" w:type="dxa"/>
            <w:tcMar>
              <w:right w:w="173" w:type="dxa"/>
            </w:tcMar>
          </w:tcPr>
          <w:p w14:paraId="61BAC207" w14:textId="77777777" w:rsidR="00A61DB3" w:rsidRPr="003E38DE" w:rsidRDefault="00A61DB3" w:rsidP="00A61DB3">
            <w:pPr>
              <w:widowControl w:val="0"/>
              <w:jc w:val="right"/>
              <w:rPr>
                <w:sz w:val="20"/>
                <w:szCs w:val="20"/>
              </w:rPr>
            </w:pPr>
            <w:r w:rsidRPr="003E38DE">
              <w:rPr>
                <w:sz w:val="20"/>
                <w:szCs w:val="20"/>
              </w:rPr>
              <w:lastRenderedPageBreak/>
              <w:t>4</w:t>
            </w:r>
            <w:r>
              <w:rPr>
                <w:sz w:val="20"/>
                <w:szCs w:val="20"/>
              </w:rPr>
              <w:t>7</w:t>
            </w:r>
          </w:p>
        </w:tc>
        <w:tc>
          <w:tcPr>
            <w:tcW w:w="2798" w:type="dxa"/>
          </w:tcPr>
          <w:p w14:paraId="54B281CD" w14:textId="617025B5"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/86/90</w:t>
            </w:r>
          </w:p>
        </w:tc>
        <w:tc>
          <w:tcPr>
            <w:tcW w:w="6028" w:type="dxa"/>
          </w:tcPr>
          <w:p w14:paraId="5F2A6798" w14:textId="77777777" w:rsidR="00A61DB3" w:rsidRPr="003E38DE" w:rsidRDefault="00A61DB3" w:rsidP="00A37A0D">
            <w:pPr>
              <w:widowControl w:val="0"/>
              <w:jc w:val="left"/>
              <w:rPr>
                <w:sz w:val="20"/>
                <w:szCs w:val="20"/>
              </w:rPr>
            </w:pPr>
            <w:r w:rsidRPr="003E38DE">
              <w:rPr>
                <w:rFonts w:eastAsia="Calibri"/>
                <w:sz w:val="20"/>
                <w:szCs w:val="20"/>
                <w:lang w:eastAsia="en-CA"/>
              </w:rPr>
              <w:t>A synthesis report describing best practices and ways for the Executive Committee to consider operationalizing paragraph 24 of decision</w:t>
            </w:r>
            <w:r>
              <w:rPr>
                <w:rFonts w:eastAsia="Calibri"/>
                <w:sz w:val="20"/>
                <w:szCs w:val="20"/>
                <w:lang w:eastAsia="en-CA"/>
              </w:rPr>
              <w:t> </w:t>
            </w:r>
            <w:r w:rsidRPr="003E38DE">
              <w:rPr>
                <w:rFonts w:eastAsia="Calibri"/>
                <w:sz w:val="20"/>
                <w:szCs w:val="20"/>
                <w:lang w:eastAsia="en-CA"/>
              </w:rPr>
              <w:t>XXVIII/2 (decision</w:t>
            </w:r>
            <w:r w:rsidR="00A37A0D">
              <w:rPr>
                <w:rFonts w:eastAsia="Calibri"/>
                <w:sz w:val="20"/>
                <w:szCs w:val="20"/>
                <w:lang w:eastAsia="en-CA"/>
              </w:rPr>
              <w:t> </w:t>
            </w:r>
            <w:r w:rsidRPr="003E38DE">
              <w:rPr>
                <w:rFonts w:eastAsia="Calibri"/>
                <w:sz w:val="20"/>
                <w:szCs w:val="20"/>
                <w:lang w:eastAsia="en-CA"/>
              </w:rPr>
              <w:t>84/87(b))</w:t>
            </w:r>
          </w:p>
        </w:tc>
      </w:tr>
      <w:tr w:rsidR="00A61DB3" w:rsidRPr="003E38DE" w14:paraId="552BAA7C" w14:textId="77777777" w:rsidTr="00A61DB3">
        <w:trPr>
          <w:cantSplit/>
        </w:trPr>
        <w:tc>
          <w:tcPr>
            <w:tcW w:w="529" w:type="dxa"/>
            <w:tcMar>
              <w:right w:w="173" w:type="dxa"/>
            </w:tcMar>
          </w:tcPr>
          <w:p w14:paraId="20AF67F3" w14:textId="77777777" w:rsidR="00A61DB3" w:rsidRPr="003E38DE" w:rsidRDefault="00A61DB3" w:rsidP="00A61DB3">
            <w:pPr>
              <w:widowControl w:val="0"/>
              <w:jc w:val="right"/>
              <w:rPr>
                <w:sz w:val="20"/>
                <w:szCs w:val="20"/>
              </w:rPr>
            </w:pPr>
            <w:r w:rsidRPr="003E38DE">
              <w:rPr>
                <w:sz w:val="20"/>
                <w:szCs w:val="20"/>
              </w:rPr>
              <w:t>4</w:t>
            </w:r>
            <w:r>
              <w:rPr>
                <w:sz w:val="20"/>
                <w:szCs w:val="20"/>
              </w:rPr>
              <w:t>8</w:t>
            </w:r>
          </w:p>
        </w:tc>
        <w:tc>
          <w:tcPr>
            <w:tcW w:w="2798" w:type="dxa"/>
          </w:tcPr>
          <w:p w14:paraId="0433A36E" w14:textId="617FBD71"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/86/91</w:t>
            </w:r>
          </w:p>
        </w:tc>
        <w:tc>
          <w:tcPr>
            <w:tcW w:w="6028" w:type="dxa"/>
          </w:tcPr>
          <w:p w14:paraId="4C1177BF" w14:textId="77777777" w:rsidR="00A61DB3" w:rsidRPr="003E38DE" w:rsidRDefault="00A61DB3" w:rsidP="00A37A0D">
            <w:pPr>
              <w:widowControl w:val="0"/>
              <w:jc w:val="left"/>
              <w:rPr>
                <w:sz w:val="20"/>
                <w:szCs w:val="20"/>
              </w:rPr>
            </w:pPr>
            <w:r w:rsidRPr="003E38DE">
              <w:rPr>
                <w:rFonts w:eastAsia="Calibri"/>
                <w:sz w:val="20"/>
                <w:szCs w:val="20"/>
                <w:lang w:eastAsia="en-CA"/>
              </w:rPr>
              <w:t>Analysis of information on the incremental costs and their duration, and the cost effectiveness of all approved investment projects in the relevant manufacturing sectors and sub-sectors (decision</w:t>
            </w:r>
            <w:r w:rsidR="00A37A0D">
              <w:rPr>
                <w:rFonts w:eastAsia="Calibri"/>
                <w:sz w:val="20"/>
                <w:szCs w:val="20"/>
                <w:lang w:eastAsia="en-CA"/>
              </w:rPr>
              <w:t> </w:t>
            </w:r>
            <w:r w:rsidRPr="003E38DE">
              <w:rPr>
                <w:rFonts w:eastAsia="Calibri"/>
                <w:sz w:val="20"/>
                <w:szCs w:val="20"/>
                <w:lang w:eastAsia="en-CA"/>
              </w:rPr>
              <w:t>84/87(a))</w:t>
            </w:r>
          </w:p>
        </w:tc>
      </w:tr>
      <w:tr w:rsidR="00A61DB3" w:rsidRPr="003E38DE" w14:paraId="75186A14" w14:textId="77777777" w:rsidTr="00A61DB3">
        <w:trPr>
          <w:cantSplit/>
        </w:trPr>
        <w:tc>
          <w:tcPr>
            <w:tcW w:w="529" w:type="dxa"/>
            <w:tcMar>
              <w:right w:w="173" w:type="dxa"/>
            </w:tcMar>
          </w:tcPr>
          <w:p w14:paraId="0738378F" w14:textId="77777777" w:rsidR="00A61DB3" w:rsidRPr="003E38DE" w:rsidRDefault="00A61DB3" w:rsidP="00A61DB3">
            <w:pPr>
              <w:widowControl w:val="0"/>
              <w:jc w:val="right"/>
              <w:rPr>
                <w:sz w:val="20"/>
                <w:szCs w:val="20"/>
              </w:rPr>
            </w:pPr>
            <w:r w:rsidRPr="003E38DE">
              <w:rPr>
                <w:sz w:val="20"/>
                <w:szCs w:val="20"/>
              </w:rPr>
              <w:t>4</w:t>
            </w:r>
            <w:r>
              <w:rPr>
                <w:sz w:val="20"/>
                <w:szCs w:val="20"/>
              </w:rPr>
              <w:t>9</w:t>
            </w:r>
          </w:p>
        </w:tc>
        <w:tc>
          <w:tcPr>
            <w:tcW w:w="2798" w:type="dxa"/>
          </w:tcPr>
          <w:p w14:paraId="12B81AA1" w14:textId="7F6D61E5"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/86/92</w:t>
            </w:r>
          </w:p>
        </w:tc>
        <w:tc>
          <w:tcPr>
            <w:tcW w:w="6028" w:type="dxa"/>
          </w:tcPr>
          <w:p w14:paraId="3BE25660" w14:textId="77777777" w:rsidR="00A61DB3" w:rsidRPr="003E38DE" w:rsidRDefault="00A61DB3" w:rsidP="00A61DB3">
            <w:pPr>
              <w:widowControl w:val="0"/>
              <w:jc w:val="left"/>
              <w:rPr>
                <w:sz w:val="20"/>
                <w:szCs w:val="20"/>
              </w:rPr>
            </w:pPr>
            <w:r w:rsidRPr="003E38DE">
              <w:rPr>
                <w:sz w:val="20"/>
                <w:szCs w:val="20"/>
                <w:lang w:val="en-US"/>
              </w:rPr>
              <w:t>Paper on ways to operationalize paragraph 16 of decision XXVIII/2 and paragraph 2 of decision XXX/5 of the Parties (decision 84/88)</w:t>
            </w:r>
          </w:p>
        </w:tc>
      </w:tr>
      <w:tr w:rsidR="00A61DB3" w:rsidRPr="003E38DE" w14:paraId="2D955B2F" w14:textId="77777777" w:rsidTr="00A61DB3">
        <w:trPr>
          <w:cantSplit/>
        </w:trPr>
        <w:tc>
          <w:tcPr>
            <w:tcW w:w="529" w:type="dxa"/>
            <w:tcMar>
              <w:right w:w="173" w:type="dxa"/>
            </w:tcMar>
          </w:tcPr>
          <w:p w14:paraId="44AA6CDD" w14:textId="77777777" w:rsidR="00A61DB3" w:rsidRPr="003E38DE" w:rsidRDefault="00A61DB3" w:rsidP="00A61DB3">
            <w:pPr>
              <w:widowControl w:val="0"/>
              <w:jc w:val="right"/>
              <w:rPr>
                <w:sz w:val="20"/>
                <w:szCs w:val="20"/>
              </w:rPr>
            </w:pPr>
            <w:r>
              <w:rPr>
                <w:sz w:val="20"/>
                <w:szCs w:val="20"/>
              </w:rPr>
              <w:t>50</w:t>
            </w:r>
          </w:p>
        </w:tc>
        <w:tc>
          <w:tcPr>
            <w:tcW w:w="2798" w:type="dxa"/>
          </w:tcPr>
          <w:p w14:paraId="591F2DD4" w14:textId="5BD26EF8" w:rsidR="00A61DB3" w:rsidRPr="003E38DE" w:rsidRDefault="00A61DB3" w:rsidP="00083553">
            <w:pPr>
              <w:widowControl w:val="0"/>
              <w:rPr>
                <w:sz w:val="20"/>
                <w:szCs w:val="20"/>
              </w:rPr>
            </w:pPr>
            <w:proofErr w:type="spellStart"/>
            <w:r w:rsidRPr="003E38DE">
              <w:rPr>
                <w:sz w:val="20"/>
                <w:szCs w:val="20"/>
              </w:rPr>
              <w:t>ExCom</w:t>
            </w:r>
            <w:proofErr w:type="spellEnd"/>
            <w:r w:rsidRPr="003E38DE">
              <w:rPr>
                <w:sz w:val="20"/>
                <w:szCs w:val="20"/>
              </w:rPr>
              <w:t>/86/93</w:t>
            </w:r>
          </w:p>
        </w:tc>
        <w:tc>
          <w:tcPr>
            <w:tcW w:w="6028" w:type="dxa"/>
          </w:tcPr>
          <w:p w14:paraId="1C2E0C2A" w14:textId="77777777" w:rsidR="00A61DB3" w:rsidRPr="003E38DE" w:rsidRDefault="00A61DB3" w:rsidP="00A37A0D">
            <w:pPr>
              <w:widowControl w:val="0"/>
              <w:jc w:val="left"/>
              <w:rPr>
                <w:sz w:val="20"/>
                <w:szCs w:val="20"/>
              </w:rPr>
            </w:pPr>
            <w:r w:rsidRPr="003E38DE">
              <w:rPr>
                <w:sz w:val="20"/>
                <w:szCs w:val="20"/>
              </w:rPr>
              <w:t xml:space="preserve">Framework for </w:t>
            </w:r>
            <w:r w:rsidRPr="003E38DE">
              <w:rPr>
                <w:rFonts w:eastAsia="Calibri"/>
                <w:sz w:val="20"/>
                <w:szCs w:val="20"/>
                <w:lang w:eastAsia="en-CA"/>
              </w:rPr>
              <w:t>consultations with relevant funds and financial institutions to explore the mobilization of additional financial resources for maintaining or enhancing energy efficiency when replacing HFCs with low global-warming potential refrigerants in the refrigeration and air</w:t>
            </w:r>
            <w:r w:rsidR="00A37A0D">
              <w:rPr>
                <w:rFonts w:eastAsia="Calibri"/>
                <w:sz w:val="20"/>
                <w:szCs w:val="20"/>
                <w:lang w:eastAsia="en-CA"/>
              </w:rPr>
              <w:noBreakHyphen/>
            </w:r>
            <w:r w:rsidRPr="003E38DE">
              <w:rPr>
                <w:rFonts w:eastAsia="Calibri"/>
                <w:sz w:val="20"/>
                <w:szCs w:val="20"/>
                <w:lang w:eastAsia="en-CA"/>
              </w:rPr>
              <w:t xml:space="preserve">conditioning sector </w:t>
            </w:r>
            <w:r w:rsidRPr="003E38DE">
              <w:rPr>
                <w:sz w:val="20"/>
                <w:szCs w:val="20"/>
              </w:rPr>
              <w:t>(decision 84/89)</w:t>
            </w:r>
          </w:p>
        </w:tc>
      </w:tr>
      <w:tr w:rsidR="00A61DB3" w:rsidRPr="003E38DE" w14:paraId="6C0A1265" w14:textId="77777777" w:rsidTr="00A61DB3">
        <w:trPr>
          <w:cantSplit/>
        </w:trPr>
        <w:tc>
          <w:tcPr>
            <w:tcW w:w="529" w:type="dxa"/>
            <w:tcMar>
              <w:right w:w="173" w:type="dxa"/>
            </w:tcMar>
          </w:tcPr>
          <w:p w14:paraId="55D7EF31" w14:textId="77777777" w:rsidR="00A61DB3" w:rsidRPr="003E38DE" w:rsidRDefault="00A61DB3" w:rsidP="00A61DB3">
            <w:pPr>
              <w:widowControl w:val="0"/>
              <w:jc w:val="right"/>
              <w:rPr>
                <w:sz w:val="20"/>
                <w:szCs w:val="20"/>
              </w:rPr>
            </w:pPr>
            <w:r w:rsidRPr="003E38DE">
              <w:rPr>
                <w:sz w:val="20"/>
                <w:szCs w:val="20"/>
              </w:rPr>
              <w:t>5</w:t>
            </w:r>
            <w:r>
              <w:rPr>
                <w:sz w:val="20"/>
                <w:szCs w:val="20"/>
              </w:rPr>
              <w:t>1</w:t>
            </w:r>
          </w:p>
        </w:tc>
        <w:tc>
          <w:tcPr>
            <w:tcW w:w="2798" w:type="dxa"/>
          </w:tcPr>
          <w:p w14:paraId="580011D3" w14:textId="1E7DA930" w:rsidR="00A61DB3" w:rsidRPr="003E38DE" w:rsidRDefault="00A61DB3" w:rsidP="00327EC3">
            <w:pPr>
              <w:widowControl w:val="0"/>
              <w:rPr>
                <w:sz w:val="20"/>
                <w:szCs w:val="20"/>
              </w:rPr>
            </w:pPr>
            <w:proofErr w:type="spellStart"/>
            <w:r w:rsidRPr="003E38DE">
              <w:rPr>
                <w:sz w:val="20"/>
                <w:szCs w:val="20"/>
              </w:rPr>
              <w:t>ExCom</w:t>
            </w:r>
            <w:proofErr w:type="spellEnd"/>
            <w:r w:rsidRPr="003E38DE">
              <w:rPr>
                <w:sz w:val="20"/>
                <w:szCs w:val="20"/>
              </w:rPr>
              <w:t>/86/94</w:t>
            </w:r>
          </w:p>
        </w:tc>
        <w:tc>
          <w:tcPr>
            <w:tcW w:w="6028" w:type="dxa"/>
          </w:tcPr>
          <w:p w14:paraId="15B8C27E" w14:textId="77777777" w:rsidR="00A61DB3" w:rsidRPr="003E38DE" w:rsidRDefault="00A61DB3" w:rsidP="00A37A0D">
            <w:pPr>
              <w:widowControl w:val="0"/>
              <w:jc w:val="left"/>
              <w:rPr>
                <w:sz w:val="20"/>
                <w:szCs w:val="20"/>
              </w:rPr>
            </w:pPr>
            <w:r w:rsidRPr="003E38DE">
              <w:rPr>
                <w:sz w:val="20"/>
                <w:szCs w:val="20"/>
              </w:rPr>
              <w:t>Key aspects related to HFC-23 by-product control technologies (decisions</w:t>
            </w:r>
            <w:r w:rsidR="00A37A0D">
              <w:rPr>
                <w:sz w:val="20"/>
                <w:szCs w:val="20"/>
              </w:rPr>
              <w:t> </w:t>
            </w:r>
            <w:r w:rsidRPr="003E38DE">
              <w:rPr>
                <w:sz w:val="20"/>
                <w:szCs w:val="20"/>
              </w:rPr>
              <w:t>84/90 and 84/91)</w:t>
            </w:r>
          </w:p>
        </w:tc>
      </w:tr>
      <w:tr w:rsidR="00A61DB3" w:rsidRPr="0066354D" w14:paraId="7F10D771" w14:textId="77777777" w:rsidTr="00A61DB3">
        <w:trPr>
          <w:cantSplit/>
        </w:trPr>
        <w:tc>
          <w:tcPr>
            <w:tcW w:w="529" w:type="dxa"/>
            <w:tcMar>
              <w:right w:w="173" w:type="dxa"/>
            </w:tcMar>
          </w:tcPr>
          <w:p w14:paraId="5970967D" w14:textId="77777777" w:rsidR="00A61DB3" w:rsidRPr="0066354D" w:rsidRDefault="00A61DB3" w:rsidP="00A61DB3">
            <w:pPr>
              <w:widowControl w:val="0"/>
              <w:jc w:val="right"/>
              <w:rPr>
                <w:sz w:val="20"/>
                <w:szCs w:val="20"/>
              </w:rPr>
            </w:pPr>
            <w:r w:rsidRPr="0066354D">
              <w:rPr>
                <w:sz w:val="20"/>
                <w:szCs w:val="20"/>
              </w:rPr>
              <w:t>52</w:t>
            </w:r>
          </w:p>
        </w:tc>
        <w:tc>
          <w:tcPr>
            <w:tcW w:w="2798" w:type="dxa"/>
          </w:tcPr>
          <w:p w14:paraId="4F4A2588" w14:textId="6200FB03" w:rsidR="00A61DB3" w:rsidRPr="0066354D" w:rsidRDefault="00A61DB3" w:rsidP="00327EC3">
            <w:pPr>
              <w:widowControl w:val="0"/>
              <w:rPr>
                <w:sz w:val="20"/>
                <w:szCs w:val="20"/>
              </w:rPr>
            </w:pPr>
            <w:proofErr w:type="spellStart"/>
            <w:r w:rsidRPr="0066354D">
              <w:rPr>
                <w:sz w:val="20"/>
                <w:szCs w:val="20"/>
              </w:rPr>
              <w:t>ExCom</w:t>
            </w:r>
            <w:proofErr w:type="spellEnd"/>
            <w:r w:rsidRPr="0066354D">
              <w:rPr>
                <w:sz w:val="20"/>
                <w:szCs w:val="20"/>
              </w:rPr>
              <w:t>/86/95</w:t>
            </w:r>
          </w:p>
        </w:tc>
        <w:tc>
          <w:tcPr>
            <w:tcW w:w="6028" w:type="dxa"/>
          </w:tcPr>
          <w:p w14:paraId="6A8EB05D" w14:textId="77777777" w:rsidR="00A61DB3" w:rsidRPr="0066354D" w:rsidRDefault="00A61DB3" w:rsidP="00A61DB3">
            <w:pPr>
              <w:widowControl w:val="0"/>
              <w:jc w:val="left"/>
              <w:rPr>
                <w:sz w:val="20"/>
                <w:szCs w:val="20"/>
              </w:rPr>
            </w:pPr>
            <w:r w:rsidRPr="0066354D">
              <w:rPr>
                <w:sz w:val="20"/>
                <w:szCs w:val="20"/>
              </w:rPr>
              <w:t xml:space="preserve">Key aspects related to HFC-23 by-product control technologies: Argentina </w:t>
            </w:r>
          </w:p>
        </w:tc>
      </w:tr>
      <w:tr w:rsidR="00A61DB3" w:rsidRPr="0066354D" w14:paraId="69BA0F2F" w14:textId="77777777" w:rsidTr="00A61DB3">
        <w:trPr>
          <w:cantSplit/>
        </w:trPr>
        <w:tc>
          <w:tcPr>
            <w:tcW w:w="529" w:type="dxa"/>
            <w:tcMar>
              <w:right w:w="173" w:type="dxa"/>
            </w:tcMar>
          </w:tcPr>
          <w:p w14:paraId="44260D53" w14:textId="77777777" w:rsidR="00A61DB3" w:rsidRPr="0066354D" w:rsidRDefault="00A61DB3" w:rsidP="00A61DB3">
            <w:pPr>
              <w:widowControl w:val="0"/>
              <w:jc w:val="right"/>
              <w:rPr>
                <w:sz w:val="20"/>
                <w:szCs w:val="20"/>
              </w:rPr>
            </w:pPr>
            <w:r w:rsidRPr="0066354D">
              <w:rPr>
                <w:sz w:val="20"/>
                <w:szCs w:val="20"/>
              </w:rPr>
              <w:t>53</w:t>
            </w:r>
          </w:p>
        </w:tc>
        <w:tc>
          <w:tcPr>
            <w:tcW w:w="2798" w:type="dxa"/>
          </w:tcPr>
          <w:p w14:paraId="02DA0BFD" w14:textId="4FB11F6A" w:rsidR="00A61DB3" w:rsidRPr="0066354D" w:rsidRDefault="00A61DB3" w:rsidP="00327EC3">
            <w:pPr>
              <w:widowControl w:val="0"/>
              <w:rPr>
                <w:sz w:val="20"/>
                <w:szCs w:val="20"/>
              </w:rPr>
            </w:pPr>
            <w:proofErr w:type="spellStart"/>
            <w:r w:rsidRPr="0066354D">
              <w:rPr>
                <w:sz w:val="20"/>
                <w:szCs w:val="20"/>
              </w:rPr>
              <w:t>ExCom</w:t>
            </w:r>
            <w:proofErr w:type="spellEnd"/>
            <w:r w:rsidRPr="0066354D">
              <w:rPr>
                <w:sz w:val="20"/>
                <w:szCs w:val="20"/>
              </w:rPr>
              <w:t>/86/96</w:t>
            </w:r>
          </w:p>
        </w:tc>
        <w:tc>
          <w:tcPr>
            <w:tcW w:w="6028" w:type="dxa"/>
          </w:tcPr>
          <w:p w14:paraId="020A8C6E" w14:textId="77777777" w:rsidR="00A61DB3" w:rsidRPr="0066354D" w:rsidRDefault="00A61DB3" w:rsidP="00A61DB3">
            <w:pPr>
              <w:widowControl w:val="0"/>
              <w:jc w:val="left"/>
              <w:rPr>
                <w:sz w:val="20"/>
                <w:szCs w:val="20"/>
              </w:rPr>
            </w:pPr>
            <w:r w:rsidRPr="0066354D">
              <w:rPr>
                <w:sz w:val="20"/>
                <w:szCs w:val="20"/>
              </w:rPr>
              <w:t xml:space="preserve">Key aspects related to HFC-23 by-product control technologies: Mexico </w:t>
            </w:r>
          </w:p>
        </w:tc>
      </w:tr>
      <w:tr w:rsidR="00390670" w:rsidRPr="0066354D" w14:paraId="260F9625" w14:textId="77777777" w:rsidTr="00A61DB3">
        <w:trPr>
          <w:cantSplit/>
        </w:trPr>
        <w:tc>
          <w:tcPr>
            <w:tcW w:w="529" w:type="dxa"/>
            <w:tcMar>
              <w:right w:w="173" w:type="dxa"/>
            </w:tcMar>
          </w:tcPr>
          <w:p w14:paraId="01D6A419" w14:textId="08ED4135" w:rsidR="00390670" w:rsidRPr="0066354D" w:rsidRDefault="00390670" w:rsidP="00A61DB3">
            <w:pPr>
              <w:widowControl w:val="0"/>
              <w:jc w:val="right"/>
              <w:rPr>
                <w:sz w:val="20"/>
                <w:szCs w:val="20"/>
              </w:rPr>
            </w:pPr>
            <w:r w:rsidRPr="0066354D">
              <w:rPr>
                <w:sz w:val="20"/>
                <w:szCs w:val="20"/>
              </w:rPr>
              <w:t>54</w:t>
            </w:r>
          </w:p>
        </w:tc>
        <w:tc>
          <w:tcPr>
            <w:tcW w:w="2798" w:type="dxa"/>
          </w:tcPr>
          <w:p w14:paraId="22620F7A" w14:textId="1952D567" w:rsidR="00390670" w:rsidRPr="0066354D" w:rsidRDefault="00390670" w:rsidP="00390670">
            <w:pPr>
              <w:widowControl w:val="0"/>
              <w:rPr>
                <w:sz w:val="20"/>
                <w:szCs w:val="20"/>
              </w:rPr>
            </w:pPr>
            <w:proofErr w:type="spellStart"/>
            <w:r w:rsidRPr="0066354D">
              <w:rPr>
                <w:sz w:val="20"/>
                <w:szCs w:val="20"/>
              </w:rPr>
              <w:t>ExCom</w:t>
            </w:r>
            <w:proofErr w:type="spellEnd"/>
            <w:r w:rsidRPr="0066354D">
              <w:rPr>
                <w:sz w:val="20"/>
                <w:szCs w:val="20"/>
              </w:rPr>
              <w:t xml:space="preserve"> 87/43</w:t>
            </w:r>
          </w:p>
        </w:tc>
        <w:tc>
          <w:tcPr>
            <w:tcW w:w="6028" w:type="dxa"/>
          </w:tcPr>
          <w:p w14:paraId="26F87E3C" w14:textId="45F0687D" w:rsidR="00390670" w:rsidRPr="0066354D" w:rsidRDefault="009A2AEF" w:rsidP="009A2AEF">
            <w:pPr>
              <w:widowControl w:val="0"/>
              <w:jc w:val="left"/>
              <w:rPr>
                <w:sz w:val="20"/>
                <w:szCs w:val="20"/>
              </w:rPr>
            </w:pPr>
            <w:r w:rsidRPr="0066354D">
              <w:rPr>
                <w:sz w:val="20"/>
                <w:szCs w:val="20"/>
              </w:rPr>
              <w:t xml:space="preserve">Update </w:t>
            </w:r>
            <w:r w:rsidR="00390670" w:rsidRPr="0066354D">
              <w:rPr>
                <w:sz w:val="20"/>
                <w:szCs w:val="20"/>
              </w:rPr>
              <w:t>o</w:t>
            </w:r>
            <w:r w:rsidR="005C1C95" w:rsidRPr="0066354D">
              <w:rPr>
                <w:sz w:val="20"/>
                <w:szCs w:val="20"/>
              </w:rPr>
              <w:t>n the</w:t>
            </w:r>
            <w:r w:rsidR="00390670" w:rsidRPr="0066354D">
              <w:rPr>
                <w:sz w:val="20"/>
                <w:szCs w:val="20"/>
              </w:rPr>
              <w:t xml:space="preserve"> analysis of the implications of parallel or integrated implementation of HCFC phase-out and HFC phase-down activities</w:t>
            </w:r>
            <w:r w:rsidRPr="0066354D">
              <w:t xml:space="preserve"> </w:t>
            </w:r>
            <w:r w:rsidRPr="0066354D">
              <w:rPr>
                <w:sz w:val="20"/>
                <w:szCs w:val="20"/>
              </w:rPr>
              <w:t>(decision 84/86(a))</w:t>
            </w:r>
          </w:p>
        </w:tc>
      </w:tr>
      <w:tr w:rsidR="00327EC3" w:rsidRPr="0066354D" w14:paraId="17AEB28F" w14:textId="77777777" w:rsidTr="00A61DB3">
        <w:trPr>
          <w:cantSplit/>
        </w:trPr>
        <w:tc>
          <w:tcPr>
            <w:tcW w:w="529" w:type="dxa"/>
            <w:tcMar>
              <w:right w:w="173" w:type="dxa"/>
            </w:tcMar>
          </w:tcPr>
          <w:p w14:paraId="528B0969" w14:textId="45E9DBAB" w:rsidR="00327EC3" w:rsidRPr="0066354D" w:rsidRDefault="00083553" w:rsidP="00327EC3">
            <w:pPr>
              <w:widowControl w:val="0"/>
              <w:jc w:val="right"/>
              <w:rPr>
                <w:sz w:val="20"/>
                <w:szCs w:val="20"/>
              </w:rPr>
            </w:pPr>
            <w:r w:rsidRPr="0066354D">
              <w:rPr>
                <w:sz w:val="20"/>
                <w:szCs w:val="20"/>
              </w:rPr>
              <w:t>55</w:t>
            </w:r>
          </w:p>
        </w:tc>
        <w:tc>
          <w:tcPr>
            <w:tcW w:w="2798" w:type="dxa"/>
          </w:tcPr>
          <w:p w14:paraId="3AF4EFAA" w14:textId="7854A9B4"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87/44</w:t>
            </w:r>
          </w:p>
        </w:tc>
        <w:tc>
          <w:tcPr>
            <w:tcW w:w="6028" w:type="dxa"/>
          </w:tcPr>
          <w:p w14:paraId="619B2386" w14:textId="54E4637A" w:rsidR="00327EC3" w:rsidRPr="0066354D" w:rsidRDefault="00327EC3" w:rsidP="009A2AEF">
            <w:pPr>
              <w:widowControl w:val="0"/>
              <w:jc w:val="left"/>
              <w:rPr>
                <w:sz w:val="20"/>
                <w:szCs w:val="20"/>
              </w:rPr>
            </w:pPr>
            <w:r w:rsidRPr="0066354D">
              <w:rPr>
                <w:sz w:val="20"/>
                <w:szCs w:val="20"/>
              </w:rPr>
              <w:t xml:space="preserve">Development of the cost guidelines for the phase-down of HFCs in Article 5 countries: Draft criteria for </w:t>
            </w:r>
            <w:r w:rsidR="009A2AEF" w:rsidRPr="0066354D">
              <w:rPr>
                <w:sz w:val="20"/>
                <w:szCs w:val="20"/>
              </w:rPr>
              <w:t>funding (decision 84/87)</w:t>
            </w:r>
          </w:p>
        </w:tc>
      </w:tr>
      <w:tr w:rsidR="00327EC3" w:rsidRPr="0066354D" w14:paraId="708B0D4C" w14:textId="77777777" w:rsidTr="00A61DB3">
        <w:trPr>
          <w:cantSplit/>
        </w:trPr>
        <w:tc>
          <w:tcPr>
            <w:tcW w:w="529" w:type="dxa"/>
            <w:tcMar>
              <w:right w:w="173" w:type="dxa"/>
            </w:tcMar>
          </w:tcPr>
          <w:p w14:paraId="4A809A45" w14:textId="354C6A86" w:rsidR="00327EC3" w:rsidRPr="0066354D" w:rsidRDefault="00083553" w:rsidP="00327EC3">
            <w:pPr>
              <w:widowControl w:val="0"/>
              <w:jc w:val="right"/>
              <w:rPr>
                <w:sz w:val="20"/>
                <w:szCs w:val="20"/>
              </w:rPr>
            </w:pPr>
            <w:r w:rsidRPr="0066354D">
              <w:rPr>
                <w:sz w:val="20"/>
                <w:szCs w:val="20"/>
              </w:rPr>
              <w:t>56</w:t>
            </w:r>
          </w:p>
        </w:tc>
        <w:tc>
          <w:tcPr>
            <w:tcW w:w="2798" w:type="dxa"/>
          </w:tcPr>
          <w:p w14:paraId="42AB2993" w14:textId="35EF5AD7"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87/45</w:t>
            </w:r>
          </w:p>
        </w:tc>
        <w:tc>
          <w:tcPr>
            <w:tcW w:w="6028" w:type="dxa"/>
          </w:tcPr>
          <w:p w14:paraId="3B66C472" w14:textId="1165EBCF" w:rsidR="00327EC3" w:rsidRPr="0066354D" w:rsidRDefault="009A2AEF" w:rsidP="009A2AEF">
            <w:pPr>
              <w:widowControl w:val="0"/>
              <w:jc w:val="left"/>
              <w:rPr>
                <w:sz w:val="20"/>
                <w:szCs w:val="20"/>
              </w:rPr>
            </w:pPr>
            <w:r w:rsidRPr="0066354D">
              <w:rPr>
                <w:rFonts w:eastAsia="Calibri"/>
                <w:sz w:val="20"/>
                <w:szCs w:val="20"/>
                <w:lang w:eastAsia="en-CA"/>
              </w:rPr>
              <w:t>P</w:t>
            </w:r>
            <w:r w:rsidR="00327EC3" w:rsidRPr="0066354D">
              <w:rPr>
                <w:rFonts w:eastAsia="Calibri"/>
                <w:sz w:val="20"/>
                <w:szCs w:val="20"/>
                <w:lang w:eastAsia="en-CA"/>
              </w:rPr>
              <w:t>otential strategies, policy measures and commitments, as well as projects and activities that could be integrated within stage I of HFC phase-down plans for Article 5 countries (decision 84/54(b))</w:t>
            </w:r>
          </w:p>
        </w:tc>
      </w:tr>
      <w:tr w:rsidR="00327EC3" w:rsidRPr="0066354D" w14:paraId="3E2467B9" w14:textId="77777777" w:rsidTr="00A61DB3">
        <w:trPr>
          <w:cantSplit/>
        </w:trPr>
        <w:tc>
          <w:tcPr>
            <w:tcW w:w="529" w:type="dxa"/>
            <w:tcMar>
              <w:right w:w="173" w:type="dxa"/>
            </w:tcMar>
          </w:tcPr>
          <w:p w14:paraId="053400FB" w14:textId="205FA620" w:rsidR="00327EC3" w:rsidRPr="0066354D" w:rsidRDefault="00083553" w:rsidP="00327EC3">
            <w:pPr>
              <w:widowControl w:val="0"/>
              <w:jc w:val="right"/>
              <w:rPr>
                <w:sz w:val="20"/>
                <w:szCs w:val="20"/>
              </w:rPr>
            </w:pPr>
            <w:r w:rsidRPr="0066354D">
              <w:rPr>
                <w:sz w:val="20"/>
                <w:szCs w:val="20"/>
              </w:rPr>
              <w:t>57</w:t>
            </w:r>
          </w:p>
        </w:tc>
        <w:tc>
          <w:tcPr>
            <w:tcW w:w="2798" w:type="dxa"/>
          </w:tcPr>
          <w:p w14:paraId="3716529C" w14:textId="37701C92"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87/46</w:t>
            </w:r>
          </w:p>
        </w:tc>
        <w:tc>
          <w:tcPr>
            <w:tcW w:w="6028" w:type="dxa"/>
          </w:tcPr>
          <w:p w14:paraId="6E6BF1B4" w14:textId="2E93E62A" w:rsidR="00327EC3" w:rsidRPr="0066354D" w:rsidRDefault="00327EC3" w:rsidP="009A2AEF">
            <w:pPr>
              <w:widowControl w:val="0"/>
              <w:jc w:val="left"/>
              <w:rPr>
                <w:sz w:val="20"/>
                <w:szCs w:val="20"/>
              </w:rPr>
            </w:pPr>
            <w:r w:rsidRPr="0066354D">
              <w:rPr>
                <w:rFonts w:eastAsia="Calibri"/>
                <w:sz w:val="20"/>
                <w:szCs w:val="20"/>
                <w:lang w:eastAsia="en-CA"/>
              </w:rPr>
              <w:t>Draft guidelines for the preparation of HFC phase-down plans for Article 5 countries</w:t>
            </w:r>
            <w:r w:rsidR="009A2AEF" w:rsidRPr="0066354D">
              <w:rPr>
                <w:rFonts w:eastAsia="Calibri"/>
                <w:sz w:val="20"/>
                <w:szCs w:val="20"/>
                <w:lang w:eastAsia="en-CA"/>
              </w:rPr>
              <w:t xml:space="preserve"> (decision 86/93)</w:t>
            </w:r>
          </w:p>
        </w:tc>
      </w:tr>
      <w:tr w:rsidR="00327EC3" w:rsidRPr="0066354D" w14:paraId="7C46093B" w14:textId="77777777" w:rsidTr="00A61DB3">
        <w:trPr>
          <w:cantSplit/>
        </w:trPr>
        <w:tc>
          <w:tcPr>
            <w:tcW w:w="529" w:type="dxa"/>
            <w:tcMar>
              <w:right w:w="173" w:type="dxa"/>
            </w:tcMar>
          </w:tcPr>
          <w:p w14:paraId="60AF6EDD" w14:textId="064EC80F" w:rsidR="00327EC3" w:rsidRPr="0066354D" w:rsidRDefault="00083553" w:rsidP="00327EC3">
            <w:pPr>
              <w:widowControl w:val="0"/>
              <w:jc w:val="right"/>
              <w:rPr>
                <w:sz w:val="20"/>
                <w:szCs w:val="20"/>
              </w:rPr>
            </w:pPr>
            <w:r w:rsidRPr="0066354D">
              <w:rPr>
                <w:sz w:val="20"/>
                <w:szCs w:val="20"/>
              </w:rPr>
              <w:t>58</w:t>
            </w:r>
          </w:p>
        </w:tc>
        <w:tc>
          <w:tcPr>
            <w:tcW w:w="2798" w:type="dxa"/>
          </w:tcPr>
          <w:p w14:paraId="453CEEA6" w14:textId="5C04CA53"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87/47</w:t>
            </w:r>
          </w:p>
        </w:tc>
        <w:tc>
          <w:tcPr>
            <w:tcW w:w="6028" w:type="dxa"/>
          </w:tcPr>
          <w:p w14:paraId="4D9C3264" w14:textId="75DB0872" w:rsidR="00327EC3" w:rsidRPr="0066354D" w:rsidRDefault="00327EC3" w:rsidP="00327EC3">
            <w:pPr>
              <w:widowControl w:val="0"/>
              <w:jc w:val="left"/>
              <w:rPr>
                <w:sz w:val="20"/>
                <w:szCs w:val="20"/>
              </w:rPr>
            </w:pPr>
            <w:r w:rsidRPr="0066354D">
              <w:rPr>
                <w:rFonts w:eastAsia="Calibri"/>
                <w:sz w:val="20"/>
                <w:szCs w:val="20"/>
                <w:lang w:eastAsia="en-CA"/>
              </w:rPr>
              <w:t>Analysis of the level and modalities of funding for HFC phase</w:t>
            </w:r>
            <w:r w:rsidRPr="0066354D">
              <w:rPr>
                <w:rFonts w:eastAsia="Calibri"/>
                <w:sz w:val="20"/>
                <w:szCs w:val="20"/>
                <w:lang w:eastAsia="en-CA"/>
              </w:rPr>
              <w:noBreakHyphen/>
              <w:t>down in the refrigeration servicing sector (decisions 83/65(b) and 84/86(b)(ii))</w:t>
            </w:r>
          </w:p>
        </w:tc>
      </w:tr>
      <w:tr w:rsidR="00327EC3" w:rsidRPr="0066354D" w14:paraId="15E139BE" w14:textId="77777777" w:rsidTr="00A61DB3">
        <w:trPr>
          <w:cantSplit/>
        </w:trPr>
        <w:tc>
          <w:tcPr>
            <w:tcW w:w="529" w:type="dxa"/>
            <w:tcMar>
              <w:right w:w="173" w:type="dxa"/>
            </w:tcMar>
          </w:tcPr>
          <w:p w14:paraId="0A731AD9" w14:textId="1ACE01DB" w:rsidR="00327EC3" w:rsidRPr="0066354D" w:rsidRDefault="00083553" w:rsidP="00327EC3">
            <w:pPr>
              <w:widowControl w:val="0"/>
              <w:jc w:val="right"/>
              <w:rPr>
                <w:sz w:val="20"/>
                <w:szCs w:val="20"/>
              </w:rPr>
            </w:pPr>
            <w:r w:rsidRPr="0066354D">
              <w:rPr>
                <w:sz w:val="20"/>
                <w:szCs w:val="20"/>
              </w:rPr>
              <w:t>59</w:t>
            </w:r>
          </w:p>
        </w:tc>
        <w:tc>
          <w:tcPr>
            <w:tcW w:w="2798" w:type="dxa"/>
          </w:tcPr>
          <w:p w14:paraId="7CD9A4FC" w14:textId="51992D93"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87/48</w:t>
            </w:r>
          </w:p>
        </w:tc>
        <w:tc>
          <w:tcPr>
            <w:tcW w:w="6028" w:type="dxa"/>
          </w:tcPr>
          <w:p w14:paraId="449B538E" w14:textId="6EDFECAE" w:rsidR="00327EC3" w:rsidRPr="0066354D" w:rsidRDefault="00327EC3" w:rsidP="00327EC3">
            <w:pPr>
              <w:widowControl w:val="0"/>
              <w:jc w:val="left"/>
              <w:rPr>
                <w:sz w:val="20"/>
                <w:szCs w:val="20"/>
              </w:rPr>
            </w:pPr>
            <w:r w:rsidRPr="0066354D">
              <w:rPr>
                <w:rFonts w:eastAsia="Calibri"/>
                <w:sz w:val="20"/>
                <w:szCs w:val="20"/>
                <w:lang w:eastAsia="en-CA"/>
              </w:rPr>
              <w:t>A synthesis report describing best practices and ways for the Executive Committee to consider operationalizing paragraph 24 of decision XXVIII/2 (decision 84/87(b))</w:t>
            </w:r>
          </w:p>
        </w:tc>
      </w:tr>
      <w:tr w:rsidR="00327EC3" w:rsidRPr="0066354D" w14:paraId="75C19AAC" w14:textId="77777777" w:rsidTr="00A61DB3">
        <w:trPr>
          <w:cantSplit/>
        </w:trPr>
        <w:tc>
          <w:tcPr>
            <w:tcW w:w="529" w:type="dxa"/>
            <w:tcMar>
              <w:right w:w="173" w:type="dxa"/>
            </w:tcMar>
          </w:tcPr>
          <w:p w14:paraId="44512A48" w14:textId="3D9FB3BB" w:rsidR="00327EC3" w:rsidRPr="0066354D" w:rsidRDefault="00083553" w:rsidP="00327EC3">
            <w:pPr>
              <w:widowControl w:val="0"/>
              <w:jc w:val="right"/>
              <w:rPr>
                <w:sz w:val="20"/>
                <w:szCs w:val="20"/>
              </w:rPr>
            </w:pPr>
            <w:r w:rsidRPr="0066354D">
              <w:rPr>
                <w:sz w:val="20"/>
                <w:szCs w:val="20"/>
              </w:rPr>
              <w:t>60</w:t>
            </w:r>
          </w:p>
        </w:tc>
        <w:tc>
          <w:tcPr>
            <w:tcW w:w="2798" w:type="dxa"/>
          </w:tcPr>
          <w:p w14:paraId="78CFD475" w14:textId="25995EAC"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87/49</w:t>
            </w:r>
          </w:p>
        </w:tc>
        <w:tc>
          <w:tcPr>
            <w:tcW w:w="6028" w:type="dxa"/>
          </w:tcPr>
          <w:p w14:paraId="58169792" w14:textId="27C4B9FF" w:rsidR="00327EC3" w:rsidRPr="0066354D" w:rsidRDefault="00327EC3" w:rsidP="009A2AEF">
            <w:pPr>
              <w:widowControl w:val="0"/>
              <w:jc w:val="left"/>
              <w:rPr>
                <w:sz w:val="20"/>
                <w:szCs w:val="20"/>
              </w:rPr>
            </w:pPr>
            <w:r w:rsidRPr="0066354D">
              <w:rPr>
                <w:rFonts w:eastAsia="Calibri"/>
                <w:sz w:val="20"/>
                <w:szCs w:val="20"/>
                <w:lang w:eastAsia="en-CA"/>
              </w:rPr>
              <w:t xml:space="preserve">Analysis of the incremental </w:t>
            </w:r>
            <w:r w:rsidR="009A2AEF" w:rsidRPr="0066354D">
              <w:rPr>
                <w:rFonts w:eastAsia="Calibri"/>
                <w:sz w:val="20"/>
                <w:szCs w:val="20"/>
                <w:lang w:eastAsia="en-CA"/>
              </w:rPr>
              <w:t xml:space="preserve">capital </w:t>
            </w:r>
            <w:r w:rsidRPr="0066354D">
              <w:rPr>
                <w:rFonts w:eastAsia="Calibri"/>
                <w:sz w:val="20"/>
                <w:szCs w:val="20"/>
                <w:lang w:eastAsia="en-CA"/>
              </w:rPr>
              <w:t xml:space="preserve">costs and </w:t>
            </w:r>
            <w:r w:rsidR="009A2AEF" w:rsidRPr="0066354D">
              <w:rPr>
                <w:rFonts w:eastAsia="Calibri"/>
                <w:sz w:val="20"/>
                <w:szCs w:val="20"/>
                <w:lang w:eastAsia="en-CA"/>
              </w:rPr>
              <w:t>incremental operating costs and their duration, and the cost-</w:t>
            </w:r>
            <w:r w:rsidRPr="0066354D">
              <w:rPr>
                <w:rFonts w:eastAsia="Calibri"/>
                <w:sz w:val="20"/>
                <w:szCs w:val="20"/>
                <w:lang w:eastAsia="en-CA"/>
              </w:rPr>
              <w:t>effectiveness of all approved investment projects in the relevant manufacturing sectors and sub</w:t>
            </w:r>
            <w:r w:rsidR="009A2AEF" w:rsidRPr="0066354D">
              <w:rPr>
                <w:rFonts w:eastAsia="Calibri"/>
                <w:sz w:val="20"/>
                <w:szCs w:val="20"/>
                <w:lang w:eastAsia="en-CA"/>
              </w:rPr>
              <w:noBreakHyphen/>
            </w:r>
            <w:r w:rsidRPr="0066354D">
              <w:rPr>
                <w:rFonts w:eastAsia="Calibri"/>
                <w:sz w:val="20"/>
                <w:szCs w:val="20"/>
                <w:lang w:eastAsia="en-CA"/>
              </w:rPr>
              <w:t>sectors (decision 84/87(a))</w:t>
            </w:r>
          </w:p>
        </w:tc>
      </w:tr>
      <w:tr w:rsidR="00327EC3" w:rsidRPr="0066354D" w14:paraId="138647A0" w14:textId="77777777" w:rsidTr="00A61DB3">
        <w:trPr>
          <w:cantSplit/>
        </w:trPr>
        <w:tc>
          <w:tcPr>
            <w:tcW w:w="529" w:type="dxa"/>
            <w:tcMar>
              <w:right w:w="173" w:type="dxa"/>
            </w:tcMar>
          </w:tcPr>
          <w:p w14:paraId="5D78B635" w14:textId="7552041B" w:rsidR="00327EC3" w:rsidRPr="0066354D" w:rsidRDefault="00083553" w:rsidP="00327EC3">
            <w:pPr>
              <w:widowControl w:val="0"/>
              <w:jc w:val="right"/>
              <w:rPr>
                <w:sz w:val="20"/>
                <w:szCs w:val="20"/>
              </w:rPr>
            </w:pPr>
            <w:r w:rsidRPr="0066354D">
              <w:rPr>
                <w:sz w:val="20"/>
                <w:szCs w:val="20"/>
              </w:rPr>
              <w:t>61</w:t>
            </w:r>
          </w:p>
        </w:tc>
        <w:tc>
          <w:tcPr>
            <w:tcW w:w="2798" w:type="dxa"/>
          </w:tcPr>
          <w:p w14:paraId="7AF2EB43" w14:textId="5D0040D2"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87/50</w:t>
            </w:r>
          </w:p>
        </w:tc>
        <w:tc>
          <w:tcPr>
            <w:tcW w:w="6028" w:type="dxa"/>
          </w:tcPr>
          <w:p w14:paraId="54386BA4" w14:textId="5DFD1A29" w:rsidR="00327EC3" w:rsidRPr="0066354D" w:rsidRDefault="00327EC3" w:rsidP="009A2AEF">
            <w:pPr>
              <w:widowControl w:val="0"/>
              <w:jc w:val="left"/>
              <w:rPr>
                <w:sz w:val="20"/>
                <w:szCs w:val="20"/>
              </w:rPr>
            </w:pPr>
            <w:r w:rsidRPr="0066354D">
              <w:rPr>
                <w:sz w:val="20"/>
                <w:szCs w:val="20"/>
                <w:lang w:val="en-US"/>
              </w:rPr>
              <w:t>Paper on ways to operationalize paragraph 16 of decision XXVIII/2 and paragraph 2 of decision XXX/5 of the Parties (decision</w:t>
            </w:r>
            <w:r w:rsidR="009A2AEF" w:rsidRPr="0066354D">
              <w:rPr>
                <w:sz w:val="20"/>
                <w:szCs w:val="20"/>
                <w:lang w:val="en-US"/>
              </w:rPr>
              <w:t> </w:t>
            </w:r>
            <w:r w:rsidRPr="0066354D">
              <w:rPr>
                <w:sz w:val="20"/>
                <w:szCs w:val="20"/>
                <w:lang w:val="en-US"/>
              </w:rPr>
              <w:t>84/88)</w:t>
            </w:r>
          </w:p>
        </w:tc>
      </w:tr>
      <w:tr w:rsidR="00327EC3" w:rsidRPr="0066354D" w14:paraId="71F6EE4F" w14:textId="77777777" w:rsidTr="00A61DB3">
        <w:trPr>
          <w:cantSplit/>
        </w:trPr>
        <w:tc>
          <w:tcPr>
            <w:tcW w:w="529" w:type="dxa"/>
            <w:tcMar>
              <w:right w:w="173" w:type="dxa"/>
            </w:tcMar>
          </w:tcPr>
          <w:p w14:paraId="7D80E708" w14:textId="0ACC12AB" w:rsidR="00327EC3" w:rsidRPr="0066354D" w:rsidRDefault="00083553" w:rsidP="00327EC3">
            <w:pPr>
              <w:widowControl w:val="0"/>
              <w:jc w:val="right"/>
              <w:rPr>
                <w:sz w:val="20"/>
                <w:szCs w:val="20"/>
              </w:rPr>
            </w:pPr>
            <w:r w:rsidRPr="0066354D">
              <w:rPr>
                <w:sz w:val="20"/>
                <w:szCs w:val="20"/>
              </w:rPr>
              <w:t>62</w:t>
            </w:r>
          </w:p>
        </w:tc>
        <w:tc>
          <w:tcPr>
            <w:tcW w:w="2798" w:type="dxa"/>
          </w:tcPr>
          <w:p w14:paraId="552C1E7B" w14:textId="1AB7C6D3"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87/51</w:t>
            </w:r>
          </w:p>
        </w:tc>
        <w:tc>
          <w:tcPr>
            <w:tcW w:w="6028" w:type="dxa"/>
          </w:tcPr>
          <w:p w14:paraId="189A4933" w14:textId="4198B840" w:rsidR="00327EC3" w:rsidRPr="0066354D" w:rsidRDefault="00327EC3" w:rsidP="009A2AEF">
            <w:pPr>
              <w:widowControl w:val="0"/>
              <w:jc w:val="left"/>
              <w:rPr>
                <w:sz w:val="20"/>
                <w:szCs w:val="20"/>
              </w:rPr>
            </w:pPr>
            <w:r w:rsidRPr="0066354D">
              <w:rPr>
                <w:sz w:val="20"/>
                <w:szCs w:val="20"/>
              </w:rPr>
              <w:t xml:space="preserve">Framework for </w:t>
            </w:r>
            <w:r w:rsidRPr="0066354D">
              <w:rPr>
                <w:rFonts w:eastAsia="Calibri"/>
                <w:sz w:val="20"/>
                <w:szCs w:val="20"/>
                <w:lang w:eastAsia="en-CA"/>
              </w:rPr>
              <w:t>consultations with relevant funds and financial institutions to explore the mobilization of additional financial resources for maintaining or enhancing energy efficiency when replacing HFCs with low</w:t>
            </w:r>
            <w:r w:rsidR="009A2AEF" w:rsidRPr="0066354D">
              <w:rPr>
                <w:rFonts w:eastAsia="Calibri"/>
                <w:sz w:val="20"/>
                <w:szCs w:val="20"/>
                <w:lang w:eastAsia="en-CA"/>
              </w:rPr>
              <w:t>-</w:t>
            </w:r>
            <w:r w:rsidRPr="0066354D">
              <w:rPr>
                <w:rFonts w:eastAsia="Calibri"/>
                <w:sz w:val="20"/>
                <w:szCs w:val="20"/>
                <w:lang w:eastAsia="en-CA"/>
              </w:rPr>
              <w:t>global-warming</w:t>
            </w:r>
            <w:r w:rsidR="009A2AEF" w:rsidRPr="0066354D">
              <w:rPr>
                <w:rFonts w:eastAsia="Calibri"/>
                <w:sz w:val="20"/>
                <w:szCs w:val="20"/>
                <w:lang w:eastAsia="en-CA"/>
              </w:rPr>
              <w:t>-</w:t>
            </w:r>
            <w:r w:rsidRPr="0066354D">
              <w:rPr>
                <w:rFonts w:eastAsia="Calibri"/>
                <w:sz w:val="20"/>
                <w:szCs w:val="20"/>
                <w:lang w:eastAsia="en-CA"/>
              </w:rPr>
              <w:t>potential refrigerants in the refrigeration and air</w:t>
            </w:r>
            <w:r w:rsidRPr="0066354D">
              <w:rPr>
                <w:rFonts w:eastAsia="Calibri"/>
                <w:sz w:val="20"/>
                <w:szCs w:val="20"/>
                <w:lang w:eastAsia="en-CA"/>
              </w:rPr>
              <w:noBreakHyphen/>
              <w:t xml:space="preserve">conditioning sector </w:t>
            </w:r>
            <w:r w:rsidRPr="0066354D">
              <w:rPr>
                <w:sz w:val="20"/>
                <w:szCs w:val="20"/>
              </w:rPr>
              <w:t>(decision</w:t>
            </w:r>
            <w:r w:rsidR="009A2AEF" w:rsidRPr="0066354D">
              <w:rPr>
                <w:sz w:val="20"/>
                <w:szCs w:val="20"/>
              </w:rPr>
              <w:t> </w:t>
            </w:r>
            <w:r w:rsidRPr="0066354D">
              <w:rPr>
                <w:sz w:val="20"/>
                <w:szCs w:val="20"/>
              </w:rPr>
              <w:t>8</w:t>
            </w:r>
            <w:r w:rsidR="009A2AEF" w:rsidRPr="0066354D">
              <w:rPr>
                <w:sz w:val="20"/>
                <w:szCs w:val="20"/>
              </w:rPr>
              <w:t>6</w:t>
            </w:r>
            <w:r w:rsidRPr="0066354D">
              <w:rPr>
                <w:sz w:val="20"/>
                <w:szCs w:val="20"/>
              </w:rPr>
              <w:t>/</w:t>
            </w:r>
            <w:r w:rsidR="009A2AEF" w:rsidRPr="0066354D">
              <w:rPr>
                <w:sz w:val="20"/>
                <w:szCs w:val="20"/>
              </w:rPr>
              <w:t>94</w:t>
            </w:r>
            <w:r w:rsidRPr="0066354D">
              <w:rPr>
                <w:sz w:val="20"/>
                <w:szCs w:val="20"/>
              </w:rPr>
              <w:t>)</w:t>
            </w:r>
          </w:p>
        </w:tc>
      </w:tr>
      <w:tr w:rsidR="00327EC3" w:rsidRPr="0066354D" w14:paraId="344FB112" w14:textId="77777777" w:rsidTr="00A61DB3">
        <w:trPr>
          <w:cantSplit/>
        </w:trPr>
        <w:tc>
          <w:tcPr>
            <w:tcW w:w="529" w:type="dxa"/>
            <w:tcMar>
              <w:right w:w="173" w:type="dxa"/>
            </w:tcMar>
          </w:tcPr>
          <w:p w14:paraId="1EEB3626" w14:textId="76035CD8" w:rsidR="00327EC3" w:rsidRPr="0066354D" w:rsidRDefault="00083553" w:rsidP="00327EC3">
            <w:pPr>
              <w:widowControl w:val="0"/>
              <w:jc w:val="right"/>
              <w:rPr>
                <w:sz w:val="20"/>
                <w:szCs w:val="20"/>
              </w:rPr>
            </w:pPr>
            <w:r w:rsidRPr="0066354D">
              <w:rPr>
                <w:sz w:val="20"/>
                <w:szCs w:val="20"/>
              </w:rPr>
              <w:t>63</w:t>
            </w:r>
          </w:p>
        </w:tc>
        <w:tc>
          <w:tcPr>
            <w:tcW w:w="2798" w:type="dxa"/>
          </w:tcPr>
          <w:p w14:paraId="40891603" w14:textId="375950E6"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87/52</w:t>
            </w:r>
          </w:p>
        </w:tc>
        <w:tc>
          <w:tcPr>
            <w:tcW w:w="6028" w:type="dxa"/>
          </w:tcPr>
          <w:p w14:paraId="661E527F" w14:textId="7A51CA03" w:rsidR="00327EC3" w:rsidRPr="0066354D" w:rsidRDefault="00327EC3" w:rsidP="009A2AEF">
            <w:pPr>
              <w:widowControl w:val="0"/>
              <w:jc w:val="left"/>
              <w:rPr>
                <w:sz w:val="20"/>
                <w:szCs w:val="20"/>
              </w:rPr>
            </w:pPr>
            <w:r w:rsidRPr="0066354D">
              <w:rPr>
                <w:sz w:val="20"/>
                <w:szCs w:val="20"/>
              </w:rPr>
              <w:t>Key aspects related to HFC-23 by-product control technologies (decisions 8</w:t>
            </w:r>
            <w:r w:rsidR="009A2AEF" w:rsidRPr="0066354D">
              <w:rPr>
                <w:sz w:val="20"/>
                <w:szCs w:val="20"/>
              </w:rPr>
              <w:t>6</w:t>
            </w:r>
            <w:r w:rsidRPr="0066354D">
              <w:rPr>
                <w:sz w:val="20"/>
                <w:szCs w:val="20"/>
              </w:rPr>
              <w:t>/9</w:t>
            </w:r>
            <w:r w:rsidR="009A2AEF" w:rsidRPr="0066354D">
              <w:rPr>
                <w:sz w:val="20"/>
                <w:szCs w:val="20"/>
              </w:rPr>
              <w:t>5</w:t>
            </w:r>
            <w:r w:rsidRPr="0066354D">
              <w:rPr>
                <w:sz w:val="20"/>
                <w:szCs w:val="20"/>
              </w:rPr>
              <w:t xml:space="preserve"> and 8</w:t>
            </w:r>
            <w:r w:rsidR="009A2AEF" w:rsidRPr="0066354D">
              <w:rPr>
                <w:sz w:val="20"/>
                <w:szCs w:val="20"/>
              </w:rPr>
              <w:t>6</w:t>
            </w:r>
            <w:r w:rsidRPr="0066354D">
              <w:rPr>
                <w:sz w:val="20"/>
                <w:szCs w:val="20"/>
              </w:rPr>
              <w:t>/9</w:t>
            </w:r>
            <w:r w:rsidR="009A2AEF" w:rsidRPr="0066354D">
              <w:rPr>
                <w:sz w:val="20"/>
                <w:szCs w:val="20"/>
              </w:rPr>
              <w:t>6</w:t>
            </w:r>
            <w:r w:rsidRPr="0066354D">
              <w:rPr>
                <w:sz w:val="20"/>
                <w:szCs w:val="20"/>
              </w:rPr>
              <w:t>)</w:t>
            </w:r>
          </w:p>
        </w:tc>
      </w:tr>
      <w:tr w:rsidR="00327EC3" w:rsidRPr="0066354D" w14:paraId="322FCDD3" w14:textId="77777777" w:rsidTr="00A61DB3">
        <w:trPr>
          <w:cantSplit/>
        </w:trPr>
        <w:tc>
          <w:tcPr>
            <w:tcW w:w="529" w:type="dxa"/>
            <w:tcMar>
              <w:right w:w="173" w:type="dxa"/>
            </w:tcMar>
          </w:tcPr>
          <w:p w14:paraId="76E877E7" w14:textId="365F905D" w:rsidR="00327EC3" w:rsidRPr="0066354D" w:rsidRDefault="00083553" w:rsidP="00327EC3">
            <w:pPr>
              <w:widowControl w:val="0"/>
              <w:jc w:val="right"/>
              <w:rPr>
                <w:sz w:val="20"/>
                <w:szCs w:val="20"/>
              </w:rPr>
            </w:pPr>
            <w:r w:rsidRPr="0066354D">
              <w:rPr>
                <w:sz w:val="20"/>
                <w:szCs w:val="20"/>
              </w:rPr>
              <w:t>64</w:t>
            </w:r>
          </w:p>
        </w:tc>
        <w:tc>
          <w:tcPr>
            <w:tcW w:w="2798" w:type="dxa"/>
          </w:tcPr>
          <w:p w14:paraId="4F4CBFF2" w14:textId="249BEAC0"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87/53</w:t>
            </w:r>
          </w:p>
        </w:tc>
        <w:tc>
          <w:tcPr>
            <w:tcW w:w="6028" w:type="dxa"/>
          </w:tcPr>
          <w:p w14:paraId="4E6C7776" w14:textId="1AAE6228" w:rsidR="00327EC3" w:rsidRPr="0066354D" w:rsidRDefault="00327EC3" w:rsidP="009A2AEF">
            <w:pPr>
              <w:widowControl w:val="0"/>
              <w:jc w:val="left"/>
              <w:rPr>
                <w:sz w:val="20"/>
                <w:szCs w:val="20"/>
              </w:rPr>
            </w:pPr>
            <w:r w:rsidRPr="0066354D">
              <w:rPr>
                <w:sz w:val="20"/>
                <w:szCs w:val="20"/>
              </w:rPr>
              <w:t xml:space="preserve">Key aspects related to HFC-23 by-product control technologies: Argentina </w:t>
            </w:r>
            <w:r w:rsidR="009A2AEF" w:rsidRPr="0066354D">
              <w:rPr>
                <w:sz w:val="20"/>
                <w:szCs w:val="20"/>
              </w:rPr>
              <w:t>(decision 86/95)</w:t>
            </w:r>
          </w:p>
        </w:tc>
      </w:tr>
      <w:tr w:rsidR="00327EC3" w:rsidRPr="003E38DE" w14:paraId="7D417857" w14:textId="77777777" w:rsidTr="00A61DB3">
        <w:trPr>
          <w:cantSplit/>
        </w:trPr>
        <w:tc>
          <w:tcPr>
            <w:tcW w:w="529" w:type="dxa"/>
            <w:tcMar>
              <w:right w:w="173" w:type="dxa"/>
            </w:tcMar>
          </w:tcPr>
          <w:p w14:paraId="1DC1E953" w14:textId="2203C071" w:rsidR="00327EC3" w:rsidRPr="0066354D" w:rsidRDefault="00083553" w:rsidP="00327EC3">
            <w:pPr>
              <w:widowControl w:val="0"/>
              <w:jc w:val="right"/>
              <w:rPr>
                <w:sz w:val="20"/>
                <w:szCs w:val="20"/>
              </w:rPr>
            </w:pPr>
            <w:r w:rsidRPr="0066354D">
              <w:rPr>
                <w:sz w:val="20"/>
                <w:szCs w:val="20"/>
              </w:rPr>
              <w:t>65</w:t>
            </w:r>
          </w:p>
        </w:tc>
        <w:tc>
          <w:tcPr>
            <w:tcW w:w="2798" w:type="dxa"/>
          </w:tcPr>
          <w:p w14:paraId="3320E2A1" w14:textId="7EFAF55D" w:rsidR="00327EC3" w:rsidRPr="0066354D" w:rsidRDefault="00327EC3" w:rsidP="00327EC3">
            <w:pPr>
              <w:widowControl w:val="0"/>
              <w:rPr>
                <w:sz w:val="20"/>
                <w:szCs w:val="20"/>
              </w:rPr>
            </w:pPr>
            <w:proofErr w:type="spellStart"/>
            <w:r w:rsidRPr="0066354D">
              <w:rPr>
                <w:sz w:val="20"/>
                <w:szCs w:val="20"/>
              </w:rPr>
              <w:t>ExCom</w:t>
            </w:r>
            <w:proofErr w:type="spellEnd"/>
            <w:r w:rsidRPr="0066354D">
              <w:rPr>
                <w:sz w:val="20"/>
                <w:szCs w:val="20"/>
              </w:rPr>
              <w:t xml:space="preserve"> 87/54</w:t>
            </w:r>
          </w:p>
        </w:tc>
        <w:tc>
          <w:tcPr>
            <w:tcW w:w="6028" w:type="dxa"/>
          </w:tcPr>
          <w:p w14:paraId="0FA30D4A" w14:textId="0590232E" w:rsidR="00327EC3" w:rsidRPr="0066354D" w:rsidRDefault="00327EC3" w:rsidP="009A2AEF">
            <w:pPr>
              <w:widowControl w:val="0"/>
              <w:jc w:val="left"/>
              <w:rPr>
                <w:sz w:val="20"/>
                <w:szCs w:val="20"/>
              </w:rPr>
            </w:pPr>
            <w:r w:rsidRPr="0066354D">
              <w:rPr>
                <w:sz w:val="20"/>
                <w:szCs w:val="20"/>
              </w:rPr>
              <w:t>Key aspects related to HFC-23 by-product control technologies: Mexico</w:t>
            </w:r>
            <w:r w:rsidR="009A2AEF" w:rsidRPr="0066354D">
              <w:rPr>
                <w:sz w:val="20"/>
                <w:szCs w:val="20"/>
              </w:rPr>
              <w:t xml:space="preserve"> (decision 86/96)</w:t>
            </w:r>
            <w:r w:rsidRPr="0066354D">
              <w:rPr>
                <w:sz w:val="20"/>
                <w:szCs w:val="20"/>
              </w:rPr>
              <w:t xml:space="preserve"> </w:t>
            </w:r>
          </w:p>
        </w:tc>
      </w:tr>
    </w:tbl>
    <w:p w14:paraId="21E569E5" w14:textId="225B7648" w:rsidR="00A61DB3" w:rsidRPr="00BB2764" w:rsidRDefault="00A61DB3" w:rsidP="004E7F9C">
      <w:pPr>
        <w:pStyle w:val="Title1"/>
      </w:pPr>
    </w:p>
    <w:p w14:paraId="791C30A2" w14:textId="77777777" w:rsidR="00A61DB3" w:rsidRPr="00BB2764" w:rsidRDefault="00A61DB3" w:rsidP="00A61DB3">
      <w:pPr>
        <w:pStyle w:val="Heading1"/>
        <w:numPr>
          <w:ilvl w:val="0"/>
          <w:numId w:val="0"/>
        </w:numPr>
        <w:jc w:val="center"/>
        <w:rPr>
          <w:lang w:val="en-US"/>
        </w:rPr>
      </w:pPr>
    </w:p>
    <w:p w14:paraId="4982AAC4" w14:textId="77777777" w:rsidR="00E85409" w:rsidRPr="009B0D30" w:rsidRDefault="00E85409" w:rsidP="00A61DB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14:paraId="3FB37230" w14:textId="77777777" w:rsidTr="00A61DB3">
        <w:tc>
          <w:tcPr>
            <w:tcW w:w="1915" w:type="dxa"/>
          </w:tcPr>
          <w:p w14:paraId="34DDFB0B" w14:textId="77777777" w:rsidR="00E85409" w:rsidRPr="009B0D30" w:rsidRDefault="00E85409" w:rsidP="00A61DB3">
            <w:pPr>
              <w:jc w:val="center"/>
            </w:pPr>
          </w:p>
        </w:tc>
        <w:tc>
          <w:tcPr>
            <w:tcW w:w="1915" w:type="dxa"/>
          </w:tcPr>
          <w:p w14:paraId="42F4A6AB" w14:textId="77777777" w:rsidR="00E85409" w:rsidRPr="009B0D30" w:rsidRDefault="00E85409" w:rsidP="00A61DB3">
            <w:pPr>
              <w:jc w:val="center"/>
            </w:pPr>
          </w:p>
        </w:tc>
        <w:tc>
          <w:tcPr>
            <w:tcW w:w="1915" w:type="dxa"/>
            <w:tcBorders>
              <w:bottom w:val="single" w:sz="4" w:space="0" w:color="auto"/>
            </w:tcBorders>
          </w:tcPr>
          <w:p w14:paraId="3EAAC783" w14:textId="77777777" w:rsidR="00E85409" w:rsidRPr="009B0D30" w:rsidRDefault="00E85409" w:rsidP="00A61DB3">
            <w:pPr>
              <w:jc w:val="center"/>
            </w:pPr>
          </w:p>
        </w:tc>
        <w:tc>
          <w:tcPr>
            <w:tcW w:w="1915" w:type="dxa"/>
          </w:tcPr>
          <w:p w14:paraId="38B4BAD1" w14:textId="77777777" w:rsidR="00E85409" w:rsidRPr="009B0D30" w:rsidRDefault="00E85409" w:rsidP="00A61DB3">
            <w:pPr>
              <w:jc w:val="center"/>
            </w:pPr>
          </w:p>
        </w:tc>
        <w:tc>
          <w:tcPr>
            <w:tcW w:w="1916" w:type="dxa"/>
          </w:tcPr>
          <w:p w14:paraId="086FAFAF" w14:textId="77777777" w:rsidR="00E85409" w:rsidRPr="009B0D30" w:rsidRDefault="00E85409" w:rsidP="00A61DB3">
            <w:pPr>
              <w:jc w:val="center"/>
            </w:pPr>
          </w:p>
        </w:tc>
      </w:tr>
    </w:tbl>
    <w:p w14:paraId="62307C51" w14:textId="77777777" w:rsidR="00E85409" w:rsidRPr="009B0D30" w:rsidRDefault="00E85409" w:rsidP="00A61DB3">
      <w:pPr>
        <w:jc w:val="center"/>
      </w:pPr>
    </w:p>
    <w:sectPr w:rsidR="00E85409" w:rsidRPr="009B0D30" w:rsidSect="00A61DB3">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824892" w16cid:durableId="248EDDCE"/>
  <w16cid:commentId w16cid:paraId="508E1EA4" w16cid:durableId="248EDDCF"/>
  <w16cid:commentId w16cid:paraId="015E0530" w16cid:durableId="248EDD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7B7F" w14:textId="77777777" w:rsidR="009217FE" w:rsidRDefault="009217FE" w:rsidP="004A504B">
      <w:r>
        <w:separator/>
      </w:r>
    </w:p>
  </w:endnote>
  <w:endnote w:type="continuationSeparator" w:id="0">
    <w:p w14:paraId="5887CD5E" w14:textId="77777777" w:rsidR="009217FE" w:rsidRDefault="009217F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6221" w14:textId="77952314" w:rsidR="009217FE" w:rsidRPr="0033525D" w:rsidRDefault="009217FE">
    <w:pPr>
      <w:jc w:val="center"/>
    </w:pPr>
    <w:r>
      <w:fldChar w:fldCharType="begin"/>
    </w:r>
    <w:r>
      <w:instrText xml:space="preserve"> PAGE </w:instrText>
    </w:r>
    <w:r>
      <w:fldChar w:fldCharType="separate"/>
    </w:r>
    <w:r w:rsidR="002D7CB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AF50" w14:textId="4EA241ED" w:rsidR="009217FE" w:rsidRPr="0033525D" w:rsidRDefault="009217FE">
    <w:pPr>
      <w:jc w:val="center"/>
    </w:pPr>
    <w:r>
      <w:fldChar w:fldCharType="begin"/>
    </w:r>
    <w:r>
      <w:instrText xml:space="preserve"> PAGE </w:instrText>
    </w:r>
    <w:r>
      <w:fldChar w:fldCharType="separate"/>
    </w:r>
    <w:r w:rsidR="002D7CB8">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3CB8"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9D963C5"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EB40"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A57D602"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F0C1" w14:textId="68F1EB35" w:rsidR="009217FE" w:rsidRPr="0033525D" w:rsidRDefault="009217FE">
    <w:pPr>
      <w:jc w:val="center"/>
    </w:pPr>
    <w:r>
      <w:fldChar w:fldCharType="begin"/>
    </w:r>
    <w:r>
      <w:instrText xml:space="preserve"> PAGE </w:instrText>
    </w:r>
    <w:r>
      <w:fldChar w:fldCharType="separate"/>
    </w:r>
    <w:r w:rsidR="002D7CB8">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FA9B" w14:textId="16F15488" w:rsidR="009217FE" w:rsidRPr="0033525D" w:rsidRDefault="009217FE">
    <w:pPr>
      <w:jc w:val="center"/>
    </w:pPr>
    <w:r>
      <w:fldChar w:fldCharType="begin"/>
    </w:r>
    <w:r>
      <w:instrText xml:space="preserve"> PAGE </w:instrText>
    </w:r>
    <w:r>
      <w:fldChar w:fldCharType="separate"/>
    </w:r>
    <w:r w:rsidR="002D7CB8">
      <w:rPr>
        <w:noProof/>
      </w:rPr>
      <w:t>2</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1581" w14:textId="74AD7434" w:rsidR="009217FE" w:rsidRPr="0033525D" w:rsidRDefault="009217FE">
    <w:pPr>
      <w:jc w:val="center"/>
    </w:pPr>
    <w:r>
      <w:fldChar w:fldCharType="begin"/>
    </w:r>
    <w:r>
      <w:instrText xml:space="preserve"> PAGE </w:instrText>
    </w:r>
    <w:r>
      <w:fldChar w:fldCharType="separate"/>
    </w:r>
    <w:r w:rsidR="002D7CB8">
      <w:rPr>
        <w:noProof/>
      </w:rPr>
      <w:t>3</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7AF8"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120468AB" w14:textId="77777777" w:rsidR="009217FE" w:rsidRDefault="009217FE"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ED30F" w14:textId="77777777" w:rsidR="009217FE" w:rsidRDefault="009217FE" w:rsidP="004A504B">
      <w:r>
        <w:separator/>
      </w:r>
    </w:p>
  </w:footnote>
  <w:footnote w:type="continuationSeparator" w:id="0">
    <w:p w14:paraId="5D908975" w14:textId="77777777" w:rsidR="009217FE" w:rsidRDefault="009217FE" w:rsidP="004A504B">
      <w:r>
        <w:continuationSeparator/>
      </w:r>
    </w:p>
  </w:footnote>
  <w:footnote w:id="1">
    <w:p w14:paraId="53E8F3F5" w14:textId="5C43722C" w:rsidR="009217FE" w:rsidRPr="00A61DB3" w:rsidRDefault="009217FE">
      <w:pPr>
        <w:pStyle w:val="FootnoteText"/>
      </w:pPr>
      <w:r>
        <w:rPr>
          <w:rStyle w:val="FootnoteReference"/>
        </w:rPr>
        <w:footnoteRef/>
      </w:r>
      <w:r>
        <w:t xml:space="preserve"> </w:t>
      </w:r>
      <w:r w:rsidRPr="00660453">
        <w:t>Online meetings and an intersessional approval process will be held in June and July 2021 due to coronavirus disease</w:t>
      </w:r>
      <w:r w:rsidRPr="00692D14">
        <w:t xml:space="preserve"> (COVID</w:t>
      </w:r>
      <w:r>
        <w:noBreakHyphen/>
      </w:r>
      <w:r w:rsidRPr="00692D14">
        <w:t>19)</w:t>
      </w:r>
    </w:p>
  </w:footnote>
  <w:footnote w:id="2">
    <w:p w14:paraId="2AE3F212" w14:textId="77777777" w:rsidR="009217FE" w:rsidRPr="00E71D91" w:rsidRDefault="009217FE" w:rsidP="00A61DB3">
      <w:pPr>
        <w:pStyle w:val="FootnoteText"/>
      </w:pPr>
      <w:r>
        <w:rPr>
          <w:rStyle w:val="FootnoteReference"/>
        </w:rPr>
        <w:footnoteRef/>
      </w:r>
      <w:r>
        <w:t xml:space="preserve"> </w:t>
      </w:r>
      <w:r w:rsidRPr="00376CDA">
        <w:t xml:space="preserve">Decision related to the amendment phasing </w:t>
      </w:r>
      <w:r w:rsidRPr="00E71D91">
        <w:t xml:space="preserve">down </w:t>
      </w:r>
      <w:r w:rsidRPr="00AA6B47">
        <w:t>hydrofluorocarbons</w:t>
      </w:r>
      <w:r w:rsidRPr="00E71D91">
        <w:t xml:space="preserve">. It includes 40 elements, several of which are for </w:t>
      </w:r>
      <w:r>
        <w:t xml:space="preserve">the </w:t>
      </w:r>
      <w:r w:rsidRPr="00E71D91">
        <w:t xml:space="preserve">consideration </w:t>
      </w:r>
      <w:r>
        <w:t>of</w:t>
      </w:r>
      <w:r w:rsidRPr="00E71D91">
        <w:t xml:space="preserve"> the Executive Committee as they relate to the operation of the Multilateral Fund.</w:t>
      </w:r>
    </w:p>
  </w:footnote>
  <w:footnote w:id="3">
    <w:p w14:paraId="05CA5DE1" w14:textId="24AA4C4D" w:rsidR="009217FE" w:rsidRPr="00B674BE" w:rsidRDefault="009217FE" w:rsidP="00A61DB3">
      <w:pPr>
        <w:pStyle w:val="FootnoteText"/>
      </w:pPr>
      <w:r w:rsidRPr="00E71D91">
        <w:rPr>
          <w:rStyle w:val="FootnoteReference"/>
        </w:rPr>
        <w:footnoteRef/>
      </w:r>
      <w:r w:rsidRPr="00E71D91">
        <w:t xml:space="preserve"> Progress by the Executive Committee of the Multilateral Fund in</w:t>
      </w:r>
      <w:r w:rsidRPr="00B674BE">
        <w:t xml:space="preserve"> the development of guidelines for financing the phase</w:t>
      </w:r>
      <w:r>
        <w:noBreakHyphen/>
      </w:r>
      <w:r w:rsidRPr="00B674BE">
        <w:t xml:space="preserve">down of </w:t>
      </w:r>
      <w:r>
        <w:t>HFC</w:t>
      </w:r>
      <w:r w:rsidRPr="00B674BE">
        <w:t>s</w:t>
      </w:r>
      <w:r>
        <w:t>.</w:t>
      </w:r>
    </w:p>
  </w:footnote>
  <w:footnote w:id="4">
    <w:p w14:paraId="3F804333" w14:textId="77777777" w:rsidR="009217FE" w:rsidRPr="00595AF2" w:rsidRDefault="009217FE" w:rsidP="00A61DB3">
      <w:pPr>
        <w:pStyle w:val="FootnoteText"/>
      </w:pPr>
      <w:r>
        <w:rPr>
          <w:rStyle w:val="FootnoteReference"/>
        </w:rPr>
        <w:footnoteRef/>
      </w:r>
      <w:r>
        <w:t xml:space="preserve"> </w:t>
      </w:r>
      <w:r w:rsidRPr="00CF1E89">
        <w:rPr>
          <w:rStyle w:val="FootnoteReference"/>
          <w:rFonts w:eastAsiaTheme="majorEastAsia"/>
          <w:vertAlign w:val="baseline"/>
          <w:lang w:val="en-US"/>
        </w:rPr>
        <w:t>UNEP/</w:t>
      </w:r>
      <w:proofErr w:type="spellStart"/>
      <w:r w:rsidRPr="00CF1E89">
        <w:rPr>
          <w:rStyle w:val="FootnoteReference"/>
          <w:rFonts w:eastAsiaTheme="majorEastAsia"/>
          <w:vertAlign w:val="baseline"/>
          <w:lang w:val="en-US"/>
        </w:rPr>
        <w:t>OzL.Pro</w:t>
      </w:r>
      <w:proofErr w:type="spellEnd"/>
      <w:r w:rsidRPr="00CF1E89">
        <w:rPr>
          <w:rStyle w:val="FootnoteReference"/>
          <w:rFonts w:eastAsiaTheme="majorEastAsia"/>
          <w:vertAlign w:val="baseline"/>
          <w:lang w:val="en-US"/>
        </w:rPr>
        <w:t>/</w:t>
      </w:r>
      <w:proofErr w:type="spellStart"/>
      <w:r w:rsidRPr="00CF1E89">
        <w:rPr>
          <w:rStyle w:val="FootnoteReference"/>
          <w:rFonts w:eastAsiaTheme="majorEastAsia"/>
          <w:vertAlign w:val="baseline"/>
          <w:lang w:val="en-US"/>
        </w:rPr>
        <w:t>ExCom</w:t>
      </w:r>
      <w:proofErr w:type="spellEnd"/>
      <w:r w:rsidRPr="00CF1E89">
        <w:rPr>
          <w:rStyle w:val="FootnoteReference"/>
          <w:rFonts w:eastAsiaTheme="majorEastAsia"/>
          <w:vertAlign w:val="baseline"/>
          <w:lang w:val="en-US"/>
        </w:rPr>
        <w:t>/77/70</w:t>
      </w:r>
      <w:r>
        <w:rPr>
          <w:rFonts w:eastAsiaTheme="majorEastAsia"/>
          <w:lang w:val="en-US"/>
        </w:rPr>
        <w:t>/Rev.1</w:t>
      </w:r>
    </w:p>
  </w:footnote>
  <w:footnote w:id="5">
    <w:p w14:paraId="369ED9CA" w14:textId="62C42DD5" w:rsidR="009217FE" w:rsidRPr="00911A5F" w:rsidRDefault="009217FE" w:rsidP="00A61DB3">
      <w:pPr>
        <w:pStyle w:val="FootnoteText"/>
        <w:rPr>
          <w:rFonts w:eastAsiaTheme="majorEastAsia"/>
          <w:lang w:val="en-US"/>
        </w:rPr>
      </w:pPr>
      <w:r>
        <w:rPr>
          <w:rStyle w:val="FootnoteReference"/>
        </w:rPr>
        <w:footnoteRef/>
      </w:r>
      <w:r w:rsidRPr="00CF1E89">
        <w:rPr>
          <w:lang w:val="en-US"/>
        </w:rPr>
        <w:t xml:space="preserve"> </w:t>
      </w:r>
      <w:r>
        <w:rPr>
          <w:lang w:val="en-US"/>
        </w:rPr>
        <w:t xml:space="preserve">Documents on the cost guidelines submitted to the meetings of the Executive Committee are: </w:t>
      </w:r>
      <w:r w:rsidRPr="00CF1E89">
        <w:rPr>
          <w:rFonts w:eastAsiaTheme="majorEastAsia"/>
          <w:lang w:val="en-US"/>
        </w:rPr>
        <w:t>UNE</w:t>
      </w:r>
      <w:r w:rsidRPr="00CF1E89">
        <w:rPr>
          <w:rStyle w:val="FootnoteReference"/>
          <w:rFonts w:eastAsiaTheme="majorEastAsia"/>
          <w:vertAlign w:val="baseline"/>
          <w:lang w:val="en-US"/>
        </w:rPr>
        <w:t>P/</w:t>
      </w:r>
      <w:proofErr w:type="spellStart"/>
      <w:r w:rsidRPr="00CF1E89">
        <w:rPr>
          <w:rStyle w:val="FootnoteReference"/>
          <w:rFonts w:eastAsiaTheme="majorEastAsia"/>
          <w:vertAlign w:val="baseline"/>
          <w:lang w:val="en-US"/>
        </w:rPr>
        <w:t>OzL.Pro</w:t>
      </w:r>
      <w:proofErr w:type="spellEnd"/>
      <w:r w:rsidRPr="00CF1E89">
        <w:rPr>
          <w:rStyle w:val="FootnoteReference"/>
          <w:rFonts w:eastAsiaTheme="majorEastAsia"/>
          <w:vertAlign w:val="baseline"/>
          <w:lang w:val="en-US"/>
        </w:rPr>
        <w:t>/</w:t>
      </w:r>
      <w:proofErr w:type="spellStart"/>
      <w:r w:rsidRPr="00CF1E89">
        <w:rPr>
          <w:rStyle w:val="FootnoteReference"/>
          <w:rFonts w:eastAsiaTheme="majorEastAsia"/>
          <w:vertAlign w:val="baseline"/>
          <w:lang w:val="en-US"/>
        </w:rPr>
        <w:t>ExCom</w:t>
      </w:r>
      <w:proofErr w:type="spellEnd"/>
      <w:r w:rsidRPr="00CF1E89">
        <w:rPr>
          <w:rStyle w:val="FootnoteReference"/>
          <w:rFonts w:eastAsiaTheme="majorEastAsia"/>
          <w:vertAlign w:val="baseline"/>
          <w:lang w:val="en-US"/>
        </w:rPr>
        <w:t>/78/5 and Corr.1, UNEP/</w:t>
      </w:r>
      <w:proofErr w:type="spellStart"/>
      <w:r w:rsidRPr="00CF1E89">
        <w:rPr>
          <w:rStyle w:val="FootnoteReference"/>
          <w:rFonts w:eastAsiaTheme="majorEastAsia"/>
          <w:vertAlign w:val="baseline"/>
          <w:lang w:val="en-US"/>
        </w:rPr>
        <w:t>OzL.Pro</w:t>
      </w:r>
      <w:proofErr w:type="spellEnd"/>
      <w:r w:rsidRPr="00CF1E89">
        <w:rPr>
          <w:rStyle w:val="FootnoteReference"/>
          <w:rFonts w:eastAsiaTheme="majorEastAsia"/>
          <w:vertAlign w:val="baseline"/>
          <w:lang w:val="en-US"/>
        </w:rPr>
        <w:t>/</w:t>
      </w:r>
      <w:proofErr w:type="spellStart"/>
      <w:r w:rsidRPr="00CF1E89">
        <w:rPr>
          <w:rStyle w:val="FootnoteReference"/>
          <w:rFonts w:eastAsiaTheme="majorEastAsia"/>
          <w:vertAlign w:val="baseline"/>
          <w:lang w:val="en-US"/>
        </w:rPr>
        <w:t>ExCom</w:t>
      </w:r>
      <w:proofErr w:type="spellEnd"/>
      <w:r w:rsidRPr="00CF1E89">
        <w:rPr>
          <w:rStyle w:val="FootnoteReference"/>
          <w:rFonts w:eastAsiaTheme="majorEastAsia"/>
          <w:vertAlign w:val="baseline"/>
          <w:lang w:val="en-US"/>
        </w:rPr>
        <w:t>/79/46, UNEP/</w:t>
      </w:r>
      <w:proofErr w:type="spellStart"/>
      <w:r w:rsidRPr="00CF1E89">
        <w:rPr>
          <w:rStyle w:val="FootnoteReference"/>
          <w:rFonts w:eastAsiaTheme="majorEastAsia"/>
          <w:vertAlign w:val="baseline"/>
          <w:lang w:val="en-US"/>
        </w:rPr>
        <w:t>OzL.Pro</w:t>
      </w:r>
      <w:proofErr w:type="spellEnd"/>
      <w:r w:rsidRPr="00CF1E89">
        <w:rPr>
          <w:rStyle w:val="FootnoteReference"/>
          <w:rFonts w:eastAsiaTheme="majorEastAsia"/>
          <w:vertAlign w:val="baseline"/>
          <w:lang w:val="en-US"/>
        </w:rPr>
        <w:t>/</w:t>
      </w:r>
      <w:proofErr w:type="spellStart"/>
      <w:r w:rsidRPr="00CF1E89">
        <w:rPr>
          <w:rStyle w:val="FootnoteReference"/>
          <w:rFonts w:eastAsiaTheme="majorEastAsia"/>
          <w:vertAlign w:val="baseline"/>
          <w:lang w:val="en-US"/>
        </w:rPr>
        <w:t>ExCom</w:t>
      </w:r>
      <w:proofErr w:type="spellEnd"/>
      <w:r w:rsidRPr="00CF1E89">
        <w:rPr>
          <w:rStyle w:val="FootnoteReference"/>
          <w:rFonts w:eastAsiaTheme="majorEastAsia"/>
          <w:vertAlign w:val="baseline"/>
          <w:lang w:val="en-US"/>
        </w:rPr>
        <w:t>/80/</w:t>
      </w:r>
      <w:r w:rsidRPr="00700996">
        <w:rPr>
          <w:rStyle w:val="FootnoteReference"/>
          <w:rFonts w:eastAsiaTheme="majorEastAsia"/>
          <w:vertAlign w:val="baseline"/>
          <w:lang w:val="en-US"/>
        </w:rPr>
        <w:t>55, UNEP/</w:t>
      </w:r>
      <w:proofErr w:type="spellStart"/>
      <w:r w:rsidRPr="00700996">
        <w:rPr>
          <w:rStyle w:val="FootnoteReference"/>
          <w:rFonts w:eastAsiaTheme="majorEastAsia"/>
          <w:vertAlign w:val="baseline"/>
          <w:lang w:val="en-US"/>
        </w:rPr>
        <w:t>OzL.Pro</w:t>
      </w:r>
      <w:proofErr w:type="spellEnd"/>
      <w:r w:rsidRPr="00700996">
        <w:rPr>
          <w:rStyle w:val="FootnoteReference"/>
          <w:rFonts w:eastAsiaTheme="majorEastAsia"/>
          <w:vertAlign w:val="baseline"/>
          <w:lang w:val="en-US"/>
        </w:rPr>
        <w:t>/</w:t>
      </w:r>
      <w:proofErr w:type="spellStart"/>
      <w:r w:rsidRPr="00700996">
        <w:rPr>
          <w:rStyle w:val="FootnoteReference"/>
          <w:rFonts w:eastAsiaTheme="majorEastAsia"/>
          <w:vertAlign w:val="baseline"/>
          <w:lang w:val="en-US"/>
        </w:rPr>
        <w:t>ExCom</w:t>
      </w:r>
      <w:proofErr w:type="spellEnd"/>
      <w:r w:rsidRPr="00700996">
        <w:rPr>
          <w:rStyle w:val="FootnoteReference"/>
          <w:rFonts w:eastAsiaTheme="majorEastAsia"/>
          <w:vertAlign w:val="baseline"/>
          <w:lang w:val="en-US"/>
        </w:rPr>
        <w:t>/81/53</w:t>
      </w:r>
      <w:r w:rsidRPr="00700996">
        <w:rPr>
          <w:lang w:val="en-US"/>
        </w:rPr>
        <w:t xml:space="preserve">, </w:t>
      </w:r>
      <w:r w:rsidRPr="00700996">
        <w:rPr>
          <w:rStyle w:val="FootnoteReference"/>
          <w:rFonts w:eastAsiaTheme="majorEastAsia"/>
          <w:vertAlign w:val="baseline"/>
          <w:lang w:val="en-US"/>
        </w:rPr>
        <w:t>UNEP/</w:t>
      </w:r>
      <w:proofErr w:type="spellStart"/>
      <w:r w:rsidRPr="00700996">
        <w:rPr>
          <w:rStyle w:val="FootnoteReference"/>
          <w:rFonts w:eastAsiaTheme="majorEastAsia"/>
          <w:vertAlign w:val="baseline"/>
          <w:lang w:val="en-US"/>
        </w:rPr>
        <w:t>OzL.Pro</w:t>
      </w:r>
      <w:proofErr w:type="spellEnd"/>
      <w:r w:rsidRPr="00700996">
        <w:rPr>
          <w:rStyle w:val="FootnoteReference"/>
          <w:rFonts w:eastAsiaTheme="majorEastAsia"/>
          <w:vertAlign w:val="baseline"/>
          <w:lang w:val="en-US"/>
        </w:rPr>
        <w:t>/</w:t>
      </w:r>
      <w:proofErr w:type="spellStart"/>
      <w:r w:rsidRPr="00700996">
        <w:rPr>
          <w:rStyle w:val="FootnoteReference"/>
          <w:rFonts w:eastAsiaTheme="majorEastAsia"/>
          <w:vertAlign w:val="baseline"/>
          <w:lang w:val="en-US"/>
        </w:rPr>
        <w:t>ExCom</w:t>
      </w:r>
      <w:proofErr w:type="spellEnd"/>
      <w:r w:rsidRPr="00700996">
        <w:rPr>
          <w:rStyle w:val="FootnoteReference"/>
          <w:rFonts w:eastAsiaTheme="majorEastAsia"/>
          <w:vertAlign w:val="baseline"/>
          <w:lang w:val="en-US"/>
        </w:rPr>
        <w:t>/8</w:t>
      </w:r>
      <w:r w:rsidRPr="00700996">
        <w:rPr>
          <w:rFonts w:eastAsiaTheme="majorEastAsia"/>
          <w:lang w:val="en-US"/>
        </w:rPr>
        <w:t>2</w:t>
      </w:r>
      <w:r w:rsidRPr="00700996">
        <w:rPr>
          <w:rStyle w:val="FootnoteReference"/>
          <w:rFonts w:eastAsiaTheme="majorEastAsia"/>
          <w:vertAlign w:val="baseline"/>
          <w:lang w:val="en-US"/>
        </w:rPr>
        <w:t>/6</w:t>
      </w:r>
      <w:r w:rsidRPr="00700996">
        <w:rPr>
          <w:rFonts w:eastAsiaTheme="majorEastAsia"/>
          <w:lang w:val="en-US"/>
        </w:rPr>
        <w:t>7, UNEP/</w:t>
      </w:r>
      <w:proofErr w:type="spellStart"/>
      <w:r w:rsidRPr="00700996">
        <w:rPr>
          <w:rFonts w:eastAsiaTheme="majorEastAsia"/>
          <w:lang w:val="en-US"/>
        </w:rPr>
        <w:t>OzL.Pro</w:t>
      </w:r>
      <w:proofErr w:type="spellEnd"/>
      <w:r w:rsidRPr="00700996">
        <w:rPr>
          <w:rFonts w:eastAsiaTheme="majorEastAsia"/>
          <w:lang w:val="en-US"/>
        </w:rPr>
        <w:t>/</w:t>
      </w:r>
      <w:proofErr w:type="spellStart"/>
      <w:r w:rsidRPr="00700996">
        <w:rPr>
          <w:rFonts w:eastAsiaTheme="majorEastAsia"/>
          <w:lang w:val="en-US"/>
        </w:rPr>
        <w:t>ExCom</w:t>
      </w:r>
      <w:proofErr w:type="spellEnd"/>
      <w:r w:rsidRPr="00700996">
        <w:rPr>
          <w:rFonts w:eastAsiaTheme="majorEastAsia"/>
          <w:lang w:val="en-US"/>
        </w:rPr>
        <w:t>/83/43 and UNEP/</w:t>
      </w:r>
      <w:proofErr w:type="spellStart"/>
      <w:r w:rsidRPr="00700996">
        <w:rPr>
          <w:rFonts w:eastAsiaTheme="majorEastAsia"/>
          <w:lang w:val="en-US"/>
        </w:rPr>
        <w:t>OzL.Pro</w:t>
      </w:r>
      <w:proofErr w:type="spellEnd"/>
      <w:r w:rsidRPr="00700996">
        <w:rPr>
          <w:rFonts w:eastAsiaTheme="majorEastAsia"/>
          <w:lang w:val="en-US"/>
        </w:rPr>
        <w:t>/</w:t>
      </w:r>
      <w:proofErr w:type="spellStart"/>
      <w:r w:rsidRPr="00700996">
        <w:rPr>
          <w:rFonts w:eastAsiaTheme="majorEastAsia"/>
          <w:lang w:val="en-US"/>
        </w:rPr>
        <w:t>ExCom</w:t>
      </w:r>
      <w:proofErr w:type="spellEnd"/>
      <w:r w:rsidRPr="00700996">
        <w:rPr>
          <w:rFonts w:eastAsiaTheme="majorEastAsia"/>
          <w:lang w:val="en-US"/>
        </w:rPr>
        <w:t>/84/66</w:t>
      </w:r>
      <w:r>
        <w:rPr>
          <w:rFonts w:eastAsiaTheme="majorEastAsia"/>
          <w:lang w:val="en-US"/>
        </w:rPr>
        <w:t>.</w:t>
      </w:r>
    </w:p>
  </w:footnote>
  <w:footnote w:id="6">
    <w:p w14:paraId="0715E132" w14:textId="77777777" w:rsidR="009217FE" w:rsidRPr="00362229" w:rsidRDefault="009217FE" w:rsidP="00A61DB3">
      <w:pPr>
        <w:pStyle w:val="FootnoteText"/>
      </w:pPr>
      <w:r>
        <w:rPr>
          <w:rStyle w:val="FootnoteReference"/>
        </w:rPr>
        <w:footnoteRef/>
      </w:r>
      <w:r>
        <w:t xml:space="preserve"> S</w:t>
      </w:r>
      <w:r w:rsidRPr="00362229">
        <w:t xml:space="preserve">everal of </w:t>
      </w:r>
      <w:r>
        <w:t xml:space="preserve">the documents </w:t>
      </w:r>
      <w:r w:rsidRPr="00362229">
        <w:t>were updated and/or revised following their consideration by the Committee at a given meeting, and resubmitted to subsequent meetings</w:t>
      </w:r>
      <w:r>
        <w:t>.</w:t>
      </w:r>
    </w:p>
  </w:footnote>
  <w:footnote w:id="7">
    <w:p w14:paraId="6D6CE13A" w14:textId="77777777" w:rsidR="009217FE" w:rsidRPr="00241C26" w:rsidRDefault="009217FE">
      <w:pPr>
        <w:pStyle w:val="FootnoteText"/>
      </w:pPr>
      <w:r>
        <w:rPr>
          <w:rStyle w:val="FootnoteReference"/>
        </w:rPr>
        <w:footnoteRef/>
      </w:r>
      <w:r>
        <w:t xml:space="preserve"> </w:t>
      </w:r>
      <w:r w:rsidRPr="00241C26">
        <w:t>Parties to the Montreal Protocol may identify other cost items to be added to the indicative list of incremental costs emanating as a result of the conversion to low-GWP alternatives</w:t>
      </w:r>
      <w:r>
        <w:t>.</w:t>
      </w:r>
    </w:p>
  </w:footnote>
  <w:footnote w:id="8">
    <w:p w14:paraId="05095267" w14:textId="77777777" w:rsidR="009217FE" w:rsidRPr="007C638B" w:rsidRDefault="009217FE" w:rsidP="00A61DB3">
      <w:pPr>
        <w:pStyle w:val="FootnoteText"/>
      </w:pPr>
      <w:r>
        <w:rPr>
          <w:rStyle w:val="FootnoteReference"/>
        </w:rPr>
        <w:footnoteRef/>
      </w:r>
      <w:r>
        <w:t xml:space="preserve"> At its 84</w:t>
      </w:r>
      <w:r w:rsidRPr="007C638B">
        <w:rPr>
          <w:vertAlign w:val="superscript"/>
        </w:rPr>
        <w:t>th</w:t>
      </w:r>
      <w:r>
        <w:t xml:space="preserve"> meeting, </w:t>
      </w:r>
      <w:r w:rsidRPr="007C638B">
        <w:t xml:space="preserve">the </w:t>
      </w:r>
      <w:r>
        <w:t xml:space="preserve">Executive </w:t>
      </w:r>
      <w:r w:rsidRPr="007C638B">
        <w:t xml:space="preserve">Committee took note of the updated summary of the report by the </w:t>
      </w:r>
      <w:r>
        <w:t>TEAP (</w:t>
      </w:r>
      <w:r w:rsidRPr="007C638B">
        <w:t>document</w:t>
      </w:r>
      <w:r>
        <w:t> </w:t>
      </w:r>
      <w:r w:rsidRPr="007C638B">
        <w:t>UNEP/</w:t>
      </w:r>
      <w:proofErr w:type="spellStart"/>
      <w:r w:rsidRPr="007C638B">
        <w:t>OzL.Pro</w:t>
      </w:r>
      <w:proofErr w:type="spellEnd"/>
      <w:r w:rsidRPr="007C638B">
        <w:t>/</w:t>
      </w:r>
      <w:proofErr w:type="spellStart"/>
      <w:r w:rsidRPr="007C638B">
        <w:t>ExCom</w:t>
      </w:r>
      <w:proofErr w:type="spellEnd"/>
      <w:r w:rsidRPr="007C638B">
        <w:t>/84/69</w:t>
      </w:r>
      <w:r>
        <w:t>),</w:t>
      </w:r>
      <w:r w:rsidRPr="007C638B">
        <w:t xml:space="preserve"> with the understanding that the Secretariat would not be required to update the summary further.</w:t>
      </w:r>
    </w:p>
  </w:footnote>
  <w:footnote w:id="9">
    <w:p w14:paraId="51AAF549" w14:textId="43F8DAEC" w:rsidR="009217FE" w:rsidRPr="006009C8" w:rsidRDefault="009217FE" w:rsidP="00A61DB3">
      <w:pPr>
        <w:pStyle w:val="Heading2"/>
        <w:numPr>
          <w:ilvl w:val="0"/>
          <w:numId w:val="0"/>
        </w:numPr>
        <w:spacing w:after="0"/>
      </w:pPr>
      <w:r>
        <w:rPr>
          <w:rStyle w:val="FootnoteReference"/>
        </w:rPr>
        <w:footnoteRef/>
      </w:r>
      <w:r>
        <w:t xml:space="preserve"> </w:t>
      </w:r>
      <w:r w:rsidRPr="006009C8">
        <w:rPr>
          <w:sz w:val="20"/>
          <w:szCs w:val="20"/>
        </w:rPr>
        <w:t>The key considerations were</w:t>
      </w:r>
      <w:r w:rsidRPr="002E0139">
        <w:rPr>
          <w:sz w:val="20"/>
          <w:szCs w:val="20"/>
        </w:rPr>
        <w:t xml:space="preserve">: </w:t>
      </w:r>
      <w:r w:rsidRPr="006009C8">
        <w:rPr>
          <w:sz w:val="20"/>
          <w:szCs w:val="20"/>
        </w:rPr>
        <w:t xml:space="preserve">the starting point as a combination of different groups of substances; the time of establishment of the starting point; the need to ensure that the methodology to determine the starting </w:t>
      </w:r>
      <w:r>
        <w:rPr>
          <w:sz w:val="20"/>
          <w:szCs w:val="20"/>
        </w:rPr>
        <w:t xml:space="preserve">point </w:t>
      </w:r>
      <w:r w:rsidRPr="006009C8">
        <w:rPr>
          <w:sz w:val="20"/>
          <w:szCs w:val="20"/>
        </w:rPr>
        <w:t>is equitable to all Article 5 countries;</w:t>
      </w:r>
      <w:r>
        <w:rPr>
          <w:sz w:val="20"/>
          <w:szCs w:val="20"/>
        </w:rPr>
        <w:t xml:space="preserve"> whether</w:t>
      </w:r>
      <w:r w:rsidRPr="006009C8">
        <w:rPr>
          <w:sz w:val="20"/>
          <w:szCs w:val="20"/>
        </w:rPr>
        <w:t xml:space="preserve"> starting points </w:t>
      </w:r>
      <w:r>
        <w:rPr>
          <w:sz w:val="20"/>
          <w:szCs w:val="20"/>
        </w:rPr>
        <w:t xml:space="preserve">should be </w:t>
      </w:r>
      <w:r w:rsidRPr="006009C8">
        <w:rPr>
          <w:sz w:val="20"/>
          <w:szCs w:val="20"/>
        </w:rPr>
        <w:t xml:space="preserve">based on pure HFCs only or on pure HFCs and HFC blends; measurement of HFC starting points in tonnage, </w:t>
      </w:r>
      <w:r w:rsidRPr="00AF1455">
        <w:rPr>
          <w:sz w:val="20"/>
          <w:szCs w:val="20"/>
        </w:rPr>
        <w:t>CO</w:t>
      </w:r>
      <w:r w:rsidRPr="00AF1455">
        <w:rPr>
          <w:sz w:val="20"/>
          <w:szCs w:val="20"/>
          <w:vertAlign w:val="subscript"/>
        </w:rPr>
        <w:t>2</w:t>
      </w:r>
      <w:r>
        <w:rPr>
          <w:sz w:val="20"/>
          <w:szCs w:val="20"/>
        </w:rPr>
        <w:t xml:space="preserve"> </w:t>
      </w:r>
      <w:r w:rsidRPr="006009C8">
        <w:rPr>
          <w:sz w:val="20"/>
          <w:szCs w:val="20"/>
        </w:rPr>
        <w:t xml:space="preserve">equivalent, and/or both additional tonnage of HFCs associated with the “HCFC component”; the HCFC baseline or the HCFC starting point as the basis for the “HCFC component”; potential double counting associated with the “HCFC component”; </w:t>
      </w:r>
      <w:r>
        <w:rPr>
          <w:sz w:val="20"/>
          <w:szCs w:val="20"/>
        </w:rPr>
        <w:t>i</w:t>
      </w:r>
      <w:r w:rsidRPr="006009C8">
        <w:rPr>
          <w:sz w:val="20"/>
          <w:szCs w:val="20"/>
        </w:rPr>
        <w:t xml:space="preserve">mport and export of controlled substances contained in pre-blended polyols; the role of the starting point in the servicing sector; </w:t>
      </w:r>
      <w:r>
        <w:rPr>
          <w:sz w:val="20"/>
          <w:szCs w:val="20"/>
        </w:rPr>
        <w:t xml:space="preserve">and </w:t>
      </w:r>
      <w:r w:rsidRPr="006009C8">
        <w:rPr>
          <w:sz w:val="20"/>
          <w:szCs w:val="20"/>
        </w:rPr>
        <w:t>the starting point for the production sector.</w:t>
      </w:r>
    </w:p>
  </w:footnote>
  <w:footnote w:id="10">
    <w:p w14:paraId="2690D061" w14:textId="77777777" w:rsidR="009217FE" w:rsidRPr="001028DE" w:rsidRDefault="009217FE" w:rsidP="00A61DB3">
      <w:pPr>
        <w:pStyle w:val="FootnoteText"/>
      </w:pPr>
      <w:r>
        <w:rPr>
          <w:rStyle w:val="FootnoteReference"/>
        </w:rPr>
        <w:footnoteRef/>
      </w:r>
      <w:r>
        <w:t xml:space="preserve"> Discussion on the “HFC component” and the “HCFC component” is presented in paragraphs 28 to 32 of document </w:t>
      </w:r>
      <w:r w:rsidRPr="001028DE">
        <w:t>UNEP/</w:t>
      </w:r>
      <w:proofErr w:type="spellStart"/>
      <w:r w:rsidRPr="001028DE">
        <w:t>OzL.Pro</w:t>
      </w:r>
      <w:proofErr w:type="spellEnd"/>
      <w:r w:rsidRPr="001028DE">
        <w:t>/</w:t>
      </w:r>
      <w:proofErr w:type="spellStart"/>
      <w:r w:rsidRPr="001028DE">
        <w:t>ExCom</w:t>
      </w:r>
      <w:proofErr w:type="spellEnd"/>
      <w:r w:rsidRPr="001028DE">
        <w:t>/82/66</w:t>
      </w:r>
      <w:r>
        <w:t>.</w:t>
      </w:r>
    </w:p>
  </w:footnote>
  <w:footnote w:id="11">
    <w:p w14:paraId="1C96F16E" w14:textId="77777777" w:rsidR="009217FE" w:rsidRPr="00935097" w:rsidRDefault="009217FE" w:rsidP="00A61DB3">
      <w:pPr>
        <w:pStyle w:val="FootnoteText"/>
      </w:pPr>
      <w:r>
        <w:rPr>
          <w:rStyle w:val="FootnoteReference"/>
        </w:rPr>
        <w:footnoteRef/>
      </w:r>
      <w:r>
        <w:t xml:space="preserve"> </w:t>
      </w:r>
      <w:r w:rsidRPr="00683E81">
        <w:rPr>
          <w:rFonts w:eastAsia="Calibri"/>
          <w:noProof/>
        </w:rPr>
        <w:t>Members agreed to include text to reflect this proposal in the working document of the contact group, contained in Annex</w:t>
      </w:r>
      <w:r>
        <w:rPr>
          <w:rFonts w:eastAsia="Calibri"/>
          <w:noProof/>
        </w:rPr>
        <w:t> </w:t>
      </w:r>
      <w:r w:rsidRPr="00683E81">
        <w:rPr>
          <w:rFonts w:eastAsia="Calibri"/>
          <w:noProof/>
        </w:rPr>
        <w:t xml:space="preserve">XIV of the report of the </w:t>
      </w:r>
      <w:r w:rsidRPr="007A66BE">
        <w:rPr>
          <w:rFonts w:eastAsia="Calibri"/>
          <w:noProof/>
        </w:rPr>
        <w:t>83</w:t>
      </w:r>
      <w:r w:rsidRPr="007A66BE">
        <w:rPr>
          <w:rFonts w:eastAsia="Calibri"/>
          <w:noProof/>
          <w:vertAlign w:val="superscript"/>
        </w:rPr>
        <w:t>rd</w:t>
      </w:r>
      <w:r w:rsidRPr="007A66BE">
        <w:rPr>
          <w:rFonts w:eastAsia="Calibri"/>
          <w:noProof/>
        </w:rPr>
        <w:t xml:space="preserve"> meeting and Annex II of the present document.</w:t>
      </w:r>
    </w:p>
  </w:footnote>
  <w:footnote w:id="12">
    <w:p w14:paraId="65B8DAC8" w14:textId="77777777" w:rsidR="009217FE" w:rsidRPr="002E35E9" w:rsidRDefault="009217FE" w:rsidP="00EB6A2A">
      <w:pPr>
        <w:pStyle w:val="FootnoteText"/>
      </w:pPr>
      <w:r>
        <w:rPr>
          <w:rStyle w:val="FootnoteReference"/>
        </w:rPr>
        <w:footnoteRef/>
      </w:r>
      <w:r>
        <w:t xml:space="preserve"> The Executive Committee </w:t>
      </w:r>
      <w:r w:rsidRPr="002E35E9">
        <w:t>consider</w:t>
      </w:r>
      <w:r>
        <w:t>ed</w:t>
      </w:r>
      <w:r w:rsidRPr="002E35E9">
        <w:t xml:space="preserve"> approving a limited number of HFC-related projects in the manufacturing sector only, without prejudice to different kinds of technology, no later than at the first meeting of 2019, to allow the Committee to gain experience in the </w:t>
      </w:r>
      <w:r>
        <w:t xml:space="preserve">ICC and IOC </w:t>
      </w:r>
      <w:r w:rsidRPr="002E35E9">
        <w:t>that might be associated with phasing down HFCs in Article</w:t>
      </w:r>
      <w:r>
        <w:t> </w:t>
      </w:r>
      <w:r w:rsidRPr="002E35E9">
        <w:t>5 countries, on the understanding: that any Article 5 country that submitted a project should have ratified the Kigali Amendment or submitted a formal letter indicating the government’s intention to ratify the Amendment; that no further funding would be available until the instrument of ratification had been received by the depositary at the Headquarters of the United Nations in New York; and that any amount of HFC reduced as a result of the project would be deducted from the starting point</w:t>
      </w:r>
      <w:r>
        <w:t>.</w:t>
      </w:r>
    </w:p>
  </w:footnote>
  <w:footnote w:id="13">
    <w:p w14:paraId="7FAE11FB" w14:textId="77777777" w:rsidR="009217FE" w:rsidRPr="006100BE" w:rsidRDefault="009217FE" w:rsidP="00A61DB3">
      <w:pPr>
        <w:pStyle w:val="FootnoteText"/>
      </w:pPr>
      <w:r>
        <w:rPr>
          <w:rStyle w:val="FootnoteReference"/>
        </w:rPr>
        <w:footnoteRef/>
      </w:r>
      <w:r>
        <w:t xml:space="preserve"> Projects under decision 78/3(g) would be considered on a case-by-case basis, should be in individual enterprises deciding to convert to mature technologies, should have broad replicability to the country or region or sector, and should take into account geographic distribution; must be fully implemented by no more than two years from the time of their approval, that the relevant project completion reports should be comprehensive with detailed information on the eligible ICC, IOC, any possible savings incurred during the conversion and relevant factors that facilitated implementation, and that any remaining funds would be returned to the Multilateral Fund no later than one year after the date of project completion as per the project proposals.</w:t>
      </w:r>
    </w:p>
  </w:footnote>
  <w:footnote w:id="14">
    <w:p w14:paraId="53F4B687" w14:textId="77777777" w:rsidR="009217FE" w:rsidRPr="006100BE" w:rsidRDefault="009217FE" w:rsidP="00A61DB3">
      <w:pPr>
        <w:pStyle w:val="FootnoteText"/>
        <w:rPr>
          <w:lang w:val="en-US"/>
        </w:rPr>
      </w:pPr>
      <w:r>
        <w:rPr>
          <w:rStyle w:val="FootnoteReference"/>
        </w:rPr>
        <w:footnoteRef/>
      </w:r>
      <w:r>
        <w:t xml:space="preserve"> HFC </w:t>
      </w:r>
      <w:r w:rsidRPr="001D2990">
        <w:t xml:space="preserve">investment projects </w:t>
      </w:r>
      <w:r>
        <w:t xml:space="preserve">have been approved in </w:t>
      </w:r>
      <w:r w:rsidRPr="001D2990">
        <w:t xml:space="preserve">Argentina, Bangladesh, China, </w:t>
      </w:r>
      <w:r>
        <w:t xml:space="preserve">the </w:t>
      </w:r>
      <w:r w:rsidRPr="001D2990">
        <w:t>Dominican Republic, Jordan, Lebanon, Mexico (two), Thailand and Zimbabwe</w:t>
      </w:r>
      <w:r>
        <w:t xml:space="preserve">, </w:t>
      </w:r>
      <w:r w:rsidRPr="0063119E">
        <w:t xml:space="preserve">at a total </w:t>
      </w:r>
      <w:r>
        <w:t xml:space="preserve">value </w:t>
      </w:r>
      <w:r w:rsidRPr="0063119E">
        <w:t>of US $13,397,249 (plus agency support costs) to phase down 1,</w:t>
      </w:r>
      <w:r>
        <w:t>09</w:t>
      </w:r>
      <w:r w:rsidRPr="0063119E">
        <w:t>0 </w:t>
      </w:r>
      <w:proofErr w:type="spellStart"/>
      <w:r w:rsidRPr="0063119E">
        <w:t>mt</w:t>
      </w:r>
      <w:proofErr w:type="spellEnd"/>
      <w:r w:rsidRPr="0063119E">
        <w:t xml:space="preserve"> (1.63 million </w:t>
      </w:r>
      <w:proofErr w:type="spellStart"/>
      <w:r w:rsidRPr="0063119E">
        <w:t>mt</w:t>
      </w:r>
      <w:proofErr w:type="spellEnd"/>
      <w:r w:rsidRPr="0063119E">
        <w:t xml:space="preserve"> CO</w:t>
      </w:r>
      <w:r w:rsidRPr="0063119E">
        <w:rPr>
          <w:vertAlign w:val="subscript"/>
        </w:rPr>
        <w:t>2</w:t>
      </w:r>
      <w:r w:rsidRPr="0063119E">
        <w:t>-eq) of HFCs</w:t>
      </w:r>
      <w:r w:rsidRPr="001D2990">
        <w:t>.</w:t>
      </w:r>
    </w:p>
  </w:footnote>
  <w:footnote w:id="15">
    <w:p w14:paraId="6E0B4C0E" w14:textId="77777777" w:rsidR="009217FE" w:rsidRPr="009D1EE8" w:rsidRDefault="009217FE" w:rsidP="00A61DB3">
      <w:pPr>
        <w:pStyle w:val="FootnoteText"/>
      </w:pPr>
      <w:r>
        <w:rPr>
          <w:rStyle w:val="FootnoteReference"/>
        </w:rPr>
        <w:footnoteRef/>
      </w:r>
      <w:r>
        <w:t xml:space="preserve"> </w:t>
      </w:r>
      <w:r w:rsidRPr="001341E6">
        <w:rPr>
          <w:rFonts w:eastAsia="Calibri"/>
          <w:noProof/>
        </w:rPr>
        <w:t>A draft text to reflect this proposal was included in the working document of the contact group, contained in Annex</w:t>
      </w:r>
      <w:r>
        <w:rPr>
          <w:rFonts w:eastAsia="Calibri"/>
          <w:noProof/>
        </w:rPr>
        <w:t> </w:t>
      </w:r>
      <w:r w:rsidRPr="001341E6">
        <w:rPr>
          <w:rFonts w:eastAsia="Calibri"/>
          <w:noProof/>
        </w:rPr>
        <w:t>XIV of the report of the 83</w:t>
      </w:r>
      <w:r w:rsidRPr="001341E6">
        <w:rPr>
          <w:rFonts w:eastAsia="Calibri"/>
          <w:noProof/>
          <w:vertAlign w:val="superscript"/>
        </w:rPr>
        <w:t>rd</w:t>
      </w:r>
      <w:r w:rsidRPr="001341E6">
        <w:rPr>
          <w:rFonts w:eastAsia="Calibri"/>
          <w:noProof/>
        </w:rPr>
        <w:t xml:space="preserve"> meeting and Annex II of the present document.</w:t>
      </w:r>
    </w:p>
  </w:footnote>
  <w:footnote w:id="16">
    <w:p w14:paraId="4271AE52" w14:textId="77777777" w:rsidR="009217FE" w:rsidRPr="003F45C5" w:rsidRDefault="009217FE" w:rsidP="00A61DB3">
      <w:pPr>
        <w:pStyle w:val="FootnoteText"/>
      </w:pPr>
      <w:r>
        <w:rPr>
          <w:rStyle w:val="FootnoteReference"/>
        </w:rPr>
        <w:footnoteRef/>
      </w:r>
      <w:r>
        <w:t xml:space="preserve"> </w:t>
      </w:r>
      <w:r w:rsidRPr="002834FC">
        <w:t xml:space="preserve">The document needed to take into account previous policy documents, case studies, monitoring and evaluation reviews, and the work undertaken in developing and implementing training and technical assistance programmes; an analysis of the existing capacities in Article 5 countries funded under the refrigeration servicing sector and how those capacities could be </w:t>
      </w:r>
      <w:r w:rsidRPr="003F45C5">
        <w:t>utilized for HFC phase-down; and information needed for the development of training and competency-based certification programmes and modules for service technicians and customs officers for the transition to alternatives.</w:t>
      </w:r>
    </w:p>
  </w:footnote>
  <w:footnote w:id="17">
    <w:p w14:paraId="1E3955BC" w14:textId="77777777" w:rsidR="009217FE" w:rsidRPr="005514F9" w:rsidRDefault="009217FE" w:rsidP="00A61DB3">
      <w:pPr>
        <w:pStyle w:val="FootnoteText"/>
      </w:pPr>
      <w:r w:rsidRPr="003F45C5">
        <w:rPr>
          <w:rStyle w:val="FootnoteReference"/>
        </w:rPr>
        <w:footnoteRef/>
      </w:r>
      <w:r w:rsidRPr="003F45C5">
        <w:t xml:space="preserve"> UNEP/</w:t>
      </w:r>
      <w:proofErr w:type="spellStart"/>
      <w:r w:rsidRPr="003F45C5">
        <w:t>OzL.Pro</w:t>
      </w:r>
      <w:proofErr w:type="spellEnd"/>
      <w:r w:rsidRPr="003F45C5">
        <w:t>/</w:t>
      </w:r>
      <w:proofErr w:type="spellStart"/>
      <w:r w:rsidRPr="003F45C5">
        <w:t>ExCom</w:t>
      </w:r>
      <w:proofErr w:type="spellEnd"/>
      <w:r w:rsidRPr="003F45C5">
        <w:t>/87/50</w:t>
      </w:r>
    </w:p>
  </w:footnote>
  <w:footnote w:id="18">
    <w:p w14:paraId="189ACDE3" w14:textId="77777777" w:rsidR="009217FE" w:rsidRPr="00934EBC" w:rsidRDefault="009217FE" w:rsidP="00A61DB3">
      <w:pPr>
        <w:pStyle w:val="FootnoteText"/>
      </w:pPr>
      <w:r>
        <w:rPr>
          <w:rStyle w:val="FootnoteReference"/>
        </w:rPr>
        <w:footnoteRef/>
      </w:r>
      <w:r>
        <w:t xml:space="preserve"> </w:t>
      </w:r>
      <w:r w:rsidRPr="00790A6D">
        <w:t>Reports on projects with specific reporting requirements</w:t>
      </w:r>
      <w:r w:rsidRPr="00934EBC">
        <w:t xml:space="preserve"> </w:t>
      </w:r>
      <w:r>
        <w:t>(</w:t>
      </w:r>
      <w:r w:rsidRPr="00934EBC">
        <w:t>UNEP/</w:t>
      </w:r>
      <w:proofErr w:type="spellStart"/>
      <w:r w:rsidRPr="00934EBC">
        <w:t>OzL.Pro</w:t>
      </w:r>
      <w:proofErr w:type="spellEnd"/>
      <w:r w:rsidRPr="00934EBC">
        <w:t>/</w:t>
      </w:r>
      <w:proofErr w:type="spellStart"/>
      <w:r w:rsidRPr="00934EBC">
        <w:t>ExCom</w:t>
      </w:r>
      <w:proofErr w:type="spellEnd"/>
      <w:r w:rsidRPr="00934EBC">
        <w:t>/79/14</w:t>
      </w:r>
      <w:r>
        <w:t>).</w:t>
      </w:r>
    </w:p>
  </w:footnote>
  <w:footnote w:id="19">
    <w:p w14:paraId="05D946F9" w14:textId="77777777" w:rsidR="009217FE" w:rsidRPr="008115FB" w:rsidRDefault="009217FE" w:rsidP="00A61DB3">
      <w:pPr>
        <w:pStyle w:val="FootnoteText"/>
      </w:pPr>
      <w:r>
        <w:rPr>
          <w:rStyle w:val="FootnoteReference"/>
        </w:rPr>
        <w:footnoteRef/>
      </w:r>
      <w:r>
        <w:t xml:space="preserve"> The terms of reference are contained in document </w:t>
      </w:r>
      <w:r w:rsidRPr="008115FB">
        <w:t>UNEP/</w:t>
      </w:r>
      <w:proofErr w:type="spellStart"/>
      <w:r w:rsidRPr="008115FB">
        <w:t>OzL.Pro</w:t>
      </w:r>
      <w:proofErr w:type="spellEnd"/>
      <w:r w:rsidRPr="008115FB">
        <w:t>/</w:t>
      </w:r>
      <w:proofErr w:type="spellStart"/>
      <w:r w:rsidRPr="008115FB">
        <w:t>ExCom</w:t>
      </w:r>
      <w:proofErr w:type="spellEnd"/>
      <w:r w:rsidRPr="008115FB">
        <w:t>/82/13/Rev.1</w:t>
      </w:r>
      <w:r>
        <w:t>.</w:t>
      </w:r>
    </w:p>
  </w:footnote>
  <w:footnote w:id="20">
    <w:p w14:paraId="7B847933" w14:textId="77777777" w:rsidR="009217FE" w:rsidRPr="005F3750" w:rsidRDefault="009217FE" w:rsidP="00A61DB3">
      <w:pPr>
        <w:pStyle w:val="FootnoteText"/>
      </w:pPr>
      <w:r>
        <w:rPr>
          <w:rStyle w:val="FootnoteReference"/>
        </w:rPr>
        <w:footnoteRef/>
      </w:r>
      <w:r>
        <w:t xml:space="preserve"> </w:t>
      </w:r>
      <w:r w:rsidRPr="005F3750">
        <w:t>UNEP/</w:t>
      </w:r>
      <w:proofErr w:type="spellStart"/>
      <w:r w:rsidRPr="005F3750">
        <w:t>OzL.Pro</w:t>
      </w:r>
      <w:proofErr w:type="spellEnd"/>
      <w:r w:rsidRPr="005F3750">
        <w:t>/</w:t>
      </w:r>
      <w:proofErr w:type="spellStart"/>
      <w:r w:rsidRPr="005F3750">
        <w:t>ExCom</w:t>
      </w:r>
      <w:proofErr w:type="spellEnd"/>
      <w:r w:rsidRPr="005F3750">
        <w:t>/84/11 and Corr.1</w:t>
      </w:r>
    </w:p>
  </w:footnote>
  <w:footnote w:id="21">
    <w:p w14:paraId="242A82F4" w14:textId="77777777" w:rsidR="009217FE" w:rsidRPr="005F3750" w:rsidRDefault="009217FE" w:rsidP="00A61DB3">
      <w:pPr>
        <w:pStyle w:val="FootnoteText"/>
      </w:pPr>
      <w:r>
        <w:rPr>
          <w:rStyle w:val="FootnoteReference"/>
        </w:rPr>
        <w:footnoteRef/>
      </w:r>
      <w:r>
        <w:t xml:space="preserve"> </w:t>
      </w:r>
      <w:r w:rsidRPr="005F3750">
        <w:t>UNEP/</w:t>
      </w:r>
      <w:proofErr w:type="spellStart"/>
      <w:r w:rsidRPr="005F3750">
        <w:t>OzL.Pro</w:t>
      </w:r>
      <w:proofErr w:type="spellEnd"/>
      <w:r w:rsidRPr="005F3750">
        <w:t>/</w:t>
      </w:r>
      <w:proofErr w:type="spellStart"/>
      <w:r w:rsidRPr="005F3750">
        <w:t>ExCom</w:t>
      </w:r>
      <w:proofErr w:type="spellEnd"/>
      <w:r w:rsidRPr="005F3750">
        <w:t>/82/21</w:t>
      </w:r>
    </w:p>
  </w:footnote>
  <w:footnote w:id="22">
    <w:p w14:paraId="0DEE9400" w14:textId="77777777" w:rsidR="009217FE" w:rsidRPr="002E03A7" w:rsidRDefault="009217FE" w:rsidP="00A61DB3">
      <w:pPr>
        <w:pStyle w:val="FootnoteText"/>
      </w:pPr>
      <w:r>
        <w:rPr>
          <w:rStyle w:val="FootnoteReference"/>
        </w:rPr>
        <w:footnoteRef/>
      </w:r>
      <w:r>
        <w:t xml:space="preserve"> P</w:t>
      </w:r>
      <w:r w:rsidRPr="00FF26E1">
        <w:t>aragraph 43 of do</w:t>
      </w:r>
      <w:r>
        <w:t>cument UNEP/</w:t>
      </w:r>
      <w:proofErr w:type="spellStart"/>
      <w:r>
        <w:t>OzL.Pro</w:t>
      </w:r>
      <w:proofErr w:type="spellEnd"/>
      <w:r>
        <w:t>/</w:t>
      </w:r>
      <w:proofErr w:type="spellStart"/>
      <w:r>
        <w:t>ExCom</w:t>
      </w:r>
      <w:proofErr w:type="spellEnd"/>
      <w:r>
        <w:t>/80/55</w:t>
      </w:r>
    </w:p>
  </w:footnote>
  <w:footnote w:id="23">
    <w:p w14:paraId="14B070CF" w14:textId="77777777" w:rsidR="009217FE" w:rsidRPr="002E62F5" w:rsidRDefault="009217FE" w:rsidP="00A61DB3">
      <w:pPr>
        <w:pStyle w:val="FootnoteText"/>
      </w:pPr>
      <w:r>
        <w:rPr>
          <w:rStyle w:val="FootnoteReference"/>
        </w:rPr>
        <w:footnoteRef/>
      </w:r>
      <w:r>
        <w:t xml:space="preserve"> As c</w:t>
      </w:r>
      <w:r w:rsidRPr="002E62F5">
        <w:t>ontained in paragraph 46 of do</w:t>
      </w:r>
      <w:r>
        <w:t>cument UNEP/</w:t>
      </w:r>
      <w:proofErr w:type="spellStart"/>
      <w:r>
        <w:t>OzL.Pro</w:t>
      </w:r>
      <w:proofErr w:type="spellEnd"/>
      <w:r>
        <w:t>/</w:t>
      </w:r>
      <w:proofErr w:type="spellStart"/>
      <w:r>
        <w:t>ExCom</w:t>
      </w:r>
      <w:proofErr w:type="spellEnd"/>
      <w:r>
        <w:t>/80/55</w:t>
      </w:r>
    </w:p>
  </w:footnote>
  <w:footnote w:id="24">
    <w:p w14:paraId="4FE48080" w14:textId="77777777" w:rsidR="009217FE" w:rsidRPr="00FF26E1" w:rsidRDefault="009217FE" w:rsidP="00A61DB3">
      <w:pPr>
        <w:pStyle w:val="FootnoteText"/>
      </w:pPr>
      <w:r w:rsidRPr="00FF26E1">
        <w:rPr>
          <w:rStyle w:val="FootnoteReference"/>
        </w:rPr>
        <w:footnoteRef/>
      </w:r>
      <w:r w:rsidRPr="00FF26E1">
        <w:t xml:space="preserve"> As contained in </w:t>
      </w:r>
      <w:r>
        <w:t>paragraph </w:t>
      </w:r>
      <w:r w:rsidRPr="00FF26E1">
        <w:t xml:space="preserve">43 of </w:t>
      </w:r>
      <w:r>
        <w:t>document UNEP/</w:t>
      </w:r>
      <w:proofErr w:type="spellStart"/>
      <w:r>
        <w:t>OzL.Pro</w:t>
      </w:r>
      <w:proofErr w:type="spellEnd"/>
      <w:r>
        <w:t>/</w:t>
      </w:r>
      <w:proofErr w:type="spellStart"/>
      <w:r>
        <w:t>ExCom</w:t>
      </w:r>
      <w:proofErr w:type="spellEnd"/>
      <w:r>
        <w:t>/80/55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5D63" w14:textId="77777777" w:rsidR="009217FE" w:rsidRDefault="009217FE">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351166D2" w14:textId="77777777" w:rsidR="009217FE" w:rsidRPr="0033525D" w:rsidRDefault="009217FE"/>
  <w:p w14:paraId="77A2678B" w14:textId="77777777" w:rsidR="009217FE" w:rsidRPr="0033525D" w:rsidRDefault="009217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09" w14:textId="77777777" w:rsidR="009217FE" w:rsidRDefault="009217F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152BC831" w14:textId="77777777" w:rsidR="009217FE" w:rsidRPr="0033525D" w:rsidRDefault="009217FE">
    <w:pPr>
      <w:jc w:val="right"/>
    </w:pPr>
  </w:p>
  <w:p w14:paraId="4BABC40F" w14:textId="77777777" w:rsidR="009217FE" w:rsidRPr="0033525D" w:rsidRDefault="009217FE" w:rsidP="00A61DB3">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D825" w14:textId="77777777" w:rsidR="009217FE" w:rsidRDefault="009217FE">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0CE60765" w14:textId="77777777" w:rsidR="009217FE" w:rsidRPr="0033525D" w:rsidRDefault="009217FE">
    <w:r>
      <w:t>Annex I</w:t>
    </w:r>
  </w:p>
  <w:p w14:paraId="6FB65C38" w14:textId="77777777" w:rsidR="009217FE" w:rsidRDefault="009217F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49DB" w14:textId="77777777" w:rsidR="009217FE" w:rsidRDefault="009217F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416B0C0F" w14:textId="77777777" w:rsidR="009217FE" w:rsidRPr="0033525D" w:rsidRDefault="009217FE">
    <w:pPr>
      <w:jc w:val="right"/>
    </w:pPr>
    <w:r>
      <w:t>Annex I</w:t>
    </w:r>
  </w:p>
  <w:p w14:paraId="42BA6973" w14:textId="77777777" w:rsidR="009217FE" w:rsidRPr="0033525D" w:rsidRDefault="009217FE" w:rsidP="00A61DB3">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974B" w14:textId="77777777" w:rsidR="009217FE" w:rsidRDefault="009217FE">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1FF80412" w14:textId="77777777" w:rsidR="009217FE" w:rsidRPr="0033525D" w:rsidRDefault="009217FE">
    <w:r>
      <w:t>Annex II</w:t>
    </w:r>
  </w:p>
  <w:p w14:paraId="08C0E8A1" w14:textId="77777777" w:rsidR="009217FE" w:rsidRDefault="009217F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56B1" w14:textId="77777777" w:rsidR="009217FE" w:rsidRDefault="009217F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10B1B539" w14:textId="77777777" w:rsidR="009217FE" w:rsidRPr="0033525D" w:rsidRDefault="009217FE">
    <w:pPr>
      <w:jc w:val="right"/>
    </w:pPr>
    <w:r>
      <w:t>Annex II</w:t>
    </w:r>
  </w:p>
  <w:p w14:paraId="0C81F4EC" w14:textId="77777777" w:rsidR="009217FE" w:rsidRPr="0033525D" w:rsidRDefault="009217FE" w:rsidP="00A61DB3">
    <w:pP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4B97" w14:textId="77777777" w:rsidR="009217FE" w:rsidRPr="0033525D" w:rsidRDefault="009217FE" w:rsidP="00A61DB3">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0B56C935" w14:textId="77777777" w:rsidR="009217FE" w:rsidRPr="0033525D" w:rsidRDefault="009217FE" w:rsidP="00A61DB3">
    <w:pPr>
      <w:jc w:val="left"/>
    </w:pPr>
    <w:r>
      <w:t>Annex III</w:t>
    </w:r>
  </w:p>
  <w:p w14:paraId="1B71B8B8" w14:textId="77777777" w:rsidR="009217FE" w:rsidRPr="0033525D" w:rsidRDefault="009217FE" w:rsidP="00A61DB3">
    <w:pPr>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99D5" w14:textId="77777777" w:rsidR="009217FE" w:rsidRPr="0033525D" w:rsidRDefault="009217FE" w:rsidP="00A61DB3">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/87/44</w:t>
    </w:r>
    <w:r>
      <w:fldChar w:fldCharType="end"/>
    </w:r>
  </w:p>
  <w:p w14:paraId="68BF4CE1" w14:textId="77777777" w:rsidR="009217FE" w:rsidRPr="0033525D" w:rsidRDefault="009217FE" w:rsidP="00A61DB3">
    <w:pPr>
      <w:jc w:val="right"/>
    </w:pPr>
    <w:r>
      <w:t>Annex III</w:t>
    </w:r>
  </w:p>
  <w:p w14:paraId="0DF53F0A" w14:textId="77777777" w:rsidR="009217FE" w:rsidRPr="0033525D" w:rsidRDefault="009217FE" w:rsidP="00A61DB3">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9FAF" w14:textId="77777777" w:rsidR="009217FE" w:rsidRDefault="009217FE" w:rsidP="00A61DB3">
    <w:pPr>
      <w:pStyle w:val="Header"/>
      <w:jc w:val="right"/>
    </w:pPr>
    <w:r>
      <w:t>UNEP/</w:t>
    </w:r>
    <w:proofErr w:type="spellStart"/>
    <w:r>
      <w:t>OzL.Pro</w:t>
    </w:r>
    <w:proofErr w:type="spellEnd"/>
    <w:r>
      <w:t>/</w:t>
    </w:r>
    <w:proofErr w:type="spellStart"/>
    <w:r>
      <w:t>ExCom</w:t>
    </w:r>
    <w:proofErr w:type="spellEnd"/>
    <w:r>
      <w:t>/87/44</w:t>
    </w:r>
  </w:p>
  <w:p w14:paraId="7761F9A0" w14:textId="77777777" w:rsidR="009217FE" w:rsidRDefault="009217FE" w:rsidP="00A61DB3">
    <w:pPr>
      <w:pStyle w:val="Header"/>
      <w:jc w:val="right"/>
    </w:pPr>
    <w:r>
      <w:t>Annex III</w:t>
    </w:r>
  </w:p>
  <w:p w14:paraId="04B27567" w14:textId="77777777" w:rsidR="009217FE" w:rsidRDefault="009217FE" w:rsidP="00A61DB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70F434"/>
    <w:lvl w:ilvl="0">
      <w:start w:val="1"/>
      <w:numFmt w:val="decimal"/>
      <w:pStyle w:val="Heading1"/>
      <w:lvlText w:val="%1."/>
      <w:lvlJc w:val="left"/>
      <w:pPr>
        <w:tabs>
          <w:tab w:val="num" w:pos="142"/>
        </w:tabs>
        <w:ind w:left="142" w:firstLine="0"/>
      </w:pPr>
      <w:rPr>
        <w:i w:val="0"/>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9EB0B9B"/>
    <w:multiLevelType w:val="hybridMultilevel"/>
    <w:tmpl w:val="B4665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72705F"/>
    <w:multiLevelType w:val="hybridMultilevel"/>
    <w:tmpl w:val="1AE045CE"/>
    <w:lvl w:ilvl="0" w:tplc="9ABA42CC">
      <w:start w:val="1"/>
      <w:numFmt w:val="upperRoman"/>
      <w:lvlText w:val="%1."/>
      <w:lvlJc w:val="left"/>
      <w:pPr>
        <w:ind w:left="720" w:hanging="72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4022823"/>
    <w:multiLevelType w:val="hybridMultilevel"/>
    <w:tmpl w:val="EACC269C"/>
    <w:lvl w:ilvl="0" w:tplc="6602C108">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D346E3"/>
    <w:rsid w:val="00000FED"/>
    <w:rsid w:val="0000434E"/>
    <w:rsid w:val="000211A9"/>
    <w:rsid w:val="00031260"/>
    <w:rsid w:val="0003681A"/>
    <w:rsid w:val="000372B7"/>
    <w:rsid w:val="00050F6E"/>
    <w:rsid w:val="00061EC2"/>
    <w:rsid w:val="00066CE8"/>
    <w:rsid w:val="00071EA5"/>
    <w:rsid w:val="00080ED0"/>
    <w:rsid w:val="00083553"/>
    <w:rsid w:val="00085B8F"/>
    <w:rsid w:val="00090481"/>
    <w:rsid w:val="000A3826"/>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932AD"/>
    <w:rsid w:val="001A2215"/>
    <w:rsid w:val="001A3342"/>
    <w:rsid w:val="001A3E3D"/>
    <w:rsid w:val="001A7049"/>
    <w:rsid w:val="001B1E40"/>
    <w:rsid w:val="001C764E"/>
    <w:rsid w:val="001D4286"/>
    <w:rsid w:val="001D6C9A"/>
    <w:rsid w:val="001E1052"/>
    <w:rsid w:val="001E21B1"/>
    <w:rsid w:val="001E2F93"/>
    <w:rsid w:val="001E4554"/>
    <w:rsid w:val="001E61E5"/>
    <w:rsid w:val="001F2159"/>
    <w:rsid w:val="00210B8B"/>
    <w:rsid w:val="00214863"/>
    <w:rsid w:val="002156B4"/>
    <w:rsid w:val="0022078F"/>
    <w:rsid w:val="00224FCD"/>
    <w:rsid w:val="00253222"/>
    <w:rsid w:val="002557DF"/>
    <w:rsid w:val="00262847"/>
    <w:rsid w:val="00281BB2"/>
    <w:rsid w:val="00293DE4"/>
    <w:rsid w:val="002A2CF1"/>
    <w:rsid w:val="002B254E"/>
    <w:rsid w:val="002B72E9"/>
    <w:rsid w:val="002C7998"/>
    <w:rsid w:val="002D7CB8"/>
    <w:rsid w:val="002F1E53"/>
    <w:rsid w:val="002F2CAA"/>
    <w:rsid w:val="0030052C"/>
    <w:rsid w:val="00327EC3"/>
    <w:rsid w:val="003306E1"/>
    <w:rsid w:val="003320E4"/>
    <w:rsid w:val="0033525D"/>
    <w:rsid w:val="003414F3"/>
    <w:rsid w:val="0035613E"/>
    <w:rsid w:val="00363EE9"/>
    <w:rsid w:val="00376128"/>
    <w:rsid w:val="0037742E"/>
    <w:rsid w:val="00377D56"/>
    <w:rsid w:val="0038245A"/>
    <w:rsid w:val="00382F58"/>
    <w:rsid w:val="003840E6"/>
    <w:rsid w:val="00385CFC"/>
    <w:rsid w:val="00390670"/>
    <w:rsid w:val="0039337A"/>
    <w:rsid w:val="003A3189"/>
    <w:rsid w:val="003A3CA7"/>
    <w:rsid w:val="003B33BD"/>
    <w:rsid w:val="003B569D"/>
    <w:rsid w:val="003C3C0E"/>
    <w:rsid w:val="003D42A6"/>
    <w:rsid w:val="003D4F21"/>
    <w:rsid w:val="003D4FAC"/>
    <w:rsid w:val="003E7906"/>
    <w:rsid w:val="003F3C50"/>
    <w:rsid w:val="003F45C5"/>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33796"/>
    <w:rsid w:val="00535AAC"/>
    <w:rsid w:val="00537343"/>
    <w:rsid w:val="00555D75"/>
    <w:rsid w:val="00560DF0"/>
    <w:rsid w:val="0056759C"/>
    <w:rsid w:val="0059513E"/>
    <w:rsid w:val="005A6AA4"/>
    <w:rsid w:val="005A6D9F"/>
    <w:rsid w:val="005B48FF"/>
    <w:rsid w:val="005C1C95"/>
    <w:rsid w:val="005D2084"/>
    <w:rsid w:val="005D363F"/>
    <w:rsid w:val="00604C15"/>
    <w:rsid w:val="006158D5"/>
    <w:rsid w:val="00625D83"/>
    <w:rsid w:val="00643ADE"/>
    <w:rsid w:val="006623E7"/>
    <w:rsid w:val="00662B80"/>
    <w:rsid w:val="0066354D"/>
    <w:rsid w:val="00670F6C"/>
    <w:rsid w:val="006852C7"/>
    <w:rsid w:val="006852CE"/>
    <w:rsid w:val="00692D14"/>
    <w:rsid w:val="006B1AB6"/>
    <w:rsid w:val="006B65C7"/>
    <w:rsid w:val="006C1727"/>
    <w:rsid w:val="006C32FD"/>
    <w:rsid w:val="006C39CE"/>
    <w:rsid w:val="006D0FCC"/>
    <w:rsid w:val="006D21F5"/>
    <w:rsid w:val="006D4CA9"/>
    <w:rsid w:val="006E126D"/>
    <w:rsid w:val="006E1FC3"/>
    <w:rsid w:val="00704CE9"/>
    <w:rsid w:val="0070616B"/>
    <w:rsid w:val="00706295"/>
    <w:rsid w:val="00706FDA"/>
    <w:rsid w:val="00711F9A"/>
    <w:rsid w:val="00713810"/>
    <w:rsid w:val="00724E4E"/>
    <w:rsid w:val="007303A5"/>
    <w:rsid w:val="00730B3E"/>
    <w:rsid w:val="0073420B"/>
    <w:rsid w:val="0074760E"/>
    <w:rsid w:val="00754ABA"/>
    <w:rsid w:val="007A1546"/>
    <w:rsid w:val="007A228C"/>
    <w:rsid w:val="007A368E"/>
    <w:rsid w:val="007A5868"/>
    <w:rsid w:val="007B04CE"/>
    <w:rsid w:val="007B54E9"/>
    <w:rsid w:val="007B6871"/>
    <w:rsid w:val="007B7A2F"/>
    <w:rsid w:val="007C3D33"/>
    <w:rsid w:val="007D294A"/>
    <w:rsid w:val="007D47D2"/>
    <w:rsid w:val="007D6EC0"/>
    <w:rsid w:val="007D7E1D"/>
    <w:rsid w:val="00800DB8"/>
    <w:rsid w:val="00804FFC"/>
    <w:rsid w:val="00831979"/>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17FE"/>
    <w:rsid w:val="00923540"/>
    <w:rsid w:val="00926767"/>
    <w:rsid w:val="00926793"/>
    <w:rsid w:val="00932295"/>
    <w:rsid w:val="009361D5"/>
    <w:rsid w:val="009428A4"/>
    <w:rsid w:val="00961C92"/>
    <w:rsid w:val="009659F4"/>
    <w:rsid w:val="00970D60"/>
    <w:rsid w:val="00971585"/>
    <w:rsid w:val="0099390E"/>
    <w:rsid w:val="009960E5"/>
    <w:rsid w:val="009A2AEF"/>
    <w:rsid w:val="009A7ADC"/>
    <w:rsid w:val="009B0D30"/>
    <w:rsid w:val="009C19B7"/>
    <w:rsid w:val="009C5ABB"/>
    <w:rsid w:val="009D7C51"/>
    <w:rsid w:val="009E196C"/>
    <w:rsid w:val="009F36BF"/>
    <w:rsid w:val="00A111B6"/>
    <w:rsid w:val="00A26D27"/>
    <w:rsid w:val="00A3638E"/>
    <w:rsid w:val="00A376EE"/>
    <w:rsid w:val="00A37A0D"/>
    <w:rsid w:val="00A42A99"/>
    <w:rsid w:val="00A5151A"/>
    <w:rsid w:val="00A57E0A"/>
    <w:rsid w:val="00A61DB3"/>
    <w:rsid w:val="00A823F6"/>
    <w:rsid w:val="00A8719E"/>
    <w:rsid w:val="00A95550"/>
    <w:rsid w:val="00AA0A89"/>
    <w:rsid w:val="00AA1DA8"/>
    <w:rsid w:val="00AA6429"/>
    <w:rsid w:val="00AC01AA"/>
    <w:rsid w:val="00AC4F72"/>
    <w:rsid w:val="00AE1EF4"/>
    <w:rsid w:val="00AF741A"/>
    <w:rsid w:val="00B01ADB"/>
    <w:rsid w:val="00B04161"/>
    <w:rsid w:val="00B056F9"/>
    <w:rsid w:val="00B11E3D"/>
    <w:rsid w:val="00B17E82"/>
    <w:rsid w:val="00B4575A"/>
    <w:rsid w:val="00B51512"/>
    <w:rsid w:val="00B575BA"/>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65DF8"/>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4DE4"/>
    <w:rsid w:val="00D063F1"/>
    <w:rsid w:val="00D14F22"/>
    <w:rsid w:val="00D177A9"/>
    <w:rsid w:val="00D17E2C"/>
    <w:rsid w:val="00D346E3"/>
    <w:rsid w:val="00D4741C"/>
    <w:rsid w:val="00D57918"/>
    <w:rsid w:val="00D65C27"/>
    <w:rsid w:val="00D73DC6"/>
    <w:rsid w:val="00D74C1A"/>
    <w:rsid w:val="00D754C1"/>
    <w:rsid w:val="00D77393"/>
    <w:rsid w:val="00D77A35"/>
    <w:rsid w:val="00D81B3E"/>
    <w:rsid w:val="00D90C70"/>
    <w:rsid w:val="00D90E49"/>
    <w:rsid w:val="00D96ADE"/>
    <w:rsid w:val="00DA0CE2"/>
    <w:rsid w:val="00DC2F8B"/>
    <w:rsid w:val="00DC6A10"/>
    <w:rsid w:val="00DE657E"/>
    <w:rsid w:val="00DF4704"/>
    <w:rsid w:val="00E024AA"/>
    <w:rsid w:val="00E15C77"/>
    <w:rsid w:val="00E250F1"/>
    <w:rsid w:val="00E3550D"/>
    <w:rsid w:val="00E52838"/>
    <w:rsid w:val="00E614E0"/>
    <w:rsid w:val="00E729C5"/>
    <w:rsid w:val="00E73F7F"/>
    <w:rsid w:val="00E85409"/>
    <w:rsid w:val="00EA429F"/>
    <w:rsid w:val="00EA42EE"/>
    <w:rsid w:val="00EA4F9E"/>
    <w:rsid w:val="00EA6012"/>
    <w:rsid w:val="00EA63CA"/>
    <w:rsid w:val="00EA6D3B"/>
    <w:rsid w:val="00EB00AD"/>
    <w:rsid w:val="00EB136C"/>
    <w:rsid w:val="00EB480E"/>
    <w:rsid w:val="00EB5EC6"/>
    <w:rsid w:val="00EB6A2A"/>
    <w:rsid w:val="00EB7FC9"/>
    <w:rsid w:val="00ED27E8"/>
    <w:rsid w:val="00ED7137"/>
    <w:rsid w:val="00EF06EA"/>
    <w:rsid w:val="00F21088"/>
    <w:rsid w:val="00F327E7"/>
    <w:rsid w:val="00F35746"/>
    <w:rsid w:val="00F447C7"/>
    <w:rsid w:val="00F459B4"/>
    <w:rsid w:val="00F5211B"/>
    <w:rsid w:val="00F554A9"/>
    <w:rsid w:val="00F716FD"/>
    <w:rsid w:val="00F80355"/>
    <w:rsid w:val="00F87C43"/>
    <w:rsid w:val="00FA5722"/>
    <w:rsid w:val="00FB0C81"/>
    <w:rsid w:val="00FC2200"/>
    <w:rsid w:val="00FC2540"/>
    <w:rsid w:val="00FC2F11"/>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4BB19"/>
  <w15:docId w15:val="{D959C52B-FD99-48DB-B5EB-7BBAE04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tabs>
        <w:tab w:val="clear" w:pos="142"/>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OOTNOTES,fn"/>
    <w:basedOn w:val="Normal"/>
    <w:link w:val="FootnoteTextChar"/>
    <w:uiPriority w:val="99"/>
    <w:unhideWhenUsed/>
    <w:qFormat/>
    <w:rsid w:val="00293DE4"/>
    <w:pPr>
      <w:widowControl w:val="0"/>
    </w:pPr>
    <w:rPr>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n Char"/>
    <w:basedOn w:val="DefaultParagraphFont"/>
    <w:link w:val="FootnoteText"/>
    <w:uiPriority w:val="99"/>
    <w:rsid w:val="00293DE4"/>
    <w:rPr>
      <w:lang w:val="en-CA"/>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A61DB3"/>
    <w:rPr>
      <w:sz w:val="22"/>
      <w:szCs w:val="22"/>
      <w:lang w:val="en-CA"/>
    </w:rPr>
  </w:style>
  <w:style w:type="character" w:customStyle="1" w:styleId="HeaderChar">
    <w:name w:val="Header Char"/>
    <w:basedOn w:val="DefaultParagraphFont"/>
    <w:link w:val="Header"/>
    <w:uiPriority w:val="99"/>
    <w:rsid w:val="00A61DB3"/>
    <w:rPr>
      <w:sz w:val="22"/>
      <w:szCs w:val="22"/>
      <w:lang w:val="en-CA"/>
    </w:rPr>
  </w:style>
  <w:style w:type="paragraph" w:styleId="Revision">
    <w:name w:val="Revision"/>
    <w:hidden/>
    <w:uiPriority w:val="99"/>
    <w:semiHidden/>
    <w:rsid w:val="00A61DB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image" Target="media/image3.png"/><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UNEP/OzL.Pro/ExCom/87/44</Document_x0020_Number>
    <DocumentType xmlns="64e33b30-101d-41de-b951-961aab25ea29">Pre-session</DocumentType>
  </documentManagement>
</p:properties>
</file>

<file path=customXml/itemProps1.xml><?xml version="1.0" encoding="utf-8"?>
<ds:datastoreItem xmlns:ds="http://schemas.openxmlformats.org/officeDocument/2006/customXml" ds:itemID="{AF98208E-C955-47FC-A2DA-D4F7CCABD9C4}"/>
</file>

<file path=customXml/itemProps2.xml><?xml version="1.0" encoding="utf-8"?>
<ds:datastoreItem xmlns:ds="http://schemas.openxmlformats.org/officeDocument/2006/customXml" ds:itemID="{C061B2D1-9F7D-4943-8E7F-5ECD7B6C7B89}"/>
</file>

<file path=customXml/itemProps3.xml><?xml version="1.0" encoding="utf-8"?>
<ds:datastoreItem xmlns:ds="http://schemas.openxmlformats.org/officeDocument/2006/customXml" ds:itemID="{39375543-8C25-40C4-AC29-D135C4A40472}"/>
</file>

<file path=customXml/itemProps4.xml><?xml version="1.0" encoding="utf-8"?>
<ds:datastoreItem xmlns:ds="http://schemas.openxmlformats.org/officeDocument/2006/customXml" ds:itemID="{D3EED5DB-1DE9-4143-8E40-75881F35FAA7}"/>
</file>

<file path=docProps/app.xml><?xml version="1.0" encoding="utf-8"?>
<Properties xmlns="http://schemas.openxmlformats.org/officeDocument/2006/extended-properties" xmlns:vt="http://schemas.openxmlformats.org/officeDocument/2006/docPropsVTypes">
  <Template>Normal</Template>
  <TotalTime>1</TotalTime>
  <Pages>23</Pages>
  <Words>8003</Words>
  <Characters>46849</Characters>
  <Application>Microsoft Office Word</Application>
  <DocSecurity>0</DocSecurity>
  <Lines>1112</Lines>
  <Paragraphs>464</Paragraphs>
  <ScaleCrop>false</ScaleCrop>
  <HeadingPairs>
    <vt:vector size="2" baseType="variant">
      <vt:variant>
        <vt:lpstr>Title</vt:lpstr>
      </vt:variant>
      <vt:variant>
        <vt:i4>1</vt:i4>
      </vt:variant>
    </vt:vector>
  </HeadingPairs>
  <TitlesOfParts>
    <vt:vector size="1" baseType="lpstr">
      <vt:lpstr>Development of the cost guidelines for the phase-down of HFCs in Article 5 countries: draft criteria for funding (decision 84/87)</vt:lpstr>
    </vt:vector>
  </TitlesOfParts>
  <Company>UNMFS</Company>
  <LinksUpToDate>false</LinksUpToDate>
  <CharactersWithSpaces>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cost guidelines for the phase-down of HFCs in Article 5 countries: draft criteria for funding (decision 84/87)</dc:title>
  <dc:creator>Dominika Anna Suwik</dc:creator>
  <cp:lastModifiedBy>Dominika Anna Suwik</cp:lastModifiedBy>
  <cp:revision>3</cp:revision>
  <cp:lastPrinted>2001-05-26T16:40:00Z</cp:lastPrinted>
  <dcterms:created xsi:type="dcterms:W3CDTF">2021-07-07T22:41:00Z</dcterms:created>
  <dcterms:modified xsi:type="dcterms:W3CDTF">2021-07-07T22:47:00Z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UNEP/OzL.Pro/ExCom/87/44</vt:lpwstr>
  </property>
  <property fmtid="{D5CDD505-2E9C-101B-9397-08002B2CF9AE}" pid="3" name="Revision date">
    <vt:lpwstr>7/7/2021</vt:lpwstr>
  </property>
  <property fmtid="{D5CDD505-2E9C-101B-9397-08002B2CF9AE}" pid="4" name="ContentTypeId">
    <vt:lpwstr>0x010100656C6B23EE95AB4DB098A66C463B3437</vt:lpwstr>
  </property>
</Properties>
</file>