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Pr="00575D7C" w:rsidRDefault="00C4722B">
            <w:pPr>
              <w:jc w:val="right"/>
              <w:rPr>
                <w:rFonts w:ascii="Arial" w:hAnsi="Arial" w:cs="Arial"/>
                <w:sz w:val="52"/>
                <w:szCs w:val="52"/>
              </w:rPr>
            </w:pPr>
            <w:r w:rsidRPr="00575D7C">
              <w:rPr>
                <w:rFonts w:ascii="Arial" w:hAnsi="Arial" w:cs="Arial"/>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8164EB">
            <w:pPr>
              <w:spacing w:before="120"/>
            </w:pPr>
            <w:r>
              <w:rPr>
                <w:noProof/>
                <w:lang w:val="en-CA" w:eastAsia="en-CA"/>
              </w:rPr>
              <w:drawing>
                <wp:anchor distT="0" distB="0" distL="114300" distR="114300" simplePos="0" relativeHeight="251657216" behindDoc="0" locked="0" layoutInCell="1" allowOverlap="1">
                  <wp:simplePos x="0" y="0"/>
                  <wp:positionH relativeFrom="column">
                    <wp:posOffset>15240</wp:posOffset>
                  </wp:positionH>
                  <wp:positionV relativeFrom="paragraph">
                    <wp:posOffset>878205</wp:posOffset>
                  </wp:positionV>
                  <wp:extent cx="800100" cy="705485"/>
                  <wp:effectExtent l="0" t="0" r="0" b="0"/>
                  <wp:wrapNone/>
                  <wp:docPr id="3" name="Picture 2" descr="说明: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0" allowOverlap="1">
                  <wp:simplePos x="0" y="0"/>
                  <wp:positionH relativeFrom="column">
                    <wp:posOffset>0</wp:posOffset>
                  </wp:positionH>
                  <wp:positionV relativeFrom="paragraph">
                    <wp:posOffset>114300</wp:posOffset>
                  </wp:positionV>
                  <wp:extent cx="822960" cy="7315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Default="00C4722B">
            <w:r>
              <w:fldChar w:fldCharType="begin"/>
            </w:r>
            <w:r>
              <w:rPr>
                <w:lang w:val="pt-BR"/>
              </w:rPr>
              <w:instrText xml:space="preserve"> DOCPROPERTY "Document number"  \* MERGEFORMAT </w:instrText>
            </w:r>
            <w:r>
              <w:fldChar w:fldCharType="separate"/>
            </w:r>
            <w:r w:rsidR="00A33C67">
              <w:rPr>
                <w:lang w:val="pt-BR"/>
              </w:rPr>
              <w:t>UNEP/OzL.Pro/ExCom/87/1</w:t>
            </w:r>
            <w:r>
              <w:fldChar w:fldCharType="end"/>
            </w:r>
            <w:r w:rsidR="00A148CA">
              <w:t>4</w:t>
            </w:r>
          </w:p>
          <w:p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A148CA">
              <w:t>22 June</w:t>
            </w:r>
            <w:r w:rsidR="00A33C67">
              <w:rPr>
                <w:color w:val="000000"/>
                <w:szCs w:val="24"/>
              </w:rPr>
              <w:t xml:space="preserve"> 2021</w:t>
            </w:r>
            <w:r>
              <w:rPr>
                <w:color w:val="000000"/>
                <w:szCs w:val="24"/>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943350" w:rsidRPr="000F0F4A" w:rsidRDefault="00943350" w:rsidP="00943350">
      <w:pPr>
        <w:jc w:val="left"/>
        <w:rPr>
          <w:sz w:val="24"/>
          <w:szCs w:val="24"/>
          <w:lang w:val="en-CA"/>
        </w:rPr>
      </w:pPr>
      <w:r>
        <w:rPr>
          <w:rFonts w:hAnsi="SimSun" w:hint="eastAsia"/>
          <w:noProof/>
          <w:sz w:val="24"/>
          <w:szCs w:val="24"/>
          <w:lang w:val="en-CA"/>
        </w:rPr>
        <w:t>第八十七</w:t>
      </w:r>
      <w:r w:rsidRPr="000F0F4A">
        <w:rPr>
          <w:rFonts w:hAnsi="SimSun"/>
          <w:noProof/>
          <w:sz w:val="24"/>
          <w:szCs w:val="24"/>
          <w:lang w:val="en-CA"/>
        </w:rPr>
        <w:t>次会议</w:t>
      </w:r>
    </w:p>
    <w:p w:rsidR="00943350" w:rsidRPr="00766AC5" w:rsidRDefault="00943350" w:rsidP="00943350">
      <w:pPr>
        <w:jc w:val="left"/>
        <w:rPr>
          <w:sz w:val="24"/>
          <w:szCs w:val="24"/>
          <w:lang w:eastAsia="zh-CN"/>
        </w:rPr>
      </w:pPr>
      <w:r>
        <w:rPr>
          <w:noProof/>
          <w:sz w:val="24"/>
          <w:szCs w:val="24"/>
          <w:lang w:val="en-CA" w:eastAsia="zh-CN"/>
        </w:rPr>
        <w:t>2021</w:t>
      </w:r>
      <w:r w:rsidRPr="000F0F4A">
        <w:rPr>
          <w:rFonts w:hAnsi="SimSun"/>
          <w:noProof/>
          <w:sz w:val="24"/>
          <w:szCs w:val="24"/>
          <w:lang w:val="en-CA" w:eastAsia="zh-CN"/>
        </w:rPr>
        <w:t>年</w:t>
      </w:r>
      <w:r>
        <w:rPr>
          <w:rFonts w:hAnsi="SimSun" w:hint="eastAsia"/>
          <w:noProof/>
          <w:sz w:val="24"/>
          <w:szCs w:val="24"/>
          <w:lang w:val="en-CA" w:eastAsia="zh-CN"/>
        </w:rPr>
        <w:t>6</w:t>
      </w:r>
      <w:r w:rsidRPr="000F0F4A">
        <w:rPr>
          <w:rFonts w:hAnsi="SimSun"/>
          <w:noProof/>
          <w:sz w:val="24"/>
          <w:szCs w:val="24"/>
          <w:lang w:val="en-CA" w:eastAsia="zh-CN"/>
        </w:rPr>
        <w:t>月</w:t>
      </w:r>
      <w:r>
        <w:rPr>
          <w:rFonts w:hAnsi="SimSun" w:hint="eastAsia"/>
          <w:noProof/>
          <w:sz w:val="24"/>
          <w:szCs w:val="24"/>
          <w:lang w:val="en-CA" w:eastAsia="zh-CN"/>
        </w:rPr>
        <w:t>2</w:t>
      </w:r>
      <w:r>
        <w:rPr>
          <w:rFonts w:hAnsi="SimSun"/>
          <w:noProof/>
          <w:sz w:val="24"/>
          <w:szCs w:val="24"/>
          <w:lang w:val="en-CA" w:eastAsia="zh-CN"/>
        </w:rPr>
        <w:t>8</w:t>
      </w:r>
      <w:r w:rsidRPr="000F0F4A">
        <w:rPr>
          <w:rFonts w:hAnsi="SimSun"/>
          <w:noProof/>
          <w:sz w:val="24"/>
          <w:szCs w:val="24"/>
          <w:lang w:val="en-CA" w:eastAsia="zh-CN"/>
        </w:rPr>
        <w:t>日至</w:t>
      </w:r>
      <w:r>
        <w:rPr>
          <w:rFonts w:hAnsi="SimSun" w:hint="eastAsia"/>
          <w:noProof/>
          <w:sz w:val="24"/>
          <w:szCs w:val="24"/>
          <w:lang w:val="en-CA" w:eastAsia="zh-CN"/>
        </w:rPr>
        <w:t>7</w:t>
      </w:r>
      <w:r>
        <w:rPr>
          <w:rFonts w:hAnsi="SimSun" w:hint="eastAsia"/>
          <w:noProof/>
          <w:sz w:val="24"/>
          <w:szCs w:val="24"/>
          <w:lang w:val="en-CA" w:eastAsia="zh-CN"/>
        </w:rPr>
        <w:t>月</w:t>
      </w:r>
      <w:r>
        <w:rPr>
          <w:rFonts w:hAnsi="SimSun" w:hint="eastAsia"/>
          <w:noProof/>
          <w:sz w:val="24"/>
          <w:szCs w:val="24"/>
          <w:lang w:val="en-CA" w:eastAsia="zh-CN"/>
        </w:rPr>
        <w:t>2</w:t>
      </w:r>
      <w:r w:rsidRPr="000F0F4A">
        <w:rPr>
          <w:rFonts w:hAnsi="SimSun"/>
          <w:noProof/>
          <w:sz w:val="24"/>
          <w:szCs w:val="24"/>
          <w:lang w:val="en-CA" w:eastAsia="zh-CN"/>
        </w:rPr>
        <w:t>日，蒙特利尔</w:t>
      </w:r>
      <w:r w:rsidRPr="00766AC5">
        <w:rPr>
          <w:rStyle w:val="FootnoteReference"/>
          <w:sz w:val="24"/>
          <w:szCs w:val="24"/>
        </w:rPr>
        <w:footnoteReference w:id="1"/>
      </w:r>
    </w:p>
    <w:p w:rsidR="003B468A" w:rsidRPr="00943350" w:rsidRDefault="003B468A">
      <w:pPr>
        <w:pStyle w:val="Normal-para"/>
        <w:numPr>
          <w:ilvl w:val="0"/>
          <w:numId w:val="0"/>
        </w:numPr>
        <w:tabs>
          <w:tab w:val="clear" w:pos="490"/>
          <w:tab w:val="clear" w:pos="979"/>
          <w:tab w:val="clear" w:pos="1469"/>
          <w:tab w:val="left" w:pos="3705"/>
        </w:tabs>
        <w:spacing w:before="0" w:after="0"/>
        <w:rPr>
          <w:color w:val="000000"/>
          <w:szCs w:val="18"/>
          <w:lang w:val="en-GB"/>
        </w:rPr>
      </w:pPr>
    </w:p>
    <w:p w:rsidR="009B7971" w:rsidRPr="0023567D" w:rsidRDefault="009B7971" w:rsidP="009B7971">
      <w:pPr>
        <w:jc w:val="center"/>
        <w:outlineLvl w:val="0"/>
        <w:rPr>
          <w:b/>
          <w:caps/>
        </w:rPr>
      </w:pPr>
      <w:r w:rsidRPr="0023567D">
        <w:rPr>
          <w:b/>
          <w:caps/>
        </w:rPr>
        <w:t>双边合作</w:t>
      </w:r>
    </w:p>
    <w:p w:rsidR="009B7971" w:rsidRPr="0023567D" w:rsidRDefault="009B7971" w:rsidP="009B7971">
      <w:pPr>
        <w:jc w:val="center"/>
        <w:outlineLvl w:val="0"/>
        <w:rPr>
          <w:b/>
          <w:caps/>
        </w:rPr>
      </w:pPr>
    </w:p>
    <w:p w:rsidR="009B7971" w:rsidRPr="0023567D" w:rsidRDefault="009B7971" w:rsidP="009B7971">
      <w:pPr>
        <w:numPr>
          <w:ilvl w:val="0"/>
          <w:numId w:val="1"/>
        </w:numPr>
        <w:spacing w:after="240"/>
        <w:outlineLvl w:val="0"/>
        <w:rPr>
          <w:lang w:eastAsia="zh-CN"/>
        </w:rPr>
      </w:pPr>
      <w:r w:rsidRPr="0023567D">
        <w:rPr>
          <w:lang w:eastAsia="zh-CN"/>
        </w:rPr>
        <w:t>本文件</w:t>
      </w:r>
      <w:r w:rsidR="00422DCC">
        <w:rPr>
          <w:rFonts w:hint="eastAsia"/>
          <w:lang w:eastAsia="zh-CN"/>
        </w:rPr>
        <w:t>就各</w:t>
      </w:r>
      <w:r w:rsidRPr="0023567D">
        <w:rPr>
          <w:lang w:eastAsia="zh-CN"/>
        </w:rPr>
        <w:t>双边机构</w:t>
      </w:r>
      <w:r w:rsidR="00FB29E1">
        <w:rPr>
          <w:lang w:eastAsia="zh-CN"/>
        </w:rPr>
        <w:t>提出</w:t>
      </w:r>
      <w:r w:rsidRPr="0023567D">
        <w:rPr>
          <w:lang w:eastAsia="zh-CN"/>
        </w:rPr>
        <w:t>的</w:t>
      </w:r>
      <w:r w:rsidR="00FB29E1">
        <w:rPr>
          <w:lang w:eastAsia="zh-CN"/>
        </w:rPr>
        <w:t>申请</w:t>
      </w:r>
      <w:r w:rsidR="00A148CA">
        <w:rPr>
          <w:rFonts w:hint="eastAsia"/>
          <w:lang w:eastAsia="zh-CN"/>
        </w:rPr>
        <w:t>做出</w:t>
      </w:r>
      <w:r w:rsidR="00A148CA" w:rsidRPr="0023567D">
        <w:rPr>
          <w:lang w:eastAsia="zh-CN"/>
        </w:rPr>
        <w:t>概述</w:t>
      </w:r>
      <w:r w:rsidRPr="0023567D">
        <w:rPr>
          <w:lang w:eastAsia="zh-CN"/>
        </w:rPr>
        <w:t>。</w:t>
      </w:r>
      <w:r w:rsidR="00FB29E1">
        <w:rPr>
          <w:lang w:eastAsia="zh-CN"/>
        </w:rPr>
        <w:t>由于新冠疫情造成的限制，《蒙特利尔议定书》缔约方未能</w:t>
      </w:r>
      <w:r w:rsidR="00A148CA">
        <w:rPr>
          <w:rFonts w:hint="eastAsia"/>
          <w:lang w:eastAsia="zh-CN"/>
        </w:rPr>
        <w:t>就</w:t>
      </w:r>
      <w:r w:rsidRPr="0023567D">
        <w:rPr>
          <w:lang w:eastAsia="zh-CN"/>
        </w:rPr>
        <w:t>多边基金</w:t>
      </w:r>
      <w:r w:rsidRPr="0023567D">
        <w:rPr>
          <w:lang w:eastAsia="zh-CN"/>
        </w:rPr>
        <w:t>2021</w:t>
      </w:r>
      <w:r w:rsidRPr="0023567D">
        <w:rPr>
          <w:lang w:eastAsia="zh-CN"/>
        </w:rPr>
        <w:t>年</w:t>
      </w:r>
      <w:r w:rsidR="00A148CA">
        <w:rPr>
          <w:rFonts w:hint="eastAsia"/>
          <w:lang w:eastAsia="zh-CN"/>
        </w:rPr>
        <w:t>至</w:t>
      </w:r>
      <w:r w:rsidRPr="0023567D">
        <w:rPr>
          <w:lang w:eastAsia="zh-CN"/>
        </w:rPr>
        <w:t>2023</w:t>
      </w:r>
      <w:r w:rsidRPr="0023567D">
        <w:rPr>
          <w:lang w:eastAsia="zh-CN"/>
        </w:rPr>
        <w:t>年的资金补充水平</w:t>
      </w:r>
      <w:r w:rsidR="00A148CA">
        <w:rPr>
          <w:rFonts w:hint="eastAsia"/>
          <w:lang w:eastAsia="zh-CN"/>
        </w:rPr>
        <w:t>达成一致</w:t>
      </w:r>
      <w:r w:rsidR="00FB29E1">
        <w:rPr>
          <w:lang w:eastAsia="zh-CN"/>
        </w:rPr>
        <w:t>。</w:t>
      </w:r>
      <w:r w:rsidR="00A148CA">
        <w:rPr>
          <w:rFonts w:hint="eastAsia"/>
          <w:lang w:eastAsia="zh-CN"/>
        </w:rPr>
        <w:t>各</w:t>
      </w:r>
      <w:r w:rsidRPr="0023567D">
        <w:rPr>
          <w:lang w:eastAsia="zh-CN"/>
        </w:rPr>
        <w:t>双边机构向第</w:t>
      </w:r>
      <w:r w:rsidRPr="0023567D">
        <w:rPr>
          <w:lang w:eastAsia="zh-CN"/>
        </w:rPr>
        <w:t>87</w:t>
      </w:r>
      <w:r w:rsidRPr="0023567D">
        <w:rPr>
          <w:lang w:eastAsia="zh-CN"/>
        </w:rPr>
        <w:t>次会议提交的申请是</w:t>
      </w:r>
      <w:r w:rsidRPr="0023567D">
        <w:rPr>
          <w:lang w:eastAsia="zh-CN"/>
        </w:rPr>
        <w:t>2021</w:t>
      </w:r>
      <w:r w:rsidRPr="0023567D">
        <w:rPr>
          <w:lang w:eastAsia="zh-CN"/>
        </w:rPr>
        <w:t>年</w:t>
      </w:r>
      <w:r w:rsidR="00A148CA">
        <w:rPr>
          <w:rFonts w:hint="eastAsia"/>
          <w:lang w:eastAsia="zh-CN"/>
        </w:rPr>
        <w:t>至</w:t>
      </w:r>
      <w:r w:rsidRPr="0023567D">
        <w:rPr>
          <w:lang w:eastAsia="zh-CN"/>
        </w:rPr>
        <w:t>2023</w:t>
      </w:r>
      <w:r w:rsidRPr="0023567D">
        <w:rPr>
          <w:lang w:eastAsia="zh-CN"/>
        </w:rPr>
        <w:t>年三年期的</w:t>
      </w:r>
      <w:r w:rsidR="00A148CA">
        <w:rPr>
          <w:rFonts w:hint="eastAsia"/>
          <w:lang w:eastAsia="zh-CN"/>
        </w:rPr>
        <w:t>首</w:t>
      </w:r>
      <w:r w:rsidRPr="0023567D">
        <w:rPr>
          <w:lang w:eastAsia="zh-CN"/>
        </w:rPr>
        <w:t>批申请，</w:t>
      </w:r>
      <w:r w:rsidR="00FB29E1">
        <w:rPr>
          <w:lang w:eastAsia="zh-CN"/>
        </w:rPr>
        <w:t>因此</w:t>
      </w:r>
      <w:r w:rsidRPr="0023567D">
        <w:rPr>
          <w:lang w:eastAsia="zh-CN"/>
        </w:rPr>
        <w:t>申请的资金低于双边合作</w:t>
      </w:r>
      <w:r w:rsidR="00FB29E1">
        <w:rPr>
          <w:lang w:eastAsia="zh-CN"/>
        </w:rPr>
        <w:t>中</w:t>
      </w:r>
      <w:r w:rsidR="00FB29E1" w:rsidRPr="0023567D">
        <w:rPr>
          <w:lang w:eastAsia="zh-CN"/>
        </w:rPr>
        <w:t>符合</w:t>
      </w:r>
      <w:r w:rsidR="00FB29E1">
        <w:rPr>
          <w:lang w:eastAsia="zh-CN"/>
        </w:rPr>
        <w:t>资助</w:t>
      </w:r>
      <w:r w:rsidR="00FB29E1" w:rsidRPr="0023567D">
        <w:rPr>
          <w:lang w:eastAsia="zh-CN"/>
        </w:rPr>
        <w:t>条件的</w:t>
      </w:r>
      <w:r w:rsidRPr="0023567D">
        <w:rPr>
          <w:lang w:eastAsia="zh-CN"/>
        </w:rPr>
        <w:t>最高水平。本文件还参照了包括双边申请讨论在内的相关会议文件，同时还</w:t>
      </w:r>
      <w:r w:rsidR="00A148CA">
        <w:rPr>
          <w:rFonts w:hint="eastAsia"/>
          <w:lang w:eastAsia="zh-CN"/>
        </w:rPr>
        <w:t>包含</w:t>
      </w:r>
      <w:r w:rsidRPr="0023567D">
        <w:rPr>
          <w:lang w:eastAsia="zh-CN"/>
        </w:rPr>
        <w:t>双边合作任务当年的建议。</w:t>
      </w:r>
      <w:r w:rsidRPr="0023567D">
        <w:rPr>
          <w:lang w:eastAsia="zh-CN"/>
        </w:rPr>
        <w:t xml:space="preserve"> </w:t>
      </w:r>
    </w:p>
    <w:p w:rsidR="009B7971" w:rsidRPr="0023567D" w:rsidRDefault="009B7971" w:rsidP="009B7971">
      <w:pPr>
        <w:tabs>
          <w:tab w:val="left" w:pos="720"/>
        </w:tabs>
        <w:spacing w:after="240"/>
        <w:outlineLvl w:val="0"/>
      </w:pPr>
      <w:r w:rsidRPr="0023567D">
        <w:rPr>
          <w:b/>
        </w:rPr>
        <w:t>概述</w:t>
      </w:r>
    </w:p>
    <w:p w:rsidR="009B7971" w:rsidRPr="0023567D" w:rsidRDefault="009B7971" w:rsidP="009B7971">
      <w:pPr>
        <w:numPr>
          <w:ilvl w:val="0"/>
          <w:numId w:val="1"/>
        </w:numPr>
        <w:spacing w:after="240"/>
        <w:outlineLvl w:val="0"/>
        <w:rPr>
          <w:lang w:eastAsia="zh-CN"/>
        </w:rPr>
      </w:pPr>
      <w:r w:rsidRPr="0023567D">
        <w:rPr>
          <w:lang w:eastAsia="zh-CN"/>
        </w:rPr>
        <w:t>两</w:t>
      </w:r>
      <w:r w:rsidR="00A148CA">
        <w:rPr>
          <w:rFonts w:hint="eastAsia"/>
          <w:lang w:eastAsia="zh-CN"/>
        </w:rPr>
        <w:t>个</w:t>
      </w:r>
      <w:r w:rsidRPr="0023567D">
        <w:rPr>
          <w:lang w:eastAsia="zh-CN"/>
        </w:rPr>
        <w:t>双边机构提交了价值</w:t>
      </w:r>
      <w:r w:rsidR="00A148CA">
        <w:rPr>
          <w:rFonts w:hint="eastAsia"/>
          <w:lang w:eastAsia="zh-CN"/>
        </w:rPr>
        <w:t>为</w:t>
      </w:r>
      <w:r w:rsidRPr="0023567D">
        <w:rPr>
          <w:lang w:eastAsia="zh-CN"/>
        </w:rPr>
        <w:t>1,064,543</w:t>
      </w:r>
      <w:r w:rsidRPr="0023567D">
        <w:rPr>
          <w:lang w:eastAsia="zh-CN"/>
        </w:rPr>
        <w:t>美元的十个项目</w:t>
      </w:r>
      <w:r w:rsidR="00A148CA">
        <w:rPr>
          <w:rFonts w:hint="eastAsia"/>
          <w:lang w:eastAsia="zh-CN"/>
        </w:rPr>
        <w:t>，具体</w:t>
      </w:r>
      <w:r w:rsidR="00A148CA" w:rsidRPr="0023567D">
        <w:rPr>
          <w:lang w:eastAsia="zh-CN"/>
        </w:rPr>
        <w:t>如表</w:t>
      </w:r>
      <w:r w:rsidR="00A148CA" w:rsidRPr="0023567D">
        <w:rPr>
          <w:lang w:eastAsia="zh-CN"/>
        </w:rPr>
        <w:t>1</w:t>
      </w:r>
      <w:r w:rsidR="00A148CA" w:rsidRPr="0023567D">
        <w:rPr>
          <w:lang w:eastAsia="zh-CN"/>
        </w:rPr>
        <w:t>所示</w:t>
      </w:r>
      <w:r w:rsidRPr="0023567D">
        <w:rPr>
          <w:lang w:eastAsia="zh-CN"/>
        </w:rPr>
        <w:t>。</w:t>
      </w:r>
      <w:r w:rsidRPr="0023567D">
        <w:rPr>
          <w:lang w:eastAsia="zh-CN"/>
        </w:rPr>
        <w:t xml:space="preserve"> </w:t>
      </w:r>
    </w:p>
    <w:p w:rsidR="009B7971" w:rsidRPr="0023567D" w:rsidRDefault="009B7971" w:rsidP="009B7971">
      <w:pPr>
        <w:keepNext/>
        <w:rPr>
          <w:b/>
          <w:lang w:eastAsia="zh-CN"/>
        </w:rPr>
      </w:pPr>
      <w:r w:rsidRPr="0023567D">
        <w:rPr>
          <w:b/>
          <w:lang w:eastAsia="zh-CN"/>
        </w:rPr>
        <w:t>表</w:t>
      </w:r>
      <w:r w:rsidRPr="0023567D">
        <w:rPr>
          <w:b/>
          <w:lang w:eastAsia="zh-CN"/>
        </w:rPr>
        <w:t>1</w:t>
      </w:r>
      <w:r w:rsidR="00FB29E1">
        <w:rPr>
          <w:rFonts w:hint="eastAsia"/>
          <w:b/>
          <w:lang w:eastAsia="zh-CN"/>
        </w:rPr>
        <w:t xml:space="preserve">. </w:t>
      </w:r>
      <w:r w:rsidRPr="0023567D">
        <w:rPr>
          <w:b/>
          <w:lang w:eastAsia="zh-CN"/>
        </w:rPr>
        <w:t>向第</w:t>
      </w:r>
      <w:r w:rsidR="00FB29E1">
        <w:rPr>
          <w:rFonts w:hint="eastAsia"/>
          <w:b/>
          <w:lang w:eastAsia="zh-CN"/>
        </w:rPr>
        <w:t>87</w:t>
      </w:r>
      <w:r w:rsidRPr="0023567D">
        <w:rPr>
          <w:b/>
          <w:lang w:eastAsia="zh-CN"/>
        </w:rPr>
        <w:t>次会议提交的双边合作项目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876"/>
        <w:gridCol w:w="2133"/>
        <w:gridCol w:w="1080"/>
        <w:gridCol w:w="1080"/>
        <w:gridCol w:w="1260"/>
        <w:gridCol w:w="1359"/>
      </w:tblGrid>
      <w:tr w:rsidR="009B7971" w:rsidRPr="0023567D" w:rsidTr="00A92F8F">
        <w:trPr>
          <w:tblHeader/>
        </w:trPr>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jc w:val="center"/>
              <w:outlineLvl w:val="0"/>
              <w:rPr>
                <w:b/>
                <w:bCs/>
                <w:sz w:val="20"/>
                <w:szCs w:val="20"/>
              </w:rPr>
            </w:pPr>
            <w:r w:rsidRPr="0023567D">
              <w:rPr>
                <w:b/>
                <w:sz w:val="20"/>
              </w:rPr>
              <w:t>机构</w:t>
            </w:r>
          </w:p>
        </w:tc>
        <w:tc>
          <w:tcPr>
            <w:tcW w:w="1876"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jc w:val="center"/>
              <w:rPr>
                <w:b/>
                <w:bCs/>
                <w:sz w:val="20"/>
                <w:szCs w:val="20"/>
              </w:rPr>
            </w:pPr>
            <w:r w:rsidRPr="0023567D">
              <w:rPr>
                <w:b/>
                <w:sz w:val="20"/>
              </w:rPr>
              <w:t>国家</w:t>
            </w:r>
          </w:p>
        </w:tc>
        <w:tc>
          <w:tcPr>
            <w:tcW w:w="2133"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jc w:val="center"/>
              <w:rPr>
                <w:b/>
                <w:bCs/>
                <w:sz w:val="20"/>
                <w:szCs w:val="20"/>
              </w:rPr>
            </w:pPr>
            <w:r w:rsidRPr="0023567D">
              <w:rPr>
                <w:b/>
                <w:sz w:val="20"/>
              </w:rPr>
              <w:t>项目名称</w:t>
            </w:r>
          </w:p>
        </w:tc>
        <w:tc>
          <w:tcPr>
            <w:tcW w:w="1080"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jc w:val="center"/>
              <w:rPr>
                <w:b/>
                <w:bCs/>
                <w:sz w:val="20"/>
                <w:szCs w:val="20"/>
              </w:rPr>
            </w:pPr>
            <w:r w:rsidRPr="0023567D">
              <w:rPr>
                <w:b/>
                <w:sz w:val="20"/>
              </w:rPr>
              <w:t>申请金额</w:t>
            </w:r>
            <w:r w:rsidRPr="0023567D">
              <w:rPr>
                <w:b/>
                <w:sz w:val="20"/>
              </w:rPr>
              <w:t xml:space="preserve"> </w:t>
            </w:r>
          </w:p>
          <w:p w:rsidR="009B7971" w:rsidRPr="0023567D" w:rsidRDefault="009B7971" w:rsidP="00E90FB3">
            <w:pPr>
              <w:jc w:val="center"/>
              <w:rPr>
                <w:b/>
                <w:bCs/>
                <w:sz w:val="20"/>
                <w:szCs w:val="20"/>
              </w:rPr>
            </w:pPr>
            <w:r w:rsidRPr="0023567D">
              <w:rPr>
                <w:b/>
                <w:sz w:val="20"/>
              </w:rPr>
              <w:t>（美元）</w:t>
            </w:r>
          </w:p>
        </w:tc>
        <w:tc>
          <w:tcPr>
            <w:tcW w:w="1080"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jc w:val="center"/>
              <w:rPr>
                <w:b/>
                <w:bCs/>
                <w:sz w:val="20"/>
                <w:szCs w:val="20"/>
              </w:rPr>
            </w:pPr>
            <w:r w:rsidRPr="0023567D">
              <w:rPr>
                <w:b/>
                <w:sz w:val="20"/>
              </w:rPr>
              <w:t>支持费用</w:t>
            </w:r>
            <w:r w:rsidRPr="0023567D">
              <w:rPr>
                <w:b/>
                <w:sz w:val="20"/>
              </w:rPr>
              <w:t xml:space="preserve"> </w:t>
            </w:r>
          </w:p>
          <w:p w:rsidR="009B7971" w:rsidRPr="0023567D" w:rsidRDefault="009B7971" w:rsidP="00E90FB3">
            <w:pPr>
              <w:jc w:val="center"/>
              <w:rPr>
                <w:b/>
                <w:bCs/>
                <w:sz w:val="20"/>
                <w:szCs w:val="20"/>
              </w:rPr>
            </w:pPr>
            <w:r w:rsidRPr="0023567D">
              <w:rPr>
                <w:b/>
                <w:sz w:val="20"/>
              </w:rPr>
              <w:t>（美元）</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48CA" w:rsidRDefault="00A64993" w:rsidP="00E90FB3">
            <w:pPr>
              <w:jc w:val="center"/>
              <w:rPr>
                <w:b/>
                <w:sz w:val="20"/>
              </w:rPr>
            </w:pPr>
            <w:r>
              <w:rPr>
                <w:b/>
                <w:sz w:val="20"/>
              </w:rPr>
              <w:t>拟定</w:t>
            </w:r>
            <w:r w:rsidR="009B7971" w:rsidRPr="0023567D">
              <w:rPr>
                <w:b/>
                <w:sz w:val="20"/>
              </w:rPr>
              <w:t>金额</w:t>
            </w:r>
          </w:p>
          <w:p w:rsidR="009B7971" w:rsidRPr="0023567D" w:rsidRDefault="009B7971" w:rsidP="00E90FB3">
            <w:pPr>
              <w:jc w:val="center"/>
              <w:rPr>
                <w:b/>
                <w:bCs/>
                <w:sz w:val="20"/>
                <w:szCs w:val="20"/>
              </w:rPr>
            </w:pPr>
            <w:r w:rsidRPr="0023567D">
              <w:rPr>
                <w:b/>
                <w:sz w:val="20"/>
              </w:rPr>
              <w:t>（美元）</w:t>
            </w: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b/>
                <w:bCs/>
                <w:sz w:val="20"/>
                <w:szCs w:val="20"/>
              </w:rPr>
            </w:pPr>
            <w:r w:rsidRPr="0023567D">
              <w:rPr>
                <w:b/>
                <w:sz w:val="20"/>
              </w:rPr>
              <w:t>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r w:rsidRPr="0023567D">
              <w:rPr>
                <w:sz w:val="20"/>
              </w:rPr>
              <w:t>布基纳法索</w:t>
            </w:r>
            <w:r w:rsidRPr="0023567D">
              <w:rPr>
                <w:sz w:val="20"/>
                <w:vertAlign w:val="superscript"/>
              </w:rPr>
              <w:t xml:space="preserve"> a</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A64993" w:rsidP="00E90FB3">
            <w:pPr>
              <w:jc w:val="left"/>
              <w:rPr>
                <w:color w:val="000000"/>
                <w:sz w:val="20"/>
                <w:szCs w:val="20"/>
                <w:lang w:eastAsia="zh-CN"/>
              </w:rPr>
            </w:pPr>
            <w:r>
              <w:rPr>
                <w:color w:val="000000"/>
                <w:sz w:val="20"/>
                <w:lang w:eastAsia="zh-CN"/>
              </w:rPr>
              <w:t>制</w:t>
            </w:r>
            <w:r w:rsidR="005B7145">
              <w:rPr>
                <w:rFonts w:hint="eastAsia"/>
                <w:color w:val="000000"/>
                <w:sz w:val="20"/>
                <w:lang w:eastAsia="zh-CN"/>
              </w:rPr>
              <w:t>定</w:t>
            </w:r>
            <w:r w:rsidR="009B7971" w:rsidRPr="0023567D">
              <w:rPr>
                <w:color w:val="000000"/>
                <w:sz w:val="20"/>
                <w:lang w:eastAsia="zh-CN"/>
              </w:rPr>
              <w:t>HFC</w:t>
            </w:r>
            <w:r w:rsidR="009B7971" w:rsidRPr="0023567D">
              <w:rPr>
                <w:color w:val="000000"/>
                <w:sz w:val="20"/>
                <w:lang w:eastAsia="zh-CN"/>
              </w:rPr>
              <w:t>淘汰计划</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150,000</w:t>
            </w:r>
          </w:p>
          <w:p w:rsidR="009B7971" w:rsidRPr="0023567D" w:rsidRDefault="009B7971" w:rsidP="00E90FB3">
            <w:pPr>
              <w:jc w:val="right"/>
              <w:rPr>
                <w:b/>
                <w:color w:val="000000"/>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19,500</w:t>
            </w:r>
          </w:p>
          <w:p w:rsidR="009B7971" w:rsidRPr="0023567D" w:rsidRDefault="009B7971" w:rsidP="00E90FB3">
            <w:pPr>
              <w:jc w:val="right"/>
              <w:rPr>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169,500*</w:t>
            </w:r>
          </w:p>
          <w:p w:rsidR="009B7971" w:rsidRPr="0023567D" w:rsidRDefault="009B7971" w:rsidP="00E90FB3">
            <w:pPr>
              <w:jc w:val="right"/>
              <w:rPr>
                <w:b/>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r w:rsidRPr="0023567D">
              <w:rPr>
                <w:sz w:val="20"/>
              </w:rPr>
              <w:t>印度</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color w:val="000000"/>
                <w:sz w:val="20"/>
                <w:szCs w:val="20"/>
                <w:lang w:eastAsia="zh-CN"/>
              </w:rPr>
            </w:pPr>
            <w:r w:rsidRPr="0023567D">
              <w:rPr>
                <w:color w:val="000000"/>
                <w:sz w:val="20"/>
                <w:lang w:eastAsia="zh-CN"/>
              </w:rPr>
              <w:t>氟氯烃淘汰管理计划（第二阶段第三次拨款）</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105,887</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11,855</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117,742</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A92F8F">
            <w:pPr>
              <w:jc w:val="left"/>
              <w:rPr>
                <w:sz w:val="20"/>
                <w:szCs w:val="20"/>
              </w:rPr>
            </w:pPr>
            <w:r w:rsidRPr="0023567D">
              <w:rPr>
                <w:sz w:val="20"/>
              </w:rPr>
              <w:t>第</w:t>
            </w:r>
            <w:r w:rsidRPr="0023567D">
              <w:rPr>
                <w:sz w:val="20"/>
              </w:rPr>
              <w:t>86/90</w:t>
            </w:r>
            <w:r w:rsidRPr="0023567D">
              <w:rPr>
                <w:sz w:val="20"/>
              </w:rPr>
              <w:t>（</w:t>
            </w:r>
            <w:r w:rsidR="00A92F8F">
              <w:rPr>
                <w:sz w:val="20"/>
              </w:rPr>
              <w:t>c</w:t>
            </w:r>
            <w:r w:rsidRPr="0023567D">
              <w:rPr>
                <w:sz w:val="20"/>
              </w:rPr>
              <w:t>）号决定</w:t>
            </w:r>
            <w:r w:rsidRPr="0023567D">
              <w:rPr>
                <w:rStyle w:val="FootnoteReference"/>
                <w:sz w:val="20"/>
              </w:rPr>
              <w:footnoteReference w:id="2"/>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color w:val="000000"/>
                <w:sz w:val="20"/>
                <w:szCs w:val="20"/>
              </w:rPr>
            </w:pPr>
            <w:r w:rsidRPr="0023567D">
              <w:rPr>
                <w:sz w:val="20"/>
              </w:rPr>
              <w:t>印度</w:t>
            </w:r>
            <w:r w:rsidRPr="0023567D">
              <w:rPr>
                <w:sz w:val="20"/>
                <w:vertAlign w:val="superscript"/>
              </w:rPr>
              <w:t xml:space="preserve"> b</w:t>
            </w:r>
          </w:p>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color w:val="000000"/>
                <w:sz w:val="20"/>
                <w:szCs w:val="20"/>
                <w:lang w:eastAsia="zh-CN"/>
              </w:rPr>
            </w:pPr>
            <w:r w:rsidRPr="0023567D">
              <w:rPr>
                <w:color w:val="000000"/>
                <w:sz w:val="20"/>
                <w:lang w:eastAsia="zh-CN"/>
              </w:rPr>
              <w:t>制</w:t>
            </w:r>
            <w:r w:rsidR="005B7145">
              <w:rPr>
                <w:rFonts w:hint="eastAsia"/>
                <w:color w:val="000000"/>
                <w:sz w:val="20"/>
                <w:lang w:eastAsia="zh-CN"/>
              </w:rPr>
              <w:t>定</w:t>
            </w:r>
            <w:r w:rsidRPr="0023567D">
              <w:rPr>
                <w:color w:val="000000"/>
                <w:sz w:val="20"/>
                <w:lang w:eastAsia="zh-CN"/>
              </w:rPr>
              <w:t>氟氯烃淘汰管理计划（第三阶段）（总体）</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40,000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5,200</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45,200</w:t>
            </w:r>
          </w:p>
          <w:p w:rsidR="009B7971" w:rsidRPr="0023567D" w:rsidRDefault="009B7971" w:rsidP="00E90FB3">
            <w:pPr>
              <w:jc w:val="right"/>
              <w:rPr>
                <w:b/>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r w:rsidRPr="0023567D">
              <w:rPr>
                <w:sz w:val="20"/>
              </w:rPr>
              <w:t>伊朗伊斯兰共和国</w:t>
            </w:r>
            <w:r w:rsidR="00A072A5" w:rsidRPr="005F1D04">
              <w:rPr>
                <w:sz w:val="20"/>
                <w:szCs w:val="20"/>
                <w:vertAlign w:val="superscript"/>
              </w:rPr>
              <w:t>c</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color w:val="000000"/>
                <w:sz w:val="20"/>
                <w:szCs w:val="20"/>
                <w:lang w:eastAsia="zh-CN"/>
              </w:rPr>
            </w:pPr>
            <w:r w:rsidRPr="0023567D">
              <w:rPr>
                <w:color w:val="000000"/>
                <w:sz w:val="20"/>
                <w:lang w:eastAsia="zh-CN"/>
              </w:rPr>
              <w:t>制</w:t>
            </w:r>
            <w:r w:rsidR="005B7145">
              <w:rPr>
                <w:rFonts w:hint="eastAsia"/>
                <w:color w:val="000000"/>
                <w:sz w:val="20"/>
                <w:lang w:eastAsia="zh-CN"/>
              </w:rPr>
              <w:t>定</w:t>
            </w:r>
            <w:r w:rsidRPr="0023567D">
              <w:rPr>
                <w:color w:val="000000"/>
                <w:sz w:val="20"/>
                <w:lang w:eastAsia="zh-CN"/>
              </w:rPr>
              <w:t>氟氯烃淘汰管理计划（第三阶段）（工业制冷和工业空调）</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25,000</w:t>
            </w:r>
          </w:p>
          <w:p w:rsidR="009B7971" w:rsidRPr="0023567D" w:rsidRDefault="009B7971" w:rsidP="00E90FB3">
            <w:pPr>
              <w:jc w:val="right"/>
              <w:rPr>
                <w:b/>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3,250</w:t>
            </w:r>
          </w:p>
          <w:p w:rsidR="009B7971" w:rsidRPr="0023567D" w:rsidRDefault="009B7971" w:rsidP="00E90FB3">
            <w:pPr>
              <w:jc w:val="right"/>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28,250</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r w:rsidRPr="0023567D">
              <w:rPr>
                <w:sz w:val="20"/>
              </w:rPr>
              <w:t>伊朗伊斯兰共和国</w:t>
            </w:r>
            <w:r w:rsidR="00A072A5" w:rsidRPr="005F1D04">
              <w:rPr>
                <w:sz w:val="20"/>
                <w:szCs w:val="20"/>
                <w:vertAlign w:val="superscript"/>
              </w:rPr>
              <w:t>c</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color w:val="000000"/>
                <w:sz w:val="20"/>
                <w:szCs w:val="20"/>
                <w:lang w:eastAsia="zh-CN"/>
              </w:rPr>
            </w:pPr>
            <w:r w:rsidRPr="0023567D">
              <w:rPr>
                <w:color w:val="000000"/>
                <w:sz w:val="20"/>
                <w:lang w:eastAsia="zh-CN"/>
              </w:rPr>
              <w:t>制</w:t>
            </w:r>
            <w:r w:rsidR="005B7145">
              <w:rPr>
                <w:rFonts w:hint="eastAsia"/>
                <w:color w:val="000000"/>
                <w:sz w:val="20"/>
                <w:lang w:eastAsia="zh-CN"/>
              </w:rPr>
              <w:t>定</w:t>
            </w:r>
            <w:r w:rsidRPr="0023567D">
              <w:rPr>
                <w:color w:val="000000"/>
                <w:sz w:val="20"/>
                <w:lang w:eastAsia="zh-CN"/>
              </w:rPr>
              <w:t>氟氯烃淘汰管理计划（第三阶段）（总体）</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15,000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1,950</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16,950</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color w:val="000000"/>
                <w:sz w:val="20"/>
                <w:szCs w:val="20"/>
              </w:rPr>
            </w:pPr>
            <w:r w:rsidRPr="0023567D">
              <w:rPr>
                <w:color w:val="000000"/>
                <w:sz w:val="20"/>
              </w:rPr>
              <w:t>莱索托</w:t>
            </w:r>
          </w:p>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5B7145">
            <w:pPr>
              <w:jc w:val="left"/>
              <w:rPr>
                <w:color w:val="000000"/>
                <w:sz w:val="20"/>
                <w:szCs w:val="20"/>
                <w:lang w:eastAsia="zh-CN"/>
              </w:rPr>
            </w:pPr>
            <w:r w:rsidRPr="0023567D">
              <w:rPr>
                <w:color w:val="000000"/>
                <w:sz w:val="20"/>
                <w:lang w:eastAsia="zh-CN"/>
              </w:rPr>
              <w:t>氟氯烃淘汰管理计划（第二阶段第一次拨款）</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168,900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21,957</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190,857*</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(1)</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color w:val="000000"/>
                <w:sz w:val="20"/>
                <w:szCs w:val="20"/>
              </w:rPr>
            </w:pPr>
            <w:r w:rsidRPr="0023567D">
              <w:rPr>
                <w:color w:val="000000"/>
                <w:sz w:val="20"/>
              </w:rPr>
              <w:t>利比里亚</w:t>
            </w:r>
          </w:p>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A64993" w:rsidP="00A64993">
            <w:pPr>
              <w:jc w:val="left"/>
              <w:rPr>
                <w:color w:val="000000"/>
                <w:sz w:val="20"/>
                <w:szCs w:val="20"/>
              </w:rPr>
            </w:pPr>
            <w:r>
              <w:rPr>
                <w:color w:val="000000"/>
                <w:sz w:val="20"/>
              </w:rPr>
              <w:t>制</w:t>
            </w:r>
            <w:r w:rsidR="005B7145">
              <w:rPr>
                <w:rFonts w:hint="eastAsia"/>
                <w:color w:val="000000"/>
                <w:sz w:val="20"/>
                <w:lang w:eastAsia="zh-CN"/>
              </w:rPr>
              <w:t>定</w:t>
            </w:r>
            <w:r w:rsidR="009B7971" w:rsidRPr="0023567D">
              <w:rPr>
                <w:color w:val="000000"/>
                <w:sz w:val="20"/>
              </w:rPr>
              <w:t>HFC</w:t>
            </w:r>
            <w:r w:rsidR="009B7971" w:rsidRPr="0023567D">
              <w:rPr>
                <w:color w:val="000000"/>
                <w:sz w:val="20"/>
              </w:rPr>
              <w:t>淘汰计划</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130,000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16,900</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146,900*</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A072A5" w:rsidRDefault="009B7971" w:rsidP="00E90FB3">
            <w:pPr>
              <w:jc w:val="left"/>
              <w:rPr>
                <w:color w:val="000000"/>
                <w:sz w:val="20"/>
                <w:szCs w:val="20"/>
              </w:rPr>
            </w:pPr>
            <w:r w:rsidRPr="00A072A5">
              <w:rPr>
                <w:sz w:val="20"/>
                <w:szCs w:val="20"/>
              </w:rPr>
              <w:t>毛里求斯</w:t>
            </w:r>
            <w:r w:rsidR="00A64993" w:rsidRPr="008114E3">
              <w:rPr>
                <w:sz w:val="20"/>
                <w:szCs w:val="20"/>
                <w:vertAlign w:val="superscript"/>
              </w:rPr>
              <w:t>a</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A64993" w:rsidP="00E90FB3">
            <w:pPr>
              <w:jc w:val="left"/>
              <w:rPr>
                <w:color w:val="000000"/>
                <w:sz w:val="20"/>
                <w:szCs w:val="20"/>
              </w:rPr>
            </w:pPr>
            <w:r>
              <w:rPr>
                <w:color w:val="000000"/>
                <w:sz w:val="20"/>
              </w:rPr>
              <w:t>制</w:t>
            </w:r>
            <w:r w:rsidR="005B7145">
              <w:rPr>
                <w:rFonts w:hint="eastAsia"/>
                <w:color w:val="000000"/>
                <w:sz w:val="20"/>
                <w:lang w:eastAsia="zh-CN"/>
              </w:rPr>
              <w:t>定</w:t>
            </w:r>
            <w:r w:rsidR="009B7971" w:rsidRPr="0023567D">
              <w:rPr>
                <w:color w:val="000000"/>
                <w:sz w:val="20"/>
              </w:rPr>
              <w:t>HFC</w:t>
            </w:r>
            <w:r w:rsidR="009B7971" w:rsidRPr="0023567D">
              <w:rPr>
                <w:color w:val="000000"/>
                <w:sz w:val="20"/>
              </w:rPr>
              <w:t>淘汰计划</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150,000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19,500</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169,500*</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本文件</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德国</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color w:val="000000"/>
                <w:sz w:val="20"/>
                <w:szCs w:val="20"/>
              </w:rPr>
            </w:pPr>
            <w:r w:rsidRPr="0023567D">
              <w:rPr>
                <w:color w:val="000000"/>
                <w:sz w:val="20"/>
              </w:rPr>
              <w:t>巴布亚新几内亚</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A64993" w:rsidP="00E90FB3">
            <w:pPr>
              <w:jc w:val="left"/>
              <w:rPr>
                <w:color w:val="000000"/>
                <w:sz w:val="20"/>
                <w:szCs w:val="20"/>
                <w:lang w:eastAsia="zh-CN"/>
              </w:rPr>
            </w:pPr>
            <w:r>
              <w:rPr>
                <w:color w:val="000000"/>
                <w:sz w:val="20"/>
                <w:lang w:eastAsia="zh-CN"/>
              </w:rPr>
              <w:t>氟氯烃淘汰管理计划（第一</w:t>
            </w:r>
            <w:r w:rsidR="009B7971" w:rsidRPr="0023567D">
              <w:rPr>
                <w:color w:val="000000"/>
                <w:sz w:val="20"/>
                <w:lang w:eastAsia="zh-CN"/>
              </w:rPr>
              <w:t>阶段第四次拨款）</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134,000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15,812</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149,812</w:t>
            </w:r>
          </w:p>
          <w:p w:rsidR="009B7971" w:rsidRPr="0023567D" w:rsidRDefault="009B7971" w:rsidP="00E90FB3">
            <w:pPr>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(2)</w:t>
            </w:r>
          </w:p>
        </w:tc>
      </w:tr>
      <w:tr w:rsidR="009B7971" w:rsidRPr="0023567D" w:rsidTr="00A92F8F">
        <w:trPr>
          <w:trHeight w:val="287"/>
        </w:trPr>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rPr>
                <w:sz w:val="20"/>
                <w:szCs w:val="20"/>
              </w:rPr>
            </w:pPr>
            <w:r w:rsidRPr="0023567D">
              <w:rPr>
                <w:b/>
                <w:sz w:val="20"/>
              </w:rPr>
              <w:t>小计</w:t>
            </w:r>
            <w:r w:rsidRPr="0023567D">
              <w:rPr>
                <w:b/>
                <w:sz w:val="20"/>
              </w:rPr>
              <w:t xml:space="preserve"> </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bCs/>
                <w:sz w:val="20"/>
                <w:szCs w:val="20"/>
              </w:rPr>
            </w:pP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b/>
                <w:bCs/>
                <w:color w:val="000000"/>
                <w:sz w:val="20"/>
                <w:szCs w:val="20"/>
              </w:rPr>
            </w:pPr>
            <w:r w:rsidRPr="0023567D">
              <w:rPr>
                <w:b/>
                <w:color w:val="000000"/>
                <w:sz w:val="20"/>
              </w:rPr>
              <w:t>918,787</w:t>
            </w: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b/>
                <w:bCs/>
                <w:color w:val="000000"/>
                <w:sz w:val="20"/>
                <w:szCs w:val="20"/>
              </w:rPr>
            </w:pPr>
            <w:r w:rsidRPr="0023567D">
              <w:rPr>
                <w:b/>
                <w:color w:val="000000"/>
                <w:sz w:val="20"/>
              </w:rPr>
              <w:t>115,924</w:t>
            </w: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b/>
                <w:bCs/>
                <w:color w:val="000000"/>
                <w:sz w:val="20"/>
                <w:szCs w:val="20"/>
              </w:rPr>
            </w:pPr>
            <w:r w:rsidRPr="0023567D">
              <w:rPr>
                <w:b/>
                <w:color w:val="000000"/>
                <w:sz w:val="20"/>
              </w:rPr>
              <w:t>1,034,711</w:t>
            </w: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sz w:val="20"/>
              </w:rPr>
              <w:t>日本</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color w:val="000000"/>
                <w:sz w:val="20"/>
                <w:szCs w:val="20"/>
              </w:rPr>
            </w:pPr>
            <w:r w:rsidRPr="0023567D">
              <w:rPr>
                <w:color w:val="000000"/>
                <w:sz w:val="20"/>
              </w:rPr>
              <w:t>越南</w:t>
            </w: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color w:val="000000"/>
                <w:sz w:val="20"/>
                <w:szCs w:val="20"/>
                <w:lang w:eastAsia="zh-CN"/>
              </w:rPr>
            </w:pPr>
            <w:r w:rsidRPr="0023567D">
              <w:rPr>
                <w:color w:val="000000"/>
                <w:sz w:val="20"/>
                <w:lang w:eastAsia="zh-CN"/>
              </w:rPr>
              <w:t>氟氯烃淘汰管理计划（第二阶段第三次拨款）</w:t>
            </w: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26,400</w:t>
            </w:r>
          </w:p>
          <w:p w:rsidR="009B7971" w:rsidRPr="0023567D" w:rsidRDefault="009B7971" w:rsidP="00E90FB3">
            <w:pPr>
              <w:jc w:val="right"/>
              <w:rPr>
                <w:sz w:val="20"/>
                <w:szCs w:val="20"/>
              </w:rPr>
            </w:pP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color w:val="000000"/>
                <w:sz w:val="20"/>
                <w:szCs w:val="20"/>
              </w:rPr>
            </w:pPr>
            <w:r w:rsidRPr="0023567D">
              <w:rPr>
                <w:color w:val="000000"/>
                <w:sz w:val="20"/>
              </w:rPr>
              <w:t>3,432</w:t>
            </w:r>
          </w:p>
          <w:p w:rsidR="009B7971" w:rsidRPr="0023567D" w:rsidRDefault="009B7971" w:rsidP="00E90FB3">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color w:val="000000"/>
                <w:sz w:val="20"/>
                <w:szCs w:val="20"/>
              </w:rPr>
            </w:pPr>
            <w:r w:rsidRPr="0023567D">
              <w:rPr>
                <w:color w:val="000000"/>
                <w:sz w:val="20"/>
              </w:rPr>
              <w:t>29,832</w:t>
            </w:r>
          </w:p>
          <w:p w:rsidR="009B7971" w:rsidRPr="0023567D" w:rsidRDefault="009B7971" w:rsidP="00E90FB3">
            <w:pPr>
              <w:tabs>
                <w:tab w:val="center" w:pos="633"/>
                <w:tab w:val="right" w:pos="1267"/>
              </w:tabs>
              <w:jc w:val="right"/>
              <w:rPr>
                <w:sz w:val="20"/>
                <w:szCs w:val="20"/>
              </w:rPr>
            </w:pP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r w:rsidRPr="0023567D">
              <w:rPr>
                <w:sz w:val="20"/>
              </w:rPr>
              <w:t>(3)</w:t>
            </w:r>
          </w:p>
        </w:tc>
      </w:tr>
      <w:tr w:rsidR="009B7971" w:rsidRPr="0023567D" w:rsidTr="00A92F8F">
        <w:tc>
          <w:tcPr>
            <w:tcW w:w="851"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rPr>
                <w:sz w:val="20"/>
                <w:szCs w:val="20"/>
              </w:rPr>
            </w:pPr>
            <w:r w:rsidRPr="0023567D">
              <w:rPr>
                <w:b/>
                <w:sz w:val="20"/>
              </w:rPr>
              <w:t>小计</w:t>
            </w:r>
            <w:r w:rsidRPr="0023567D">
              <w:rPr>
                <w:b/>
                <w:sz w:val="20"/>
              </w:rPr>
              <w:t xml:space="preserve"> </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ind w:hanging="12"/>
              <w:jc w:val="left"/>
              <w:rPr>
                <w:bCs/>
                <w:sz w:val="20"/>
                <w:szCs w:val="20"/>
              </w:rPr>
            </w:pP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b/>
                <w:bCs/>
                <w:color w:val="000000"/>
                <w:sz w:val="20"/>
                <w:szCs w:val="20"/>
              </w:rPr>
            </w:pPr>
            <w:r w:rsidRPr="0023567D">
              <w:rPr>
                <w:b/>
                <w:color w:val="000000"/>
                <w:sz w:val="20"/>
              </w:rPr>
              <w:t>26,400</w:t>
            </w: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b/>
                <w:bCs/>
                <w:color w:val="000000"/>
                <w:sz w:val="20"/>
                <w:szCs w:val="20"/>
              </w:rPr>
            </w:pPr>
            <w:r w:rsidRPr="0023567D">
              <w:rPr>
                <w:b/>
                <w:color w:val="000000"/>
                <w:sz w:val="20"/>
              </w:rPr>
              <w:t>3,432</w:t>
            </w: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b/>
                <w:bCs/>
                <w:color w:val="000000"/>
                <w:sz w:val="20"/>
                <w:szCs w:val="20"/>
              </w:rPr>
            </w:pPr>
            <w:r w:rsidRPr="0023567D">
              <w:rPr>
                <w:b/>
                <w:color w:val="000000"/>
                <w:sz w:val="20"/>
              </w:rPr>
              <w:t>29,832</w:t>
            </w: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p>
        </w:tc>
      </w:tr>
      <w:tr w:rsidR="009B7971" w:rsidRPr="0023567D" w:rsidTr="00A92F8F">
        <w:trPr>
          <w:trHeight w:val="143"/>
        </w:trPr>
        <w:tc>
          <w:tcPr>
            <w:tcW w:w="851" w:type="dxa"/>
            <w:tcBorders>
              <w:top w:val="single" w:sz="4" w:space="0" w:color="auto"/>
              <w:left w:val="single" w:sz="4" w:space="0" w:color="auto"/>
              <w:bottom w:val="single" w:sz="4" w:space="0" w:color="auto"/>
              <w:right w:val="single" w:sz="4" w:space="0" w:color="auto"/>
            </w:tcBorders>
            <w:hideMark/>
          </w:tcPr>
          <w:p w:rsidR="009B7971" w:rsidRPr="0023567D" w:rsidRDefault="009B7971" w:rsidP="00E90FB3">
            <w:pPr>
              <w:rPr>
                <w:sz w:val="20"/>
                <w:szCs w:val="20"/>
              </w:rPr>
            </w:pPr>
            <w:r w:rsidRPr="0023567D">
              <w:rPr>
                <w:b/>
                <w:sz w:val="20"/>
              </w:rPr>
              <w:t>总计</w:t>
            </w:r>
          </w:p>
        </w:tc>
        <w:tc>
          <w:tcPr>
            <w:tcW w:w="1876" w:type="dxa"/>
            <w:tcBorders>
              <w:top w:val="single" w:sz="4" w:space="0" w:color="auto"/>
              <w:left w:val="nil"/>
              <w:bottom w:val="single" w:sz="4" w:space="0" w:color="auto"/>
              <w:right w:val="single" w:sz="4" w:space="0" w:color="auto"/>
            </w:tcBorders>
          </w:tcPr>
          <w:p w:rsidR="009B7971" w:rsidRPr="0023567D" w:rsidRDefault="009B7971" w:rsidP="00E90FB3">
            <w:pPr>
              <w:jc w:val="left"/>
              <w:rPr>
                <w:sz w:val="20"/>
                <w:szCs w:val="20"/>
              </w:rPr>
            </w:pPr>
          </w:p>
        </w:tc>
        <w:tc>
          <w:tcPr>
            <w:tcW w:w="2133"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left"/>
              <w:rPr>
                <w:bCs/>
                <w:sz w:val="20"/>
                <w:szCs w:val="20"/>
              </w:rPr>
            </w:pPr>
          </w:p>
        </w:tc>
        <w:tc>
          <w:tcPr>
            <w:tcW w:w="1080" w:type="dxa"/>
            <w:tcBorders>
              <w:top w:val="single" w:sz="4" w:space="0" w:color="auto"/>
              <w:left w:val="nil"/>
              <w:bottom w:val="single" w:sz="4" w:space="0" w:color="auto"/>
              <w:right w:val="single" w:sz="4" w:space="0" w:color="auto"/>
            </w:tcBorders>
          </w:tcPr>
          <w:p w:rsidR="009B7971" w:rsidRPr="0023567D" w:rsidRDefault="009B7971" w:rsidP="00E90FB3">
            <w:pPr>
              <w:jc w:val="right"/>
              <w:rPr>
                <w:b/>
                <w:bCs/>
                <w:sz w:val="20"/>
                <w:szCs w:val="20"/>
              </w:rPr>
            </w:pPr>
            <w:r w:rsidRPr="0023567D">
              <w:rPr>
                <w:b/>
                <w:sz w:val="20"/>
              </w:rPr>
              <w:t>945,187</w:t>
            </w:r>
          </w:p>
        </w:tc>
        <w:tc>
          <w:tcPr>
            <w:tcW w:w="1080" w:type="dxa"/>
            <w:tcBorders>
              <w:top w:val="single" w:sz="4" w:space="0" w:color="auto"/>
              <w:left w:val="single" w:sz="4" w:space="0" w:color="auto"/>
              <w:bottom w:val="single" w:sz="4" w:space="0" w:color="auto"/>
              <w:right w:val="nil"/>
            </w:tcBorders>
          </w:tcPr>
          <w:p w:rsidR="009B7971" w:rsidRPr="0023567D" w:rsidRDefault="009B7971" w:rsidP="00E90FB3">
            <w:pPr>
              <w:jc w:val="right"/>
              <w:rPr>
                <w:b/>
                <w:bCs/>
                <w:sz w:val="20"/>
                <w:szCs w:val="20"/>
              </w:rPr>
            </w:pPr>
            <w:r w:rsidRPr="0023567D">
              <w:rPr>
                <w:b/>
                <w:sz w:val="20"/>
              </w:rPr>
              <w:t>119,356</w:t>
            </w:r>
          </w:p>
        </w:tc>
        <w:tc>
          <w:tcPr>
            <w:tcW w:w="1260"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right"/>
              <w:rPr>
                <w:b/>
                <w:bCs/>
                <w:sz w:val="20"/>
                <w:szCs w:val="20"/>
              </w:rPr>
            </w:pPr>
            <w:r w:rsidRPr="0023567D">
              <w:rPr>
                <w:b/>
                <w:sz w:val="20"/>
              </w:rPr>
              <w:t>1,064,543</w:t>
            </w:r>
          </w:p>
        </w:tc>
        <w:tc>
          <w:tcPr>
            <w:tcW w:w="1359" w:type="dxa"/>
            <w:tcBorders>
              <w:top w:val="single" w:sz="4" w:space="0" w:color="auto"/>
              <w:left w:val="single" w:sz="4" w:space="0" w:color="auto"/>
              <w:bottom w:val="single" w:sz="4" w:space="0" w:color="auto"/>
              <w:right w:val="single" w:sz="4" w:space="0" w:color="auto"/>
            </w:tcBorders>
          </w:tcPr>
          <w:p w:rsidR="009B7971" w:rsidRPr="0023567D" w:rsidRDefault="009B7971" w:rsidP="00E90FB3">
            <w:pPr>
              <w:jc w:val="center"/>
              <w:rPr>
                <w:sz w:val="20"/>
                <w:szCs w:val="20"/>
              </w:rPr>
            </w:pPr>
          </w:p>
        </w:tc>
      </w:tr>
    </w:tbl>
    <w:p w:rsidR="009B7971" w:rsidRPr="0023567D" w:rsidRDefault="009B7971" w:rsidP="009B7971">
      <w:pPr>
        <w:tabs>
          <w:tab w:val="left" w:pos="720"/>
        </w:tabs>
        <w:outlineLvl w:val="0"/>
        <w:rPr>
          <w:sz w:val="19"/>
          <w:szCs w:val="19"/>
        </w:rPr>
      </w:pPr>
      <w:r w:rsidRPr="0023567D">
        <w:rPr>
          <w:sz w:val="19"/>
        </w:rPr>
        <w:t>*</w:t>
      </w:r>
      <w:r w:rsidRPr="0023567D">
        <w:rPr>
          <w:sz w:val="19"/>
        </w:rPr>
        <w:t>个别审议</w:t>
      </w:r>
    </w:p>
    <w:p w:rsidR="009B7971" w:rsidRPr="00A64993" w:rsidRDefault="009B7971" w:rsidP="009B7971">
      <w:pPr>
        <w:tabs>
          <w:tab w:val="left" w:pos="720"/>
        </w:tabs>
        <w:outlineLvl w:val="0"/>
        <w:rPr>
          <w:sz w:val="19"/>
          <w:szCs w:val="19"/>
          <w:lang w:val="en-US"/>
        </w:rPr>
      </w:pPr>
      <w:r w:rsidRPr="00A64993">
        <w:rPr>
          <w:sz w:val="19"/>
          <w:szCs w:val="19"/>
          <w:lang w:val="en-US"/>
        </w:rPr>
        <w:t>（</w:t>
      </w:r>
      <w:r w:rsidRPr="00A64993">
        <w:rPr>
          <w:sz w:val="19"/>
          <w:szCs w:val="19"/>
          <w:lang w:val="en-US"/>
        </w:rPr>
        <w:t>1</w:t>
      </w:r>
      <w:r w:rsidRPr="00A64993">
        <w:rPr>
          <w:sz w:val="19"/>
          <w:szCs w:val="19"/>
          <w:lang w:val="en-US"/>
        </w:rPr>
        <w:t>）</w:t>
      </w:r>
      <w:r w:rsidRPr="00A64993">
        <w:rPr>
          <w:sz w:val="19"/>
          <w:szCs w:val="19"/>
          <w:lang w:val="en-US"/>
        </w:rPr>
        <w:t>UNEP/OzL.Pro/ExCom/87/31</w:t>
      </w:r>
    </w:p>
    <w:p w:rsidR="009B7971" w:rsidRPr="0023567D" w:rsidRDefault="009B7971" w:rsidP="009B7971">
      <w:pPr>
        <w:rPr>
          <w:sz w:val="19"/>
          <w:szCs w:val="19"/>
          <w:lang w:val="en-US"/>
        </w:rPr>
      </w:pPr>
      <w:r w:rsidRPr="0023567D">
        <w:rPr>
          <w:sz w:val="19"/>
          <w:lang w:val="en-US"/>
        </w:rPr>
        <w:t>（</w:t>
      </w:r>
      <w:r w:rsidRPr="0023567D">
        <w:rPr>
          <w:sz w:val="19"/>
          <w:lang w:val="en-US"/>
        </w:rPr>
        <w:t>2</w:t>
      </w:r>
      <w:r w:rsidRPr="0023567D">
        <w:rPr>
          <w:sz w:val="19"/>
          <w:lang w:val="en-US"/>
        </w:rPr>
        <w:t>）</w:t>
      </w:r>
      <w:r w:rsidRPr="0023567D">
        <w:rPr>
          <w:sz w:val="19"/>
          <w:lang w:val="en-US"/>
        </w:rPr>
        <w:t>UNEP/OzL.Pro/ExCom/87/32</w:t>
      </w:r>
    </w:p>
    <w:p w:rsidR="009B7971" w:rsidRPr="0023567D" w:rsidRDefault="009B7971" w:rsidP="009B7971">
      <w:pPr>
        <w:rPr>
          <w:sz w:val="19"/>
          <w:szCs w:val="19"/>
          <w:lang w:val="en-US"/>
        </w:rPr>
      </w:pPr>
      <w:r w:rsidRPr="0023567D">
        <w:rPr>
          <w:sz w:val="19"/>
          <w:lang w:val="en-US"/>
        </w:rPr>
        <w:t>（</w:t>
      </w:r>
      <w:r w:rsidRPr="0023567D">
        <w:rPr>
          <w:sz w:val="19"/>
          <w:lang w:val="en-US"/>
        </w:rPr>
        <w:t>3</w:t>
      </w:r>
      <w:r w:rsidRPr="0023567D">
        <w:rPr>
          <w:sz w:val="19"/>
          <w:lang w:val="en-US"/>
        </w:rPr>
        <w:t>）</w:t>
      </w:r>
      <w:r w:rsidRPr="0023567D">
        <w:rPr>
          <w:sz w:val="19"/>
          <w:lang w:val="en-US"/>
        </w:rPr>
        <w:t>UNEP/OzL.Pro/ExCom/87/40</w:t>
      </w:r>
    </w:p>
    <w:p w:rsidR="009B7971" w:rsidRPr="0023567D" w:rsidRDefault="009B7971" w:rsidP="009B7971">
      <w:pPr>
        <w:pStyle w:val="Heading1"/>
        <w:numPr>
          <w:ilvl w:val="0"/>
          <w:numId w:val="0"/>
        </w:numPr>
        <w:tabs>
          <w:tab w:val="left" w:pos="720"/>
        </w:tabs>
        <w:spacing w:after="0"/>
        <w:rPr>
          <w:sz w:val="18"/>
          <w:szCs w:val="18"/>
          <w:lang w:eastAsia="zh-CN"/>
        </w:rPr>
      </w:pPr>
      <w:r w:rsidRPr="0023567D">
        <w:rPr>
          <w:sz w:val="18"/>
          <w:vertAlign w:val="superscript"/>
          <w:lang w:eastAsia="zh-CN"/>
        </w:rPr>
        <w:t xml:space="preserve">a </w:t>
      </w:r>
      <w:r w:rsidR="005B7145" w:rsidRPr="0023567D">
        <w:rPr>
          <w:lang w:eastAsia="zh-CN"/>
        </w:rPr>
        <w:t>第</w:t>
      </w:r>
      <w:r w:rsidR="005B7145" w:rsidRPr="0023567D">
        <w:rPr>
          <w:lang w:eastAsia="zh-CN"/>
        </w:rPr>
        <w:t>86</w:t>
      </w:r>
      <w:r w:rsidR="005B7145">
        <w:rPr>
          <w:lang w:eastAsia="zh-CN"/>
        </w:rPr>
        <w:t>次会议转交的申请</w:t>
      </w:r>
      <w:r w:rsidR="005B7145">
        <w:rPr>
          <w:rFonts w:hint="eastAsia"/>
          <w:lang w:eastAsia="zh-CN"/>
        </w:rPr>
        <w:t>，</w:t>
      </w:r>
      <w:r w:rsidRPr="0023567D">
        <w:rPr>
          <w:lang w:eastAsia="zh-CN"/>
        </w:rPr>
        <w:t>载于</w:t>
      </w:r>
      <w:r w:rsidRPr="0023567D">
        <w:rPr>
          <w:lang w:eastAsia="zh-CN"/>
        </w:rPr>
        <w:t>UNEP/OzL.Pro/ExCom/86/32</w:t>
      </w:r>
      <w:r w:rsidR="00A64993">
        <w:rPr>
          <w:lang w:eastAsia="zh-CN"/>
        </w:rPr>
        <w:t>号</w:t>
      </w:r>
      <w:r w:rsidR="00A64993" w:rsidRPr="0023567D">
        <w:rPr>
          <w:lang w:eastAsia="zh-CN"/>
        </w:rPr>
        <w:t>文件</w:t>
      </w:r>
    </w:p>
    <w:p w:rsidR="009B7971" w:rsidRPr="0023567D" w:rsidRDefault="009B7971" w:rsidP="009B7971">
      <w:pPr>
        <w:rPr>
          <w:sz w:val="18"/>
          <w:szCs w:val="18"/>
          <w:lang w:eastAsia="zh-CN"/>
        </w:rPr>
      </w:pPr>
      <w:r w:rsidRPr="0023567D">
        <w:rPr>
          <w:sz w:val="18"/>
          <w:vertAlign w:val="superscript"/>
          <w:lang w:eastAsia="zh-CN"/>
        </w:rPr>
        <w:t xml:space="preserve">b </w:t>
      </w:r>
      <w:r w:rsidRPr="0023567D">
        <w:rPr>
          <w:lang w:eastAsia="zh-CN"/>
        </w:rPr>
        <w:t>联合国计划开发署作为牵头执行机构，联合国环境规划署作为合作执行机构。</w:t>
      </w:r>
    </w:p>
    <w:p w:rsidR="009B7971" w:rsidRPr="0023567D" w:rsidRDefault="009B7971" w:rsidP="009B7971">
      <w:pPr>
        <w:rPr>
          <w:sz w:val="18"/>
          <w:szCs w:val="18"/>
          <w:vertAlign w:val="superscript"/>
          <w:lang w:eastAsia="zh-CN"/>
        </w:rPr>
      </w:pPr>
      <w:r w:rsidRPr="0023567D">
        <w:rPr>
          <w:sz w:val="18"/>
          <w:vertAlign w:val="superscript"/>
          <w:lang w:eastAsia="zh-CN"/>
        </w:rPr>
        <w:t xml:space="preserve">c </w:t>
      </w:r>
      <w:r w:rsidRPr="0023567D">
        <w:rPr>
          <w:lang w:eastAsia="zh-CN"/>
        </w:rPr>
        <w:t>联合国计划开发署作为牵头执行机构，联合国环境规划署和联合国工发组织作为合作执行机构。</w:t>
      </w:r>
    </w:p>
    <w:p w:rsidR="009B7971" w:rsidRPr="0023567D" w:rsidRDefault="009B7971" w:rsidP="009B7971">
      <w:pPr>
        <w:rPr>
          <w:sz w:val="19"/>
          <w:szCs w:val="19"/>
          <w:highlight w:val="yellow"/>
          <w:lang w:eastAsia="zh-CN"/>
        </w:rPr>
      </w:pPr>
    </w:p>
    <w:p w:rsidR="009B7971" w:rsidRPr="0023567D" w:rsidRDefault="009B7971" w:rsidP="009B7971">
      <w:pPr>
        <w:keepNext/>
        <w:spacing w:after="240"/>
        <w:rPr>
          <w:b/>
          <w:u w:val="single"/>
          <w:lang w:eastAsia="zh-CN"/>
        </w:rPr>
      </w:pPr>
      <w:r w:rsidRPr="0023567D">
        <w:rPr>
          <w:b/>
          <w:u w:val="single"/>
          <w:lang w:eastAsia="zh-CN"/>
        </w:rPr>
        <w:t>印度和伊朗伊斯兰共和国：氟氯烃淘汰管理计划的项目</w:t>
      </w:r>
      <w:r w:rsidR="00797998">
        <w:rPr>
          <w:rFonts w:hint="eastAsia"/>
          <w:b/>
          <w:u w:val="single"/>
          <w:lang w:eastAsia="zh-CN"/>
        </w:rPr>
        <w:t>筹备</w:t>
      </w:r>
      <w:r w:rsidRPr="0023567D">
        <w:rPr>
          <w:b/>
          <w:u w:val="single"/>
          <w:lang w:eastAsia="zh-CN"/>
        </w:rPr>
        <w:t xml:space="preserve"> </w:t>
      </w:r>
    </w:p>
    <w:p w:rsidR="009B7971" w:rsidRPr="0023567D" w:rsidRDefault="009B7971" w:rsidP="009B7971">
      <w:pPr>
        <w:keepNext/>
        <w:keepLines/>
        <w:spacing w:after="240"/>
        <w:rPr>
          <w:b/>
        </w:rPr>
      </w:pPr>
      <w:r w:rsidRPr="0023567D">
        <w:rPr>
          <w:b/>
        </w:rPr>
        <w:t>项目说明</w:t>
      </w:r>
    </w:p>
    <w:p w:rsidR="009B7971" w:rsidRPr="0023567D" w:rsidRDefault="009B7971" w:rsidP="009B7971">
      <w:pPr>
        <w:pStyle w:val="Heading1"/>
        <w:rPr>
          <w:lang w:eastAsia="zh-CN"/>
        </w:rPr>
      </w:pPr>
      <w:r w:rsidRPr="0023567D">
        <w:rPr>
          <w:lang w:eastAsia="zh-CN"/>
        </w:rPr>
        <w:t>德国政府作为合作双边机构</w:t>
      </w:r>
      <w:r w:rsidR="00741056">
        <w:rPr>
          <w:rFonts w:hint="eastAsia"/>
          <w:lang w:eastAsia="zh-CN"/>
        </w:rPr>
        <w:t>，</w:t>
      </w:r>
      <w:r w:rsidR="004378EA">
        <w:rPr>
          <w:rFonts w:hint="eastAsia"/>
          <w:lang w:eastAsia="zh-CN"/>
        </w:rPr>
        <w:t>已</w:t>
      </w:r>
      <w:r w:rsidRPr="0023567D">
        <w:rPr>
          <w:lang w:eastAsia="zh-CN"/>
        </w:rPr>
        <w:t>为印度和伊朗伊斯兰共和国这两个第</w:t>
      </w:r>
      <w:r w:rsidRPr="0023567D">
        <w:rPr>
          <w:lang w:eastAsia="zh-CN"/>
        </w:rPr>
        <w:t>5</w:t>
      </w:r>
      <w:r w:rsidRPr="0023567D">
        <w:rPr>
          <w:lang w:eastAsia="zh-CN"/>
        </w:rPr>
        <w:t>条国家提交了</w:t>
      </w:r>
      <w:r w:rsidR="00741056">
        <w:rPr>
          <w:rFonts w:hint="eastAsia"/>
          <w:lang w:eastAsia="zh-CN"/>
        </w:rPr>
        <w:t>制定</w:t>
      </w:r>
      <w:r w:rsidRPr="0023567D">
        <w:rPr>
          <w:lang w:eastAsia="zh-CN"/>
        </w:rPr>
        <w:t>氟氯烃淘汰管理计划第三阶段的申请，其中联合国开发计划署作为牵头执行机构，联合国环境规划署作为合作执行机构，伊朗伊斯兰共和国的</w:t>
      </w:r>
      <w:r w:rsidR="00741056">
        <w:rPr>
          <w:rFonts w:hint="eastAsia"/>
          <w:lang w:eastAsia="zh-CN"/>
        </w:rPr>
        <w:t>另一个</w:t>
      </w:r>
      <w:r w:rsidRPr="0023567D">
        <w:rPr>
          <w:lang w:eastAsia="zh-CN"/>
        </w:rPr>
        <w:t>合作机构</w:t>
      </w:r>
      <w:r w:rsidR="004378EA">
        <w:rPr>
          <w:rFonts w:hint="eastAsia"/>
          <w:lang w:eastAsia="zh-CN"/>
        </w:rPr>
        <w:t>是</w:t>
      </w:r>
      <w:r w:rsidR="004378EA" w:rsidRPr="0023567D">
        <w:rPr>
          <w:lang w:eastAsia="zh-CN"/>
        </w:rPr>
        <w:t>联合国工发组织</w:t>
      </w:r>
      <w:r w:rsidRPr="0023567D">
        <w:rPr>
          <w:lang w:eastAsia="zh-CN"/>
        </w:rPr>
        <w:t>，此外，还为伊朗伊斯兰共和国工业制冷和空调</w:t>
      </w:r>
      <w:r w:rsidR="008B068B">
        <w:rPr>
          <w:lang w:eastAsia="zh-CN"/>
        </w:rPr>
        <w:t>行业的投资活动</w:t>
      </w:r>
      <w:r w:rsidRPr="0023567D">
        <w:rPr>
          <w:lang w:eastAsia="zh-CN"/>
        </w:rPr>
        <w:t>申请</w:t>
      </w:r>
      <w:r w:rsidR="008B068B">
        <w:rPr>
          <w:lang w:eastAsia="zh-CN"/>
        </w:rPr>
        <w:t>了</w:t>
      </w:r>
      <w:r w:rsidRPr="0023567D">
        <w:rPr>
          <w:lang w:eastAsia="zh-CN"/>
        </w:rPr>
        <w:t>项目</w:t>
      </w:r>
      <w:r w:rsidR="004378EA">
        <w:rPr>
          <w:rFonts w:hint="eastAsia"/>
          <w:lang w:eastAsia="zh-CN"/>
        </w:rPr>
        <w:t>筹备</w:t>
      </w:r>
      <w:r w:rsidRPr="0023567D">
        <w:rPr>
          <w:lang w:eastAsia="zh-CN"/>
        </w:rPr>
        <w:t>资金，</w:t>
      </w:r>
      <w:r w:rsidR="008B068B">
        <w:rPr>
          <w:lang w:eastAsia="zh-CN"/>
        </w:rPr>
        <w:t>以此</w:t>
      </w:r>
      <w:r w:rsidRPr="0023567D">
        <w:rPr>
          <w:lang w:eastAsia="zh-CN"/>
        </w:rPr>
        <w:t>作为氟氯烃淘汰管理计划第三阶段的部分内容，具体如表</w:t>
      </w:r>
      <w:r w:rsidRPr="0023567D">
        <w:rPr>
          <w:lang w:eastAsia="zh-CN"/>
        </w:rPr>
        <w:t>3</w:t>
      </w:r>
      <w:r w:rsidRPr="0023567D">
        <w:rPr>
          <w:lang w:eastAsia="zh-CN"/>
        </w:rPr>
        <w:t>所示。</w:t>
      </w:r>
      <w:r w:rsidR="004378EA">
        <w:rPr>
          <w:rFonts w:hint="eastAsia"/>
          <w:lang w:eastAsia="zh-CN"/>
        </w:rPr>
        <w:t>就</w:t>
      </w:r>
      <w:r w:rsidR="004378EA" w:rsidRPr="0023567D">
        <w:rPr>
          <w:lang w:eastAsia="zh-CN"/>
        </w:rPr>
        <w:t>印度和伊朗伊斯兰共和国</w:t>
      </w:r>
      <w:r w:rsidR="004378EA">
        <w:rPr>
          <w:rFonts w:hint="eastAsia"/>
          <w:lang w:eastAsia="zh-CN"/>
        </w:rPr>
        <w:t>而言，</w:t>
      </w:r>
      <w:r w:rsidRPr="0023567D">
        <w:rPr>
          <w:lang w:eastAsia="zh-CN"/>
        </w:rPr>
        <w:t>在</w:t>
      </w:r>
      <w:r w:rsidR="00D250C8">
        <w:rPr>
          <w:rFonts w:hint="eastAsia"/>
          <w:lang w:eastAsia="zh-CN"/>
        </w:rPr>
        <w:t>各机构</w:t>
      </w:r>
      <w:r w:rsidRPr="0023567D">
        <w:rPr>
          <w:lang w:eastAsia="zh-CN"/>
        </w:rPr>
        <w:t>2021</w:t>
      </w:r>
      <w:r w:rsidRPr="0023567D">
        <w:rPr>
          <w:lang w:eastAsia="zh-CN"/>
        </w:rPr>
        <w:t>年</w:t>
      </w:r>
      <w:r w:rsidR="008B068B">
        <w:rPr>
          <w:lang w:eastAsia="zh-CN"/>
        </w:rPr>
        <w:t>各自的</w:t>
      </w:r>
      <w:r w:rsidRPr="0023567D">
        <w:rPr>
          <w:lang w:eastAsia="zh-CN"/>
        </w:rPr>
        <w:t>工作方案</w:t>
      </w:r>
      <w:r w:rsidR="00B54EB5">
        <w:rPr>
          <w:rStyle w:val="FootnoteReference"/>
          <w:lang w:eastAsia="zh-CN"/>
        </w:rPr>
        <w:footnoteReference w:id="3"/>
      </w:r>
      <w:r w:rsidRPr="0023567D">
        <w:rPr>
          <w:lang w:eastAsia="zh-CN"/>
        </w:rPr>
        <w:t>中，联合国开发计划署作为牵头执行机构已为</w:t>
      </w:r>
      <w:r w:rsidR="00D250C8">
        <w:rPr>
          <w:rFonts w:hint="eastAsia"/>
          <w:lang w:eastAsia="zh-CN"/>
        </w:rPr>
        <w:t>这两个国家</w:t>
      </w:r>
      <w:r w:rsidRPr="0023567D">
        <w:rPr>
          <w:lang w:eastAsia="zh-CN"/>
        </w:rPr>
        <w:t>申请</w:t>
      </w:r>
      <w:r w:rsidRPr="0023567D">
        <w:rPr>
          <w:lang w:eastAsia="zh-CN"/>
        </w:rPr>
        <w:t>440,000</w:t>
      </w:r>
      <w:r w:rsidRPr="0023567D">
        <w:rPr>
          <w:lang w:eastAsia="zh-CN"/>
        </w:rPr>
        <w:t>美元，外加机构支持费用</w:t>
      </w:r>
      <w:r w:rsidR="004378EA">
        <w:rPr>
          <w:rFonts w:hint="eastAsia"/>
          <w:lang w:eastAsia="zh-CN"/>
        </w:rPr>
        <w:t>总计</w:t>
      </w:r>
      <w:r w:rsidRPr="0023567D">
        <w:rPr>
          <w:lang w:eastAsia="zh-CN"/>
        </w:rPr>
        <w:t>30,800</w:t>
      </w:r>
      <w:r w:rsidR="006C7242">
        <w:rPr>
          <w:lang w:eastAsia="zh-CN"/>
        </w:rPr>
        <w:t>美元；联合国环境规划署作为合作执行机构</w:t>
      </w:r>
      <w:r w:rsidR="00CC6C7F">
        <w:rPr>
          <w:rFonts w:hint="eastAsia"/>
          <w:lang w:eastAsia="zh-CN"/>
        </w:rPr>
        <w:t>，</w:t>
      </w:r>
      <w:r w:rsidRPr="0023567D">
        <w:rPr>
          <w:lang w:eastAsia="zh-CN"/>
        </w:rPr>
        <w:t>已</w:t>
      </w:r>
      <w:r w:rsidR="006C7242">
        <w:rPr>
          <w:lang w:eastAsia="zh-CN"/>
        </w:rPr>
        <w:t>为这两个国家总</w:t>
      </w:r>
      <w:r w:rsidR="006C7242" w:rsidRPr="0023567D">
        <w:rPr>
          <w:lang w:eastAsia="zh-CN"/>
        </w:rPr>
        <w:t>计</w:t>
      </w:r>
      <w:r w:rsidRPr="0023567D">
        <w:rPr>
          <w:lang w:eastAsia="zh-CN"/>
        </w:rPr>
        <w:t>申请</w:t>
      </w:r>
      <w:r w:rsidRPr="0023567D">
        <w:rPr>
          <w:lang w:eastAsia="zh-CN"/>
        </w:rPr>
        <w:t>35,000</w:t>
      </w:r>
      <w:r w:rsidRPr="0023567D">
        <w:rPr>
          <w:lang w:eastAsia="zh-CN"/>
        </w:rPr>
        <w:t>美元，外加机构支持费用</w:t>
      </w:r>
      <w:r w:rsidR="004378EA">
        <w:rPr>
          <w:rFonts w:hint="eastAsia"/>
          <w:lang w:eastAsia="zh-CN"/>
        </w:rPr>
        <w:t>总计</w:t>
      </w:r>
      <w:r w:rsidRPr="0023567D">
        <w:rPr>
          <w:lang w:eastAsia="zh-CN"/>
        </w:rPr>
        <w:t>4,550</w:t>
      </w:r>
      <w:r w:rsidRPr="0023567D">
        <w:rPr>
          <w:lang w:eastAsia="zh-CN"/>
        </w:rPr>
        <w:t>美元；联合国工发组织作为</w:t>
      </w:r>
      <w:r w:rsidR="004378EA">
        <w:rPr>
          <w:rFonts w:hint="eastAsia"/>
          <w:lang w:eastAsia="zh-CN"/>
        </w:rPr>
        <w:t>另一个</w:t>
      </w:r>
      <w:r w:rsidRPr="0023567D">
        <w:rPr>
          <w:lang w:eastAsia="zh-CN"/>
        </w:rPr>
        <w:t>合作执行机构</w:t>
      </w:r>
      <w:r w:rsidR="004378EA">
        <w:rPr>
          <w:rFonts w:hint="eastAsia"/>
          <w:lang w:eastAsia="zh-CN"/>
        </w:rPr>
        <w:t>，</w:t>
      </w:r>
      <w:r w:rsidRPr="0023567D">
        <w:rPr>
          <w:lang w:eastAsia="zh-CN"/>
        </w:rPr>
        <w:t>已</w:t>
      </w:r>
      <w:r w:rsidR="006C7242">
        <w:rPr>
          <w:lang w:eastAsia="zh-CN"/>
        </w:rPr>
        <w:t>为伊朗伊斯兰共和国</w:t>
      </w:r>
      <w:r w:rsidRPr="0023567D">
        <w:rPr>
          <w:lang w:eastAsia="zh-CN"/>
        </w:rPr>
        <w:t>申请</w:t>
      </w:r>
      <w:r w:rsidRPr="0023567D">
        <w:rPr>
          <w:lang w:eastAsia="zh-CN"/>
        </w:rPr>
        <w:t>65,000</w:t>
      </w:r>
      <w:r w:rsidRPr="0023567D">
        <w:rPr>
          <w:lang w:eastAsia="zh-CN"/>
        </w:rPr>
        <w:t>美元，外加机构支持费用</w:t>
      </w:r>
      <w:r w:rsidRPr="0023567D">
        <w:rPr>
          <w:lang w:eastAsia="zh-CN"/>
        </w:rPr>
        <w:t>4,550</w:t>
      </w:r>
      <w:r w:rsidRPr="0023567D">
        <w:rPr>
          <w:lang w:eastAsia="zh-CN"/>
        </w:rPr>
        <w:t>美元。</w:t>
      </w:r>
      <w:r w:rsidR="004378EA" w:rsidRPr="0023567D">
        <w:rPr>
          <w:lang w:eastAsia="zh-CN"/>
        </w:rPr>
        <w:t xml:space="preserve"> </w:t>
      </w:r>
    </w:p>
    <w:p w:rsidR="009B7971" w:rsidRPr="0023567D" w:rsidRDefault="009B7971" w:rsidP="009B7971">
      <w:pPr>
        <w:pStyle w:val="Heading1"/>
        <w:rPr>
          <w:lang w:eastAsia="zh-CN"/>
        </w:rPr>
      </w:pPr>
      <w:r w:rsidRPr="0023567D">
        <w:rPr>
          <w:lang w:eastAsia="zh-CN"/>
        </w:rPr>
        <w:t>联合国开发计划署作为牵头执行机构，介绍了为印度和伊朗伊斯兰共和国氟氯烃淘汰管理计划第三阶段总体</w:t>
      </w:r>
      <w:r w:rsidR="006C7242">
        <w:rPr>
          <w:lang w:eastAsia="zh-CN"/>
        </w:rPr>
        <w:t>战略的制</w:t>
      </w:r>
      <w:r w:rsidR="00DB71D2">
        <w:rPr>
          <w:rFonts w:hint="eastAsia"/>
          <w:lang w:eastAsia="zh-CN"/>
        </w:rPr>
        <w:t>定</w:t>
      </w:r>
      <w:r w:rsidRPr="0023567D">
        <w:rPr>
          <w:lang w:eastAsia="zh-CN"/>
        </w:rPr>
        <w:t>以及为伊朗伊斯兰共和国工业制冷和空调部门投资项目的</w:t>
      </w:r>
      <w:r w:rsidR="00DB71D2">
        <w:rPr>
          <w:rFonts w:hint="eastAsia"/>
          <w:lang w:eastAsia="zh-CN"/>
        </w:rPr>
        <w:t>筹备</w:t>
      </w:r>
      <w:r w:rsidR="006C7242" w:rsidRPr="0023567D">
        <w:rPr>
          <w:lang w:eastAsia="zh-CN"/>
        </w:rPr>
        <w:t>所需开展的活动</w:t>
      </w:r>
      <w:r w:rsidRPr="0023567D">
        <w:rPr>
          <w:lang w:eastAsia="zh-CN"/>
        </w:rPr>
        <w:t>，以及</w:t>
      </w:r>
      <w:r w:rsidR="003427DB" w:rsidRPr="0023567D">
        <w:rPr>
          <w:lang w:eastAsia="zh-CN"/>
        </w:rPr>
        <w:t>联合国开发计划署</w:t>
      </w:r>
      <w:r w:rsidR="003427DB">
        <w:rPr>
          <w:lang w:eastAsia="zh-CN"/>
        </w:rPr>
        <w:t>工作方案中</w:t>
      </w:r>
      <w:r w:rsidRPr="0023567D">
        <w:rPr>
          <w:lang w:eastAsia="zh-CN"/>
        </w:rPr>
        <w:t>的相应费用。</w:t>
      </w:r>
      <w:r w:rsidRPr="009B7971">
        <w:rPr>
          <w:rStyle w:val="FootnoteReference"/>
          <w:color w:val="000000"/>
        </w:rPr>
        <w:footnoteReference w:id="4"/>
      </w:r>
    </w:p>
    <w:p w:rsidR="009B7971" w:rsidRPr="0023567D" w:rsidRDefault="009B7971" w:rsidP="009B7971">
      <w:pPr>
        <w:pStyle w:val="Heading1"/>
        <w:keepNext/>
        <w:keepLines/>
        <w:numPr>
          <w:ilvl w:val="0"/>
          <w:numId w:val="0"/>
        </w:numPr>
      </w:pPr>
      <w:r w:rsidRPr="0023567D">
        <w:rPr>
          <w:b/>
        </w:rPr>
        <w:t>秘书处评论</w:t>
      </w:r>
    </w:p>
    <w:p w:rsidR="009B7971" w:rsidRPr="0023567D" w:rsidRDefault="009B7971" w:rsidP="009B7971">
      <w:pPr>
        <w:pStyle w:val="Heading1"/>
        <w:rPr>
          <w:lang w:eastAsia="zh-CN"/>
        </w:rPr>
      </w:pPr>
      <w:r w:rsidRPr="0023567D">
        <w:rPr>
          <w:lang w:eastAsia="zh-CN"/>
        </w:rPr>
        <w:t>秘书处指出，提交的项目编制申请符合第</w:t>
      </w:r>
      <w:r w:rsidRPr="0023567D">
        <w:rPr>
          <w:lang w:eastAsia="zh-CN"/>
        </w:rPr>
        <w:t>71/42</w:t>
      </w:r>
      <w:r w:rsidRPr="0023567D">
        <w:rPr>
          <w:lang w:eastAsia="zh-CN"/>
        </w:rPr>
        <w:t>号决议的要求</w:t>
      </w:r>
      <w:r w:rsidRPr="009B7971">
        <w:rPr>
          <w:rStyle w:val="FootnoteReference"/>
          <w:color w:val="000000"/>
        </w:rPr>
        <w:footnoteReference w:id="5"/>
      </w:r>
      <w:r w:rsidRPr="0023567D">
        <w:rPr>
          <w:lang w:eastAsia="zh-CN"/>
        </w:rPr>
        <w:t>，印度和伊朗伊斯兰共和国氟氯烃淘汰管理计划第三阶段将于</w:t>
      </w:r>
      <w:r w:rsidRPr="0023567D">
        <w:rPr>
          <w:lang w:eastAsia="zh-CN"/>
        </w:rPr>
        <w:t>2030</w:t>
      </w:r>
      <w:r w:rsidRPr="0023567D">
        <w:rPr>
          <w:lang w:eastAsia="zh-CN"/>
        </w:rPr>
        <w:t>年</w:t>
      </w:r>
      <w:r w:rsidRPr="0023567D">
        <w:rPr>
          <w:lang w:eastAsia="zh-CN"/>
        </w:rPr>
        <w:t>1</w:t>
      </w:r>
      <w:r w:rsidRPr="0023567D">
        <w:rPr>
          <w:lang w:eastAsia="zh-CN"/>
        </w:rPr>
        <w:t>月</w:t>
      </w:r>
      <w:r w:rsidRPr="0023567D">
        <w:rPr>
          <w:lang w:eastAsia="zh-CN"/>
        </w:rPr>
        <w:t>1</w:t>
      </w:r>
      <w:r w:rsidRPr="0023567D">
        <w:rPr>
          <w:lang w:eastAsia="zh-CN"/>
        </w:rPr>
        <w:t>日之前淘汰剩余的氟氯烃消费量，但维修扫尾阶段的消费量除外。</w:t>
      </w:r>
    </w:p>
    <w:p w:rsidR="009B7971" w:rsidRPr="0023567D" w:rsidRDefault="009B7971" w:rsidP="009B7971">
      <w:pPr>
        <w:pStyle w:val="Heading1"/>
        <w:numPr>
          <w:ilvl w:val="0"/>
          <w:numId w:val="0"/>
        </w:numPr>
        <w:rPr>
          <w:b/>
        </w:rPr>
      </w:pPr>
      <w:r w:rsidRPr="0023567D">
        <w:rPr>
          <w:b/>
        </w:rPr>
        <w:t>秘书处</w:t>
      </w:r>
      <w:r w:rsidR="00572D00">
        <w:rPr>
          <w:b/>
        </w:rPr>
        <w:t>建议</w:t>
      </w:r>
    </w:p>
    <w:p w:rsidR="009B7971" w:rsidRPr="0023567D" w:rsidRDefault="009B7971" w:rsidP="009B7971">
      <w:pPr>
        <w:pStyle w:val="Heading1"/>
        <w:rPr>
          <w:lang w:eastAsia="zh-CN"/>
        </w:rPr>
      </w:pPr>
      <w:r w:rsidRPr="0023567D">
        <w:rPr>
          <w:lang w:eastAsia="zh-CN"/>
        </w:rPr>
        <w:t>秘书处建议</w:t>
      </w:r>
      <w:r w:rsidR="001E50BF">
        <w:rPr>
          <w:rFonts w:hint="eastAsia"/>
          <w:lang w:eastAsia="zh-CN"/>
        </w:rPr>
        <w:t>，</w:t>
      </w:r>
      <w:r w:rsidR="006D4CB3">
        <w:rPr>
          <w:rFonts w:hint="eastAsia"/>
          <w:lang w:eastAsia="zh-CN"/>
        </w:rPr>
        <w:t>按照表</w:t>
      </w:r>
      <w:r w:rsidR="006D4CB3">
        <w:rPr>
          <w:rFonts w:hint="eastAsia"/>
          <w:lang w:eastAsia="zh-CN"/>
        </w:rPr>
        <w:t>3</w:t>
      </w:r>
      <w:r w:rsidR="006D4CB3">
        <w:rPr>
          <w:rFonts w:hint="eastAsia"/>
          <w:lang w:eastAsia="zh-CN"/>
        </w:rPr>
        <w:t>所示的</w:t>
      </w:r>
      <w:r w:rsidR="006D4CB3" w:rsidRPr="0023567D">
        <w:rPr>
          <w:lang w:eastAsia="zh-CN"/>
        </w:rPr>
        <w:t>供资水平</w:t>
      </w:r>
      <w:r w:rsidR="001E50BF">
        <w:rPr>
          <w:rFonts w:hint="eastAsia"/>
          <w:lang w:eastAsia="zh-CN"/>
        </w:rPr>
        <w:t>对</w:t>
      </w:r>
      <w:r w:rsidRPr="0023567D">
        <w:rPr>
          <w:lang w:eastAsia="zh-CN"/>
        </w:rPr>
        <w:t>印度和伊朗伊斯兰共和国氟氯烃淘汰管理计划第三阶段的项目</w:t>
      </w:r>
      <w:r w:rsidR="00DE180E">
        <w:rPr>
          <w:rFonts w:hint="eastAsia"/>
          <w:lang w:eastAsia="zh-CN"/>
        </w:rPr>
        <w:t>筹备</w:t>
      </w:r>
      <w:r w:rsidR="00EC2984">
        <w:rPr>
          <w:lang w:eastAsia="zh-CN"/>
        </w:rPr>
        <w:t>申请</w:t>
      </w:r>
      <w:r w:rsidR="001E50BF">
        <w:rPr>
          <w:rFonts w:hint="eastAsia"/>
          <w:lang w:eastAsia="zh-CN"/>
        </w:rPr>
        <w:t>予以</w:t>
      </w:r>
      <w:r w:rsidR="001E50BF" w:rsidRPr="0023567D">
        <w:rPr>
          <w:lang w:eastAsia="zh-CN"/>
        </w:rPr>
        <w:t>一揽子批准</w:t>
      </w:r>
      <w:r w:rsidRPr="0023567D">
        <w:rPr>
          <w:lang w:eastAsia="zh-CN"/>
        </w:rPr>
        <w:t>。</w:t>
      </w:r>
    </w:p>
    <w:p w:rsidR="009B7971" w:rsidRPr="0023567D" w:rsidRDefault="009B7971" w:rsidP="009B7971">
      <w:pPr>
        <w:rPr>
          <w:b/>
          <w:u w:val="single"/>
          <w:lang w:eastAsia="zh-CN"/>
        </w:rPr>
      </w:pPr>
      <w:r w:rsidRPr="0023567D">
        <w:rPr>
          <w:b/>
          <w:u w:val="single"/>
          <w:lang w:eastAsia="zh-CN"/>
        </w:rPr>
        <w:t>布基纳法索、利比里亚和毛里求斯：</w:t>
      </w:r>
      <w:r w:rsidRPr="0023567D">
        <w:rPr>
          <w:b/>
          <w:u w:val="single"/>
          <w:lang w:eastAsia="zh-CN"/>
        </w:rPr>
        <w:t>HFC</w:t>
      </w:r>
      <w:r w:rsidRPr="0023567D">
        <w:rPr>
          <w:b/>
          <w:u w:val="single"/>
          <w:lang w:eastAsia="zh-CN"/>
        </w:rPr>
        <w:t>淘汰管理计划的项目</w:t>
      </w:r>
      <w:r w:rsidR="005B1290">
        <w:rPr>
          <w:rFonts w:hint="eastAsia"/>
          <w:b/>
          <w:u w:val="single"/>
          <w:lang w:eastAsia="zh-CN"/>
        </w:rPr>
        <w:t>筹备</w:t>
      </w:r>
    </w:p>
    <w:p w:rsidR="009B7971" w:rsidRPr="0023567D" w:rsidRDefault="009B7971" w:rsidP="009B7971">
      <w:pPr>
        <w:rPr>
          <w:u w:val="single"/>
          <w:lang w:eastAsia="zh-CN"/>
        </w:rPr>
      </w:pPr>
    </w:p>
    <w:p w:rsidR="009B7971" w:rsidRPr="0023567D" w:rsidRDefault="005B1290" w:rsidP="009B7971">
      <w:pPr>
        <w:keepNext/>
        <w:keepLines/>
        <w:widowControl w:val="0"/>
        <w:spacing w:after="240"/>
        <w:rPr>
          <w:bCs/>
          <w:u w:val="single"/>
          <w:lang w:eastAsia="zh-CN"/>
        </w:rPr>
      </w:pPr>
      <w:r>
        <w:rPr>
          <w:rFonts w:hint="eastAsia"/>
          <w:u w:val="single"/>
          <w:lang w:eastAsia="zh-CN"/>
        </w:rPr>
        <w:t>已</w:t>
      </w:r>
      <w:r w:rsidR="009B7971" w:rsidRPr="0023567D">
        <w:rPr>
          <w:u w:val="single"/>
          <w:lang w:eastAsia="zh-CN"/>
        </w:rPr>
        <w:t>向第</w:t>
      </w:r>
      <w:r w:rsidR="009B7971" w:rsidRPr="0023567D">
        <w:rPr>
          <w:u w:val="single"/>
          <w:lang w:eastAsia="zh-CN"/>
        </w:rPr>
        <w:t>86</w:t>
      </w:r>
      <w:r w:rsidR="009B7971" w:rsidRPr="0023567D">
        <w:rPr>
          <w:u w:val="single"/>
          <w:lang w:eastAsia="zh-CN"/>
        </w:rPr>
        <w:t>次会议提交项目</w:t>
      </w:r>
      <w:r>
        <w:rPr>
          <w:rFonts w:hint="eastAsia"/>
          <w:u w:val="single"/>
          <w:lang w:eastAsia="zh-CN"/>
        </w:rPr>
        <w:t>筹备</w:t>
      </w:r>
      <w:r w:rsidR="009B7971" w:rsidRPr="0023567D">
        <w:rPr>
          <w:u w:val="single"/>
          <w:lang w:eastAsia="zh-CN"/>
        </w:rPr>
        <w:t>申请</w:t>
      </w:r>
    </w:p>
    <w:p w:rsidR="009B7971" w:rsidRPr="0023567D" w:rsidRDefault="009B7971" w:rsidP="009B7971">
      <w:pPr>
        <w:pStyle w:val="Heading1"/>
        <w:tabs>
          <w:tab w:val="clear" w:pos="0"/>
        </w:tabs>
        <w:rPr>
          <w:lang w:eastAsia="zh-CN"/>
        </w:rPr>
      </w:pPr>
      <w:r w:rsidRPr="0023567D">
        <w:rPr>
          <w:lang w:eastAsia="zh-CN"/>
        </w:rPr>
        <w:t>在第</w:t>
      </w:r>
      <w:r w:rsidRPr="0023567D">
        <w:rPr>
          <w:lang w:eastAsia="zh-CN"/>
        </w:rPr>
        <w:t>86</w:t>
      </w:r>
      <w:r w:rsidRPr="0023567D">
        <w:rPr>
          <w:lang w:eastAsia="zh-CN"/>
        </w:rPr>
        <w:t>次会议上，德国政府作为指定</w:t>
      </w:r>
      <w:r w:rsidR="008F381B">
        <w:rPr>
          <w:rFonts w:hint="eastAsia"/>
          <w:lang w:eastAsia="zh-CN"/>
        </w:rPr>
        <w:t>的</w:t>
      </w:r>
      <w:r w:rsidRPr="0023567D">
        <w:rPr>
          <w:lang w:eastAsia="zh-CN"/>
        </w:rPr>
        <w:t>双边机构</w:t>
      </w:r>
      <w:r w:rsidR="005B1290">
        <w:rPr>
          <w:rFonts w:hint="eastAsia"/>
          <w:lang w:eastAsia="zh-CN"/>
        </w:rPr>
        <w:t>，</w:t>
      </w:r>
      <w:r w:rsidR="005B1290">
        <w:rPr>
          <w:lang w:eastAsia="zh-CN"/>
        </w:rPr>
        <w:t>已</w:t>
      </w:r>
      <w:r w:rsidRPr="0023567D">
        <w:rPr>
          <w:lang w:eastAsia="zh-CN"/>
        </w:rPr>
        <w:t>提交为布基纳法索和毛里求斯</w:t>
      </w:r>
      <w:r w:rsidR="005B1290">
        <w:rPr>
          <w:rFonts w:hint="eastAsia"/>
          <w:lang w:eastAsia="zh-CN"/>
        </w:rPr>
        <w:t>筹备</w:t>
      </w:r>
      <w:r w:rsidRPr="0023567D">
        <w:rPr>
          <w:lang w:eastAsia="zh-CN"/>
        </w:rPr>
        <w:t>HFC</w:t>
      </w:r>
      <w:r w:rsidRPr="0023567D">
        <w:rPr>
          <w:lang w:eastAsia="zh-CN"/>
        </w:rPr>
        <w:t>淘汰管理计划的供资申请，</w:t>
      </w:r>
      <w:r w:rsidRPr="0023567D">
        <w:rPr>
          <w:rStyle w:val="FootnoteReference"/>
        </w:rPr>
        <w:footnoteReference w:id="6"/>
      </w:r>
      <w:r w:rsidR="00EC2984">
        <w:rPr>
          <w:lang w:eastAsia="zh-CN"/>
        </w:rPr>
        <w:t>具体</w:t>
      </w:r>
      <w:r w:rsidRPr="0023567D">
        <w:rPr>
          <w:lang w:eastAsia="zh-CN"/>
        </w:rPr>
        <w:t>如表</w:t>
      </w:r>
      <w:r w:rsidRPr="0023567D">
        <w:rPr>
          <w:lang w:eastAsia="zh-CN"/>
        </w:rPr>
        <w:t>3</w:t>
      </w:r>
      <w:r w:rsidRPr="0023567D">
        <w:rPr>
          <w:lang w:eastAsia="zh-CN"/>
        </w:rPr>
        <w:t>所</w:t>
      </w:r>
      <w:r w:rsidR="005B1290">
        <w:rPr>
          <w:rFonts w:hint="eastAsia"/>
          <w:lang w:eastAsia="zh-CN"/>
        </w:rPr>
        <w:t>列</w:t>
      </w:r>
      <w:r w:rsidRPr="0023567D">
        <w:rPr>
          <w:lang w:eastAsia="zh-CN"/>
        </w:rPr>
        <w:t>。这些</w:t>
      </w:r>
      <w:r w:rsidR="00EC2984" w:rsidRPr="0023567D">
        <w:rPr>
          <w:lang w:eastAsia="zh-CN"/>
        </w:rPr>
        <w:t>供资申请</w:t>
      </w:r>
      <w:r w:rsidR="005B1290">
        <w:rPr>
          <w:rFonts w:hint="eastAsia"/>
          <w:lang w:eastAsia="zh-CN"/>
        </w:rPr>
        <w:t>已提交供</w:t>
      </w:r>
      <w:r w:rsidR="00EC2984">
        <w:rPr>
          <w:lang w:eastAsia="zh-CN"/>
        </w:rPr>
        <w:t>个别</w:t>
      </w:r>
      <w:r w:rsidRPr="0023567D">
        <w:rPr>
          <w:lang w:eastAsia="zh-CN"/>
        </w:rPr>
        <w:t>审议</w:t>
      </w:r>
      <w:r w:rsidR="00EC2984">
        <w:rPr>
          <w:lang w:eastAsia="zh-CN"/>
        </w:rPr>
        <w:t>，但是</w:t>
      </w:r>
      <w:r w:rsidRPr="0023567D">
        <w:rPr>
          <w:lang w:eastAsia="zh-CN"/>
        </w:rPr>
        <w:t>并未在第</w:t>
      </w:r>
      <w:r w:rsidRPr="0023567D">
        <w:rPr>
          <w:lang w:eastAsia="zh-CN"/>
        </w:rPr>
        <w:t>86</w:t>
      </w:r>
      <w:r w:rsidRPr="0023567D">
        <w:rPr>
          <w:lang w:eastAsia="zh-CN"/>
        </w:rPr>
        <w:t>次会议上对其进行审议，</w:t>
      </w:r>
      <w:r w:rsidR="00EC2984">
        <w:rPr>
          <w:lang w:eastAsia="zh-CN"/>
        </w:rPr>
        <w:t>而是</w:t>
      </w:r>
      <w:r w:rsidRPr="0023567D">
        <w:rPr>
          <w:lang w:eastAsia="zh-CN"/>
        </w:rPr>
        <w:t>根据第</w:t>
      </w:r>
      <w:r w:rsidRPr="0023567D">
        <w:rPr>
          <w:lang w:eastAsia="zh-CN"/>
        </w:rPr>
        <w:t>86</w:t>
      </w:r>
      <w:r w:rsidRPr="0023567D">
        <w:rPr>
          <w:lang w:eastAsia="zh-CN"/>
        </w:rPr>
        <w:t>次会议</w:t>
      </w:r>
      <w:r w:rsidR="004259AD">
        <w:rPr>
          <w:rFonts w:hint="eastAsia"/>
          <w:lang w:eastAsia="zh-CN"/>
        </w:rPr>
        <w:t>就</w:t>
      </w:r>
      <w:r w:rsidR="00EC2984" w:rsidRPr="0023567D">
        <w:rPr>
          <w:lang w:eastAsia="zh-CN"/>
        </w:rPr>
        <w:t>制</w:t>
      </w:r>
      <w:r w:rsidR="008F381B">
        <w:rPr>
          <w:rFonts w:hint="eastAsia"/>
          <w:lang w:eastAsia="zh-CN"/>
        </w:rPr>
        <w:t>定</w:t>
      </w:r>
      <w:r w:rsidRPr="0023567D">
        <w:rPr>
          <w:lang w:eastAsia="zh-CN"/>
        </w:rPr>
        <w:t>第</w:t>
      </w:r>
      <w:r w:rsidRPr="0023567D">
        <w:rPr>
          <w:lang w:eastAsia="zh-CN"/>
        </w:rPr>
        <w:t>5</w:t>
      </w:r>
      <w:r w:rsidRPr="0023567D">
        <w:rPr>
          <w:lang w:eastAsia="zh-CN"/>
        </w:rPr>
        <w:t>条国家</w:t>
      </w:r>
      <w:r w:rsidRPr="0023567D">
        <w:rPr>
          <w:lang w:eastAsia="zh-CN"/>
        </w:rPr>
        <w:t>HFC</w:t>
      </w:r>
      <w:r w:rsidRPr="0023567D">
        <w:rPr>
          <w:lang w:eastAsia="zh-CN"/>
        </w:rPr>
        <w:t>淘汰计划指南草案的讨论以及第</w:t>
      </w:r>
      <w:r w:rsidRPr="0023567D">
        <w:rPr>
          <w:lang w:eastAsia="zh-CN"/>
        </w:rPr>
        <w:t>86/55</w:t>
      </w:r>
      <w:r w:rsidRPr="0023567D">
        <w:rPr>
          <w:lang w:eastAsia="zh-CN"/>
        </w:rPr>
        <w:t>号决议而</w:t>
      </w:r>
      <w:r w:rsidR="00EC2984">
        <w:rPr>
          <w:lang w:eastAsia="zh-CN"/>
        </w:rPr>
        <w:t>将其</w:t>
      </w:r>
      <w:r w:rsidRPr="0023567D">
        <w:rPr>
          <w:lang w:eastAsia="zh-CN"/>
        </w:rPr>
        <w:t>推迟至第</w:t>
      </w:r>
      <w:r w:rsidRPr="0023567D">
        <w:rPr>
          <w:lang w:eastAsia="zh-CN"/>
        </w:rPr>
        <w:t>87</w:t>
      </w:r>
      <w:r w:rsidRPr="0023567D">
        <w:rPr>
          <w:lang w:eastAsia="zh-CN"/>
        </w:rPr>
        <w:t>次会议</w:t>
      </w:r>
      <w:r w:rsidR="004259AD">
        <w:rPr>
          <w:rFonts w:hint="eastAsia"/>
          <w:lang w:eastAsia="zh-CN"/>
        </w:rPr>
        <w:t>进行审议</w:t>
      </w:r>
      <w:r w:rsidRPr="0023567D">
        <w:rPr>
          <w:rStyle w:val="FootnoteReference"/>
        </w:rPr>
        <w:footnoteReference w:id="7"/>
      </w:r>
      <w:r w:rsidRPr="0023567D">
        <w:rPr>
          <w:lang w:eastAsia="zh-CN"/>
        </w:rPr>
        <w:t>。据此，提交至第</w:t>
      </w:r>
      <w:r w:rsidRPr="0023567D">
        <w:rPr>
          <w:lang w:eastAsia="zh-CN"/>
        </w:rPr>
        <w:t>86</w:t>
      </w:r>
      <w:r w:rsidRPr="0023567D">
        <w:rPr>
          <w:lang w:eastAsia="zh-CN"/>
        </w:rPr>
        <w:t>次会议的提案已列入本文件。</w:t>
      </w:r>
      <w:r w:rsidRPr="0023567D">
        <w:rPr>
          <w:lang w:eastAsia="zh-CN"/>
        </w:rPr>
        <w:t xml:space="preserve"> </w:t>
      </w:r>
    </w:p>
    <w:p w:rsidR="009B7971" w:rsidRPr="00EC2984" w:rsidRDefault="009B7971" w:rsidP="009B7971">
      <w:pPr>
        <w:rPr>
          <w:bCs/>
          <w:u w:val="single"/>
          <w:lang w:eastAsia="zh-CN"/>
        </w:rPr>
      </w:pPr>
      <w:r w:rsidRPr="00EC2984">
        <w:rPr>
          <w:u w:val="single"/>
          <w:lang w:eastAsia="zh-CN"/>
        </w:rPr>
        <w:t>HFC</w:t>
      </w:r>
      <w:r w:rsidRPr="00EC2984">
        <w:rPr>
          <w:u w:val="single"/>
          <w:lang w:eastAsia="zh-CN"/>
        </w:rPr>
        <w:t>淘汰管理计划的项目编制</w:t>
      </w:r>
    </w:p>
    <w:p w:rsidR="009B7971" w:rsidRPr="0023567D" w:rsidRDefault="009B7971" w:rsidP="009B7971">
      <w:pPr>
        <w:rPr>
          <w:u w:val="single"/>
          <w:lang w:eastAsia="zh-CN"/>
        </w:rPr>
      </w:pPr>
    </w:p>
    <w:p w:rsidR="009B7971" w:rsidRPr="0023567D" w:rsidRDefault="009B7971" w:rsidP="009B7971">
      <w:pPr>
        <w:spacing w:after="240"/>
        <w:rPr>
          <w:b/>
          <w:bCs/>
        </w:rPr>
      </w:pPr>
      <w:r w:rsidRPr="0023567D">
        <w:rPr>
          <w:b/>
        </w:rPr>
        <w:t>项目说明</w:t>
      </w:r>
    </w:p>
    <w:p w:rsidR="009B7971" w:rsidRPr="0023567D" w:rsidRDefault="009B7971" w:rsidP="009B7971">
      <w:pPr>
        <w:pStyle w:val="Heading1"/>
        <w:rPr>
          <w:lang w:eastAsia="zh-CN"/>
        </w:rPr>
      </w:pPr>
      <w:r w:rsidRPr="0023567D">
        <w:rPr>
          <w:lang w:eastAsia="zh-CN"/>
        </w:rPr>
        <w:t>德国政府作为指定</w:t>
      </w:r>
      <w:r w:rsidR="00BD765A">
        <w:rPr>
          <w:rFonts w:hint="eastAsia"/>
          <w:lang w:eastAsia="zh-CN"/>
        </w:rPr>
        <w:t>的</w:t>
      </w:r>
      <w:r w:rsidRPr="0023567D">
        <w:rPr>
          <w:lang w:eastAsia="zh-CN"/>
        </w:rPr>
        <w:t>双边机构</w:t>
      </w:r>
      <w:r w:rsidR="00BD765A">
        <w:rPr>
          <w:rFonts w:hint="eastAsia"/>
          <w:lang w:eastAsia="zh-CN"/>
        </w:rPr>
        <w:t>，</w:t>
      </w:r>
      <w:r w:rsidR="00BD765A">
        <w:rPr>
          <w:lang w:eastAsia="zh-CN"/>
        </w:rPr>
        <w:t>已</w:t>
      </w:r>
      <w:r w:rsidRPr="0023567D">
        <w:rPr>
          <w:lang w:eastAsia="zh-CN"/>
        </w:rPr>
        <w:t>向本次会议提交了为一个国家制</w:t>
      </w:r>
      <w:r w:rsidR="00BD765A">
        <w:rPr>
          <w:rFonts w:hint="eastAsia"/>
          <w:lang w:eastAsia="zh-CN"/>
        </w:rPr>
        <w:t>定</w:t>
      </w:r>
      <w:r w:rsidRPr="0023567D">
        <w:rPr>
          <w:lang w:eastAsia="zh-CN"/>
        </w:rPr>
        <w:t>HFC</w:t>
      </w:r>
      <w:r w:rsidRPr="0023567D">
        <w:rPr>
          <w:lang w:eastAsia="zh-CN"/>
        </w:rPr>
        <w:t>淘汰管理计划</w:t>
      </w:r>
      <w:r w:rsidR="00EC2984">
        <w:rPr>
          <w:lang w:eastAsia="zh-CN"/>
        </w:rPr>
        <w:t>的申请</w:t>
      </w:r>
      <w:r w:rsidRPr="0023567D">
        <w:rPr>
          <w:lang w:eastAsia="zh-CN"/>
        </w:rPr>
        <w:t>，具体如表</w:t>
      </w:r>
      <w:r w:rsidRPr="0023567D">
        <w:rPr>
          <w:lang w:eastAsia="zh-CN"/>
        </w:rPr>
        <w:t>3</w:t>
      </w:r>
      <w:r w:rsidRPr="0023567D">
        <w:rPr>
          <w:lang w:eastAsia="zh-CN"/>
        </w:rPr>
        <w:t>所示。</w:t>
      </w:r>
      <w:r w:rsidRPr="0023567D">
        <w:rPr>
          <w:lang w:eastAsia="zh-CN"/>
        </w:rPr>
        <w:t xml:space="preserve"> </w:t>
      </w:r>
    </w:p>
    <w:p w:rsidR="009B7971" w:rsidRPr="0023567D" w:rsidRDefault="009B7971" w:rsidP="009B7971">
      <w:pPr>
        <w:pStyle w:val="Heading1"/>
        <w:numPr>
          <w:ilvl w:val="0"/>
          <w:numId w:val="0"/>
        </w:numPr>
        <w:tabs>
          <w:tab w:val="left" w:pos="720"/>
        </w:tabs>
        <w:rPr>
          <w:b/>
          <w:bCs/>
        </w:rPr>
      </w:pPr>
      <w:r w:rsidRPr="0023567D">
        <w:rPr>
          <w:b/>
        </w:rPr>
        <w:t>秘书处评论</w:t>
      </w:r>
    </w:p>
    <w:p w:rsidR="009B7971" w:rsidRPr="009B7971" w:rsidRDefault="009B7971" w:rsidP="009B7971">
      <w:pPr>
        <w:pStyle w:val="Heading1"/>
        <w:rPr>
          <w:color w:val="000000"/>
          <w:lang w:eastAsia="zh-CN"/>
        </w:rPr>
      </w:pPr>
      <w:r w:rsidRPr="0023567D">
        <w:rPr>
          <w:lang w:eastAsia="zh-CN"/>
        </w:rPr>
        <w:t>德国政府作为指定</w:t>
      </w:r>
      <w:r w:rsidR="00890AC7">
        <w:rPr>
          <w:rFonts w:hint="eastAsia"/>
          <w:lang w:eastAsia="zh-CN"/>
        </w:rPr>
        <w:t>的</w:t>
      </w:r>
      <w:r w:rsidR="00D43FCF">
        <w:rPr>
          <w:lang w:eastAsia="zh-CN"/>
        </w:rPr>
        <w:t>双边机构</w:t>
      </w:r>
      <w:r w:rsidR="00890AC7">
        <w:rPr>
          <w:rFonts w:hint="eastAsia"/>
          <w:lang w:eastAsia="zh-CN"/>
        </w:rPr>
        <w:t>，</w:t>
      </w:r>
      <w:r w:rsidRPr="0023567D">
        <w:rPr>
          <w:lang w:eastAsia="zh-CN"/>
        </w:rPr>
        <w:t>介绍了为这三个国家制定淘汰</w:t>
      </w:r>
      <w:r w:rsidRPr="0023567D">
        <w:rPr>
          <w:lang w:eastAsia="zh-CN"/>
        </w:rPr>
        <w:t>HFC</w:t>
      </w:r>
      <w:r w:rsidRPr="0023567D">
        <w:rPr>
          <w:lang w:eastAsia="zh-CN"/>
        </w:rPr>
        <w:t>总体战略所需</w:t>
      </w:r>
      <w:r w:rsidR="007023B6">
        <w:rPr>
          <w:lang w:eastAsia="zh-CN"/>
        </w:rPr>
        <w:t>开展</w:t>
      </w:r>
      <w:r w:rsidRPr="0023567D">
        <w:rPr>
          <w:lang w:eastAsia="zh-CN"/>
        </w:rPr>
        <w:t>的活动，以及</w:t>
      </w:r>
      <w:r w:rsidRPr="0023567D">
        <w:rPr>
          <w:lang w:eastAsia="zh-CN"/>
        </w:rPr>
        <w:t>HFC</w:t>
      </w:r>
      <w:r w:rsidRPr="0023567D">
        <w:rPr>
          <w:lang w:eastAsia="zh-CN"/>
        </w:rPr>
        <w:t>和</w:t>
      </w:r>
      <w:r w:rsidRPr="0023567D">
        <w:rPr>
          <w:lang w:eastAsia="zh-CN"/>
        </w:rPr>
        <w:t>HFC</w:t>
      </w:r>
      <w:r w:rsidRPr="0023567D">
        <w:rPr>
          <w:lang w:eastAsia="zh-CN"/>
        </w:rPr>
        <w:t>混合物</w:t>
      </w:r>
      <w:r w:rsidR="007023B6">
        <w:rPr>
          <w:lang w:eastAsia="zh-CN"/>
        </w:rPr>
        <w:t>预计</w:t>
      </w:r>
      <w:r w:rsidRPr="0023567D">
        <w:rPr>
          <w:lang w:eastAsia="zh-CN"/>
        </w:rPr>
        <w:t>进口量的</w:t>
      </w:r>
      <w:r w:rsidR="00890AC7">
        <w:rPr>
          <w:rFonts w:hint="eastAsia"/>
          <w:lang w:eastAsia="zh-CN"/>
        </w:rPr>
        <w:t>相关</w:t>
      </w:r>
      <w:r w:rsidRPr="0023567D">
        <w:rPr>
          <w:lang w:eastAsia="zh-CN"/>
        </w:rPr>
        <w:t>信息；在项目</w:t>
      </w:r>
      <w:r w:rsidR="00734CFC">
        <w:rPr>
          <w:rFonts w:hint="eastAsia"/>
          <w:lang w:eastAsia="zh-CN"/>
        </w:rPr>
        <w:t>筹备</w:t>
      </w:r>
      <w:r w:rsidRPr="0023567D">
        <w:rPr>
          <w:lang w:eastAsia="zh-CN"/>
        </w:rPr>
        <w:t>期间开展的活动，包括</w:t>
      </w:r>
      <w:r w:rsidR="007023B6">
        <w:rPr>
          <w:lang w:eastAsia="zh-CN"/>
        </w:rPr>
        <w:t>调查</w:t>
      </w:r>
      <w:r w:rsidRPr="0023567D">
        <w:rPr>
          <w:lang w:eastAsia="zh-CN"/>
        </w:rPr>
        <w:t>HFC</w:t>
      </w:r>
      <w:r w:rsidR="007023B6">
        <w:rPr>
          <w:lang w:eastAsia="zh-CN"/>
        </w:rPr>
        <w:t>消费量</w:t>
      </w:r>
      <w:r w:rsidRPr="0023567D">
        <w:rPr>
          <w:lang w:eastAsia="zh-CN"/>
        </w:rPr>
        <w:t>；</w:t>
      </w:r>
      <w:r w:rsidR="007023B6">
        <w:rPr>
          <w:lang w:eastAsia="zh-CN"/>
        </w:rPr>
        <w:t>举行</w:t>
      </w:r>
      <w:r w:rsidRPr="0023567D">
        <w:rPr>
          <w:lang w:eastAsia="zh-CN"/>
        </w:rPr>
        <w:t>利益相关者会议和磋商；</w:t>
      </w:r>
      <w:r w:rsidR="007023B6">
        <w:rPr>
          <w:lang w:eastAsia="zh-CN"/>
        </w:rPr>
        <w:t>为</w:t>
      </w:r>
      <w:r w:rsidRPr="0023567D">
        <w:rPr>
          <w:lang w:eastAsia="zh-CN"/>
        </w:rPr>
        <w:t>HFC</w:t>
      </w:r>
      <w:r w:rsidRPr="0023567D">
        <w:rPr>
          <w:lang w:eastAsia="zh-CN"/>
        </w:rPr>
        <w:t>许可</w:t>
      </w:r>
      <w:r w:rsidR="007023B6">
        <w:rPr>
          <w:lang w:eastAsia="zh-CN"/>
        </w:rPr>
        <w:t>证制度和配额制度提供</w:t>
      </w:r>
      <w:r w:rsidRPr="0023567D">
        <w:rPr>
          <w:lang w:eastAsia="zh-CN"/>
        </w:rPr>
        <w:t>支持；提高</w:t>
      </w:r>
      <w:r w:rsidR="007023B6">
        <w:rPr>
          <w:lang w:eastAsia="zh-CN"/>
        </w:rPr>
        <w:t>各方</w:t>
      </w:r>
      <w:r w:rsidRPr="0023567D">
        <w:rPr>
          <w:lang w:eastAsia="zh-CN"/>
        </w:rPr>
        <w:t>意识；制定</w:t>
      </w:r>
      <w:r w:rsidRPr="0023567D">
        <w:rPr>
          <w:lang w:eastAsia="zh-CN"/>
        </w:rPr>
        <w:t>HFC</w:t>
      </w:r>
      <w:r w:rsidRPr="0023567D">
        <w:rPr>
          <w:lang w:eastAsia="zh-CN"/>
        </w:rPr>
        <w:t>淘汰</w:t>
      </w:r>
      <w:r w:rsidR="007023B6">
        <w:rPr>
          <w:lang w:eastAsia="zh-CN"/>
        </w:rPr>
        <w:t>战略；</w:t>
      </w:r>
      <w:r w:rsidR="0054631E">
        <w:rPr>
          <w:rFonts w:hint="eastAsia"/>
          <w:lang w:eastAsia="zh-CN"/>
        </w:rPr>
        <w:t>以及</w:t>
      </w:r>
      <w:r w:rsidR="007023B6">
        <w:rPr>
          <w:lang w:eastAsia="zh-CN"/>
        </w:rPr>
        <w:t>提供</w:t>
      </w:r>
      <w:r w:rsidRPr="0023567D">
        <w:rPr>
          <w:lang w:eastAsia="zh-CN"/>
        </w:rPr>
        <w:t>技术支持，以最终</w:t>
      </w:r>
      <w:r w:rsidR="001D7C59">
        <w:rPr>
          <w:rFonts w:hint="eastAsia"/>
          <w:lang w:eastAsia="zh-CN"/>
        </w:rPr>
        <w:t>确定</w:t>
      </w:r>
      <w:r w:rsidRPr="0023567D">
        <w:rPr>
          <w:lang w:eastAsia="zh-CN"/>
        </w:rPr>
        <w:t>淘汰计划。在第</w:t>
      </w:r>
      <w:r w:rsidRPr="0023567D">
        <w:rPr>
          <w:lang w:eastAsia="zh-CN"/>
        </w:rPr>
        <w:t>86</w:t>
      </w:r>
      <w:r w:rsidRPr="0023567D">
        <w:rPr>
          <w:lang w:eastAsia="zh-CN"/>
        </w:rPr>
        <w:t>次会议上</w:t>
      </w:r>
      <w:r w:rsidR="001D7C59">
        <w:rPr>
          <w:rFonts w:hint="eastAsia"/>
          <w:lang w:eastAsia="zh-CN"/>
        </w:rPr>
        <w:t>已</w:t>
      </w:r>
      <w:r w:rsidRPr="0023567D">
        <w:rPr>
          <w:lang w:eastAsia="zh-CN"/>
        </w:rPr>
        <w:t>申请用于编制项目提案的资金金额</w:t>
      </w:r>
      <w:r w:rsidR="008F381B">
        <w:rPr>
          <w:rFonts w:hint="eastAsia"/>
          <w:lang w:eastAsia="zh-CN"/>
        </w:rPr>
        <w:t>是</w:t>
      </w:r>
      <w:r w:rsidR="001D7C59">
        <w:rPr>
          <w:rFonts w:hint="eastAsia"/>
          <w:lang w:eastAsia="zh-CN"/>
        </w:rPr>
        <w:t>以</w:t>
      </w:r>
      <w:r w:rsidRPr="0023567D">
        <w:rPr>
          <w:lang w:eastAsia="zh-CN"/>
        </w:rPr>
        <w:t>扶持活动资金（载于第</w:t>
      </w:r>
      <w:r w:rsidRPr="0023567D">
        <w:rPr>
          <w:lang w:eastAsia="zh-CN"/>
        </w:rPr>
        <w:t>79/46</w:t>
      </w:r>
      <w:r w:rsidRPr="0023567D">
        <w:rPr>
          <w:lang w:eastAsia="zh-CN"/>
        </w:rPr>
        <w:t>（</w:t>
      </w:r>
      <w:r w:rsidRPr="0023567D">
        <w:rPr>
          <w:lang w:eastAsia="zh-CN"/>
        </w:rPr>
        <w:t>c</w:t>
      </w:r>
      <w:r w:rsidRPr="0023567D">
        <w:rPr>
          <w:lang w:eastAsia="zh-CN"/>
        </w:rPr>
        <w:t>）号决议）</w:t>
      </w:r>
      <w:r w:rsidR="001D7C59">
        <w:rPr>
          <w:rFonts w:hint="eastAsia"/>
          <w:lang w:eastAsia="zh-CN"/>
        </w:rPr>
        <w:t>作为依据</w:t>
      </w:r>
      <w:r w:rsidRPr="0023567D">
        <w:rPr>
          <w:lang w:eastAsia="zh-CN"/>
        </w:rPr>
        <w:t>；但是，在本次会议上申请的资金</w:t>
      </w:r>
      <w:r w:rsidR="001D7C59">
        <w:rPr>
          <w:rFonts w:hint="eastAsia"/>
          <w:lang w:eastAsia="zh-CN"/>
        </w:rPr>
        <w:t>则</w:t>
      </w:r>
      <w:r w:rsidRPr="0023567D">
        <w:rPr>
          <w:lang w:eastAsia="zh-CN"/>
        </w:rPr>
        <w:t>是</w:t>
      </w:r>
      <w:r w:rsidR="001D7C59">
        <w:rPr>
          <w:rFonts w:hint="eastAsia"/>
          <w:lang w:eastAsia="zh-CN"/>
        </w:rPr>
        <w:t>以</w:t>
      </w:r>
      <w:r w:rsidRPr="0023567D">
        <w:rPr>
          <w:lang w:eastAsia="zh-CN"/>
        </w:rPr>
        <w:t>编制</w:t>
      </w:r>
      <w:r w:rsidRPr="0023567D">
        <w:rPr>
          <w:lang w:eastAsia="zh-CN"/>
        </w:rPr>
        <w:t>HFC</w:t>
      </w:r>
      <w:r w:rsidRPr="0023567D">
        <w:rPr>
          <w:lang w:eastAsia="zh-CN"/>
        </w:rPr>
        <w:t>淘汰计划的拟议指南草案</w:t>
      </w:r>
      <w:r w:rsidR="00B4263F">
        <w:rPr>
          <w:rFonts w:hint="eastAsia"/>
          <w:lang w:eastAsia="zh-CN"/>
        </w:rPr>
        <w:t>作为依据</w:t>
      </w:r>
      <w:r w:rsidRPr="0023567D">
        <w:rPr>
          <w:rStyle w:val="FootnoteReference"/>
          <w:snapToGrid w:val="0"/>
        </w:rPr>
        <w:footnoteReference w:id="8"/>
      </w:r>
      <w:r w:rsidRPr="0023567D">
        <w:rPr>
          <w:lang w:eastAsia="zh-CN"/>
        </w:rPr>
        <w:t>，该</w:t>
      </w:r>
      <w:r w:rsidR="001D7C59">
        <w:rPr>
          <w:rFonts w:hint="eastAsia"/>
          <w:lang w:eastAsia="zh-CN"/>
        </w:rPr>
        <w:t>项</w:t>
      </w:r>
      <w:r w:rsidRPr="0023567D">
        <w:rPr>
          <w:lang w:eastAsia="zh-CN"/>
        </w:rPr>
        <w:t>草案已提交至第</w:t>
      </w:r>
      <w:r w:rsidRPr="0023567D">
        <w:rPr>
          <w:lang w:eastAsia="zh-CN"/>
        </w:rPr>
        <w:t>86</w:t>
      </w:r>
      <w:r w:rsidRPr="0023567D">
        <w:rPr>
          <w:lang w:eastAsia="zh-CN"/>
        </w:rPr>
        <w:t>次会议，并推迟</w:t>
      </w:r>
      <w:r w:rsidR="001D7C59">
        <w:rPr>
          <w:rFonts w:hint="eastAsia"/>
          <w:lang w:eastAsia="zh-CN"/>
        </w:rPr>
        <w:t>至</w:t>
      </w:r>
      <w:r w:rsidRPr="0023567D">
        <w:rPr>
          <w:lang w:eastAsia="zh-CN"/>
        </w:rPr>
        <w:t>第</w:t>
      </w:r>
      <w:r w:rsidRPr="0023567D">
        <w:rPr>
          <w:lang w:eastAsia="zh-CN"/>
        </w:rPr>
        <w:t>87</w:t>
      </w:r>
      <w:r w:rsidRPr="0023567D">
        <w:rPr>
          <w:lang w:eastAsia="zh-CN"/>
        </w:rPr>
        <w:t>次会议以做进一步讨论。</w:t>
      </w:r>
      <w:r w:rsidRPr="0023567D">
        <w:rPr>
          <w:snapToGrid w:val="0"/>
          <w:lang w:eastAsia="zh-CN"/>
        </w:rPr>
        <w:t xml:space="preserve"> </w:t>
      </w:r>
    </w:p>
    <w:p w:rsidR="009B7971" w:rsidRPr="0023567D" w:rsidRDefault="009B7971" w:rsidP="009B7971">
      <w:pPr>
        <w:pStyle w:val="Heading1"/>
        <w:rPr>
          <w:lang w:eastAsia="zh-CN"/>
        </w:rPr>
      </w:pPr>
      <w:r w:rsidRPr="0023567D">
        <w:rPr>
          <w:lang w:eastAsia="zh-CN"/>
        </w:rPr>
        <w:t>秘书处根据过去审查氟氯烃淘汰管理计划编制申请的经验，并考虑到执行委员会为此类项目提供的</w:t>
      </w:r>
      <w:r w:rsidR="00953C3E">
        <w:rPr>
          <w:rFonts w:hint="eastAsia"/>
          <w:lang w:eastAsia="zh-CN"/>
        </w:rPr>
        <w:t>指导</w:t>
      </w:r>
      <w:r w:rsidRPr="0023567D">
        <w:rPr>
          <w:lang w:eastAsia="zh-CN"/>
        </w:rPr>
        <w:t>和</w:t>
      </w:r>
      <w:r w:rsidR="00953C3E">
        <w:rPr>
          <w:rFonts w:hint="eastAsia"/>
          <w:lang w:eastAsia="zh-CN"/>
        </w:rPr>
        <w:t>已</w:t>
      </w:r>
      <w:r w:rsidRPr="0023567D">
        <w:rPr>
          <w:lang w:eastAsia="zh-CN"/>
        </w:rPr>
        <w:t>通过的决议，</w:t>
      </w:r>
      <w:r w:rsidR="00953C3E">
        <w:rPr>
          <w:rFonts w:hint="eastAsia"/>
          <w:lang w:eastAsia="zh-CN"/>
        </w:rPr>
        <w:t>已</w:t>
      </w:r>
      <w:r w:rsidRPr="0023567D">
        <w:rPr>
          <w:lang w:eastAsia="zh-CN"/>
        </w:rPr>
        <w:t>对提交的</w:t>
      </w:r>
      <w:r w:rsidR="00FE0F43">
        <w:rPr>
          <w:lang w:eastAsia="zh-CN"/>
        </w:rPr>
        <w:t>文件</w:t>
      </w:r>
      <w:r w:rsidRPr="0023567D">
        <w:rPr>
          <w:lang w:eastAsia="zh-CN"/>
        </w:rPr>
        <w:t>进行审查。</w:t>
      </w:r>
    </w:p>
    <w:p w:rsidR="009B7971" w:rsidRPr="0023567D" w:rsidRDefault="009B7971" w:rsidP="009B7971">
      <w:pPr>
        <w:pStyle w:val="Heading1"/>
        <w:spacing w:after="0"/>
        <w:rPr>
          <w:lang w:eastAsia="zh-CN"/>
        </w:rPr>
      </w:pPr>
      <w:r w:rsidRPr="0023567D">
        <w:rPr>
          <w:lang w:eastAsia="zh-CN"/>
        </w:rPr>
        <w:t xml:space="preserve"> </w:t>
      </w:r>
      <w:r w:rsidR="00D963F3">
        <w:rPr>
          <w:rFonts w:hint="eastAsia"/>
          <w:lang w:eastAsia="zh-CN"/>
        </w:rPr>
        <w:t>根据</w:t>
      </w:r>
      <w:r w:rsidRPr="0023567D">
        <w:rPr>
          <w:lang w:eastAsia="zh-CN"/>
        </w:rPr>
        <w:t>此次审查，秘书处注意到布基纳法索、利比里亚和毛里求斯</w:t>
      </w:r>
      <w:r w:rsidR="00D963F3">
        <w:rPr>
          <w:rFonts w:hint="eastAsia"/>
          <w:lang w:eastAsia="zh-CN"/>
        </w:rPr>
        <w:t>已</w:t>
      </w:r>
      <w:r w:rsidRPr="0023567D">
        <w:rPr>
          <w:lang w:eastAsia="zh-CN"/>
        </w:rPr>
        <w:t>分别于</w:t>
      </w:r>
      <w:r w:rsidRPr="0023567D">
        <w:rPr>
          <w:lang w:eastAsia="zh-CN"/>
        </w:rPr>
        <w:t>2018</w:t>
      </w:r>
      <w:r w:rsidRPr="0023567D">
        <w:rPr>
          <w:lang w:eastAsia="zh-CN"/>
        </w:rPr>
        <w:t>年</w:t>
      </w:r>
      <w:r w:rsidRPr="0023567D">
        <w:rPr>
          <w:lang w:eastAsia="zh-CN"/>
        </w:rPr>
        <w:t>7</w:t>
      </w:r>
      <w:r w:rsidRPr="0023567D">
        <w:rPr>
          <w:lang w:eastAsia="zh-CN"/>
        </w:rPr>
        <w:t>月</w:t>
      </w:r>
      <w:r w:rsidRPr="0023567D">
        <w:rPr>
          <w:lang w:eastAsia="zh-CN"/>
        </w:rPr>
        <w:t>26</w:t>
      </w:r>
      <w:r w:rsidRPr="0023567D">
        <w:rPr>
          <w:lang w:eastAsia="zh-CN"/>
        </w:rPr>
        <w:t>日、</w:t>
      </w:r>
      <w:r w:rsidRPr="0023567D">
        <w:rPr>
          <w:lang w:eastAsia="zh-CN"/>
        </w:rPr>
        <w:t>2020</w:t>
      </w:r>
      <w:r w:rsidRPr="0023567D">
        <w:rPr>
          <w:lang w:eastAsia="zh-CN"/>
        </w:rPr>
        <w:t>年</w:t>
      </w:r>
      <w:r w:rsidRPr="0023567D">
        <w:rPr>
          <w:lang w:eastAsia="zh-CN"/>
        </w:rPr>
        <w:t>7</w:t>
      </w:r>
      <w:r w:rsidRPr="0023567D">
        <w:rPr>
          <w:lang w:eastAsia="zh-CN"/>
        </w:rPr>
        <w:t>月</w:t>
      </w:r>
      <w:r w:rsidRPr="0023567D">
        <w:rPr>
          <w:lang w:eastAsia="zh-CN"/>
        </w:rPr>
        <w:t>13</w:t>
      </w:r>
      <w:r w:rsidRPr="0023567D">
        <w:rPr>
          <w:lang w:eastAsia="zh-CN"/>
        </w:rPr>
        <w:t>日和</w:t>
      </w:r>
      <w:r w:rsidRPr="0023567D">
        <w:rPr>
          <w:lang w:eastAsia="zh-CN"/>
        </w:rPr>
        <w:t>2019</w:t>
      </w:r>
      <w:r w:rsidRPr="0023567D">
        <w:rPr>
          <w:lang w:eastAsia="zh-CN"/>
        </w:rPr>
        <w:t>年</w:t>
      </w:r>
      <w:r w:rsidRPr="0023567D">
        <w:rPr>
          <w:lang w:eastAsia="zh-CN"/>
        </w:rPr>
        <w:t>10</w:t>
      </w:r>
      <w:r w:rsidRPr="0023567D">
        <w:rPr>
          <w:lang w:eastAsia="zh-CN"/>
        </w:rPr>
        <w:t>月</w:t>
      </w:r>
      <w:r w:rsidRPr="0023567D">
        <w:rPr>
          <w:lang w:eastAsia="zh-CN"/>
        </w:rPr>
        <w:t>1</w:t>
      </w:r>
      <w:r w:rsidRPr="0023567D">
        <w:rPr>
          <w:lang w:eastAsia="zh-CN"/>
        </w:rPr>
        <w:t>日批准了《基加利修正案》，提案中所述活动与编制氟氯烃淘汰管理计划</w:t>
      </w:r>
      <w:r w:rsidR="00FE0F43">
        <w:rPr>
          <w:lang w:eastAsia="zh-CN"/>
        </w:rPr>
        <w:t>所需开展的活动</w:t>
      </w:r>
      <w:r w:rsidRPr="0023567D">
        <w:rPr>
          <w:lang w:eastAsia="zh-CN"/>
        </w:rPr>
        <w:t>相似。</w:t>
      </w:r>
      <w:r w:rsidR="00B3210F">
        <w:rPr>
          <w:rFonts w:hint="eastAsia"/>
          <w:lang w:eastAsia="zh-CN"/>
        </w:rPr>
        <w:t>部分</w:t>
      </w:r>
      <w:r w:rsidRPr="0023567D">
        <w:rPr>
          <w:lang w:eastAsia="zh-CN"/>
        </w:rPr>
        <w:t>活动也与已</w:t>
      </w:r>
      <w:r w:rsidR="00FE0F43">
        <w:rPr>
          <w:lang w:eastAsia="zh-CN"/>
        </w:rPr>
        <w:t>经</w:t>
      </w:r>
      <w:r w:rsidRPr="0023567D">
        <w:rPr>
          <w:lang w:eastAsia="zh-CN"/>
        </w:rPr>
        <w:t>为其提供资金的</w:t>
      </w:r>
      <w:r w:rsidRPr="0023567D">
        <w:rPr>
          <w:lang w:eastAsia="zh-CN"/>
        </w:rPr>
        <w:t>HFC</w:t>
      </w:r>
      <w:r w:rsidR="00FE0F43">
        <w:rPr>
          <w:lang w:eastAsia="zh-CN"/>
        </w:rPr>
        <w:t>淘汰扶持活动</w:t>
      </w:r>
      <w:r w:rsidRPr="0023567D">
        <w:rPr>
          <w:lang w:eastAsia="zh-CN"/>
        </w:rPr>
        <w:t>相似。德国政府澄清称，项目</w:t>
      </w:r>
      <w:r w:rsidR="00B3210F">
        <w:rPr>
          <w:rFonts w:hint="eastAsia"/>
          <w:lang w:eastAsia="zh-CN"/>
        </w:rPr>
        <w:t>筹备</w:t>
      </w:r>
      <w:r w:rsidRPr="0023567D">
        <w:rPr>
          <w:lang w:eastAsia="zh-CN"/>
        </w:rPr>
        <w:t>申请将利用在扶持活动项下开展的活动，因为这些活动是与</w:t>
      </w:r>
      <w:r w:rsidR="00FE0F43">
        <w:rPr>
          <w:rFonts w:hint="eastAsia"/>
          <w:lang w:eastAsia="zh-CN"/>
        </w:rPr>
        <w:t>HFC</w:t>
      </w:r>
      <w:r w:rsidRPr="0023567D">
        <w:rPr>
          <w:lang w:eastAsia="zh-CN"/>
        </w:rPr>
        <w:t>淘汰相关的首批</w:t>
      </w:r>
      <w:r w:rsidR="00FE0F43">
        <w:rPr>
          <w:lang w:eastAsia="zh-CN"/>
        </w:rPr>
        <w:t>行动，</w:t>
      </w:r>
      <w:r w:rsidR="004B1C23">
        <w:rPr>
          <w:rFonts w:hint="eastAsia"/>
          <w:lang w:eastAsia="zh-CN"/>
        </w:rPr>
        <w:t>并</w:t>
      </w:r>
      <w:r w:rsidRPr="0023567D">
        <w:rPr>
          <w:lang w:eastAsia="zh-CN"/>
        </w:rPr>
        <w:t>推动</w:t>
      </w:r>
      <w:r w:rsidR="00FE0F43">
        <w:rPr>
          <w:lang w:eastAsia="zh-CN"/>
        </w:rPr>
        <w:t>了</w:t>
      </w:r>
      <w:r w:rsidRPr="0023567D">
        <w:rPr>
          <w:lang w:eastAsia="zh-CN"/>
        </w:rPr>
        <w:t>该国批准《基加利修正案》，并强调称</w:t>
      </w:r>
      <w:r w:rsidR="00FE0F43">
        <w:rPr>
          <w:lang w:eastAsia="zh-CN"/>
        </w:rPr>
        <w:t>这</w:t>
      </w:r>
      <w:r w:rsidRPr="0023567D">
        <w:rPr>
          <w:lang w:eastAsia="zh-CN"/>
        </w:rPr>
        <w:t>将避免重复开展</w:t>
      </w:r>
      <w:r w:rsidR="00FE0F43">
        <w:rPr>
          <w:lang w:eastAsia="zh-CN"/>
        </w:rPr>
        <w:t>相关</w:t>
      </w:r>
      <w:r w:rsidRPr="0023567D">
        <w:rPr>
          <w:lang w:eastAsia="zh-CN"/>
        </w:rPr>
        <w:t>活动。</w:t>
      </w:r>
    </w:p>
    <w:p w:rsidR="009B7971" w:rsidRPr="00FE0F43" w:rsidRDefault="009B7971" w:rsidP="009B7971">
      <w:pPr>
        <w:rPr>
          <w:lang w:eastAsia="zh-CN"/>
        </w:rPr>
      </w:pPr>
    </w:p>
    <w:p w:rsidR="009B7971" w:rsidRPr="009B7971" w:rsidRDefault="009B7971" w:rsidP="009B7971">
      <w:pPr>
        <w:pStyle w:val="Heading1"/>
        <w:widowControl w:val="0"/>
        <w:rPr>
          <w:color w:val="000000"/>
          <w:lang w:eastAsia="zh-CN"/>
        </w:rPr>
      </w:pPr>
      <w:r w:rsidRPr="0023567D">
        <w:rPr>
          <w:lang w:eastAsia="zh-CN"/>
        </w:rPr>
        <w:t>秘书处通知德国政府，由于将在第</w:t>
      </w:r>
      <w:r w:rsidRPr="0023567D">
        <w:rPr>
          <w:lang w:eastAsia="zh-CN"/>
        </w:rPr>
        <w:t>87</w:t>
      </w:r>
      <w:r w:rsidRPr="0023567D">
        <w:rPr>
          <w:lang w:eastAsia="zh-CN"/>
        </w:rPr>
        <w:t>次会议上</w:t>
      </w:r>
      <w:r w:rsidR="007014CD">
        <w:rPr>
          <w:rFonts w:hint="eastAsia"/>
          <w:lang w:eastAsia="zh-CN"/>
        </w:rPr>
        <w:t>就</w:t>
      </w:r>
      <w:r w:rsidRPr="0023567D">
        <w:rPr>
          <w:lang w:eastAsia="zh-CN"/>
        </w:rPr>
        <w:t>这些</w:t>
      </w:r>
      <w:r w:rsidR="00FE0F43">
        <w:rPr>
          <w:lang w:eastAsia="zh-CN"/>
        </w:rPr>
        <w:t>申请</w:t>
      </w:r>
      <w:r w:rsidRPr="0023567D">
        <w:rPr>
          <w:lang w:eastAsia="zh-CN"/>
        </w:rPr>
        <w:t>提供资金的</w:t>
      </w:r>
      <w:r w:rsidR="007014CD">
        <w:rPr>
          <w:rFonts w:hint="eastAsia"/>
          <w:lang w:eastAsia="zh-CN"/>
        </w:rPr>
        <w:t>指导方针继续进行讨论</w:t>
      </w:r>
      <w:r w:rsidR="004E0271">
        <w:rPr>
          <w:lang w:eastAsia="zh-CN"/>
        </w:rPr>
        <w:t>，因此无法就</w:t>
      </w:r>
      <w:r w:rsidR="005131BC">
        <w:rPr>
          <w:rFonts w:hint="eastAsia"/>
          <w:lang w:eastAsia="zh-CN"/>
        </w:rPr>
        <w:t>该项请求</w:t>
      </w:r>
      <w:r w:rsidRPr="0023567D">
        <w:rPr>
          <w:lang w:eastAsia="zh-CN"/>
        </w:rPr>
        <w:t>提出建议。</w:t>
      </w:r>
    </w:p>
    <w:p w:rsidR="009B7971" w:rsidRPr="0023567D" w:rsidRDefault="009B7971" w:rsidP="009B7971">
      <w:pPr>
        <w:keepNext/>
        <w:keepLines/>
        <w:rPr>
          <w:b/>
        </w:rPr>
      </w:pPr>
      <w:r w:rsidRPr="0023567D">
        <w:rPr>
          <w:b/>
        </w:rPr>
        <w:t>秘书处</w:t>
      </w:r>
      <w:r w:rsidR="00342F63">
        <w:rPr>
          <w:b/>
        </w:rPr>
        <w:t>建议</w:t>
      </w:r>
    </w:p>
    <w:p w:rsidR="009B7971" w:rsidRPr="0023567D" w:rsidRDefault="009B7971" w:rsidP="009B7971">
      <w:pPr>
        <w:widowControl w:val="0"/>
        <w:rPr>
          <w:b/>
          <w:u w:val="single"/>
        </w:rPr>
      </w:pPr>
    </w:p>
    <w:p w:rsidR="009B7971" w:rsidRPr="0023567D" w:rsidRDefault="009B7971" w:rsidP="009B7971">
      <w:pPr>
        <w:pStyle w:val="Heading1"/>
        <w:spacing w:after="0"/>
        <w:rPr>
          <w:lang w:eastAsia="zh-CN"/>
        </w:rPr>
      </w:pPr>
      <w:r w:rsidRPr="0023567D">
        <w:rPr>
          <w:lang w:eastAsia="zh-CN"/>
        </w:rPr>
        <w:t>谨建议执行委员会</w:t>
      </w:r>
      <w:r w:rsidR="004C40B5">
        <w:rPr>
          <w:rFonts w:hint="eastAsia"/>
          <w:lang w:eastAsia="zh-CN"/>
        </w:rPr>
        <w:t>，</w:t>
      </w:r>
      <w:r w:rsidRPr="0023567D">
        <w:rPr>
          <w:lang w:eastAsia="zh-CN"/>
        </w:rPr>
        <w:t>根据</w:t>
      </w:r>
      <w:r w:rsidR="004C40B5">
        <w:rPr>
          <w:rFonts w:hint="eastAsia"/>
          <w:lang w:eastAsia="zh-CN"/>
        </w:rPr>
        <w:t>第</w:t>
      </w:r>
      <w:r w:rsidR="004C40B5" w:rsidRPr="0023567D">
        <w:rPr>
          <w:lang w:eastAsia="zh-CN"/>
        </w:rPr>
        <w:t>9</w:t>
      </w:r>
      <w:r w:rsidR="004C40B5" w:rsidRPr="0023567D">
        <w:rPr>
          <w:lang w:eastAsia="zh-CN"/>
        </w:rPr>
        <w:t>（</w:t>
      </w:r>
      <w:r w:rsidR="004C40B5" w:rsidRPr="0023567D">
        <w:rPr>
          <w:lang w:eastAsia="zh-CN"/>
        </w:rPr>
        <w:t>a</w:t>
      </w:r>
      <w:r w:rsidR="004C40B5">
        <w:rPr>
          <w:lang w:eastAsia="zh-CN"/>
        </w:rPr>
        <w:t>）</w:t>
      </w:r>
      <w:r w:rsidR="004C40B5">
        <w:rPr>
          <w:rFonts w:hint="eastAsia"/>
          <w:lang w:eastAsia="zh-CN"/>
        </w:rPr>
        <w:t>项</w:t>
      </w:r>
      <w:r w:rsidRPr="0023567D">
        <w:rPr>
          <w:lang w:eastAsia="zh-CN"/>
        </w:rPr>
        <w:t>议程项目</w:t>
      </w:r>
      <w:r w:rsidR="00B46FBE">
        <w:rPr>
          <w:lang w:eastAsia="zh-CN"/>
        </w:rPr>
        <w:t>项下的讨论、</w:t>
      </w:r>
      <w:r w:rsidRPr="0023567D">
        <w:rPr>
          <w:lang w:eastAsia="zh-CN"/>
        </w:rPr>
        <w:t>项目审查期间</w:t>
      </w:r>
      <w:r w:rsidR="004C40B5">
        <w:rPr>
          <w:rFonts w:hint="eastAsia"/>
          <w:lang w:eastAsia="zh-CN"/>
        </w:rPr>
        <w:t>已</w:t>
      </w:r>
      <w:r w:rsidRPr="0023567D">
        <w:rPr>
          <w:lang w:eastAsia="zh-CN"/>
        </w:rPr>
        <w:t>确定问题</w:t>
      </w:r>
      <w:r w:rsidR="00B46FBE">
        <w:rPr>
          <w:lang w:eastAsia="zh-CN"/>
        </w:rPr>
        <w:t>的</w:t>
      </w:r>
      <w:r w:rsidRPr="0023567D">
        <w:rPr>
          <w:lang w:eastAsia="zh-CN"/>
        </w:rPr>
        <w:t>概述、</w:t>
      </w:r>
      <w:r w:rsidR="004C40B5">
        <w:rPr>
          <w:rFonts w:hint="eastAsia"/>
          <w:lang w:eastAsia="zh-CN"/>
        </w:rPr>
        <w:t>第</w:t>
      </w:r>
      <w:r w:rsidR="004C40B5" w:rsidRPr="0023567D">
        <w:rPr>
          <w:lang w:eastAsia="zh-CN"/>
        </w:rPr>
        <w:t>13</w:t>
      </w:r>
      <w:r w:rsidR="004C40B5" w:rsidRPr="0023567D">
        <w:rPr>
          <w:lang w:eastAsia="zh-CN"/>
        </w:rPr>
        <w:t>（</w:t>
      </w:r>
      <w:r w:rsidR="004C40B5" w:rsidRPr="0023567D">
        <w:rPr>
          <w:lang w:eastAsia="zh-CN"/>
        </w:rPr>
        <w:t>c</w:t>
      </w:r>
      <w:r w:rsidR="004C40B5" w:rsidRPr="0023567D">
        <w:rPr>
          <w:lang w:eastAsia="zh-CN"/>
        </w:rPr>
        <w:t>）</w:t>
      </w:r>
      <w:r w:rsidR="004C40B5">
        <w:rPr>
          <w:rFonts w:hint="eastAsia"/>
          <w:lang w:eastAsia="zh-CN"/>
        </w:rPr>
        <w:t>项</w:t>
      </w:r>
      <w:r w:rsidRPr="0023567D">
        <w:rPr>
          <w:lang w:eastAsia="zh-CN"/>
        </w:rPr>
        <w:t>议程项目、</w:t>
      </w:r>
      <w:r w:rsidR="004C40B5">
        <w:rPr>
          <w:rFonts w:hint="eastAsia"/>
          <w:lang w:eastAsia="zh-CN"/>
        </w:rPr>
        <w:t>以及</w:t>
      </w:r>
      <w:r w:rsidRPr="0023567D">
        <w:rPr>
          <w:lang w:eastAsia="zh-CN"/>
        </w:rPr>
        <w:t>为第</w:t>
      </w:r>
      <w:r w:rsidRPr="0023567D">
        <w:rPr>
          <w:lang w:eastAsia="zh-CN"/>
        </w:rPr>
        <w:t>5</w:t>
      </w:r>
      <w:r w:rsidRPr="0023567D">
        <w:rPr>
          <w:lang w:eastAsia="zh-CN"/>
        </w:rPr>
        <w:t>条国家</w:t>
      </w:r>
      <w:r w:rsidR="00B75E8F">
        <w:rPr>
          <w:rFonts w:hint="eastAsia"/>
          <w:lang w:eastAsia="zh-CN"/>
        </w:rPr>
        <w:t>制定</w:t>
      </w:r>
      <w:r w:rsidRPr="0023567D">
        <w:rPr>
          <w:lang w:eastAsia="zh-CN"/>
        </w:rPr>
        <w:t>HFC</w:t>
      </w:r>
      <w:r w:rsidRPr="0023567D">
        <w:rPr>
          <w:lang w:eastAsia="zh-CN"/>
        </w:rPr>
        <w:t>淘汰计划的指南草案（第</w:t>
      </w:r>
      <w:r w:rsidRPr="0023567D">
        <w:rPr>
          <w:lang w:eastAsia="zh-CN"/>
        </w:rPr>
        <w:t>86/93</w:t>
      </w:r>
      <w:r w:rsidRPr="0023567D">
        <w:rPr>
          <w:lang w:eastAsia="zh-CN"/>
        </w:rPr>
        <w:t>号决议）</w:t>
      </w:r>
      <w:r w:rsidR="00B46FBE">
        <w:rPr>
          <w:lang w:eastAsia="zh-CN"/>
        </w:rPr>
        <w:t>，</w:t>
      </w:r>
      <w:r w:rsidR="00B75E8F">
        <w:rPr>
          <w:rFonts w:hint="eastAsia"/>
          <w:lang w:eastAsia="zh-CN"/>
        </w:rPr>
        <w:t>对</w:t>
      </w:r>
      <w:r w:rsidRPr="0023567D">
        <w:rPr>
          <w:lang w:eastAsia="zh-CN"/>
        </w:rPr>
        <w:t>表</w:t>
      </w:r>
      <w:r w:rsidRPr="0023567D">
        <w:rPr>
          <w:lang w:eastAsia="zh-CN"/>
        </w:rPr>
        <w:t>3</w:t>
      </w:r>
      <w:r w:rsidRPr="0023567D">
        <w:rPr>
          <w:lang w:eastAsia="zh-CN"/>
        </w:rPr>
        <w:t>所列国家</w:t>
      </w:r>
      <w:r w:rsidR="00B75E8F">
        <w:rPr>
          <w:rFonts w:hint="eastAsia"/>
          <w:lang w:eastAsia="zh-CN"/>
        </w:rPr>
        <w:t>制定</w:t>
      </w:r>
      <w:r w:rsidRPr="0023567D">
        <w:rPr>
          <w:lang w:eastAsia="zh-CN"/>
        </w:rPr>
        <w:t>HFC</w:t>
      </w:r>
      <w:r w:rsidRPr="0023567D">
        <w:rPr>
          <w:lang w:eastAsia="zh-CN"/>
        </w:rPr>
        <w:t>淘汰管理计划</w:t>
      </w:r>
      <w:r w:rsidR="00B75E8F">
        <w:rPr>
          <w:rFonts w:hint="eastAsia"/>
          <w:lang w:eastAsia="zh-CN"/>
        </w:rPr>
        <w:t>的供资</w:t>
      </w:r>
      <w:r w:rsidRPr="0023567D">
        <w:rPr>
          <w:lang w:eastAsia="zh-CN"/>
        </w:rPr>
        <w:t>申请</w:t>
      </w:r>
      <w:r w:rsidR="00B75E8F">
        <w:rPr>
          <w:rFonts w:hint="eastAsia"/>
          <w:lang w:eastAsia="zh-CN"/>
        </w:rPr>
        <w:t>进行审核</w:t>
      </w:r>
      <w:r w:rsidRPr="0023567D">
        <w:rPr>
          <w:lang w:eastAsia="zh-CN"/>
        </w:rPr>
        <w:t>。</w:t>
      </w:r>
    </w:p>
    <w:p w:rsidR="009B7971" w:rsidRPr="0023567D" w:rsidRDefault="009B7971" w:rsidP="009B7971">
      <w:pPr>
        <w:rPr>
          <w:lang w:eastAsia="zh-CN"/>
        </w:rPr>
      </w:pPr>
    </w:p>
    <w:p w:rsidR="009B7971" w:rsidRPr="0023567D" w:rsidRDefault="009B7971" w:rsidP="009B7971">
      <w:pPr>
        <w:rPr>
          <w:b/>
        </w:rPr>
      </w:pPr>
      <w:r w:rsidRPr="0023567D">
        <w:rPr>
          <w:b/>
        </w:rPr>
        <w:t>一般</w:t>
      </w:r>
      <w:r w:rsidR="008C5B3D">
        <w:rPr>
          <w:rFonts w:hint="eastAsia"/>
          <w:b/>
          <w:lang w:eastAsia="zh-CN"/>
        </w:rPr>
        <w:t>性</w:t>
      </w:r>
      <w:r w:rsidRPr="0023567D">
        <w:rPr>
          <w:b/>
        </w:rPr>
        <w:t>建议</w:t>
      </w:r>
    </w:p>
    <w:p w:rsidR="009B7971" w:rsidRPr="0023567D" w:rsidRDefault="009B7971" w:rsidP="009B7971"/>
    <w:p w:rsidR="009B7971" w:rsidRPr="0023567D" w:rsidRDefault="009B7971" w:rsidP="009B7971">
      <w:pPr>
        <w:numPr>
          <w:ilvl w:val="0"/>
          <w:numId w:val="1"/>
        </w:numPr>
        <w:outlineLvl w:val="0"/>
        <w:rPr>
          <w:lang w:eastAsia="zh-CN"/>
        </w:rPr>
      </w:pPr>
      <w:r w:rsidRPr="0023567D">
        <w:rPr>
          <w:lang w:eastAsia="zh-CN"/>
        </w:rPr>
        <w:t>谨建议执行委员会</w:t>
      </w:r>
      <w:r w:rsidR="008C5B3D">
        <w:rPr>
          <w:rFonts w:hint="eastAsia"/>
          <w:lang w:eastAsia="zh-CN"/>
        </w:rPr>
        <w:t>要求司库</w:t>
      </w:r>
      <w:r w:rsidRPr="0023567D">
        <w:rPr>
          <w:lang w:eastAsia="zh-CN"/>
        </w:rPr>
        <w:t>按以下方式</w:t>
      </w:r>
      <w:r w:rsidR="00B46FBE">
        <w:rPr>
          <w:lang w:eastAsia="zh-CN"/>
        </w:rPr>
        <w:t>冲抵</w:t>
      </w:r>
      <w:r w:rsidRPr="0023567D">
        <w:rPr>
          <w:lang w:eastAsia="zh-CN"/>
        </w:rPr>
        <w:t>第</w:t>
      </w:r>
      <w:r w:rsidRPr="0023567D">
        <w:rPr>
          <w:lang w:eastAsia="zh-CN"/>
        </w:rPr>
        <w:t>87</w:t>
      </w:r>
      <w:r w:rsidRPr="0023567D">
        <w:rPr>
          <w:lang w:eastAsia="zh-CN"/>
        </w:rPr>
        <w:t>次会议</w:t>
      </w:r>
      <w:r w:rsidR="008C5B3D">
        <w:rPr>
          <w:rFonts w:hint="eastAsia"/>
          <w:lang w:eastAsia="zh-CN"/>
        </w:rPr>
        <w:t>核</w:t>
      </w:r>
      <w:r w:rsidRPr="0023567D">
        <w:rPr>
          <w:lang w:eastAsia="zh-CN"/>
        </w:rPr>
        <w:t>准的双边项目费用：</w:t>
      </w:r>
    </w:p>
    <w:p w:rsidR="009B7971" w:rsidRPr="0023567D" w:rsidRDefault="009B7971" w:rsidP="009B7971">
      <w:pPr>
        <w:rPr>
          <w:sz w:val="18"/>
          <w:szCs w:val="18"/>
          <w:lang w:eastAsia="zh-CN"/>
        </w:rPr>
      </w:pPr>
    </w:p>
    <w:p w:rsidR="009B7971" w:rsidRPr="0023567D" w:rsidRDefault="009B7971" w:rsidP="009B7971">
      <w:pPr>
        <w:ind w:left="720"/>
        <w:contextualSpacing/>
        <w:rPr>
          <w:sz w:val="18"/>
          <w:szCs w:val="18"/>
          <w:lang w:eastAsia="zh-CN"/>
        </w:rPr>
      </w:pPr>
    </w:p>
    <w:p w:rsidR="009B7971" w:rsidRPr="0023567D" w:rsidRDefault="008C5B3D" w:rsidP="009B7971">
      <w:pPr>
        <w:widowControl w:val="0"/>
        <w:numPr>
          <w:ilvl w:val="1"/>
          <w:numId w:val="1"/>
        </w:numPr>
        <w:outlineLvl w:val="1"/>
        <w:rPr>
          <w:lang w:eastAsia="zh-CN"/>
        </w:rPr>
      </w:pPr>
      <w:r>
        <w:rPr>
          <w:rFonts w:hint="eastAsia"/>
          <w:lang w:eastAsia="zh-CN"/>
        </w:rPr>
        <w:t>对</w:t>
      </w:r>
      <w:r w:rsidR="009B7971" w:rsidRPr="0023567D">
        <w:rPr>
          <w:lang w:eastAsia="zh-CN"/>
        </w:rPr>
        <w:t>德国政府</w:t>
      </w:r>
      <w:r w:rsidR="009B7971" w:rsidRPr="0023567D">
        <w:rPr>
          <w:lang w:eastAsia="zh-CN"/>
        </w:rPr>
        <w:t>2021</w:t>
      </w:r>
      <w:r w:rsidR="009B7971" w:rsidRPr="0023567D">
        <w:rPr>
          <w:lang w:eastAsia="zh-CN"/>
        </w:rPr>
        <w:t>年</w:t>
      </w:r>
      <w:r>
        <w:rPr>
          <w:rFonts w:hint="eastAsia"/>
          <w:lang w:eastAsia="zh-CN"/>
        </w:rPr>
        <w:t>的</w:t>
      </w:r>
      <w:r w:rsidR="009B7971" w:rsidRPr="0023567D">
        <w:rPr>
          <w:lang w:eastAsia="zh-CN"/>
        </w:rPr>
        <w:t>双边捐款余额冲抵</w:t>
      </w:r>
      <w:r w:rsidR="009B7971" w:rsidRPr="0023567D">
        <w:rPr>
          <w:lang w:eastAsia="zh-CN"/>
        </w:rPr>
        <w:t>XX</w:t>
      </w:r>
      <w:r w:rsidR="009B7971" w:rsidRPr="0023567D">
        <w:rPr>
          <w:lang w:eastAsia="zh-CN"/>
        </w:rPr>
        <w:t>美元（包括机构支持费用）；</w:t>
      </w:r>
      <w:r w:rsidR="00554E43">
        <w:rPr>
          <w:lang w:eastAsia="zh-CN"/>
        </w:rPr>
        <w:t>以及</w:t>
      </w:r>
    </w:p>
    <w:p w:rsidR="009B7971" w:rsidRPr="0023567D" w:rsidRDefault="009B7971" w:rsidP="009B7971">
      <w:pPr>
        <w:rPr>
          <w:sz w:val="18"/>
          <w:szCs w:val="18"/>
          <w:lang w:eastAsia="zh-CN"/>
        </w:rPr>
      </w:pPr>
    </w:p>
    <w:p w:rsidR="009B7971" w:rsidRPr="0023567D" w:rsidRDefault="008C5B3D" w:rsidP="009B7971">
      <w:pPr>
        <w:widowControl w:val="0"/>
        <w:numPr>
          <w:ilvl w:val="1"/>
          <w:numId w:val="1"/>
        </w:numPr>
        <w:outlineLvl w:val="1"/>
        <w:rPr>
          <w:lang w:eastAsia="zh-CN"/>
        </w:rPr>
      </w:pPr>
      <w:r>
        <w:rPr>
          <w:rFonts w:hint="eastAsia"/>
          <w:lang w:eastAsia="zh-CN"/>
        </w:rPr>
        <w:t>对</w:t>
      </w:r>
      <w:r w:rsidR="009B7971" w:rsidRPr="0023567D">
        <w:rPr>
          <w:lang w:eastAsia="zh-CN"/>
        </w:rPr>
        <w:t>日本政府</w:t>
      </w:r>
      <w:r w:rsidR="009B7971" w:rsidRPr="0023567D">
        <w:rPr>
          <w:lang w:eastAsia="zh-CN"/>
        </w:rPr>
        <w:t>2021</w:t>
      </w:r>
      <w:r w:rsidR="009B7971" w:rsidRPr="0023567D">
        <w:rPr>
          <w:lang w:eastAsia="zh-CN"/>
        </w:rPr>
        <w:t>年</w:t>
      </w:r>
      <w:r>
        <w:rPr>
          <w:rFonts w:hint="eastAsia"/>
          <w:lang w:eastAsia="zh-CN"/>
        </w:rPr>
        <w:t>的</w:t>
      </w:r>
      <w:r w:rsidR="009B7971" w:rsidRPr="0023567D">
        <w:rPr>
          <w:lang w:eastAsia="zh-CN"/>
        </w:rPr>
        <w:t>双边捐款余额冲抵</w:t>
      </w:r>
      <w:r w:rsidR="009B7971" w:rsidRPr="0023567D">
        <w:rPr>
          <w:lang w:eastAsia="zh-CN"/>
        </w:rPr>
        <w:t>XX</w:t>
      </w:r>
      <w:r w:rsidR="009B7971" w:rsidRPr="0023567D">
        <w:rPr>
          <w:lang w:eastAsia="zh-CN"/>
        </w:rPr>
        <w:t>美元（包括机构支持费用）。</w:t>
      </w:r>
    </w:p>
    <w:p w:rsidR="009B7971" w:rsidRPr="0023567D" w:rsidRDefault="009B7971" w:rsidP="009B7971">
      <w:pPr>
        <w:pStyle w:val="ListParagraph"/>
        <w:rPr>
          <w:lang w:eastAsia="zh-CN"/>
        </w:rPr>
      </w:pPr>
    </w:p>
    <w:p w:rsidR="009B7971" w:rsidRPr="0023567D" w:rsidRDefault="009B7971" w:rsidP="009B7971">
      <w:pPr>
        <w:widowControl w:val="0"/>
        <w:ind w:left="1440"/>
        <w:outlineLvl w:val="1"/>
        <w:rPr>
          <w:lang w:eastAsia="zh-CN"/>
        </w:rPr>
      </w:pPr>
    </w:p>
    <w:tbl>
      <w:tblPr>
        <w:tblW w:w="0" w:type="auto"/>
        <w:tblLook w:val="04A0" w:firstRow="1" w:lastRow="0" w:firstColumn="1" w:lastColumn="0" w:noHBand="0" w:noVBand="1"/>
      </w:tblPr>
      <w:tblGrid>
        <w:gridCol w:w="1871"/>
        <w:gridCol w:w="1872"/>
        <w:gridCol w:w="1872"/>
        <w:gridCol w:w="1872"/>
        <w:gridCol w:w="1873"/>
      </w:tblGrid>
      <w:tr w:rsidR="009B7971" w:rsidRPr="0023567D" w:rsidTr="00E90FB3">
        <w:tc>
          <w:tcPr>
            <w:tcW w:w="1871" w:type="dxa"/>
            <w:shd w:val="clear" w:color="auto" w:fill="auto"/>
          </w:tcPr>
          <w:p w:rsidR="009B7971" w:rsidRPr="0023567D" w:rsidRDefault="009B7971" w:rsidP="00E90FB3">
            <w:pPr>
              <w:rPr>
                <w:lang w:eastAsia="zh-CN"/>
              </w:rPr>
            </w:pPr>
          </w:p>
        </w:tc>
        <w:tc>
          <w:tcPr>
            <w:tcW w:w="1872" w:type="dxa"/>
            <w:shd w:val="clear" w:color="auto" w:fill="auto"/>
          </w:tcPr>
          <w:p w:rsidR="009B7971" w:rsidRPr="0023567D" w:rsidRDefault="009B7971" w:rsidP="00E90FB3">
            <w:pPr>
              <w:rPr>
                <w:lang w:eastAsia="zh-CN"/>
              </w:rPr>
            </w:pPr>
          </w:p>
        </w:tc>
        <w:tc>
          <w:tcPr>
            <w:tcW w:w="1872" w:type="dxa"/>
            <w:tcBorders>
              <w:top w:val="nil"/>
              <w:left w:val="nil"/>
              <w:bottom w:val="single" w:sz="4" w:space="0" w:color="auto"/>
              <w:right w:val="nil"/>
            </w:tcBorders>
            <w:shd w:val="clear" w:color="auto" w:fill="auto"/>
          </w:tcPr>
          <w:p w:rsidR="009B7971" w:rsidRPr="00E90FB3" w:rsidRDefault="009B7971" w:rsidP="00E90FB3">
            <w:pPr>
              <w:rPr>
                <w:sz w:val="32"/>
                <w:szCs w:val="32"/>
                <w:lang w:eastAsia="zh-CN"/>
              </w:rPr>
            </w:pPr>
          </w:p>
        </w:tc>
        <w:tc>
          <w:tcPr>
            <w:tcW w:w="1872" w:type="dxa"/>
            <w:shd w:val="clear" w:color="auto" w:fill="auto"/>
          </w:tcPr>
          <w:p w:rsidR="009B7971" w:rsidRPr="0023567D" w:rsidRDefault="009B7971" w:rsidP="00E90FB3">
            <w:pPr>
              <w:rPr>
                <w:lang w:eastAsia="zh-CN"/>
              </w:rPr>
            </w:pPr>
          </w:p>
        </w:tc>
        <w:tc>
          <w:tcPr>
            <w:tcW w:w="1873" w:type="dxa"/>
            <w:shd w:val="clear" w:color="auto" w:fill="auto"/>
          </w:tcPr>
          <w:p w:rsidR="009B7971" w:rsidRPr="0023567D" w:rsidRDefault="009B7971" w:rsidP="00E90FB3">
            <w:pPr>
              <w:rPr>
                <w:lang w:eastAsia="zh-CN"/>
              </w:rPr>
            </w:pPr>
          </w:p>
        </w:tc>
      </w:tr>
    </w:tbl>
    <w:p w:rsidR="009B7971" w:rsidRPr="0023567D" w:rsidRDefault="009B7971" w:rsidP="009B7971">
      <w:pPr>
        <w:pStyle w:val="Title1"/>
        <w:rPr>
          <w:lang w:eastAsia="zh-CN"/>
        </w:rPr>
      </w:pPr>
    </w:p>
    <w:p w:rsidR="00575D7C" w:rsidRPr="009B7971" w:rsidRDefault="00575D7C" w:rsidP="00575D7C">
      <w:pPr>
        <w:rPr>
          <w:lang w:eastAsia="zh-CN"/>
        </w:rPr>
      </w:pPr>
    </w:p>
    <w:p w:rsidR="003B468A" w:rsidRPr="00575D7C" w:rsidRDefault="003B468A">
      <w:pPr>
        <w:jc w:val="right"/>
        <w:rPr>
          <w:lang w:val="en-CA" w:eastAsia="zh-CN"/>
        </w:rPr>
      </w:pPr>
    </w:p>
    <w:sectPr w:rsidR="003B468A" w:rsidRPr="00575D7C">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6D" w:rsidRDefault="00D1016D">
      <w:r>
        <w:separator/>
      </w:r>
    </w:p>
  </w:endnote>
  <w:endnote w:type="continuationSeparator" w:id="0">
    <w:p w:rsidR="00D1016D" w:rsidRDefault="00D1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A5" w:rsidRPr="0033525D" w:rsidRDefault="00A072A5" w:rsidP="00A072A5">
    <w:pPr>
      <w:jc w:val="center"/>
    </w:pPr>
    <w:r>
      <w:fldChar w:fldCharType="begin"/>
    </w:r>
    <w:r>
      <w:instrText xml:space="preserve"> PAGE </w:instrText>
    </w:r>
    <w:r>
      <w:fldChar w:fldCharType="separate"/>
    </w:r>
    <w:r w:rsidR="00F623A9">
      <w:rPr>
        <w:noProof/>
      </w:rPr>
      <w:t>4</w:t>
    </w:r>
    <w:r>
      <w:rPr>
        <w:noProof/>
      </w:rPr>
      <w:fldChar w:fldCharType="end"/>
    </w:r>
  </w:p>
  <w:p w:rsidR="00A072A5" w:rsidRDefault="00A0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A5" w:rsidRPr="0033525D" w:rsidRDefault="00A072A5" w:rsidP="00A072A5">
    <w:pPr>
      <w:jc w:val="center"/>
    </w:pPr>
    <w:r>
      <w:fldChar w:fldCharType="begin"/>
    </w:r>
    <w:r>
      <w:instrText xml:space="preserve"> PAGE </w:instrText>
    </w:r>
    <w:r>
      <w:fldChar w:fldCharType="separate"/>
    </w:r>
    <w:r w:rsidR="00F623A9">
      <w:rPr>
        <w:noProof/>
      </w:rPr>
      <w:t>3</w:t>
    </w:r>
    <w:r>
      <w:rPr>
        <w:noProof/>
      </w:rPr>
      <w:fldChar w:fldCharType="end"/>
    </w:r>
  </w:p>
  <w:p w:rsidR="00A072A5" w:rsidRDefault="00A07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A5" w:rsidRPr="00A072A5" w:rsidRDefault="00A072A5" w:rsidP="00A072A5">
    <w:pPr>
      <w:pBdr>
        <w:top w:val="single" w:sz="4" w:space="1" w:color="auto"/>
        <w:left w:val="single" w:sz="4" w:space="4" w:color="auto"/>
        <w:bottom w:val="single" w:sz="4" w:space="1" w:color="auto"/>
        <w:right w:val="single" w:sz="4" w:space="4" w:color="auto"/>
      </w:pBdr>
      <w:jc w:val="center"/>
      <w:rPr>
        <w:sz w:val="18"/>
        <w:szCs w:val="18"/>
        <w:lang w:eastAsia="zh-CN"/>
      </w:rPr>
    </w:pPr>
    <w:r w:rsidRPr="00A072A5">
      <w:rPr>
        <w:rFonts w:hint="eastAsia"/>
        <w:sz w:val="18"/>
        <w:szCs w:val="18"/>
        <w:lang w:eastAsia="zh-CN"/>
      </w:rPr>
      <w:t>执行蒙特利尔议定书多边基金执行委员会的会前文件不妨碍文件印发后执行委员会可能作出的任何决定。</w:t>
    </w:r>
  </w:p>
  <w:p w:rsidR="000604C9" w:rsidRPr="00A072A5" w:rsidRDefault="000604C9">
    <w:pPr>
      <w:pStyle w:val="Footer"/>
      <w:jc w:val="center"/>
      <w:rPr>
        <w:lang w:eastAsia="zh-CN"/>
      </w:rPr>
    </w:pPr>
  </w:p>
  <w:p w:rsidR="000604C9" w:rsidRDefault="000604C9">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6D" w:rsidRDefault="00D1016D">
      <w:r>
        <w:separator/>
      </w:r>
    </w:p>
  </w:footnote>
  <w:footnote w:type="continuationSeparator" w:id="0">
    <w:p w:rsidR="00D1016D" w:rsidRDefault="00D1016D">
      <w:r>
        <w:continuationSeparator/>
      </w:r>
    </w:p>
  </w:footnote>
  <w:footnote w:id="1">
    <w:p w:rsidR="000604C9" w:rsidRPr="00A148CA" w:rsidRDefault="000604C9" w:rsidP="00943350">
      <w:pPr>
        <w:pStyle w:val="FootnoteText"/>
        <w:spacing w:after="60"/>
        <w:rPr>
          <w:rFonts w:eastAsia="SimSun"/>
          <w:sz w:val="21"/>
          <w:lang w:eastAsia="zh-CN"/>
        </w:rPr>
      </w:pPr>
      <w:r>
        <w:rPr>
          <w:rStyle w:val="FootnoteReference"/>
        </w:rPr>
        <w:footnoteRef/>
      </w:r>
      <w:r>
        <w:rPr>
          <w:lang w:eastAsia="zh-CN"/>
        </w:rPr>
        <w:t xml:space="preserve"> </w:t>
      </w:r>
      <w:r w:rsidRPr="00A148CA">
        <w:rPr>
          <w:rFonts w:eastAsia="SimSun"/>
          <w:lang w:eastAsia="zh-CN"/>
        </w:rPr>
        <w:t>由于</w:t>
      </w:r>
      <w:r w:rsidRPr="00A148CA">
        <w:rPr>
          <w:rFonts w:eastAsia="SimSun"/>
          <w:lang w:eastAsia="zh-CN"/>
        </w:rPr>
        <w:t>2019</w:t>
      </w:r>
      <w:r w:rsidRPr="00A148CA">
        <w:rPr>
          <w:rFonts w:eastAsia="SimSun"/>
          <w:lang w:eastAsia="zh-CN"/>
        </w:rPr>
        <w:t>冠状病毒病（</w:t>
      </w:r>
      <w:r w:rsidRPr="00A148CA">
        <w:rPr>
          <w:rFonts w:eastAsia="SimSun"/>
          <w:lang w:eastAsia="zh-CN"/>
        </w:rPr>
        <w:t>COVID-19</w:t>
      </w:r>
      <w:r w:rsidRPr="00A148CA">
        <w:rPr>
          <w:rFonts w:eastAsia="SimSun"/>
          <w:lang w:eastAsia="zh-CN"/>
        </w:rPr>
        <w:t>），将于</w:t>
      </w:r>
      <w:r w:rsidRPr="00A148CA">
        <w:rPr>
          <w:rFonts w:eastAsia="SimSun"/>
          <w:lang w:eastAsia="zh-CN"/>
        </w:rPr>
        <w:t>2021</w:t>
      </w:r>
      <w:r w:rsidRPr="00A148CA">
        <w:rPr>
          <w:rFonts w:eastAsia="SimSun"/>
          <w:lang w:eastAsia="zh-CN"/>
        </w:rPr>
        <w:t>年</w:t>
      </w:r>
      <w:r w:rsidRPr="00A148CA">
        <w:rPr>
          <w:rFonts w:eastAsia="SimSun"/>
          <w:lang w:eastAsia="zh-CN"/>
        </w:rPr>
        <w:t>6</w:t>
      </w:r>
      <w:r w:rsidRPr="00A148CA">
        <w:rPr>
          <w:rFonts w:eastAsia="SimSun"/>
          <w:lang w:eastAsia="zh-CN"/>
        </w:rPr>
        <w:t>月和</w:t>
      </w:r>
      <w:r w:rsidRPr="00A148CA">
        <w:rPr>
          <w:rFonts w:eastAsia="SimSun"/>
          <w:lang w:eastAsia="zh-CN"/>
        </w:rPr>
        <w:t>7</w:t>
      </w:r>
      <w:r w:rsidRPr="00A148CA">
        <w:rPr>
          <w:rFonts w:eastAsia="SimSun"/>
          <w:lang w:eastAsia="zh-CN"/>
        </w:rPr>
        <w:t>月举行在线会议和闭会期间批准程序。</w:t>
      </w:r>
    </w:p>
  </w:footnote>
  <w:footnote w:id="2">
    <w:p w:rsidR="009B7971" w:rsidRPr="00A148CA" w:rsidRDefault="009B7971" w:rsidP="009B7971">
      <w:pPr>
        <w:pStyle w:val="FootnoteText"/>
        <w:rPr>
          <w:rFonts w:eastAsia="SimSun"/>
          <w:lang w:val="en-US" w:eastAsia="zh-CN"/>
        </w:rPr>
      </w:pPr>
      <w:r w:rsidRPr="00A148CA">
        <w:rPr>
          <w:rStyle w:val="FootnoteReference"/>
          <w:rFonts w:eastAsia="SimSun"/>
        </w:rPr>
        <w:footnoteRef/>
      </w:r>
      <w:r w:rsidR="00FB29E1" w:rsidRPr="00A148CA">
        <w:rPr>
          <w:rFonts w:eastAsia="SimSun"/>
          <w:lang w:eastAsia="zh-CN"/>
        </w:rPr>
        <w:t>“</w:t>
      </w:r>
      <w:r w:rsidRPr="00A148CA">
        <w:rPr>
          <w:rFonts w:eastAsia="SimSun"/>
          <w:lang w:eastAsia="zh-CN"/>
        </w:rPr>
        <w:t>批准印度氟氯烃</w:t>
      </w:r>
      <w:r w:rsidR="00A64993" w:rsidRPr="00A148CA">
        <w:rPr>
          <w:rFonts w:eastAsia="SimSun"/>
          <w:lang w:eastAsia="zh-CN"/>
        </w:rPr>
        <w:t>淘汰</w:t>
      </w:r>
      <w:r w:rsidRPr="00A148CA">
        <w:rPr>
          <w:rFonts w:eastAsia="SimSun"/>
          <w:lang w:eastAsia="zh-CN"/>
        </w:rPr>
        <w:t>管理计划第二阶段第三次拨款以及</w:t>
      </w:r>
      <w:r w:rsidRPr="00A148CA">
        <w:rPr>
          <w:rFonts w:eastAsia="SimSun"/>
          <w:lang w:eastAsia="zh-CN"/>
        </w:rPr>
        <w:t>2021</w:t>
      </w:r>
      <w:r w:rsidRPr="00A148CA">
        <w:rPr>
          <w:rFonts w:eastAsia="SimSun"/>
          <w:lang w:eastAsia="zh-CN"/>
        </w:rPr>
        <w:t>年</w:t>
      </w:r>
      <w:r w:rsidR="00BE7897">
        <w:rPr>
          <w:rFonts w:eastAsia="SimSun" w:hint="eastAsia"/>
          <w:lang w:eastAsia="zh-CN"/>
        </w:rPr>
        <w:t>至</w:t>
      </w:r>
      <w:r w:rsidRPr="00A148CA">
        <w:rPr>
          <w:rFonts w:eastAsia="SimSun"/>
          <w:lang w:eastAsia="zh-CN"/>
        </w:rPr>
        <w:t>2022</w:t>
      </w:r>
      <w:r w:rsidRPr="00A148CA">
        <w:rPr>
          <w:rFonts w:eastAsia="SimSun"/>
          <w:lang w:eastAsia="zh-CN"/>
        </w:rPr>
        <w:t>年</w:t>
      </w:r>
      <w:r w:rsidR="00BE7897" w:rsidRPr="00A148CA">
        <w:rPr>
          <w:rFonts w:eastAsia="SimSun"/>
          <w:lang w:eastAsia="zh-CN"/>
        </w:rPr>
        <w:t>相应的</w:t>
      </w:r>
      <w:r w:rsidRPr="00A148CA">
        <w:rPr>
          <w:rFonts w:eastAsia="SimSun"/>
          <w:lang w:eastAsia="zh-CN"/>
        </w:rPr>
        <w:t>拨款执行计划，</w:t>
      </w:r>
      <w:r w:rsidR="00BE7897">
        <w:rPr>
          <w:rFonts w:eastAsia="SimSun" w:hint="eastAsia"/>
          <w:lang w:eastAsia="zh-CN"/>
        </w:rPr>
        <w:t>拨款</w:t>
      </w:r>
      <w:r w:rsidRPr="00A148CA">
        <w:rPr>
          <w:rFonts w:eastAsia="SimSun"/>
          <w:lang w:eastAsia="zh-CN"/>
        </w:rPr>
        <w:t>金额为</w:t>
      </w:r>
      <w:r w:rsidRPr="00A148CA">
        <w:rPr>
          <w:rFonts w:eastAsia="SimSun"/>
          <w:lang w:eastAsia="zh-CN"/>
        </w:rPr>
        <w:t>14,792,059</w:t>
      </w:r>
      <w:r w:rsidRPr="00A148CA">
        <w:rPr>
          <w:rFonts w:eastAsia="SimSun"/>
          <w:lang w:eastAsia="zh-CN"/>
        </w:rPr>
        <w:t>美元，包括</w:t>
      </w:r>
      <w:r w:rsidRPr="00A148CA">
        <w:rPr>
          <w:rFonts w:eastAsia="SimSun"/>
          <w:lang w:eastAsia="zh-CN"/>
        </w:rPr>
        <w:t>[……]</w:t>
      </w:r>
      <w:r w:rsidR="00BE7897" w:rsidRPr="00BE7897">
        <w:rPr>
          <w:rFonts w:eastAsia="SimSun"/>
          <w:lang w:eastAsia="zh-CN"/>
        </w:rPr>
        <w:t xml:space="preserve"> </w:t>
      </w:r>
      <w:r w:rsidR="00BE7897" w:rsidRPr="00A148CA">
        <w:rPr>
          <w:rFonts w:eastAsia="SimSun"/>
          <w:lang w:eastAsia="zh-CN"/>
        </w:rPr>
        <w:t>1,500,000</w:t>
      </w:r>
      <w:r w:rsidR="00BE7897" w:rsidRPr="00A148CA">
        <w:rPr>
          <w:rFonts w:eastAsia="SimSun"/>
          <w:lang w:eastAsia="zh-CN"/>
        </w:rPr>
        <w:t>美元，外加</w:t>
      </w:r>
      <w:r w:rsidRPr="00A148CA">
        <w:rPr>
          <w:rFonts w:eastAsia="SimSun"/>
          <w:lang w:eastAsia="zh-CN"/>
        </w:rPr>
        <w:t>拨付给德国政府的机构支持费用</w:t>
      </w:r>
      <w:r w:rsidRPr="00A148CA">
        <w:rPr>
          <w:rFonts w:eastAsia="SimSun"/>
          <w:lang w:eastAsia="zh-CN"/>
        </w:rPr>
        <w:t>167,941</w:t>
      </w:r>
      <w:r w:rsidRPr="00A148CA">
        <w:rPr>
          <w:rFonts w:eastAsia="SimSun"/>
          <w:lang w:eastAsia="zh-CN"/>
        </w:rPr>
        <w:t>美元，并指出经批准拨付给德国的</w:t>
      </w:r>
      <w:r w:rsidRPr="00A148CA">
        <w:rPr>
          <w:rFonts w:eastAsia="SimSun"/>
          <w:lang w:eastAsia="zh-CN"/>
        </w:rPr>
        <w:t>1,394,113</w:t>
      </w:r>
      <w:r w:rsidRPr="00A148CA">
        <w:rPr>
          <w:rFonts w:eastAsia="SimSun"/>
          <w:lang w:eastAsia="zh-CN"/>
        </w:rPr>
        <w:t>美元，外加机</w:t>
      </w:r>
      <w:r w:rsidR="00A64993" w:rsidRPr="00A148CA">
        <w:rPr>
          <w:rFonts w:eastAsia="SimSun"/>
          <w:lang w:eastAsia="zh-CN"/>
        </w:rPr>
        <w:t>构支持费用</w:t>
      </w:r>
      <w:r w:rsidR="00A64993" w:rsidRPr="00A148CA">
        <w:rPr>
          <w:rFonts w:eastAsia="SimSun"/>
          <w:lang w:eastAsia="zh-CN"/>
        </w:rPr>
        <w:t>156,086</w:t>
      </w:r>
      <w:r w:rsidR="00A64993" w:rsidRPr="00A148CA">
        <w:rPr>
          <w:rFonts w:eastAsia="SimSun"/>
          <w:lang w:eastAsia="zh-CN"/>
        </w:rPr>
        <w:t>美元，这些资金将分配</w:t>
      </w:r>
      <w:r w:rsidR="00E90DC5">
        <w:rPr>
          <w:rFonts w:eastAsia="SimSun" w:hint="eastAsia"/>
          <w:lang w:eastAsia="zh-CN"/>
        </w:rPr>
        <w:t>至</w:t>
      </w:r>
      <w:r w:rsidR="00A64993" w:rsidRPr="00A148CA">
        <w:rPr>
          <w:rFonts w:eastAsia="SimSun"/>
          <w:lang w:eastAsia="zh-CN"/>
        </w:rPr>
        <w:t>第</w:t>
      </w:r>
      <w:r w:rsidR="00A64993" w:rsidRPr="00A148CA">
        <w:rPr>
          <w:rFonts w:eastAsia="SimSun"/>
          <w:lang w:eastAsia="zh-CN"/>
        </w:rPr>
        <w:t>86</w:t>
      </w:r>
      <w:r w:rsidR="00A64993" w:rsidRPr="00A148CA">
        <w:rPr>
          <w:rFonts w:eastAsia="SimSun"/>
          <w:lang w:eastAsia="zh-CN"/>
        </w:rPr>
        <w:t>次会议，其余的</w:t>
      </w:r>
      <w:r w:rsidRPr="00A148CA">
        <w:rPr>
          <w:rFonts w:eastAsia="SimSun"/>
          <w:lang w:eastAsia="zh-CN"/>
        </w:rPr>
        <w:t>105,887</w:t>
      </w:r>
      <w:r w:rsidRPr="00A148CA">
        <w:rPr>
          <w:rFonts w:eastAsia="SimSun"/>
          <w:lang w:eastAsia="zh-CN"/>
        </w:rPr>
        <w:t>美元，外加机构支持费用</w:t>
      </w:r>
      <w:r w:rsidRPr="00A148CA">
        <w:rPr>
          <w:rFonts w:eastAsia="SimSun"/>
          <w:lang w:eastAsia="zh-CN"/>
        </w:rPr>
        <w:t>11,855</w:t>
      </w:r>
      <w:r w:rsidRPr="00A148CA">
        <w:rPr>
          <w:rFonts w:eastAsia="SimSun"/>
          <w:lang w:eastAsia="zh-CN"/>
        </w:rPr>
        <w:t>美元，将</w:t>
      </w:r>
      <w:r w:rsidR="00E90DC5">
        <w:rPr>
          <w:rFonts w:eastAsia="SimSun" w:hint="eastAsia"/>
          <w:lang w:eastAsia="zh-CN"/>
        </w:rPr>
        <w:t>会</w:t>
      </w:r>
      <w:r w:rsidRPr="00A148CA">
        <w:rPr>
          <w:rFonts w:eastAsia="SimSun"/>
          <w:lang w:eastAsia="zh-CN"/>
        </w:rPr>
        <w:t>分配</w:t>
      </w:r>
      <w:r w:rsidR="00E90DC5">
        <w:rPr>
          <w:rFonts w:eastAsia="SimSun" w:hint="eastAsia"/>
          <w:lang w:eastAsia="zh-CN"/>
        </w:rPr>
        <w:t>至</w:t>
      </w:r>
      <w:r w:rsidRPr="00A148CA">
        <w:rPr>
          <w:rFonts w:eastAsia="SimSun"/>
          <w:lang w:eastAsia="zh-CN"/>
        </w:rPr>
        <w:t>第</w:t>
      </w:r>
      <w:r w:rsidRPr="00A148CA">
        <w:rPr>
          <w:rFonts w:eastAsia="SimSun"/>
          <w:lang w:eastAsia="zh-CN"/>
        </w:rPr>
        <w:t>87</w:t>
      </w:r>
      <w:r w:rsidRPr="00A148CA">
        <w:rPr>
          <w:rFonts w:eastAsia="SimSun"/>
          <w:lang w:eastAsia="zh-CN"/>
        </w:rPr>
        <w:t>次会议。</w:t>
      </w:r>
      <w:r w:rsidRPr="00A148CA">
        <w:rPr>
          <w:rFonts w:eastAsia="SimSun"/>
          <w:lang w:eastAsia="zh-CN"/>
        </w:rPr>
        <w:t>”</w:t>
      </w:r>
    </w:p>
  </w:footnote>
  <w:footnote w:id="3">
    <w:p w:rsidR="00B54EB5" w:rsidRPr="00422DCC" w:rsidRDefault="00B54EB5">
      <w:pPr>
        <w:pStyle w:val="FootnoteText"/>
        <w:rPr>
          <w:rFonts w:eastAsiaTheme="minorEastAsia"/>
          <w:lang w:eastAsia="zh-CN"/>
        </w:rPr>
      </w:pPr>
      <w:r>
        <w:rPr>
          <w:rStyle w:val="FootnoteReference"/>
        </w:rPr>
        <w:footnoteRef/>
      </w:r>
      <w:r>
        <w:t xml:space="preserve"> </w:t>
      </w:r>
      <w:r w:rsidRPr="00B07374">
        <w:rPr>
          <w:rFonts w:eastAsia="SimSun"/>
          <w:sz w:val="18"/>
        </w:rPr>
        <w:t>联合国开发计划署（</w:t>
      </w:r>
      <w:r w:rsidRPr="00B07374">
        <w:rPr>
          <w:rFonts w:eastAsia="SimSun"/>
          <w:sz w:val="18"/>
        </w:rPr>
        <w:t>UNEP/OzL.Pro/ExCom/87/15</w:t>
      </w:r>
      <w:r w:rsidRPr="00B07374">
        <w:rPr>
          <w:rFonts w:eastAsia="SimSun"/>
          <w:sz w:val="18"/>
        </w:rPr>
        <w:t>）；联合国环境规划署（</w:t>
      </w:r>
      <w:r w:rsidRPr="00B07374">
        <w:rPr>
          <w:rFonts w:eastAsia="SimSun"/>
          <w:sz w:val="18"/>
        </w:rPr>
        <w:t>UNEP/OzL.Pro/ExCom/87/16</w:t>
      </w:r>
      <w:r w:rsidRPr="00B07374">
        <w:rPr>
          <w:rFonts w:eastAsia="SimSun"/>
          <w:sz w:val="18"/>
        </w:rPr>
        <w:t>）；</w:t>
      </w:r>
      <w:r>
        <w:rPr>
          <w:rFonts w:eastAsia="SimSun" w:hint="eastAsia"/>
          <w:sz w:val="18"/>
          <w:lang w:eastAsia="zh-CN"/>
        </w:rPr>
        <w:t>以及</w:t>
      </w:r>
      <w:r w:rsidRPr="00B07374">
        <w:rPr>
          <w:rFonts w:eastAsia="SimSun"/>
          <w:sz w:val="18"/>
        </w:rPr>
        <w:t>联合国工发组织（</w:t>
      </w:r>
      <w:r w:rsidRPr="00B07374">
        <w:rPr>
          <w:rFonts w:eastAsia="SimSun"/>
          <w:sz w:val="18"/>
        </w:rPr>
        <w:t>UNEP/OzL.Pro/ExCom/87/17</w:t>
      </w:r>
      <w:r w:rsidRPr="00B07374">
        <w:rPr>
          <w:rFonts w:eastAsia="SimSun"/>
          <w:sz w:val="18"/>
        </w:rPr>
        <w:t>）</w:t>
      </w:r>
    </w:p>
  </w:footnote>
  <w:footnote w:id="4">
    <w:p w:rsidR="009B7971" w:rsidRPr="00A148CA" w:rsidRDefault="009B7971" w:rsidP="00A92F8F">
      <w:pPr>
        <w:pStyle w:val="FootnoteText"/>
        <w:rPr>
          <w:rFonts w:eastAsia="SimSun"/>
          <w:lang w:eastAsia="zh-CN"/>
        </w:rPr>
      </w:pPr>
      <w:r w:rsidRPr="00A148CA">
        <w:rPr>
          <w:rStyle w:val="FootnoteReference"/>
          <w:rFonts w:eastAsia="SimSun"/>
        </w:rPr>
        <w:footnoteRef/>
      </w:r>
      <w:r w:rsidRPr="00A148CA">
        <w:rPr>
          <w:rFonts w:eastAsia="SimSun"/>
          <w:lang w:eastAsia="zh-CN"/>
        </w:rPr>
        <w:t xml:space="preserve"> UNEP/OzL.Pro/ExCom/87/15</w:t>
      </w:r>
    </w:p>
    <w:p w:rsidR="003427DB" w:rsidRPr="00E90FB3" w:rsidRDefault="003427DB" w:rsidP="00A92F8F">
      <w:pPr>
        <w:pStyle w:val="FootnoteText"/>
        <w:rPr>
          <w:rFonts w:eastAsia="SimSun" w:hint="eastAsia"/>
          <w:lang w:eastAsia="zh-CN"/>
        </w:rPr>
      </w:pPr>
      <w:r w:rsidRPr="00A148CA">
        <w:rPr>
          <w:rStyle w:val="FootnoteReference"/>
          <w:rFonts w:eastAsia="SimSun"/>
          <w:sz w:val="18"/>
          <w:lang w:eastAsia="zh-CN"/>
        </w:rPr>
        <w:t>5</w:t>
      </w:r>
      <w:r w:rsidRPr="00A148CA">
        <w:rPr>
          <w:rFonts w:eastAsia="SimSun"/>
          <w:sz w:val="18"/>
          <w:lang w:eastAsia="zh-CN"/>
        </w:rPr>
        <w:t xml:space="preserve"> </w:t>
      </w:r>
      <w:r w:rsidRPr="00A148CA">
        <w:rPr>
          <w:rFonts w:eastAsia="SimSun"/>
          <w:sz w:val="18"/>
          <w:lang w:eastAsia="zh-CN"/>
        </w:rPr>
        <w:t>为第</w:t>
      </w:r>
      <w:r w:rsidRPr="00A148CA">
        <w:rPr>
          <w:rFonts w:eastAsia="SimSun"/>
          <w:sz w:val="18"/>
          <w:lang w:eastAsia="zh-CN"/>
        </w:rPr>
        <w:t>5</w:t>
      </w:r>
      <w:r w:rsidRPr="00A148CA">
        <w:rPr>
          <w:rFonts w:eastAsia="SimSun"/>
          <w:sz w:val="18"/>
          <w:lang w:eastAsia="zh-CN"/>
        </w:rPr>
        <w:t>条国家</w:t>
      </w:r>
      <w:r w:rsidR="00AF5F37">
        <w:rPr>
          <w:rFonts w:eastAsia="SimSun" w:hint="eastAsia"/>
          <w:sz w:val="18"/>
          <w:lang w:eastAsia="zh-CN"/>
        </w:rPr>
        <w:t>制定</w:t>
      </w:r>
      <w:r w:rsidRPr="00A148CA">
        <w:rPr>
          <w:rFonts w:eastAsia="SimSun"/>
          <w:sz w:val="18"/>
          <w:lang w:eastAsia="zh-CN"/>
        </w:rPr>
        <w:t>氟氯烃淘汰管理计划第二阶段</w:t>
      </w:r>
      <w:r w:rsidR="00AF5F37">
        <w:rPr>
          <w:rFonts w:eastAsia="SimSun" w:hint="eastAsia"/>
          <w:sz w:val="18"/>
          <w:lang w:eastAsia="zh-CN"/>
        </w:rPr>
        <w:t>的供资</w:t>
      </w:r>
      <w:r w:rsidRPr="00A148CA">
        <w:rPr>
          <w:rFonts w:eastAsia="SimSun"/>
          <w:sz w:val="18"/>
          <w:lang w:eastAsia="zh-CN"/>
        </w:rPr>
        <w:t>指南</w:t>
      </w:r>
    </w:p>
  </w:footnote>
  <w:footnote w:id="5">
    <w:p w:rsidR="009B7971" w:rsidRPr="00A148CA" w:rsidRDefault="009B7971" w:rsidP="00F623A9">
      <w:pPr>
        <w:pStyle w:val="FootnoteText"/>
        <w:tabs>
          <w:tab w:val="left" w:pos="1160"/>
        </w:tabs>
        <w:rPr>
          <w:rFonts w:eastAsia="SimSun"/>
          <w:sz w:val="18"/>
          <w:szCs w:val="18"/>
          <w:lang w:eastAsia="zh-CN"/>
        </w:rPr>
      </w:pPr>
    </w:p>
  </w:footnote>
  <w:footnote w:id="6">
    <w:p w:rsidR="009B7971" w:rsidRPr="00A148CA" w:rsidRDefault="009B7971" w:rsidP="00A92F8F">
      <w:pPr>
        <w:pStyle w:val="FootnoteText"/>
        <w:rPr>
          <w:rFonts w:eastAsia="SimSun"/>
          <w:lang w:val="en-US"/>
        </w:rPr>
      </w:pPr>
      <w:r w:rsidRPr="00A148CA">
        <w:rPr>
          <w:rStyle w:val="FootnoteReference"/>
          <w:rFonts w:eastAsia="SimSun"/>
        </w:rPr>
        <w:footnoteRef/>
      </w:r>
      <w:r w:rsidRPr="00A148CA">
        <w:rPr>
          <w:rFonts w:eastAsia="SimSun"/>
        </w:rPr>
        <w:t xml:space="preserve"> UNEP/OzL.Pro/ExCom/86/</w:t>
      </w:r>
      <w:bookmarkStart w:id="0" w:name="_GoBack"/>
      <w:r w:rsidRPr="00A148CA">
        <w:rPr>
          <w:rFonts w:eastAsia="SimSun"/>
        </w:rPr>
        <w:t>32</w:t>
      </w:r>
      <w:bookmarkEnd w:id="0"/>
    </w:p>
  </w:footnote>
  <w:footnote w:id="7">
    <w:p w:rsidR="009B7971" w:rsidRPr="00A148CA" w:rsidRDefault="009B7971" w:rsidP="00A92F8F">
      <w:pPr>
        <w:pStyle w:val="FootnoteText"/>
        <w:rPr>
          <w:rFonts w:eastAsia="SimSun"/>
          <w:lang w:val="en-US"/>
        </w:rPr>
      </w:pPr>
      <w:r w:rsidRPr="00A148CA">
        <w:rPr>
          <w:rStyle w:val="FootnoteReference"/>
          <w:rFonts w:eastAsia="SimSun"/>
        </w:rPr>
        <w:footnoteRef/>
      </w:r>
      <w:r w:rsidRPr="00A148CA">
        <w:rPr>
          <w:rFonts w:eastAsia="SimSun"/>
        </w:rPr>
        <w:t xml:space="preserve"> </w:t>
      </w:r>
      <w:r w:rsidR="00AF5F37">
        <w:rPr>
          <w:rFonts w:eastAsia="SimSun" w:hint="eastAsia"/>
          <w:lang w:eastAsia="zh-CN"/>
        </w:rPr>
        <w:t>第</w:t>
      </w:r>
      <w:r w:rsidRPr="00A148CA">
        <w:rPr>
          <w:rFonts w:eastAsia="SimSun"/>
        </w:rPr>
        <w:t>13</w:t>
      </w:r>
      <w:r w:rsidRPr="00A148CA">
        <w:rPr>
          <w:rFonts w:eastAsia="SimSun"/>
        </w:rPr>
        <w:t>（</w:t>
      </w:r>
      <w:r w:rsidRPr="00A148CA">
        <w:rPr>
          <w:rFonts w:eastAsia="SimSun"/>
        </w:rPr>
        <w:t>c</w:t>
      </w:r>
      <w:r w:rsidRPr="00A148CA">
        <w:rPr>
          <w:rFonts w:eastAsia="SimSun"/>
        </w:rPr>
        <w:t>）</w:t>
      </w:r>
      <w:r w:rsidR="00AF5F37">
        <w:rPr>
          <w:rFonts w:eastAsia="SimSun" w:hint="eastAsia"/>
          <w:lang w:eastAsia="zh-CN"/>
        </w:rPr>
        <w:t>项</w:t>
      </w:r>
      <w:r w:rsidR="00AF5F37" w:rsidRPr="00A148CA">
        <w:rPr>
          <w:rFonts w:eastAsia="SimSun"/>
        </w:rPr>
        <w:t>议程项目</w:t>
      </w:r>
    </w:p>
  </w:footnote>
  <w:footnote w:id="8">
    <w:p w:rsidR="009B7971" w:rsidRDefault="009B7971" w:rsidP="009B7971">
      <w:pPr>
        <w:pStyle w:val="FootnoteText"/>
        <w:rPr>
          <w:lang w:val="en-US"/>
        </w:rPr>
      </w:pPr>
      <w:r w:rsidRPr="00A148CA">
        <w:rPr>
          <w:rStyle w:val="FootnoteReference"/>
          <w:rFonts w:eastAsia="SimSun"/>
        </w:rPr>
        <w:footnoteRef/>
      </w:r>
      <w:r w:rsidRPr="00A148CA">
        <w:rPr>
          <w:rFonts w:eastAsia="SimSun"/>
        </w:rPr>
        <w:t xml:space="preserve"> </w:t>
      </w:r>
      <w:r w:rsidRPr="00A148CA">
        <w:rPr>
          <w:rFonts w:eastAsia="SimSun"/>
          <w:color w:val="000000"/>
        </w:rPr>
        <w:t>UNEP/OzL.Pro/ExCom/86/88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43" w:rsidRDefault="00554E43" w:rsidP="00554E43">
    <w:pPr>
      <w:rPr>
        <w:lang w:eastAsia="zh-CN"/>
      </w:rPr>
    </w:pPr>
    <w:fldSimple w:instr=" DOCPROPERTY &quot;Document number&quot;  \* MERGEFORMAT ">
      <w:r>
        <w:t>UNEP/OzL.Pro/ExCom/87/14</w:t>
      </w:r>
    </w:fldSimple>
  </w:p>
  <w:p w:rsidR="00554E43" w:rsidRDefault="00554E43" w:rsidP="00554E43">
    <w:pPr>
      <w:rPr>
        <w:lang w:eastAsia="zh-CN"/>
      </w:rPr>
    </w:pPr>
  </w:p>
  <w:p w:rsidR="00554E43" w:rsidRDefault="00554E43" w:rsidP="00554E43">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43" w:rsidRPr="0033525D" w:rsidRDefault="00554E43" w:rsidP="00554E43">
    <w:pPr>
      <w:jc w:val="right"/>
    </w:pPr>
    <w:fldSimple w:instr=" DOCPROPERTY &quot;Document number&quot;  \* MERGEFORMAT ">
      <w:r>
        <w:t>UNEP/OzL.Pro/ExCom/87/14</w:t>
      </w:r>
    </w:fldSimple>
  </w:p>
  <w:p w:rsidR="00554E43" w:rsidRDefault="00554E43">
    <w:pPr>
      <w:pStyle w:val="Header"/>
      <w:rPr>
        <w:lang w:eastAsia="zh-CN"/>
      </w:rPr>
    </w:pPr>
  </w:p>
  <w:p w:rsidR="00554E43" w:rsidRDefault="00554E43">
    <w:pPr>
      <w:pStyle w:val="Heade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C9" w:rsidRDefault="000604C9">
    <w:pPr>
      <w:pStyle w:val="Header"/>
      <w:jc w:val="right"/>
    </w:pPr>
  </w:p>
  <w:p w:rsidR="000604C9" w:rsidRDefault="000604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3C3E41"/>
    <w:multiLevelType w:val="hybridMultilevel"/>
    <w:tmpl w:val="E6FE4A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D593271"/>
    <w:multiLevelType w:val="hybridMultilevel"/>
    <w:tmpl w:val="AA0051B2"/>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14EBA"/>
    <w:multiLevelType w:val="hybridMultilevel"/>
    <w:tmpl w:val="E848A2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1F272A1"/>
    <w:multiLevelType w:val="hybridMultilevel"/>
    <w:tmpl w:val="71541490"/>
    <w:lvl w:ilvl="0" w:tplc="0BC0356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20"/>
  </w:num>
  <w:num w:numId="19">
    <w:abstractNumId w:val="24"/>
  </w:num>
  <w:num w:numId="20">
    <w:abstractNumId w:val="14"/>
  </w:num>
  <w:num w:numId="21">
    <w:abstractNumId w:val="11"/>
  </w:num>
  <w:num w:numId="22">
    <w:abstractNumId w:val="23"/>
  </w:num>
  <w:num w:numId="23">
    <w:abstractNumId w:val="16"/>
  </w:num>
  <w:num w:numId="24">
    <w:abstractNumId w:val="11"/>
  </w:num>
  <w:num w:numId="25">
    <w:abstractNumId w:val="11"/>
  </w:num>
  <w:num w:numId="26">
    <w:abstractNumId w:val="11"/>
  </w:num>
  <w:num w:numId="27">
    <w:abstractNumId w:val="22"/>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8A"/>
    <w:rsid w:val="00052574"/>
    <w:rsid w:val="000604C9"/>
    <w:rsid w:val="000A5694"/>
    <w:rsid w:val="00103427"/>
    <w:rsid w:val="00167517"/>
    <w:rsid w:val="001C1A23"/>
    <w:rsid w:val="001C1AE8"/>
    <w:rsid w:val="001D7C59"/>
    <w:rsid w:val="001E49DF"/>
    <w:rsid w:val="001E50BF"/>
    <w:rsid w:val="001E746D"/>
    <w:rsid w:val="001F57DF"/>
    <w:rsid w:val="002472B2"/>
    <w:rsid w:val="0025730A"/>
    <w:rsid w:val="003244DF"/>
    <w:rsid w:val="00336F7A"/>
    <w:rsid w:val="003427DB"/>
    <w:rsid w:val="00342F63"/>
    <w:rsid w:val="00357FB9"/>
    <w:rsid w:val="003B468A"/>
    <w:rsid w:val="00422DCC"/>
    <w:rsid w:val="004259AD"/>
    <w:rsid w:val="004378EA"/>
    <w:rsid w:val="00456C5B"/>
    <w:rsid w:val="00465728"/>
    <w:rsid w:val="00490EAA"/>
    <w:rsid w:val="004B1C23"/>
    <w:rsid w:val="004C40B5"/>
    <w:rsid w:val="004E0271"/>
    <w:rsid w:val="005131BC"/>
    <w:rsid w:val="0052064D"/>
    <w:rsid w:val="0054631E"/>
    <w:rsid w:val="00554E43"/>
    <w:rsid w:val="00572D00"/>
    <w:rsid w:val="00575D7C"/>
    <w:rsid w:val="005A12AF"/>
    <w:rsid w:val="005B1290"/>
    <w:rsid w:val="005B7145"/>
    <w:rsid w:val="005D020C"/>
    <w:rsid w:val="005D5F8A"/>
    <w:rsid w:val="006122C2"/>
    <w:rsid w:val="00665A8D"/>
    <w:rsid w:val="00680264"/>
    <w:rsid w:val="006B7072"/>
    <w:rsid w:val="006C7242"/>
    <w:rsid w:val="006D4CB3"/>
    <w:rsid w:val="007014CD"/>
    <w:rsid w:val="007023B6"/>
    <w:rsid w:val="00716C5E"/>
    <w:rsid w:val="00734CFC"/>
    <w:rsid w:val="00741056"/>
    <w:rsid w:val="00797998"/>
    <w:rsid w:val="007B1DC5"/>
    <w:rsid w:val="00803127"/>
    <w:rsid w:val="008164EB"/>
    <w:rsid w:val="00890554"/>
    <w:rsid w:val="00890AC7"/>
    <w:rsid w:val="008B068B"/>
    <w:rsid w:val="008C5B3D"/>
    <w:rsid w:val="008F381B"/>
    <w:rsid w:val="009169DC"/>
    <w:rsid w:val="00943350"/>
    <w:rsid w:val="00953C3E"/>
    <w:rsid w:val="00966347"/>
    <w:rsid w:val="009A7D50"/>
    <w:rsid w:val="009B377B"/>
    <w:rsid w:val="009B7971"/>
    <w:rsid w:val="009C01AE"/>
    <w:rsid w:val="009C7F7D"/>
    <w:rsid w:val="009D45E3"/>
    <w:rsid w:val="00A04919"/>
    <w:rsid w:val="00A072A5"/>
    <w:rsid w:val="00A148CA"/>
    <w:rsid w:val="00A33C67"/>
    <w:rsid w:val="00A64993"/>
    <w:rsid w:val="00A8067B"/>
    <w:rsid w:val="00A903C5"/>
    <w:rsid w:val="00A92F8F"/>
    <w:rsid w:val="00AB4EBD"/>
    <w:rsid w:val="00AE47E8"/>
    <w:rsid w:val="00AF5F37"/>
    <w:rsid w:val="00B0611E"/>
    <w:rsid w:val="00B07374"/>
    <w:rsid w:val="00B3210F"/>
    <w:rsid w:val="00B35E7C"/>
    <w:rsid w:val="00B4263F"/>
    <w:rsid w:val="00B46FBE"/>
    <w:rsid w:val="00B479C8"/>
    <w:rsid w:val="00B54EB5"/>
    <w:rsid w:val="00B56CD9"/>
    <w:rsid w:val="00B75E8F"/>
    <w:rsid w:val="00B83637"/>
    <w:rsid w:val="00B85CAD"/>
    <w:rsid w:val="00BD765A"/>
    <w:rsid w:val="00BE7897"/>
    <w:rsid w:val="00C23428"/>
    <w:rsid w:val="00C4722B"/>
    <w:rsid w:val="00C609CD"/>
    <w:rsid w:val="00CC2441"/>
    <w:rsid w:val="00CC6C7F"/>
    <w:rsid w:val="00D01B70"/>
    <w:rsid w:val="00D1016D"/>
    <w:rsid w:val="00D15D57"/>
    <w:rsid w:val="00D2077F"/>
    <w:rsid w:val="00D250C8"/>
    <w:rsid w:val="00D37188"/>
    <w:rsid w:val="00D43FCF"/>
    <w:rsid w:val="00D5598D"/>
    <w:rsid w:val="00D963F3"/>
    <w:rsid w:val="00DB71D2"/>
    <w:rsid w:val="00DD5BCC"/>
    <w:rsid w:val="00DE180E"/>
    <w:rsid w:val="00E05DBD"/>
    <w:rsid w:val="00E310CF"/>
    <w:rsid w:val="00E90D3F"/>
    <w:rsid w:val="00E90DC5"/>
    <w:rsid w:val="00E90FB3"/>
    <w:rsid w:val="00EB5A9A"/>
    <w:rsid w:val="00EB6EA1"/>
    <w:rsid w:val="00EC2984"/>
    <w:rsid w:val="00ED75E2"/>
    <w:rsid w:val="00EE3CE9"/>
    <w:rsid w:val="00F1672B"/>
    <w:rsid w:val="00F623A9"/>
    <w:rsid w:val="00FB29E1"/>
    <w:rsid w:val="00FE0F43"/>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F5C30"/>
  <w15:chartTrackingRefBased/>
  <w15:docId w15:val="{4CF119D7-227F-4E75-A6E1-973E74EA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lang w:eastAsia="en-US"/>
    </w:rPr>
  </w:style>
  <w:style w:type="paragraph" w:customStyle="1" w:styleId="Title1">
    <w:name w:val="Title1"/>
    <w:pPr>
      <w:jc w:val="center"/>
      <w:outlineLvl w:val="0"/>
    </w:pPr>
    <w:rPr>
      <w:b/>
      <w:caps/>
      <w:sz w:val="22"/>
      <w:szCs w:val="22"/>
      <w:lang w:val="en-GB" w:eastAsia="en-US"/>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eastAsia="en-US"/>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link w:val="FootnoteText"/>
    <w:uiPriority w:val="99"/>
    <w:rsid w:val="00943350"/>
    <w:rPr>
      <w:rFonts w:eastAsia="Times New Roman"/>
      <w:lang w:val="en-CA"/>
    </w:rPr>
  </w:style>
  <w:style w:type="character" w:styleId="FootnoteReference">
    <w:name w:val="footnote reference"/>
    <w:aliases w:val="Footnote Text1,Footnote Text2,Footnote text,16 Point,Superscript 6 Point,-E Fußnotenzeichen,number,Footnote reference number,Footnote symbol,note TESI,SUPERS,stylish,ftref,Footnote Reference Superscript,-E Fuﬂnotenzeichen,fr"/>
    <w:link w:val="CharCharCharCharCarChar"/>
    <w:uiPriority w:val="99"/>
    <w:unhideWhenUsed/>
    <w:qFormat/>
    <w:rsid w:val="00943350"/>
    <w:rPr>
      <w:vertAlign w:val="superscript"/>
    </w:rPr>
  </w:style>
  <w:style w:type="paragraph" w:styleId="ListParagraph">
    <w:name w:val="List Paragraph"/>
    <w:aliases w:val="List Paragraph1,Dot pt,Bullet Points,No Spacing1,List Paragraph Char Char Char,Indicator Text,Numbered Para 1,Bullet 1,MAIN CONTENT,List Paragraph12,OBC Bullet,F5 List Paragraph,Normal numbered,Bullet Style,Bullet OSM,Bullets,CORE-1.1.1"/>
    <w:basedOn w:val="Normal"/>
    <w:link w:val="ListParagraphChar"/>
    <w:uiPriority w:val="34"/>
    <w:qFormat/>
    <w:rsid w:val="00575D7C"/>
    <w:pPr>
      <w:ind w:left="720"/>
      <w:contextualSpacing/>
    </w:p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99"/>
    <w:qFormat/>
    <w:locked/>
    <w:rsid w:val="00575D7C"/>
    <w:rPr>
      <w:rFonts w:eastAsia="SimSun"/>
      <w:sz w:val="22"/>
      <w:szCs w:val="22"/>
      <w:lang w:val="en-GB"/>
    </w:rPr>
  </w:style>
  <w:style w:type="paragraph" w:customStyle="1" w:styleId="Default">
    <w:name w:val="Default"/>
    <w:rsid w:val="00575D7C"/>
    <w:pPr>
      <w:widowControl w:val="0"/>
      <w:autoSpaceDE w:val="0"/>
      <w:autoSpaceDN w:val="0"/>
      <w:adjustRightInd w:val="0"/>
    </w:pPr>
    <w:rPr>
      <w:color w:val="000000"/>
      <w:sz w:val="24"/>
      <w:szCs w:val="24"/>
      <w:lang w:eastAsia="en-US"/>
    </w:rPr>
  </w:style>
  <w:style w:type="table" w:customStyle="1" w:styleId="TableGrid10">
    <w:name w:val="Table Grid1"/>
    <w:basedOn w:val="TableNormal"/>
    <w:next w:val="TableGrid"/>
    <w:uiPriority w:val="59"/>
    <w:rsid w:val="00575D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5D7C"/>
    <w:rPr>
      <w:sz w:val="22"/>
      <w:szCs w:val="22"/>
      <w:lang w:val="en-GB" w:eastAsia="en-US"/>
    </w:rPr>
  </w:style>
  <w:style w:type="paragraph" w:styleId="NormalWeb">
    <w:name w:val="Normal (Web)"/>
    <w:basedOn w:val="Normal"/>
    <w:uiPriority w:val="99"/>
    <w:semiHidden/>
    <w:unhideWhenUsed/>
    <w:rsid w:val="00575D7C"/>
    <w:pPr>
      <w:jc w:val="left"/>
    </w:pPr>
    <w:rPr>
      <w:rFonts w:eastAsia="Calibri"/>
      <w:sz w:val="24"/>
      <w:szCs w:val="24"/>
      <w:lang w:val="en-US"/>
    </w:rPr>
  </w:style>
  <w:style w:type="paragraph" w:styleId="EndnoteText">
    <w:name w:val="endnote text"/>
    <w:basedOn w:val="Normal"/>
    <w:link w:val="EndnoteTextChar"/>
    <w:uiPriority w:val="99"/>
    <w:semiHidden/>
    <w:unhideWhenUsed/>
    <w:rsid w:val="00575D7C"/>
    <w:rPr>
      <w:sz w:val="20"/>
      <w:szCs w:val="20"/>
    </w:rPr>
  </w:style>
  <w:style w:type="character" w:customStyle="1" w:styleId="EndnoteTextChar">
    <w:name w:val="Endnote Text Char"/>
    <w:link w:val="EndnoteText"/>
    <w:uiPriority w:val="99"/>
    <w:semiHidden/>
    <w:rsid w:val="00575D7C"/>
    <w:rPr>
      <w:rFonts w:eastAsia="SimSun"/>
      <w:lang w:val="en-GB"/>
    </w:rPr>
  </w:style>
  <w:style w:type="character" w:styleId="EndnoteReference">
    <w:name w:val="endnote reference"/>
    <w:uiPriority w:val="99"/>
    <w:semiHidden/>
    <w:unhideWhenUsed/>
    <w:rsid w:val="00575D7C"/>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75D7C"/>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UNEP/OzL.Pro/ExCom/87/14</Document_x0020_Number>
  </documentManagement>
</p:properties>
</file>

<file path=customXml/itemProps1.xml><?xml version="1.0" encoding="utf-8"?>
<ds:datastoreItem xmlns:ds="http://schemas.openxmlformats.org/officeDocument/2006/customXml" ds:itemID="{00699CB9-BFF1-468F-825A-D3AC25B13899}"/>
</file>

<file path=customXml/itemProps2.xml><?xml version="1.0" encoding="utf-8"?>
<ds:datastoreItem xmlns:ds="http://schemas.openxmlformats.org/officeDocument/2006/customXml" ds:itemID="{B8D50780-A670-4C49-8941-70E29B107FB8}"/>
</file>

<file path=customXml/itemProps3.xml><?xml version="1.0" encoding="utf-8"?>
<ds:datastoreItem xmlns:ds="http://schemas.openxmlformats.org/officeDocument/2006/customXml" ds:itemID="{A56BEBF2-EBCB-4968-9A91-03B9201B7029}"/>
</file>

<file path=customXml/itemProps4.xml><?xml version="1.0" encoding="utf-8"?>
<ds:datastoreItem xmlns:ds="http://schemas.openxmlformats.org/officeDocument/2006/customXml" ds:itemID="{232F31FF-3F75-4A38-B049-5AADE08048D4}"/>
</file>

<file path=docProps/app.xml><?xml version="1.0" encoding="utf-8"?>
<Properties xmlns="http://schemas.openxmlformats.org/officeDocument/2006/extended-properties" xmlns:vt="http://schemas.openxmlformats.org/officeDocument/2006/docPropsVTypes">
  <Template>Normal.dotm</Template>
  <TotalTime>0</TotalTime>
  <Pages>4</Pages>
  <Words>2472</Words>
  <Characters>904</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双边合作</vt:lpstr>
    </vt:vector>
  </TitlesOfParts>
  <Company>UNMFS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双边合作</dc:title>
  <dc:subject/>
  <dc:creator>Mulu Alem</dc:creator>
  <cp:keywords/>
  <cp:lastModifiedBy>Anthoula Dounavis</cp:lastModifiedBy>
  <cp:revision>2</cp:revision>
  <cp:lastPrinted>2001-05-26T14:40:00Z</cp:lastPrinted>
  <dcterms:created xsi:type="dcterms:W3CDTF">2021-06-29T19:56:00Z</dcterms:created>
  <dcterms:modified xsi:type="dcterms:W3CDTF">2021-06-29T19:56:00Z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vt:lpwstr>
  </property>
  <property fmtid="{D5CDD505-2E9C-101B-9397-08002B2CF9AE}" pid="3" name="Revision date">
    <vt:lpwstr>5/21/2021</vt:lpwstr>
  </property>
  <property fmtid="{D5CDD505-2E9C-101B-9397-08002B2CF9AE}" pid="4" name="ContentTypeId">
    <vt:lpwstr>0x0101002DF00DB1CFC87549A2FDEA0A8F99BEBC</vt:lpwstr>
  </property>
</Properties>
</file>