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DB4664" w14:paraId="5B928470" w14:textId="77777777">
        <w:trPr>
          <w:trHeight w:val="720"/>
        </w:trPr>
        <w:tc>
          <w:tcPr>
            <w:tcW w:w="6494" w:type="dxa"/>
            <w:gridSpan w:val="2"/>
            <w:tcBorders>
              <w:bottom w:val="single" w:sz="18" w:space="0" w:color="auto"/>
            </w:tcBorders>
          </w:tcPr>
          <w:p w14:paraId="22DCD874" w14:textId="77777777" w:rsidR="0087455A" w:rsidRPr="00DB4664" w:rsidRDefault="0024162E" w:rsidP="00172925">
            <w:pPr>
              <w:rPr>
                <w:rFonts w:ascii="Univers" w:hAnsi="Univers"/>
                <w:b/>
                <w:sz w:val="28"/>
                <w:szCs w:val="28"/>
                <w:lang w:val="es-ES"/>
              </w:rPr>
            </w:pPr>
            <w:r w:rsidRPr="00DB4664">
              <w:rPr>
                <w:rFonts w:ascii="Univers" w:hAnsi="Univers"/>
                <w:b/>
                <w:sz w:val="28"/>
                <w:szCs w:val="28"/>
                <w:lang w:val="es-ES"/>
              </w:rPr>
              <w:t>NACIONES</w:t>
            </w:r>
          </w:p>
          <w:p w14:paraId="0D68A333" w14:textId="77777777" w:rsidR="0087455A" w:rsidRPr="00DB4664" w:rsidRDefault="0024162E" w:rsidP="00172925">
            <w:pPr>
              <w:rPr>
                <w:rFonts w:ascii="Univers" w:hAnsi="Univers"/>
                <w:b/>
                <w:sz w:val="28"/>
                <w:szCs w:val="28"/>
                <w:lang w:val="es-ES"/>
              </w:rPr>
            </w:pPr>
            <w:r w:rsidRPr="00DB4664">
              <w:rPr>
                <w:rFonts w:ascii="Univers" w:hAnsi="Univers"/>
                <w:b/>
                <w:sz w:val="28"/>
                <w:szCs w:val="28"/>
                <w:lang w:val="es-ES"/>
              </w:rPr>
              <w:t>UNIDAS</w:t>
            </w:r>
          </w:p>
        </w:tc>
        <w:tc>
          <w:tcPr>
            <w:tcW w:w="4590" w:type="dxa"/>
            <w:tcBorders>
              <w:bottom w:val="single" w:sz="18" w:space="0" w:color="auto"/>
            </w:tcBorders>
          </w:tcPr>
          <w:p w14:paraId="024992D4" w14:textId="77777777" w:rsidR="0087455A" w:rsidRPr="00DB4664" w:rsidRDefault="0024162E" w:rsidP="00172925">
            <w:pPr>
              <w:jc w:val="right"/>
              <w:rPr>
                <w:rFonts w:asciiTheme="minorBidi" w:hAnsiTheme="minorBidi" w:cstheme="minorBidi"/>
                <w:sz w:val="52"/>
                <w:szCs w:val="52"/>
                <w:lang w:val="es-ES"/>
              </w:rPr>
            </w:pPr>
            <w:r w:rsidRPr="00DB4664">
              <w:rPr>
                <w:rFonts w:asciiTheme="minorBidi" w:hAnsiTheme="minorBidi" w:cstheme="minorBidi"/>
                <w:b/>
                <w:sz w:val="72"/>
                <w:lang w:val="es-ES"/>
              </w:rPr>
              <w:t>EP</w:t>
            </w:r>
          </w:p>
        </w:tc>
      </w:tr>
      <w:tr w:rsidR="0087455A" w:rsidRPr="00DB4664" w14:paraId="0285D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EEFAA16" w14:textId="77777777" w:rsidR="0087455A" w:rsidRPr="00DB4664" w:rsidRDefault="0024162E" w:rsidP="00172925">
            <w:pPr>
              <w:spacing w:before="120"/>
              <w:rPr>
                <w:lang w:val="es-ES"/>
              </w:rPr>
            </w:pPr>
            <w:r w:rsidRPr="00DB4664">
              <w:rPr>
                <w:noProof/>
                <w:lang w:val="en-US"/>
              </w:rPr>
              <w:drawing>
                <wp:anchor distT="0" distB="0" distL="114300" distR="114300" simplePos="0" relativeHeight="251660288" behindDoc="0" locked="0" layoutInCell="1" allowOverlap="1" wp14:anchorId="0076CFBC" wp14:editId="3E0BEB2B">
                  <wp:simplePos x="0" y="0"/>
                  <wp:positionH relativeFrom="column">
                    <wp:posOffset>15240</wp:posOffset>
                  </wp:positionH>
                  <wp:positionV relativeFrom="paragraph">
                    <wp:posOffset>992505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DB4664">
              <w:rPr>
                <w:noProof/>
                <w:lang w:val="en-US"/>
              </w:rPr>
              <w:drawing>
                <wp:anchor distT="0" distB="0" distL="114300" distR="114300" simplePos="0" relativeHeight="251661312" behindDoc="1" locked="0" layoutInCell="0" allowOverlap="1" wp14:anchorId="103E9BD6" wp14:editId="4CED27D9">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6B5CDFF6" w14:textId="77777777" w:rsidR="0087455A" w:rsidRPr="00DB4664" w:rsidRDefault="0087455A" w:rsidP="001729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14:paraId="6508D5A1" w14:textId="77777777" w:rsidR="0087455A" w:rsidRPr="00DB4664" w:rsidRDefault="0024162E" w:rsidP="001729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DB4664">
              <w:rPr>
                <w:rFonts w:ascii="Univers" w:hAnsi="Univers"/>
                <w:b/>
                <w:sz w:val="32"/>
                <w:lang w:val="es-ES"/>
              </w:rPr>
              <w:t>Programa de las</w:t>
            </w:r>
          </w:p>
          <w:p w14:paraId="1EF865AB" w14:textId="77777777" w:rsidR="0087455A" w:rsidRPr="00DB4664" w:rsidRDefault="0024162E" w:rsidP="001729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DB4664">
              <w:rPr>
                <w:rFonts w:ascii="Univers" w:hAnsi="Univers"/>
                <w:b/>
                <w:sz w:val="32"/>
                <w:lang w:val="es-ES"/>
              </w:rPr>
              <w:t>Naciones Unidas</w:t>
            </w:r>
          </w:p>
          <w:p w14:paraId="3A612557" w14:textId="77777777" w:rsidR="0087455A" w:rsidRPr="00DB4664" w:rsidRDefault="0024162E" w:rsidP="001729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DB4664">
              <w:rPr>
                <w:rFonts w:ascii="Univers" w:hAnsi="Univers"/>
                <w:b/>
                <w:sz w:val="32"/>
                <w:lang w:val="es-ES"/>
              </w:rPr>
              <w:t>para el Medio Ambiente</w:t>
            </w:r>
          </w:p>
          <w:p w14:paraId="3BE25ABD" w14:textId="77777777" w:rsidR="0087455A" w:rsidRPr="00DB4664" w:rsidRDefault="0087455A" w:rsidP="001729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14:paraId="75BFE038" w14:textId="77777777" w:rsidR="0087455A" w:rsidRPr="00DB4664" w:rsidRDefault="0087455A" w:rsidP="00172925">
            <w:pPr>
              <w:spacing w:before="720"/>
              <w:ind w:left="158"/>
              <w:rPr>
                <w:lang w:val="es-ES"/>
              </w:rPr>
            </w:pPr>
          </w:p>
        </w:tc>
        <w:tc>
          <w:tcPr>
            <w:tcW w:w="4590" w:type="dxa"/>
            <w:tcBorders>
              <w:top w:val="nil"/>
              <w:left w:val="nil"/>
              <w:bottom w:val="single" w:sz="36" w:space="0" w:color="auto"/>
              <w:right w:val="nil"/>
            </w:tcBorders>
          </w:tcPr>
          <w:p w14:paraId="5D09C332" w14:textId="77777777" w:rsidR="0087455A" w:rsidRPr="00DB4664" w:rsidRDefault="0087455A" w:rsidP="00172925">
            <w:pPr>
              <w:rPr>
                <w:lang w:val="es-ES"/>
              </w:rPr>
            </w:pPr>
          </w:p>
          <w:p w14:paraId="5A9242EF" w14:textId="77777777" w:rsidR="0087455A" w:rsidRPr="00DB4664" w:rsidRDefault="0024162E" w:rsidP="00172925">
            <w:pPr>
              <w:rPr>
                <w:lang w:val="es-ES"/>
              </w:rPr>
            </w:pPr>
            <w:proofErr w:type="spellStart"/>
            <w:r w:rsidRPr="00DB4664">
              <w:rPr>
                <w:lang w:val="es-ES"/>
              </w:rPr>
              <w:t>Distr</w:t>
            </w:r>
            <w:proofErr w:type="spellEnd"/>
            <w:r w:rsidRPr="00DB4664">
              <w:rPr>
                <w:lang w:val="es-ES"/>
              </w:rPr>
              <w:t>.</w:t>
            </w:r>
          </w:p>
          <w:p w14:paraId="381EA8A3" w14:textId="77777777" w:rsidR="0087455A" w:rsidRPr="00DB4664" w:rsidRDefault="0024162E" w:rsidP="00172925">
            <w:pPr>
              <w:rPr>
                <w:lang w:val="es-ES"/>
              </w:rPr>
            </w:pPr>
            <w:r w:rsidRPr="00DB4664">
              <w:rPr>
                <w:lang w:val="es-ES"/>
              </w:rPr>
              <w:t>GENERAL</w:t>
            </w:r>
          </w:p>
          <w:p w14:paraId="0B383894" w14:textId="77777777" w:rsidR="0087455A" w:rsidRPr="00DB4664" w:rsidRDefault="0087455A" w:rsidP="00172925">
            <w:pPr>
              <w:rPr>
                <w:lang w:val="es-ES"/>
              </w:rPr>
            </w:pPr>
          </w:p>
          <w:p w14:paraId="06DF448F" w14:textId="44363362" w:rsidR="0087455A" w:rsidRPr="00DB4664" w:rsidRDefault="0024162E" w:rsidP="00172925">
            <w:pPr>
              <w:rPr>
                <w:lang w:val="es-ES"/>
              </w:rPr>
            </w:pPr>
            <w:r w:rsidRPr="00DB4664">
              <w:rPr>
                <w:lang w:val="es-ES"/>
              </w:rPr>
              <w:fldChar w:fldCharType="begin"/>
            </w:r>
            <w:r w:rsidRPr="00DB4664">
              <w:rPr>
                <w:lang w:val="es-ES"/>
              </w:rPr>
              <w:instrText xml:space="preserve"> DOCPROPERTY "Document number"  \* MERGEFORMAT </w:instrText>
            </w:r>
            <w:r w:rsidRPr="00DB4664">
              <w:rPr>
                <w:lang w:val="es-ES"/>
              </w:rPr>
              <w:fldChar w:fldCharType="separate"/>
            </w:r>
            <w:r w:rsidR="00CA2A3B">
              <w:rPr>
                <w:lang w:val="es-ES"/>
              </w:rPr>
              <w:t>UNEP/</w:t>
            </w:r>
            <w:proofErr w:type="spellStart"/>
            <w:r w:rsidR="00CA2A3B">
              <w:rPr>
                <w:lang w:val="es-ES"/>
              </w:rPr>
              <w:t>OzL.Pro</w:t>
            </w:r>
            <w:proofErr w:type="spellEnd"/>
            <w:r w:rsidR="00CA2A3B">
              <w:rPr>
                <w:lang w:val="es-ES"/>
              </w:rPr>
              <w:t>/</w:t>
            </w:r>
            <w:proofErr w:type="spellStart"/>
            <w:r w:rsidR="00CA2A3B">
              <w:rPr>
                <w:lang w:val="es-ES"/>
              </w:rPr>
              <w:t>ExCom</w:t>
            </w:r>
            <w:proofErr w:type="spellEnd"/>
            <w:r w:rsidR="00CA2A3B">
              <w:rPr>
                <w:lang w:val="es-ES"/>
              </w:rPr>
              <w:t>/86/16</w:t>
            </w:r>
            <w:r w:rsidRPr="00DB4664">
              <w:rPr>
                <w:lang w:val="es-ES"/>
              </w:rPr>
              <w:fldChar w:fldCharType="end"/>
            </w:r>
          </w:p>
          <w:p w14:paraId="3E55DDAB" w14:textId="282E471E" w:rsidR="0087455A" w:rsidRPr="00DB4664" w:rsidRDefault="00DB4664" w:rsidP="00172925">
            <w:pPr>
              <w:rPr>
                <w:caps/>
                <w:lang w:val="es-ES"/>
              </w:rPr>
            </w:pPr>
            <w:r w:rsidRPr="00DB4664">
              <w:rPr>
                <w:caps/>
                <w:lang w:val="es-ES"/>
              </w:rPr>
              <w:t>2</w:t>
            </w:r>
            <w:r w:rsidR="004A7081">
              <w:rPr>
                <w:caps/>
                <w:lang w:val="es-ES"/>
              </w:rPr>
              <w:t>3</w:t>
            </w:r>
            <w:r w:rsidR="00114CAA" w:rsidRPr="00DB4664">
              <w:rPr>
                <w:caps/>
                <w:lang w:val="es-ES"/>
              </w:rPr>
              <w:t xml:space="preserve"> </w:t>
            </w:r>
            <w:r w:rsidR="00114CAA" w:rsidRPr="00DB4664">
              <w:rPr>
                <w:lang w:val="es-ES"/>
              </w:rPr>
              <w:t xml:space="preserve">de </w:t>
            </w:r>
            <w:r w:rsidR="00B83FFA" w:rsidRPr="00DB4664">
              <w:rPr>
                <w:lang w:val="es-ES"/>
              </w:rPr>
              <w:t>octubre</w:t>
            </w:r>
            <w:r w:rsidR="00114CAA" w:rsidRPr="00DB4664">
              <w:rPr>
                <w:lang w:val="es-ES"/>
              </w:rPr>
              <w:t xml:space="preserve"> de</w:t>
            </w:r>
            <w:r w:rsidR="00A3367B" w:rsidRPr="00DB4664">
              <w:rPr>
                <w:lang w:val="es-ES"/>
              </w:rPr>
              <w:t> 2020</w:t>
            </w:r>
          </w:p>
          <w:p w14:paraId="7F25BA0A" w14:textId="77777777" w:rsidR="00114CAA" w:rsidRPr="00DB4664" w:rsidRDefault="00114CAA" w:rsidP="00172925">
            <w:pPr>
              <w:rPr>
                <w:caps/>
                <w:lang w:val="es-ES"/>
              </w:rPr>
            </w:pPr>
          </w:p>
          <w:p w14:paraId="655F186D" w14:textId="6B6AE939" w:rsidR="0087455A" w:rsidRPr="00DB4664" w:rsidRDefault="0024162E" w:rsidP="00172925">
            <w:pPr>
              <w:rPr>
                <w:lang w:val="es-ES"/>
              </w:rPr>
            </w:pPr>
            <w:r w:rsidRPr="00DB4664">
              <w:rPr>
                <w:lang w:val="es-ES"/>
              </w:rPr>
              <w:t>ESPAÑOL</w:t>
            </w:r>
          </w:p>
          <w:p w14:paraId="0C39051D" w14:textId="77777777" w:rsidR="0087455A" w:rsidRPr="00DB4664" w:rsidRDefault="0024162E" w:rsidP="00172925">
            <w:pPr>
              <w:rPr>
                <w:lang w:val="es-ES"/>
              </w:rPr>
            </w:pPr>
            <w:r w:rsidRPr="00DB4664">
              <w:rPr>
                <w:lang w:val="es-ES"/>
              </w:rPr>
              <w:t>ORIGINAL: INGLÉS</w:t>
            </w:r>
          </w:p>
        </w:tc>
      </w:tr>
    </w:tbl>
    <w:p w14:paraId="62DBC083" w14:textId="77777777" w:rsidR="0087455A" w:rsidRPr="00DB4664" w:rsidRDefault="0087455A" w:rsidP="00172925">
      <w:pPr>
        <w:jc w:val="left"/>
        <w:rPr>
          <w:lang w:val="es-ES"/>
        </w:rPr>
      </w:pPr>
    </w:p>
    <w:p w14:paraId="23755116" w14:textId="77777777" w:rsidR="0087455A" w:rsidRPr="00DB4664" w:rsidRDefault="0024162E" w:rsidP="00172925">
      <w:pPr>
        <w:jc w:val="left"/>
        <w:rPr>
          <w:lang w:val="es-ES"/>
        </w:rPr>
      </w:pPr>
      <w:r w:rsidRPr="00DB4664">
        <w:rPr>
          <w:lang w:val="es-ES"/>
        </w:rPr>
        <w:t>COMITÉ EJECUTIVO DEL FONDO MULTILATERAL</w:t>
      </w:r>
      <w:r w:rsidRPr="00DB4664">
        <w:rPr>
          <w:lang w:val="es-ES"/>
        </w:rPr>
        <w:br/>
        <w:t xml:space="preserve">  PARA LA APLICACIÓN DEL</w:t>
      </w:r>
      <w:r w:rsidRPr="00DB4664">
        <w:rPr>
          <w:lang w:val="es-ES"/>
        </w:rPr>
        <w:br/>
        <w:t xml:space="preserve">  PROTOCOLO DE MONTREAL</w:t>
      </w:r>
    </w:p>
    <w:p w14:paraId="66B48E42" w14:textId="63877191" w:rsidR="00106F6E" w:rsidRPr="00DB4664" w:rsidRDefault="00106F6E" w:rsidP="00172925">
      <w:pPr>
        <w:jc w:val="left"/>
        <w:rPr>
          <w:lang w:val="es-ES"/>
        </w:rPr>
      </w:pPr>
      <w:r w:rsidRPr="00DB4664">
        <w:rPr>
          <w:lang w:val="es-ES"/>
        </w:rPr>
        <w:t xml:space="preserve">Octogésima </w:t>
      </w:r>
      <w:r w:rsidR="006915A5" w:rsidRPr="00DB4664">
        <w:rPr>
          <w:lang w:val="es-ES"/>
        </w:rPr>
        <w:t>sexta</w:t>
      </w:r>
      <w:r w:rsidR="003863A4" w:rsidRPr="00DB4664">
        <w:rPr>
          <w:lang w:val="es-ES"/>
        </w:rPr>
        <w:t xml:space="preserve"> Reunión</w:t>
      </w:r>
      <w:r w:rsidR="003863A4" w:rsidRPr="00DB4664">
        <w:rPr>
          <w:lang w:val="es-ES"/>
        </w:rPr>
        <w:br/>
        <w:t xml:space="preserve">Montreal, </w:t>
      </w:r>
      <w:r w:rsidR="0092685B" w:rsidRPr="00DB4664">
        <w:rPr>
          <w:lang w:val="es-ES"/>
        </w:rPr>
        <w:t>2</w:t>
      </w:r>
      <w:r w:rsidR="003863A4" w:rsidRPr="00DB4664">
        <w:rPr>
          <w:lang w:val="es-ES"/>
        </w:rPr>
        <w:t xml:space="preserve"> </w:t>
      </w:r>
      <w:r w:rsidRPr="00DB4664">
        <w:rPr>
          <w:lang w:val="es-ES"/>
        </w:rPr>
        <w:t xml:space="preserve">– </w:t>
      </w:r>
      <w:r w:rsidR="00B83FFA" w:rsidRPr="00DB4664">
        <w:rPr>
          <w:lang w:val="es-ES"/>
        </w:rPr>
        <w:t>6</w:t>
      </w:r>
      <w:r w:rsidRPr="00DB4664">
        <w:rPr>
          <w:lang w:val="es-ES"/>
        </w:rPr>
        <w:t xml:space="preserve"> de </w:t>
      </w:r>
      <w:r w:rsidR="00B83FFA" w:rsidRPr="00DB4664">
        <w:rPr>
          <w:lang w:val="es-ES"/>
        </w:rPr>
        <w:t>noviembre</w:t>
      </w:r>
      <w:r w:rsidR="001C2D22" w:rsidRPr="00DB4664">
        <w:rPr>
          <w:lang w:val="es-ES"/>
        </w:rPr>
        <w:t xml:space="preserve"> de</w:t>
      </w:r>
      <w:r w:rsidR="00A3367B" w:rsidRPr="00DB4664">
        <w:rPr>
          <w:lang w:val="es-ES"/>
        </w:rPr>
        <w:t> 2020</w:t>
      </w:r>
    </w:p>
    <w:p w14:paraId="5F970A09" w14:textId="77777777" w:rsidR="004A7081" w:rsidRPr="0072455F" w:rsidRDefault="004A7081" w:rsidP="00172925">
      <w:pPr>
        <w:jc w:val="left"/>
        <w:rPr>
          <w:lang w:val="es-419"/>
        </w:rPr>
      </w:pPr>
      <w:r w:rsidRPr="0072455F">
        <w:rPr>
          <w:lang w:val="es-419"/>
        </w:rPr>
        <w:t>Pospuesta: 8 – 12 de marzo de 2021</w:t>
      </w:r>
      <w:r w:rsidRPr="00463B87">
        <w:rPr>
          <w:rStyle w:val="FootnoteReference"/>
          <w:lang w:val="en-CA"/>
        </w:rPr>
        <w:footnoteReference w:id="1"/>
      </w:r>
    </w:p>
    <w:p w14:paraId="4068E4EB" w14:textId="77777777" w:rsidR="004A7081" w:rsidRPr="0072455F" w:rsidRDefault="004A7081" w:rsidP="00172925">
      <w:pPr>
        <w:jc w:val="left"/>
        <w:rPr>
          <w:lang w:val="es-419"/>
        </w:rPr>
      </w:pPr>
    </w:p>
    <w:p w14:paraId="1322E98F" w14:textId="021DAA33" w:rsidR="004A7081" w:rsidRDefault="004A7081" w:rsidP="00172925">
      <w:pPr>
        <w:jc w:val="left"/>
        <w:rPr>
          <w:lang w:val="es-419"/>
        </w:rPr>
      </w:pPr>
    </w:p>
    <w:p w14:paraId="7CDF4AB9" w14:textId="77777777" w:rsidR="00CA2A3B" w:rsidRDefault="004A7081" w:rsidP="00172925">
      <w:pPr>
        <w:pStyle w:val="Heading"/>
        <w:jc w:val="center"/>
        <w:rPr>
          <w:caps/>
          <w:sz w:val="22"/>
          <w:u w:val="none"/>
        </w:rPr>
      </w:pPr>
      <w:r>
        <w:rPr>
          <w:caps/>
          <w:sz w:val="22"/>
          <w:u w:val="none"/>
        </w:rPr>
        <w:t xml:space="preserve">INFORME SOBRE LA MARCHA DE LAS ACTIVIDADES </w:t>
      </w:r>
    </w:p>
    <w:p w14:paraId="5DB98556" w14:textId="77777777" w:rsidR="00CA2A3B" w:rsidRDefault="004A7081" w:rsidP="00172925">
      <w:pPr>
        <w:pStyle w:val="Heading"/>
        <w:jc w:val="center"/>
        <w:rPr>
          <w:caps/>
          <w:sz w:val="22"/>
          <w:u w:val="none"/>
        </w:rPr>
      </w:pPr>
      <w:r>
        <w:rPr>
          <w:caps/>
          <w:sz w:val="22"/>
          <w:u w:val="none"/>
        </w:rPr>
        <w:t xml:space="preserve">DE COOPERACIÓN BILATERAL </w:t>
      </w:r>
    </w:p>
    <w:p w14:paraId="3D66D2CA" w14:textId="1F0D566E" w:rsidR="004A7081" w:rsidRDefault="004A7081" w:rsidP="00172925">
      <w:pPr>
        <w:pStyle w:val="Heading"/>
        <w:jc w:val="center"/>
        <w:rPr>
          <w:caps/>
          <w:sz w:val="22"/>
          <w:u w:val="none"/>
        </w:rPr>
      </w:pPr>
      <w:r>
        <w:rPr>
          <w:caps/>
          <w:sz w:val="22"/>
          <w:u w:val="none"/>
        </w:rPr>
        <w:t>AL 31 DE DICIEMBRE DE 2019</w:t>
      </w:r>
    </w:p>
    <w:p w14:paraId="1DCA793C" w14:textId="77777777" w:rsidR="00CA2A3B" w:rsidRPr="00CA2A3B" w:rsidRDefault="00CA2A3B" w:rsidP="00CA2A3B">
      <w:pPr>
        <w:pStyle w:val="Header"/>
        <w:rPr>
          <w:lang w:val="es-ES"/>
        </w:rPr>
      </w:pPr>
    </w:p>
    <w:p w14:paraId="2CB15FEF" w14:textId="77777777" w:rsidR="004A7081" w:rsidRPr="0072455F" w:rsidRDefault="004A7081" w:rsidP="00172925">
      <w:pPr>
        <w:pStyle w:val="Heading"/>
        <w:jc w:val="center"/>
        <w:rPr>
          <w:caps/>
          <w:sz w:val="22"/>
          <w:szCs w:val="22"/>
          <w:u w:val="none"/>
          <w:lang w:val="es-419"/>
        </w:rPr>
      </w:pPr>
    </w:p>
    <w:p w14:paraId="2BBA116B" w14:textId="77777777" w:rsidR="004A7081" w:rsidRPr="0072455F" w:rsidRDefault="004A7081" w:rsidP="00172925">
      <w:pPr>
        <w:pStyle w:val="Heading1"/>
        <w:rPr>
          <w:lang w:val="es-419"/>
        </w:rPr>
      </w:pPr>
      <w:r w:rsidRPr="0072455F">
        <w:rPr>
          <w:snapToGrid w:val="0"/>
          <w:lang w:val="es-419"/>
        </w:rPr>
        <w:t>Los siguientes países que no operan al amparo del artículo 5 que participan actualmente en actividades de cooperación bilateral presentaron bases de datos de informes sobre la marcha de las actividades</w:t>
      </w:r>
      <w:r w:rsidRPr="00BA7E9F">
        <w:rPr>
          <w:rStyle w:val="FootnoteTextChar"/>
          <w:snapToGrid w:val="0"/>
          <w:vertAlign w:val="superscript"/>
          <w:lang w:val="en-CA"/>
        </w:rPr>
        <w:footnoteReference w:id="2"/>
      </w:r>
      <w:r w:rsidRPr="0072455F">
        <w:rPr>
          <w:snapToGrid w:val="0"/>
          <w:lang w:val="es-419"/>
        </w:rPr>
        <w:t xml:space="preserve">: </w:t>
      </w:r>
      <w:r w:rsidRPr="0072455F">
        <w:rPr>
          <w:lang w:val="es-419"/>
        </w:rPr>
        <w:t>Alemania, Australia, Canadá, España, Federación de Rusia, Francia, Italia y Japón.</w:t>
      </w:r>
      <w:r w:rsidRPr="0072455F">
        <w:rPr>
          <w:snapToGrid w:val="0"/>
          <w:lang w:val="es-419"/>
        </w:rPr>
        <w:t xml:space="preserve"> </w:t>
      </w:r>
      <w:r w:rsidRPr="0072455F">
        <w:rPr>
          <w:lang w:val="es-419"/>
        </w:rPr>
        <w:t>También se incluyen en el informe refundido sobre la marcha de las actividades</w:t>
      </w:r>
      <w:r w:rsidRPr="00172925">
        <w:rPr>
          <w:rStyle w:val="FootnoteTextChar"/>
          <w:vertAlign w:val="superscript"/>
          <w:lang w:val="en-CA"/>
        </w:rPr>
        <w:footnoteReference w:id="3"/>
      </w:r>
      <w:r w:rsidRPr="0072455F">
        <w:rPr>
          <w:lang w:val="es-419"/>
        </w:rPr>
        <w:t xml:space="preserve"> datos adicionales de informes sobre la marcha de las actividades anteriores para otros países que no operan al amparo del artículo 5 que participaron anteriormente en actividades de cooperación bilateral</w:t>
      </w:r>
      <w:r w:rsidRPr="00172925">
        <w:rPr>
          <w:rStyle w:val="FootnoteTextChar"/>
          <w:vertAlign w:val="superscript"/>
          <w:lang w:val="en-CA"/>
        </w:rPr>
        <w:footnoteReference w:id="4"/>
      </w:r>
      <w:r w:rsidRPr="0072455F">
        <w:rPr>
          <w:lang w:val="es-419"/>
        </w:rPr>
        <w:t>, que abarcan datos para proyectos que ya se han informado como terminados desde el punto de vista financiero.</w:t>
      </w:r>
    </w:p>
    <w:p w14:paraId="1C3AF530" w14:textId="77777777" w:rsidR="004A7081" w:rsidRPr="00463B87" w:rsidRDefault="004A7081" w:rsidP="00172925">
      <w:pPr>
        <w:rPr>
          <w:b/>
        </w:rPr>
      </w:pPr>
      <w:proofErr w:type="spellStart"/>
      <w:r>
        <w:rPr>
          <w:b/>
        </w:rPr>
        <w:t>Introducción</w:t>
      </w:r>
      <w:proofErr w:type="spellEnd"/>
    </w:p>
    <w:p w14:paraId="1CDCF893" w14:textId="77777777" w:rsidR="004A7081" w:rsidRPr="00463B87" w:rsidRDefault="004A7081" w:rsidP="00172925">
      <w:pPr>
        <w:rPr>
          <w:lang w:val="en-CA"/>
        </w:rPr>
      </w:pPr>
    </w:p>
    <w:p w14:paraId="6438D37A" w14:textId="77777777" w:rsidR="004A7081" w:rsidRPr="0072455F" w:rsidRDefault="004A7081" w:rsidP="00172925">
      <w:pPr>
        <w:pStyle w:val="Heading1"/>
        <w:rPr>
          <w:lang w:val="es-419"/>
        </w:rPr>
      </w:pPr>
      <w:r w:rsidRPr="0072455F">
        <w:rPr>
          <w:lang w:val="es-419"/>
        </w:rPr>
        <w:t>El informe sobre la marcha de las actividades de cooperación bilateral incluye la situación de la ejecución de los proyectos, incluidos siete proyectos relacionados con los HFC que se han financiado con cargo a las contribuciones voluntarias adicionales de 17 países que no operan al amparo del artículo 5 para proporcionar ayuda a corto plazo para la aplicación de la Enmienda de Kigali.</w:t>
      </w:r>
    </w:p>
    <w:p w14:paraId="7315D25F" w14:textId="77777777" w:rsidR="004A7081" w:rsidRPr="0072455F" w:rsidRDefault="004A7081" w:rsidP="00CA2A3B">
      <w:pPr>
        <w:pStyle w:val="Heading1"/>
        <w:keepNext/>
        <w:keepLines/>
        <w:rPr>
          <w:lang w:val="es-419"/>
        </w:rPr>
      </w:pPr>
      <w:r w:rsidRPr="0072455F">
        <w:rPr>
          <w:lang w:val="es-419"/>
        </w:rPr>
        <w:lastRenderedPageBreak/>
        <w:t xml:space="preserve">La Secretaría examinó la situación de ejecución de cada uno de los proyectos en curso país por país, teniendo en cuenta las demoras en la ejecución que se produjeron respecto de las fechas de terminación previstas que se habían notificado en 2019, la posible repercusión de esas demoras en la eliminación de sustancias controladas y la tasa de desembolsos previstos. El análisis que figura en el presente documento se basa en tonelada PAO para todas las sustancias controladas (incluidos los HFC que deben medirse en </w:t>
      </w:r>
      <w:proofErr w:type="spellStart"/>
      <w:r w:rsidRPr="0072455F">
        <w:rPr>
          <w:lang w:val="es-419"/>
        </w:rPr>
        <w:t>tm</w:t>
      </w:r>
      <w:proofErr w:type="spellEnd"/>
      <w:r w:rsidRPr="0072455F">
        <w:rPr>
          <w:lang w:val="es-419"/>
        </w:rPr>
        <w:t xml:space="preserve"> de </w:t>
      </w:r>
      <w:proofErr w:type="spellStart"/>
      <w:r w:rsidRPr="0072455F">
        <w:rPr>
          <w:lang w:val="es-419"/>
        </w:rPr>
        <w:t>eq</w:t>
      </w:r>
      <w:proofErr w:type="spellEnd"/>
      <w:r w:rsidRPr="0072455F">
        <w:rPr>
          <w:lang w:val="es-419"/>
        </w:rPr>
        <w:t>. de CO</w:t>
      </w:r>
      <w:r w:rsidRPr="0072455F">
        <w:rPr>
          <w:vertAlign w:val="subscript"/>
          <w:lang w:val="es-419"/>
        </w:rPr>
        <w:t>2</w:t>
      </w:r>
      <w:r w:rsidRPr="0072455F">
        <w:rPr>
          <w:lang w:val="es-419"/>
        </w:rPr>
        <w:t>)</w:t>
      </w:r>
      <w:r w:rsidRPr="004644BF">
        <w:rPr>
          <w:rStyle w:val="FootnoteTextChar"/>
          <w:vertAlign w:val="superscript"/>
          <w:lang w:val="en-CA"/>
        </w:rPr>
        <w:footnoteReference w:id="5"/>
      </w:r>
      <w:r w:rsidRPr="0072455F">
        <w:rPr>
          <w:lang w:val="es-419"/>
        </w:rPr>
        <w:t>.</w:t>
      </w:r>
    </w:p>
    <w:p w14:paraId="27348BA9" w14:textId="77777777" w:rsidR="004A7081" w:rsidRPr="00463B87" w:rsidRDefault="004A7081" w:rsidP="00172925">
      <w:pPr>
        <w:rPr>
          <w:u w:val="single"/>
        </w:rPr>
      </w:pPr>
      <w:proofErr w:type="spellStart"/>
      <w:r>
        <w:rPr>
          <w:u w:val="single"/>
        </w:rPr>
        <w:t>Alcance</w:t>
      </w:r>
      <w:proofErr w:type="spellEnd"/>
      <w:r>
        <w:rPr>
          <w:u w:val="single"/>
        </w:rPr>
        <w:t xml:space="preserve"> del </w:t>
      </w:r>
      <w:proofErr w:type="spellStart"/>
      <w:r>
        <w:rPr>
          <w:u w:val="single"/>
        </w:rPr>
        <w:t>documento</w:t>
      </w:r>
      <w:proofErr w:type="spellEnd"/>
    </w:p>
    <w:p w14:paraId="25DEA3B2" w14:textId="77777777" w:rsidR="004A7081" w:rsidRPr="00463B87" w:rsidRDefault="004A7081" w:rsidP="00172925">
      <w:pPr>
        <w:rPr>
          <w:lang w:val="en-CA"/>
        </w:rPr>
      </w:pPr>
    </w:p>
    <w:p w14:paraId="693A9A36" w14:textId="77777777" w:rsidR="004A7081" w:rsidRPr="0072455F" w:rsidRDefault="004A7081" w:rsidP="00172925">
      <w:pPr>
        <w:pStyle w:val="Heading1"/>
        <w:rPr>
          <w:lang w:val="es-419"/>
        </w:rPr>
      </w:pPr>
      <w:r w:rsidRPr="0072455F">
        <w:rPr>
          <w:lang w:val="es-419"/>
        </w:rPr>
        <w:t>El presente documento consta de las partes siguientes:</w:t>
      </w:r>
    </w:p>
    <w:p w14:paraId="083AEC74" w14:textId="77777777" w:rsidR="004A7081" w:rsidRPr="0072455F" w:rsidRDefault="004A7081" w:rsidP="00172925">
      <w:pPr>
        <w:pStyle w:val="Heading2"/>
        <w:widowControl/>
        <w:numPr>
          <w:ilvl w:val="0"/>
          <w:numId w:val="0"/>
        </w:numPr>
        <w:adjustRightInd w:val="0"/>
        <w:ind w:left="2160" w:hanging="1440"/>
        <w:textAlignment w:val="baseline"/>
        <w:rPr>
          <w:szCs w:val="28"/>
          <w:lang w:val="es-419"/>
        </w:rPr>
      </w:pPr>
      <w:r w:rsidRPr="0072455F">
        <w:rPr>
          <w:lang w:val="es-419"/>
        </w:rPr>
        <w:t>Parte I:</w:t>
      </w:r>
      <w:r w:rsidRPr="0072455F">
        <w:rPr>
          <w:lang w:val="es-419"/>
        </w:rPr>
        <w:tab/>
        <w:t>Proyectos aprobados con cargo a las contribuciones ordinarias al Fondo Multilateral. Presenta un resumen de los progresos logrados en la ejecución de proyectos para 2019 y acumulado desde 1992; contiene un examen de la situación de ejecución de cada uno de los proyectos en curso</w:t>
      </w:r>
      <w:r w:rsidRPr="00463B87">
        <w:rPr>
          <w:rStyle w:val="FootnoteReference"/>
          <w:lang w:val="en-CA"/>
        </w:rPr>
        <w:footnoteReference w:id="6"/>
      </w:r>
      <w:r w:rsidRPr="0072455F">
        <w:rPr>
          <w:lang w:val="es-419"/>
        </w:rPr>
        <w:t xml:space="preserve"> en el nivel nacional e identifica los proyectos con demoras en la ejecución y la posible repercusión en la eliminación de sustancias controladas y los proyectos con cuestiones pendientes para que sean considerados por el Comité Ejecutivo.</w:t>
      </w:r>
    </w:p>
    <w:p w14:paraId="578DC1A8" w14:textId="77777777" w:rsidR="004A7081" w:rsidRPr="0072455F" w:rsidRDefault="004A7081" w:rsidP="00172925">
      <w:pPr>
        <w:pStyle w:val="Heading2"/>
        <w:widowControl/>
        <w:numPr>
          <w:ilvl w:val="0"/>
          <w:numId w:val="0"/>
        </w:numPr>
        <w:adjustRightInd w:val="0"/>
        <w:ind w:left="2160" w:hanging="1440"/>
        <w:textAlignment w:val="baseline"/>
        <w:rPr>
          <w:szCs w:val="28"/>
          <w:lang w:val="es-419"/>
        </w:rPr>
      </w:pPr>
      <w:r w:rsidRPr="0072455F">
        <w:rPr>
          <w:lang w:val="es-419"/>
        </w:rPr>
        <w:t>Parte II:</w:t>
      </w:r>
      <w:r w:rsidRPr="0072455F">
        <w:rPr>
          <w:lang w:val="es-419"/>
        </w:rPr>
        <w:tab/>
        <w:t>Proyectos aprobados con cargo a las contribuciones voluntarias adicionales para proporcionar ayuda a corto plazo para la reducción de los HFC. Presenta un resumen de la situación de ejecución de los proyectos de reducción de los HFC financiados con cargo a las contribuciones voluntarias</w:t>
      </w:r>
      <w:r w:rsidRPr="00463B87">
        <w:rPr>
          <w:rStyle w:val="FootnoteReference"/>
          <w:lang w:val="en-CA"/>
        </w:rPr>
        <w:footnoteReference w:id="7"/>
      </w:r>
      <w:r w:rsidRPr="0072455F">
        <w:rPr>
          <w:lang w:val="es-419"/>
        </w:rPr>
        <w:t>.</w:t>
      </w:r>
    </w:p>
    <w:p w14:paraId="744B279D" w14:textId="77777777" w:rsidR="004A7081" w:rsidRPr="00463B87" w:rsidRDefault="004A7081" w:rsidP="00172925">
      <w:pPr>
        <w:ind w:firstLine="720"/>
      </w:pPr>
      <w:proofErr w:type="spellStart"/>
      <w:r>
        <w:t>Recomendación</w:t>
      </w:r>
      <w:proofErr w:type="spellEnd"/>
      <w:r>
        <w:t>.</w:t>
      </w:r>
    </w:p>
    <w:p w14:paraId="023BAD39" w14:textId="77777777" w:rsidR="004A7081" w:rsidRPr="00463B87" w:rsidRDefault="004A7081" w:rsidP="00172925">
      <w:pPr>
        <w:rPr>
          <w:lang w:val="en-CA"/>
        </w:rPr>
      </w:pPr>
    </w:p>
    <w:p w14:paraId="4671087F" w14:textId="77777777" w:rsidR="004A7081" w:rsidRPr="0072455F" w:rsidRDefault="004A7081" w:rsidP="00172925">
      <w:pPr>
        <w:pStyle w:val="Heading1"/>
        <w:rPr>
          <w:lang w:val="es-419"/>
        </w:rPr>
      </w:pPr>
      <w:r w:rsidRPr="0072455F">
        <w:rPr>
          <w:lang w:val="es-419"/>
        </w:rPr>
        <w:t>El documento contiene además los siguientes anexos:</w:t>
      </w:r>
    </w:p>
    <w:p w14:paraId="795FD118" w14:textId="77777777" w:rsidR="004A7081" w:rsidRPr="0072455F" w:rsidRDefault="004A7081" w:rsidP="00172925">
      <w:pPr>
        <w:ind w:left="2127" w:hanging="1407"/>
        <w:rPr>
          <w:lang w:val="es-419"/>
        </w:rPr>
      </w:pPr>
      <w:r w:rsidRPr="0072455F">
        <w:rPr>
          <w:lang w:val="es-419"/>
        </w:rPr>
        <w:t xml:space="preserve">Anexo I: </w:t>
      </w:r>
      <w:r w:rsidRPr="0072455F">
        <w:rPr>
          <w:lang w:val="es-419"/>
        </w:rPr>
        <w:tab/>
        <w:t>Un resumen de situación y una recomendación para cada proyecto en curso con cuestiones pendientes para consideración del Comité Ejecutivo.</w:t>
      </w:r>
    </w:p>
    <w:p w14:paraId="6BE57835" w14:textId="77777777" w:rsidR="004A7081" w:rsidRPr="0072455F" w:rsidRDefault="004A7081" w:rsidP="00172925">
      <w:pPr>
        <w:ind w:left="2127" w:hanging="1407"/>
        <w:rPr>
          <w:lang w:val="es-419"/>
        </w:rPr>
      </w:pPr>
    </w:p>
    <w:p w14:paraId="5D417812" w14:textId="77777777" w:rsidR="004A7081" w:rsidRPr="0072455F" w:rsidRDefault="004A7081" w:rsidP="00172925">
      <w:pPr>
        <w:ind w:left="2127" w:hanging="1407"/>
        <w:rPr>
          <w:lang w:val="es-419"/>
        </w:rPr>
      </w:pPr>
      <w:r w:rsidRPr="0072455F">
        <w:rPr>
          <w:lang w:val="es-419"/>
        </w:rPr>
        <w:t xml:space="preserve">Anexo II: </w:t>
      </w:r>
      <w:r w:rsidRPr="0072455F">
        <w:rPr>
          <w:lang w:val="es-419"/>
        </w:rPr>
        <w:tab/>
        <w:t>Un análisis del informe sobre la marcha de las actividades.</w:t>
      </w:r>
    </w:p>
    <w:p w14:paraId="33A83D41" w14:textId="77777777" w:rsidR="004A7081" w:rsidRPr="0072455F" w:rsidRDefault="004A7081" w:rsidP="00172925">
      <w:pPr>
        <w:pStyle w:val="sub-title"/>
        <w:ind w:left="1418" w:hanging="1418"/>
        <w:rPr>
          <w:rFonts w:ascii="Times New Roman Bold" w:hAnsi="Times New Roman Bold"/>
          <w:caps/>
          <w:noProof w:val="0"/>
          <w:szCs w:val="28"/>
          <w:lang w:val="es-419"/>
        </w:rPr>
      </w:pPr>
    </w:p>
    <w:p w14:paraId="1249C958" w14:textId="77777777" w:rsidR="00CA2A3B" w:rsidRDefault="00CA2A3B">
      <w:pPr>
        <w:jc w:val="left"/>
        <w:rPr>
          <w:rFonts w:ascii="Times New Roman Bold" w:hAnsi="Times New Roman Bold"/>
          <w:b/>
          <w:caps/>
          <w:noProof/>
          <w:lang w:val="es-419"/>
        </w:rPr>
      </w:pPr>
      <w:r>
        <w:rPr>
          <w:rFonts w:ascii="Times New Roman Bold" w:hAnsi="Times New Roman Bold"/>
          <w:caps/>
          <w:lang w:val="es-419"/>
        </w:rPr>
        <w:br w:type="page"/>
      </w:r>
    </w:p>
    <w:p w14:paraId="5842C3F9" w14:textId="4C451BD6" w:rsidR="004A7081" w:rsidRPr="0072455F" w:rsidRDefault="004A7081" w:rsidP="00172925">
      <w:pPr>
        <w:pStyle w:val="sub-title"/>
        <w:ind w:left="1418" w:hanging="1418"/>
        <w:rPr>
          <w:rFonts w:ascii="Times New Roman Bold" w:hAnsi="Times New Roman Bold"/>
          <w:caps/>
          <w:noProof w:val="0"/>
          <w:szCs w:val="28"/>
          <w:lang w:val="es-419"/>
        </w:rPr>
      </w:pPr>
      <w:r w:rsidRPr="0072455F">
        <w:rPr>
          <w:rFonts w:ascii="Times New Roman Bold" w:hAnsi="Times New Roman Bold"/>
          <w:caps/>
          <w:lang w:val="es-419"/>
        </w:rPr>
        <w:lastRenderedPageBreak/>
        <w:t xml:space="preserve">Parte I: </w:t>
      </w:r>
      <w:r w:rsidRPr="0072455F">
        <w:rPr>
          <w:rFonts w:ascii="Times New Roman Bold" w:hAnsi="Times New Roman Bold"/>
          <w:caps/>
          <w:lang w:val="es-419"/>
        </w:rPr>
        <w:tab/>
        <w:t>Proyectos aprobados con cargo a las contribuciones ordinarias al Fondo Multilateral</w:t>
      </w:r>
    </w:p>
    <w:p w14:paraId="14650DBD" w14:textId="77777777" w:rsidR="004A7081" w:rsidRPr="0072455F" w:rsidRDefault="004A7081" w:rsidP="00172925">
      <w:pPr>
        <w:rPr>
          <w:lang w:val="es-419"/>
        </w:rPr>
      </w:pPr>
    </w:p>
    <w:p w14:paraId="03CCBCD1" w14:textId="77777777" w:rsidR="004A7081" w:rsidRPr="0072455F" w:rsidRDefault="004A7081" w:rsidP="00172925">
      <w:pPr>
        <w:rPr>
          <w:b/>
          <w:lang w:val="es-419"/>
        </w:rPr>
      </w:pPr>
      <w:r w:rsidRPr="0072455F">
        <w:rPr>
          <w:b/>
          <w:lang w:val="es-419"/>
        </w:rPr>
        <w:t>Resumen de los progresos en la ejecución de proyectos para 2019 y acumulados</w:t>
      </w:r>
    </w:p>
    <w:p w14:paraId="60745765" w14:textId="77777777" w:rsidR="004A7081" w:rsidRPr="0072455F" w:rsidRDefault="004A7081" w:rsidP="00172925">
      <w:pPr>
        <w:pStyle w:val="Heading1"/>
        <w:numPr>
          <w:ilvl w:val="0"/>
          <w:numId w:val="0"/>
        </w:numPr>
        <w:spacing w:after="0"/>
        <w:rPr>
          <w:lang w:val="es-419"/>
        </w:rPr>
      </w:pPr>
    </w:p>
    <w:p w14:paraId="6A49A3BE" w14:textId="77777777" w:rsidR="004A7081" w:rsidRPr="0072455F" w:rsidRDefault="004A7081" w:rsidP="00172925">
      <w:pPr>
        <w:pStyle w:val="Heading1"/>
        <w:rPr>
          <w:lang w:val="es-419"/>
        </w:rPr>
      </w:pPr>
      <w:r w:rsidRPr="0072455F">
        <w:rPr>
          <w:lang w:val="es-419"/>
        </w:rPr>
        <w:t>La ejecución de proyectos y actividades por los organismos bilaterales para 2019 y acumulada desde 1992 hasta el 31 de diciembre de 2019 inclusive se sintetiza como se indica a continuación:</w:t>
      </w:r>
    </w:p>
    <w:p w14:paraId="261B9900" w14:textId="77777777" w:rsidR="004A7081" w:rsidRPr="0072455F" w:rsidRDefault="004A7081" w:rsidP="00172925">
      <w:pPr>
        <w:pStyle w:val="Heading2"/>
        <w:widowControl/>
        <w:rPr>
          <w:lang w:val="es-419"/>
        </w:rPr>
      </w:pPr>
      <w:r w:rsidRPr="0072455F">
        <w:rPr>
          <w:b/>
          <w:lang w:val="es-419"/>
        </w:rPr>
        <w:t>Eliminación</w:t>
      </w:r>
      <w:r w:rsidRPr="004644BF">
        <w:rPr>
          <w:rStyle w:val="FootnoteTextChar"/>
          <w:bCs/>
          <w:vertAlign w:val="superscript"/>
          <w:lang w:val="en-CA"/>
        </w:rPr>
        <w:footnoteReference w:id="8"/>
      </w:r>
      <w:r w:rsidRPr="0072455F">
        <w:rPr>
          <w:b/>
          <w:lang w:val="es-419"/>
        </w:rPr>
        <w:t>:</w:t>
      </w:r>
      <w:r w:rsidRPr="0072455F">
        <w:rPr>
          <w:lang w:val="es-419"/>
        </w:rPr>
        <w:t xml:space="preserve"> en 2019, se eliminaron 63,1 toneladas PAO de consumo de sustancias controladas y se aprobaron para eliminación otras 24,7 toneladas PAO de consumo de sustancias controladas. Desde 1992, se habían eliminado 9 185 toneladas PAO de consumo de sustancias controladas, de un total previsto de 10 384 toneladas PAO de proyectos aprobados (excluidos los proyectos cancelados y transferidos);</w:t>
      </w:r>
    </w:p>
    <w:p w14:paraId="0BC95AD6" w14:textId="7267F29A" w:rsidR="004A7081" w:rsidRPr="0072455F" w:rsidRDefault="004A7081" w:rsidP="00172925">
      <w:pPr>
        <w:pStyle w:val="Heading2"/>
        <w:widowControl/>
        <w:rPr>
          <w:lang w:val="es-419"/>
        </w:rPr>
      </w:pPr>
      <w:r w:rsidRPr="0072455F">
        <w:rPr>
          <w:b/>
          <w:lang w:val="es-419"/>
        </w:rPr>
        <w:t>Desembolsos/aprobaciones:</w:t>
      </w:r>
      <w:r w:rsidRPr="0072455F">
        <w:rPr>
          <w:lang w:val="es-419"/>
        </w:rPr>
        <w:t xml:space="preserve"> en 2019, se desembolsaron 3,9 millones de $EUA y se planificó el desembolso de 4,21 millones de $EUA en base al informe sobre la marcha de las actividades de 2018, lo que representa una tasa de desembolso del 93</w:t>
      </w:r>
      <w:r w:rsidR="001C2686">
        <w:rPr>
          <w:lang w:val="es-419"/>
        </w:rPr>
        <w:t xml:space="preserve"> por ciento</w:t>
      </w:r>
      <w:r w:rsidRPr="0072455F">
        <w:rPr>
          <w:lang w:val="es-419"/>
        </w:rPr>
        <w:t xml:space="preserve"> del valor previsto. En forma acumulativa, se habían desembolsado 147,46 millones de $EUA de un total de 158,3 millones de $EUA aprobados para desembolsos (excluidos los gastos de apoyo de los organismos), lo que representa una tasa de desembolso del 93</w:t>
      </w:r>
      <w:r w:rsidR="001C2686">
        <w:rPr>
          <w:lang w:val="es-419"/>
        </w:rPr>
        <w:t xml:space="preserve"> por ciento</w:t>
      </w:r>
      <w:r w:rsidRPr="0072455F">
        <w:rPr>
          <w:lang w:val="es-419"/>
        </w:rPr>
        <w:t>. En 2019, se aprobaron 1,94 millones de $EUA para ejecución de proyectos;</w:t>
      </w:r>
    </w:p>
    <w:p w14:paraId="46AE824F" w14:textId="4707D9DA" w:rsidR="004A7081" w:rsidRPr="0072455F" w:rsidRDefault="004A7081" w:rsidP="00172925">
      <w:pPr>
        <w:pStyle w:val="Heading2"/>
        <w:widowControl/>
        <w:rPr>
          <w:lang w:val="es-419"/>
        </w:rPr>
      </w:pPr>
      <w:r w:rsidRPr="0072455F">
        <w:rPr>
          <w:b/>
          <w:lang w:val="es-419"/>
        </w:rPr>
        <w:t>Cantidad de proyectos terminados:</w:t>
      </w:r>
      <w:r w:rsidRPr="0072455F">
        <w:rPr>
          <w:lang w:val="es-419"/>
        </w:rPr>
        <w:t xml:space="preserve"> en 2019, se terminaron nueve proyectos. Desde 1992, se terminaron 641 proyectos de los 690 proyectos aprobados (excluidos los proyectos cancelados o transferidos), lo que representa una tasa de terminación del 93</w:t>
      </w:r>
      <w:r w:rsidR="001C2686">
        <w:rPr>
          <w:lang w:val="es-419"/>
        </w:rPr>
        <w:t xml:space="preserve"> por ciento</w:t>
      </w:r>
      <w:r w:rsidRPr="0072455F">
        <w:rPr>
          <w:lang w:val="es-419"/>
        </w:rPr>
        <w:t>;</w:t>
      </w:r>
    </w:p>
    <w:p w14:paraId="2FC9DDE0" w14:textId="77777777" w:rsidR="004A7081" w:rsidRPr="0072455F" w:rsidRDefault="004A7081" w:rsidP="00172925">
      <w:pPr>
        <w:pStyle w:val="Heading2"/>
        <w:widowControl/>
        <w:rPr>
          <w:lang w:val="es-419"/>
        </w:rPr>
      </w:pPr>
      <w:r w:rsidRPr="0072455F">
        <w:rPr>
          <w:b/>
          <w:lang w:val="es-419"/>
        </w:rPr>
        <w:t xml:space="preserve">Velocidad de ejecución – proyectos de inversión: </w:t>
      </w:r>
      <w:r w:rsidRPr="0072455F">
        <w:rPr>
          <w:lang w:val="es-419"/>
        </w:rPr>
        <w:t>los proyectos terminados en 2019 se terminaron, en promedio, 54 meses después de su aprobación. Desde 1992, el plazo medio para la terminación de los proyectos de inversión ha sido de 41 meses después de su aprobación. Los primeros desembolsos para estos proyectos se produjeron, en promedio, 11 meses después de haber sido aprobados;</w:t>
      </w:r>
    </w:p>
    <w:p w14:paraId="6E51B7A9" w14:textId="77777777" w:rsidR="004A7081" w:rsidRPr="0072455F" w:rsidRDefault="004A7081" w:rsidP="00172925">
      <w:pPr>
        <w:pStyle w:val="Heading2"/>
        <w:widowControl/>
        <w:rPr>
          <w:lang w:val="es-419"/>
        </w:rPr>
      </w:pPr>
      <w:r w:rsidRPr="0072455F">
        <w:rPr>
          <w:b/>
          <w:lang w:val="es-419"/>
        </w:rPr>
        <w:t>Velocidad de ejecución – proyectos ajenos a la inversión:</w:t>
      </w:r>
      <w:r w:rsidRPr="0072455F">
        <w:rPr>
          <w:lang w:val="es-419"/>
        </w:rPr>
        <w:t xml:space="preserve"> los proyectos terminados en 2019 se terminaron, en promedio, 44 meses después de su aprobación. Desde 1992, el plazo medio para la terminación de los proyectos ajenos a la inversión ha sido de 43 meses después de su aprobación. Los primeros desembolsos para estos proyectos se produjeron, en promedio, 13 meses después de haber sido aprobados;</w:t>
      </w:r>
    </w:p>
    <w:p w14:paraId="4FFFADB4" w14:textId="77777777" w:rsidR="004A7081" w:rsidRPr="0072455F" w:rsidRDefault="004A7081" w:rsidP="00172925">
      <w:pPr>
        <w:pStyle w:val="Heading2"/>
        <w:widowControl/>
        <w:rPr>
          <w:lang w:val="es-419"/>
        </w:rPr>
      </w:pPr>
      <w:r w:rsidRPr="0072455F">
        <w:rPr>
          <w:b/>
          <w:lang w:val="es-419"/>
        </w:rPr>
        <w:t xml:space="preserve">Preparación de proyectos: </w:t>
      </w:r>
      <w:r w:rsidRPr="0072455F">
        <w:rPr>
          <w:lang w:val="es-419"/>
        </w:rPr>
        <w:t>se han terminado 122 de las 123 actividades de preparación de proyectos aprobadas hasta finales de 2019, por lo que hay una actividad en curso. En 2019, no se terminó ninguna actividad de preparación de proyectos;</w:t>
      </w:r>
    </w:p>
    <w:p w14:paraId="1EB7AE08" w14:textId="1B80CE83" w:rsidR="004A7081" w:rsidRPr="0072455F" w:rsidRDefault="004A7081" w:rsidP="00172925">
      <w:pPr>
        <w:pStyle w:val="Heading2"/>
        <w:widowControl/>
        <w:rPr>
          <w:lang w:val="es-419"/>
        </w:rPr>
      </w:pPr>
      <w:r w:rsidRPr="0072455F">
        <w:rPr>
          <w:b/>
          <w:lang w:val="es-419"/>
        </w:rPr>
        <w:t>Demoras en la ejecución:</w:t>
      </w:r>
      <w:r w:rsidRPr="0072455F">
        <w:rPr>
          <w:lang w:val="es-419"/>
        </w:rPr>
        <w:t xml:space="preserve"> </w:t>
      </w:r>
      <w:r w:rsidR="00172925" w:rsidRPr="0072455F">
        <w:rPr>
          <w:lang w:val="es-419"/>
        </w:rPr>
        <w:t>p</w:t>
      </w:r>
      <w:r w:rsidRPr="0072455F">
        <w:rPr>
          <w:lang w:val="es-419"/>
        </w:rPr>
        <w:t>ara finales de 2019, había 49 proyectos en ejecución, que experimentaban, en promedio, una demora de 21 meses. Catorce de estos proyecto se clasifican como “proyectos con demoras en la ejecución”</w:t>
      </w:r>
      <w:r w:rsidRPr="004644BF">
        <w:rPr>
          <w:rStyle w:val="FootnoteTextChar"/>
          <w:vertAlign w:val="superscript"/>
          <w:lang w:val="en-CA"/>
        </w:rPr>
        <w:footnoteReference w:id="9"/>
      </w:r>
      <w:r w:rsidRPr="0072455F">
        <w:rPr>
          <w:lang w:val="es-419"/>
        </w:rPr>
        <w:t xml:space="preserve"> que están sujetos a los procedimientos de cancelación de proyectos, dado que los proyectos de demostración, la </w:t>
      </w:r>
      <w:r w:rsidRPr="0072455F">
        <w:rPr>
          <w:lang w:val="es-419"/>
        </w:rPr>
        <w:lastRenderedPageBreak/>
        <w:t>preparación de proyectos y los proyectos de fortalecimiento institucional no están sujetos a dichos procedimientos; y</w:t>
      </w:r>
    </w:p>
    <w:p w14:paraId="079C2201" w14:textId="3494EDCF" w:rsidR="004A7081" w:rsidRPr="0072455F" w:rsidRDefault="004A7081" w:rsidP="00172925">
      <w:pPr>
        <w:pStyle w:val="Heading2"/>
        <w:widowControl/>
        <w:rPr>
          <w:lang w:val="es-419"/>
        </w:rPr>
      </w:pPr>
      <w:r w:rsidRPr="0072455F">
        <w:rPr>
          <w:b/>
          <w:lang w:val="es-419"/>
        </w:rPr>
        <w:t>Acuerdos plurianuales</w:t>
      </w:r>
      <w:r w:rsidRPr="0072455F">
        <w:rPr>
          <w:lang w:val="es-419"/>
        </w:rPr>
        <w:t xml:space="preserve">: </w:t>
      </w:r>
      <w:r w:rsidR="004644BF" w:rsidRPr="0072455F">
        <w:rPr>
          <w:lang w:val="es-419"/>
        </w:rPr>
        <w:t>e</w:t>
      </w:r>
      <w:r w:rsidRPr="0072455F">
        <w:rPr>
          <w:lang w:val="es-419"/>
        </w:rPr>
        <w:t>n 2019, se encontraban en ejecución 29 acuerdos plurianuales para planes de gestión de la eliminación de los HCFC (PGEH). Desde 1992, se han aprobado 82 acuerdos plurianuales y se terminaron 53 de tales acuerdos, lo que representa una tasa de terminación del 65</w:t>
      </w:r>
      <w:r w:rsidR="001C2686">
        <w:rPr>
          <w:lang w:val="es-419"/>
        </w:rPr>
        <w:t xml:space="preserve"> por ciento</w:t>
      </w:r>
      <w:r w:rsidRPr="0072455F">
        <w:rPr>
          <w:lang w:val="es-419"/>
        </w:rPr>
        <w:t>.</w:t>
      </w:r>
    </w:p>
    <w:p w14:paraId="0BD14394" w14:textId="77777777" w:rsidR="004A7081" w:rsidRPr="00463B87" w:rsidRDefault="004A7081" w:rsidP="00172925">
      <w:pPr>
        <w:pStyle w:val="a--"/>
        <w:suppressAutoHyphens w:val="0"/>
        <w:spacing w:after="240"/>
        <w:rPr>
          <w:sz w:val="22"/>
          <w:szCs w:val="22"/>
        </w:rPr>
      </w:pPr>
      <w:r>
        <w:rPr>
          <w:sz w:val="22"/>
        </w:rPr>
        <w:t>Progresos logrados en la ejecución de proyectos en 2019</w:t>
      </w:r>
    </w:p>
    <w:p w14:paraId="761A359E" w14:textId="77777777" w:rsidR="004A7081" w:rsidRPr="0072455F" w:rsidRDefault="004A7081" w:rsidP="00172925">
      <w:pPr>
        <w:pStyle w:val="Heading1"/>
        <w:rPr>
          <w:lang w:val="es-419"/>
        </w:rPr>
      </w:pPr>
      <w:r w:rsidRPr="0072455F">
        <w:rPr>
          <w:lang w:val="es-419"/>
        </w:rPr>
        <w:t>Como seguimiento del proceso de examen, se trataron varias cuestiones con cada uno de los organismos bilaterales con proyectos en curso, que se abordaron satisfactoriamente, con la excepción de 14 proyectos clasificados como proyectos con demoras en la ejecución (incluidos 11 proyectos relacionados con componentes de acuerdos plurianuales con arreglo a la decisión 84/45 c), un proyecto de inversión individual relacionado con la eliminación de los HCFC y dos actividades de apoyo). En el Anexo I del presente documento se indican los proyectos clasificados como proyectos con demoras en la ejecución y la recomendación de la Secretaría en la que se solicita que se presente un informe a la 87ª reunión.</w:t>
      </w:r>
    </w:p>
    <w:p w14:paraId="6687D8B8" w14:textId="77777777" w:rsidR="004A7081" w:rsidRPr="0072455F" w:rsidRDefault="004A7081" w:rsidP="00172925">
      <w:pPr>
        <w:pStyle w:val="Heading1"/>
        <w:rPr>
          <w:lang w:val="es-419"/>
        </w:rPr>
      </w:pPr>
      <w:r w:rsidRPr="0072455F">
        <w:rPr>
          <w:lang w:val="es-419"/>
        </w:rPr>
        <w:t>Se han presentado a la 86ª reunión los detalles de los progresos en la ejecución de los proyectos relacionados con los PGEH para el Brasil</w:t>
      </w:r>
      <w:r w:rsidRPr="004644BF">
        <w:rPr>
          <w:rStyle w:val="FootnoteTextChar"/>
          <w:vertAlign w:val="superscript"/>
          <w:lang w:val="en-CA"/>
        </w:rPr>
        <w:footnoteReference w:id="10"/>
      </w:r>
      <w:r w:rsidRPr="0072455F">
        <w:rPr>
          <w:vertAlign w:val="superscript"/>
          <w:lang w:val="es-419"/>
        </w:rPr>
        <w:t xml:space="preserve"> </w:t>
      </w:r>
      <w:r w:rsidRPr="0072455F">
        <w:rPr>
          <w:lang w:val="es-419"/>
        </w:rPr>
        <w:t xml:space="preserve">(ejecutado por Alemania), la República Islámica </w:t>
      </w:r>
      <w:proofErr w:type="spellStart"/>
      <w:r w:rsidRPr="0072455F">
        <w:rPr>
          <w:lang w:val="es-419"/>
        </w:rPr>
        <w:t>del</w:t>
      </w:r>
      <w:proofErr w:type="spellEnd"/>
      <w:r w:rsidRPr="0072455F">
        <w:rPr>
          <w:lang w:val="es-419"/>
        </w:rPr>
        <w:t xml:space="preserve"> Irán</w:t>
      </w:r>
      <w:r w:rsidRPr="004644BF">
        <w:rPr>
          <w:rStyle w:val="FootnoteTextChar"/>
          <w:vertAlign w:val="superscript"/>
          <w:lang w:val="en-CA"/>
        </w:rPr>
        <w:footnoteReference w:id="11"/>
      </w:r>
      <w:r w:rsidRPr="0072455F">
        <w:rPr>
          <w:lang w:val="es-419"/>
        </w:rPr>
        <w:t xml:space="preserve"> (ejecutado por Alemania e Italia), </w:t>
      </w:r>
      <w:proofErr w:type="spellStart"/>
      <w:r w:rsidRPr="0072455F">
        <w:rPr>
          <w:lang w:val="es-419"/>
        </w:rPr>
        <w:t>Kenya</w:t>
      </w:r>
      <w:proofErr w:type="spellEnd"/>
      <w:r w:rsidRPr="004644BF">
        <w:rPr>
          <w:rStyle w:val="FootnoteTextChar"/>
          <w:vertAlign w:val="superscript"/>
          <w:lang w:val="en-CA"/>
        </w:rPr>
        <w:footnoteReference w:id="12"/>
      </w:r>
      <w:r w:rsidRPr="0072455F">
        <w:rPr>
          <w:vertAlign w:val="superscript"/>
          <w:lang w:val="es-419"/>
        </w:rPr>
        <w:t xml:space="preserve"> </w:t>
      </w:r>
      <w:r w:rsidRPr="0072455F">
        <w:rPr>
          <w:lang w:val="es-419"/>
        </w:rPr>
        <w:t>(ejecutado por Francia), Mauricio</w:t>
      </w:r>
      <w:r w:rsidRPr="004644BF">
        <w:rPr>
          <w:rStyle w:val="FootnoteTextChar"/>
          <w:vertAlign w:val="superscript"/>
          <w:lang w:val="en-CA"/>
        </w:rPr>
        <w:footnoteReference w:id="13"/>
      </w:r>
      <w:r w:rsidRPr="0072455F">
        <w:rPr>
          <w:vertAlign w:val="superscript"/>
          <w:lang w:val="es-419"/>
        </w:rPr>
        <w:t xml:space="preserve"> </w:t>
      </w:r>
      <w:r w:rsidRPr="0072455F">
        <w:rPr>
          <w:lang w:val="es-419"/>
        </w:rPr>
        <w:t xml:space="preserve">(ejecutado por Alemania), y </w:t>
      </w:r>
      <w:proofErr w:type="spellStart"/>
      <w:r w:rsidRPr="0072455F">
        <w:rPr>
          <w:lang w:val="es-419"/>
        </w:rPr>
        <w:t>Zimbabwe</w:t>
      </w:r>
      <w:proofErr w:type="spellEnd"/>
      <w:r w:rsidRPr="004644BF">
        <w:rPr>
          <w:rStyle w:val="FootnoteTextChar"/>
          <w:vertAlign w:val="superscript"/>
          <w:lang w:val="en-CA"/>
        </w:rPr>
        <w:footnoteReference w:id="14"/>
      </w:r>
      <w:r w:rsidRPr="0072455F">
        <w:rPr>
          <w:vertAlign w:val="superscript"/>
          <w:lang w:val="es-419"/>
        </w:rPr>
        <w:t xml:space="preserve"> </w:t>
      </w:r>
      <w:r w:rsidRPr="0072455F">
        <w:rPr>
          <w:lang w:val="es-419"/>
        </w:rPr>
        <w:t>(ejecutado por Alemania), y los informes sobre los proyectos con requisitos específicos de presentación de informes (PGEH)</w:t>
      </w:r>
      <w:r w:rsidRPr="004644BF">
        <w:rPr>
          <w:rStyle w:val="FootnoteTextChar"/>
          <w:vertAlign w:val="superscript"/>
          <w:lang w:val="en-CA"/>
        </w:rPr>
        <w:footnoteReference w:id="15"/>
      </w:r>
      <w:r w:rsidRPr="0072455F">
        <w:rPr>
          <w:vertAlign w:val="superscript"/>
          <w:lang w:val="es-419"/>
        </w:rPr>
        <w:t xml:space="preserve"> </w:t>
      </w:r>
      <w:r w:rsidRPr="0072455F">
        <w:rPr>
          <w:lang w:val="es-419"/>
        </w:rPr>
        <w:t>(ejecutado por Alemania, Italia y Japón) y Túnez (PGEH)</w:t>
      </w:r>
      <w:r w:rsidRPr="004644BF">
        <w:rPr>
          <w:rStyle w:val="FootnoteTextChar"/>
          <w:vertAlign w:val="superscript"/>
          <w:lang w:val="en-CA"/>
        </w:rPr>
        <w:footnoteReference w:id="16"/>
      </w:r>
      <w:r w:rsidRPr="0072455F">
        <w:rPr>
          <w:lang w:val="es-419"/>
        </w:rPr>
        <w:t xml:space="preserve"> (ejecutado por Francia). Las recomendaciones para las cuestiones pendientes para estos proyectos, incluida la aprobación de solicitudes de prórroga, si las hubiera, se abordan en las secciones respectivas de esos documentos. Las cuestiones relacionadas con los PGEH para </w:t>
      </w:r>
      <w:proofErr w:type="spellStart"/>
      <w:r w:rsidRPr="0072455F">
        <w:rPr>
          <w:lang w:val="es-419"/>
        </w:rPr>
        <w:t>Papua</w:t>
      </w:r>
      <w:proofErr w:type="spellEnd"/>
      <w:r w:rsidRPr="0072455F">
        <w:rPr>
          <w:lang w:val="es-419"/>
        </w:rPr>
        <w:t xml:space="preserve"> Nueva Guinea (ejecutado por Alemania), Nigeria (ejecutado por Italia) y </w:t>
      </w:r>
      <w:proofErr w:type="spellStart"/>
      <w:r w:rsidRPr="0072455F">
        <w:rPr>
          <w:lang w:val="es-419"/>
        </w:rPr>
        <w:t>Viet</w:t>
      </w:r>
      <w:proofErr w:type="spellEnd"/>
      <w:r w:rsidRPr="0072455F">
        <w:rPr>
          <w:lang w:val="es-419"/>
        </w:rPr>
        <w:t> </w:t>
      </w:r>
      <w:proofErr w:type="spellStart"/>
      <w:r w:rsidRPr="0072455F">
        <w:rPr>
          <w:lang w:val="es-419"/>
        </w:rPr>
        <w:t>Nam</w:t>
      </w:r>
      <w:proofErr w:type="spellEnd"/>
      <w:r w:rsidRPr="0072455F">
        <w:rPr>
          <w:lang w:val="es-419"/>
        </w:rPr>
        <w:t xml:space="preserve"> (ejecutado por el Japón), se abordan en el documento sobre demoras en la presentación de tramos</w:t>
      </w:r>
      <w:r w:rsidRPr="004644BF">
        <w:rPr>
          <w:rStyle w:val="FootnoteTextChar"/>
          <w:vertAlign w:val="superscript"/>
        </w:rPr>
        <w:footnoteReference w:id="17"/>
      </w:r>
      <w:r w:rsidRPr="0072455F">
        <w:rPr>
          <w:lang w:val="es-419"/>
        </w:rPr>
        <w:t>.</w:t>
      </w:r>
    </w:p>
    <w:p w14:paraId="04920176" w14:textId="77777777" w:rsidR="004A7081" w:rsidRPr="0072455F" w:rsidRDefault="004A7081" w:rsidP="00172925">
      <w:pPr>
        <w:pStyle w:val="Heading1"/>
        <w:rPr>
          <w:lang w:val="es-419"/>
        </w:rPr>
      </w:pPr>
      <w:r w:rsidRPr="0072455F">
        <w:rPr>
          <w:lang w:val="es-419"/>
        </w:rPr>
        <w:t xml:space="preserve">De los 48 proyectos en curso, excluida la preparación de proyectos, 23 tienen fechas de terminación previstas revisadas respecto del informe sobre la marcha de las actividades de 2018. </w:t>
      </w:r>
    </w:p>
    <w:p w14:paraId="6A798FD7" w14:textId="77777777" w:rsidR="00CA2A3B" w:rsidRDefault="00CA2A3B">
      <w:pPr>
        <w:jc w:val="left"/>
        <w:rPr>
          <w:rFonts w:ascii="Times New Roman Bold" w:hAnsi="Times New Roman Bold"/>
          <w:caps/>
          <w:lang w:val="es-419"/>
        </w:rPr>
      </w:pPr>
      <w:r>
        <w:rPr>
          <w:rFonts w:ascii="Times New Roman Bold" w:hAnsi="Times New Roman Bold"/>
          <w:caps/>
          <w:lang w:val="es-419"/>
        </w:rPr>
        <w:br w:type="page"/>
      </w:r>
    </w:p>
    <w:p w14:paraId="704EAD95" w14:textId="4226EDB2" w:rsidR="004A7081" w:rsidRPr="0072455F" w:rsidRDefault="004A7081" w:rsidP="00172925">
      <w:pPr>
        <w:pStyle w:val="Heading1"/>
        <w:numPr>
          <w:ilvl w:val="0"/>
          <w:numId w:val="0"/>
        </w:numPr>
        <w:ind w:left="1418" w:hanging="1418"/>
        <w:rPr>
          <w:rFonts w:ascii="Times New Roman Bold" w:hAnsi="Times New Roman Bold"/>
          <w:caps/>
          <w:szCs w:val="28"/>
          <w:lang w:val="es-419"/>
        </w:rPr>
      </w:pPr>
      <w:r w:rsidRPr="0072455F">
        <w:rPr>
          <w:rFonts w:ascii="Times New Roman Bold" w:hAnsi="Times New Roman Bold"/>
          <w:caps/>
          <w:lang w:val="es-419"/>
        </w:rPr>
        <w:lastRenderedPageBreak/>
        <w:t>Parte II:</w:t>
      </w:r>
      <w:r w:rsidRPr="0072455F">
        <w:rPr>
          <w:rFonts w:ascii="Times New Roman Bold" w:hAnsi="Times New Roman Bold"/>
          <w:caps/>
          <w:lang w:val="es-419"/>
        </w:rPr>
        <w:tab/>
      </w:r>
      <w:r w:rsidRPr="0072455F">
        <w:rPr>
          <w:rFonts w:ascii="Times New Roman Bold" w:hAnsi="Times New Roman Bold"/>
          <w:b/>
          <w:caps/>
          <w:lang w:val="es-419"/>
        </w:rPr>
        <w:t>Proyectos aprobados con cargo a las contribuciones voluntarias adicionales para proporcionar ayuda a corto plazo para la reducción de los HFC</w:t>
      </w:r>
    </w:p>
    <w:p w14:paraId="1566234B" w14:textId="77777777" w:rsidR="004A7081" w:rsidRPr="0072455F" w:rsidRDefault="004A7081" w:rsidP="00172925">
      <w:pPr>
        <w:pStyle w:val="Heading1"/>
        <w:rPr>
          <w:lang w:val="es-419"/>
        </w:rPr>
      </w:pPr>
      <w:r w:rsidRPr="0072455F">
        <w:rPr>
          <w:lang w:val="es-419"/>
        </w:rPr>
        <w:t>Al 31 de diciembre de 2019, el Comité Ejecutivo había aprobado siete proyectos relacionados con los HFC con cargo a las contribuciones voluntarias adicionales para dos organismos bilaterales (Alemania e Italia) por un valor de 480 000 $EUA (excluidos los gastos de apoyo de los organismos). En el Cuadro 1 se presenta un resumen de la situación de estos proyectos.</w:t>
      </w:r>
    </w:p>
    <w:p w14:paraId="0A64B8F5" w14:textId="77777777" w:rsidR="004A7081" w:rsidRPr="0072455F" w:rsidRDefault="004A7081" w:rsidP="00172925">
      <w:pPr>
        <w:pStyle w:val="Heading1"/>
        <w:numPr>
          <w:ilvl w:val="0"/>
          <w:numId w:val="0"/>
        </w:numPr>
        <w:spacing w:after="0"/>
        <w:rPr>
          <w:b/>
          <w:lang w:val="es-419"/>
        </w:rPr>
      </w:pPr>
      <w:r w:rsidRPr="0072455F">
        <w:rPr>
          <w:b/>
          <w:lang w:val="es-419"/>
        </w:rPr>
        <w:t>Cuadro 1. Situación de los proyectos relacionados con los HFC aprobados a finales de 2019</w:t>
      </w:r>
    </w:p>
    <w:tbl>
      <w:tblPr>
        <w:tblW w:w="9450" w:type="dxa"/>
        <w:tblInd w:w="-5" w:type="dxa"/>
        <w:tblLayout w:type="fixed"/>
        <w:tblLook w:val="04A0" w:firstRow="1" w:lastRow="0" w:firstColumn="1" w:lastColumn="0" w:noHBand="0" w:noVBand="1"/>
      </w:tblPr>
      <w:tblGrid>
        <w:gridCol w:w="1620"/>
        <w:gridCol w:w="1080"/>
        <w:gridCol w:w="1170"/>
        <w:gridCol w:w="1080"/>
        <w:gridCol w:w="1080"/>
        <w:gridCol w:w="1236"/>
        <w:gridCol w:w="924"/>
        <w:gridCol w:w="1260"/>
      </w:tblGrid>
      <w:tr w:rsidR="004A7081" w:rsidRPr="00463B87" w14:paraId="3C1E2A9A" w14:textId="77777777" w:rsidTr="001C2686">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5822" w14:textId="77777777" w:rsidR="004A7081" w:rsidRPr="00463B87" w:rsidRDefault="004A7081" w:rsidP="00172925">
            <w:pPr>
              <w:jc w:val="left"/>
              <w:rPr>
                <w:b/>
                <w:bCs/>
                <w:sz w:val="20"/>
                <w:szCs w:val="20"/>
              </w:rPr>
            </w:pPr>
            <w:proofErr w:type="spellStart"/>
            <w:r>
              <w:rPr>
                <w:b/>
                <w:sz w:val="20"/>
              </w:rPr>
              <w:t>Tipo</w:t>
            </w:r>
            <w:proofErr w:type="spellEnd"/>
          </w:p>
        </w:tc>
        <w:tc>
          <w:tcPr>
            <w:tcW w:w="3330"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21F9F4FB" w14:textId="77777777" w:rsidR="004A7081" w:rsidRPr="00463B87" w:rsidRDefault="004A7081" w:rsidP="00172925">
            <w:pPr>
              <w:jc w:val="center"/>
              <w:rPr>
                <w:b/>
                <w:bCs/>
                <w:sz w:val="20"/>
                <w:szCs w:val="20"/>
              </w:rPr>
            </w:pPr>
            <w:proofErr w:type="spellStart"/>
            <w:r>
              <w:rPr>
                <w:b/>
                <w:sz w:val="20"/>
              </w:rPr>
              <w:t>Cantidad</w:t>
            </w:r>
            <w:proofErr w:type="spellEnd"/>
            <w:r>
              <w:rPr>
                <w:b/>
                <w:sz w:val="20"/>
              </w:rPr>
              <w:t xml:space="preserve"> de </w:t>
            </w:r>
            <w:proofErr w:type="spellStart"/>
            <w:r>
              <w:rPr>
                <w:b/>
                <w:sz w:val="20"/>
              </w:rPr>
              <w:t>proyectos</w:t>
            </w:r>
            <w:proofErr w:type="spellEnd"/>
          </w:p>
        </w:tc>
        <w:tc>
          <w:tcPr>
            <w:tcW w:w="4500"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0D3818DA" w14:textId="77777777" w:rsidR="004A7081" w:rsidRPr="00463B87" w:rsidRDefault="004A7081" w:rsidP="00172925">
            <w:pPr>
              <w:jc w:val="center"/>
              <w:rPr>
                <w:b/>
                <w:bCs/>
                <w:sz w:val="20"/>
                <w:szCs w:val="20"/>
              </w:rPr>
            </w:pPr>
            <w:proofErr w:type="spellStart"/>
            <w:r>
              <w:rPr>
                <w:b/>
                <w:sz w:val="20"/>
              </w:rPr>
              <w:t>Financiación</w:t>
            </w:r>
            <w:proofErr w:type="spellEnd"/>
            <w:r>
              <w:rPr>
                <w:b/>
                <w:sz w:val="20"/>
              </w:rPr>
              <w:t xml:space="preserve"> ($EUA)*</w:t>
            </w:r>
          </w:p>
        </w:tc>
      </w:tr>
      <w:tr w:rsidR="004A7081" w:rsidRPr="00463B87" w14:paraId="6D6D0D8D" w14:textId="77777777" w:rsidTr="001C2686">
        <w:tc>
          <w:tcPr>
            <w:tcW w:w="1620" w:type="dxa"/>
            <w:vMerge/>
            <w:tcBorders>
              <w:top w:val="single" w:sz="4" w:space="0" w:color="auto"/>
              <w:left w:val="single" w:sz="4" w:space="0" w:color="auto"/>
              <w:bottom w:val="single" w:sz="4" w:space="0" w:color="auto"/>
              <w:right w:val="single" w:sz="4" w:space="0" w:color="auto"/>
            </w:tcBorders>
            <w:hideMark/>
          </w:tcPr>
          <w:p w14:paraId="6C5533C1" w14:textId="77777777" w:rsidR="004A7081" w:rsidRPr="00463B87" w:rsidRDefault="004A7081" w:rsidP="00172925">
            <w:pPr>
              <w:jc w:val="left"/>
              <w:rPr>
                <w:b/>
                <w:bCs/>
                <w:sz w:val="20"/>
                <w:szCs w:val="20"/>
                <w:lang w:val="en-CA" w:eastAsia="en-CA"/>
              </w:rPr>
            </w:pPr>
          </w:p>
        </w:tc>
        <w:tc>
          <w:tcPr>
            <w:tcW w:w="1080" w:type="dxa"/>
            <w:tcBorders>
              <w:top w:val="nil"/>
              <w:left w:val="nil"/>
              <w:bottom w:val="single" w:sz="4" w:space="0" w:color="auto"/>
              <w:right w:val="single" w:sz="4" w:space="0" w:color="auto"/>
            </w:tcBorders>
            <w:shd w:val="clear" w:color="auto" w:fill="auto"/>
            <w:tcMar>
              <w:left w:w="0" w:type="dxa"/>
              <w:right w:w="0" w:type="dxa"/>
            </w:tcMar>
            <w:hideMark/>
          </w:tcPr>
          <w:p w14:paraId="1BAF5CD7" w14:textId="77777777" w:rsidR="004A7081" w:rsidRPr="00463B87" w:rsidRDefault="004A7081" w:rsidP="00172925">
            <w:pPr>
              <w:ind w:left="-139" w:right="-95"/>
              <w:jc w:val="center"/>
              <w:rPr>
                <w:b/>
                <w:bCs/>
                <w:sz w:val="20"/>
                <w:szCs w:val="20"/>
              </w:rPr>
            </w:pPr>
            <w:proofErr w:type="spellStart"/>
            <w:r>
              <w:rPr>
                <w:b/>
                <w:sz w:val="20"/>
              </w:rPr>
              <w:t>Aprobados</w:t>
            </w:r>
            <w:proofErr w:type="spellEnd"/>
          </w:p>
        </w:tc>
        <w:tc>
          <w:tcPr>
            <w:tcW w:w="1170" w:type="dxa"/>
            <w:tcBorders>
              <w:top w:val="nil"/>
              <w:left w:val="nil"/>
              <w:bottom w:val="single" w:sz="4" w:space="0" w:color="auto"/>
              <w:right w:val="single" w:sz="4" w:space="0" w:color="auto"/>
            </w:tcBorders>
            <w:shd w:val="clear" w:color="auto" w:fill="auto"/>
            <w:tcMar>
              <w:left w:w="0" w:type="dxa"/>
              <w:right w:w="0" w:type="dxa"/>
            </w:tcMar>
            <w:hideMark/>
          </w:tcPr>
          <w:p w14:paraId="318962F9" w14:textId="77777777" w:rsidR="004A7081" w:rsidRPr="00463B87" w:rsidRDefault="004A7081" w:rsidP="00172925">
            <w:pPr>
              <w:ind w:left="-121" w:right="-171"/>
              <w:jc w:val="center"/>
              <w:rPr>
                <w:b/>
                <w:bCs/>
                <w:sz w:val="20"/>
                <w:szCs w:val="20"/>
              </w:rPr>
            </w:pPr>
            <w:proofErr w:type="spellStart"/>
            <w:r>
              <w:rPr>
                <w:b/>
                <w:sz w:val="20"/>
              </w:rPr>
              <w:t>Terminados</w:t>
            </w:r>
            <w:proofErr w:type="spellEnd"/>
          </w:p>
        </w:tc>
        <w:tc>
          <w:tcPr>
            <w:tcW w:w="1080" w:type="dxa"/>
            <w:tcBorders>
              <w:top w:val="nil"/>
              <w:left w:val="nil"/>
              <w:bottom w:val="single" w:sz="4" w:space="0" w:color="auto"/>
              <w:right w:val="single" w:sz="4" w:space="0" w:color="auto"/>
            </w:tcBorders>
            <w:shd w:val="clear" w:color="auto" w:fill="auto"/>
            <w:tcMar>
              <w:left w:w="0" w:type="dxa"/>
              <w:right w:w="0" w:type="dxa"/>
            </w:tcMar>
            <w:hideMark/>
          </w:tcPr>
          <w:p w14:paraId="7EA6AD24" w14:textId="77777777" w:rsidR="004A7081" w:rsidRPr="00463B87" w:rsidRDefault="004A7081" w:rsidP="00172925">
            <w:pPr>
              <w:ind w:left="-187" w:right="-165"/>
              <w:jc w:val="center"/>
              <w:rPr>
                <w:b/>
                <w:bCs/>
                <w:sz w:val="20"/>
                <w:szCs w:val="20"/>
              </w:rPr>
            </w:pPr>
            <w:r>
              <w:rPr>
                <w:b/>
                <w:sz w:val="20"/>
              </w:rPr>
              <w:t>%</w:t>
            </w:r>
            <w:r>
              <w:rPr>
                <w:b/>
                <w:sz w:val="20"/>
              </w:rPr>
              <w:br/>
            </w:r>
            <w:proofErr w:type="spellStart"/>
            <w:r>
              <w:rPr>
                <w:b/>
                <w:sz w:val="20"/>
              </w:rPr>
              <w:t>terminados</w:t>
            </w:r>
            <w:proofErr w:type="spellEnd"/>
          </w:p>
        </w:tc>
        <w:tc>
          <w:tcPr>
            <w:tcW w:w="1080" w:type="dxa"/>
            <w:tcBorders>
              <w:top w:val="nil"/>
              <w:left w:val="nil"/>
              <w:bottom w:val="single" w:sz="4" w:space="0" w:color="auto"/>
              <w:right w:val="single" w:sz="4" w:space="0" w:color="auto"/>
            </w:tcBorders>
            <w:shd w:val="clear" w:color="auto" w:fill="auto"/>
            <w:tcMar>
              <w:left w:w="0" w:type="dxa"/>
              <w:right w:w="0" w:type="dxa"/>
            </w:tcMar>
            <w:hideMark/>
          </w:tcPr>
          <w:p w14:paraId="5B4D313E" w14:textId="77777777" w:rsidR="004A7081" w:rsidRPr="00463B87" w:rsidRDefault="004A7081" w:rsidP="00172925">
            <w:pPr>
              <w:ind w:left="-210" w:right="-223"/>
              <w:jc w:val="center"/>
              <w:rPr>
                <w:b/>
                <w:bCs/>
                <w:sz w:val="20"/>
                <w:szCs w:val="20"/>
              </w:rPr>
            </w:pPr>
            <w:proofErr w:type="spellStart"/>
            <w:r>
              <w:rPr>
                <w:b/>
                <w:sz w:val="20"/>
              </w:rPr>
              <w:t>Aprobados</w:t>
            </w:r>
            <w:proofErr w:type="spellEnd"/>
          </w:p>
        </w:tc>
        <w:tc>
          <w:tcPr>
            <w:tcW w:w="1236" w:type="dxa"/>
            <w:tcBorders>
              <w:top w:val="nil"/>
              <w:left w:val="nil"/>
              <w:bottom w:val="single" w:sz="4" w:space="0" w:color="auto"/>
              <w:right w:val="single" w:sz="4" w:space="0" w:color="auto"/>
            </w:tcBorders>
            <w:shd w:val="clear" w:color="auto" w:fill="auto"/>
            <w:tcMar>
              <w:left w:w="0" w:type="dxa"/>
              <w:right w:w="0" w:type="dxa"/>
            </w:tcMar>
            <w:hideMark/>
          </w:tcPr>
          <w:p w14:paraId="3B66F868" w14:textId="77777777" w:rsidR="004A7081" w:rsidRPr="00463B87" w:rsidRDefault="004A7081" w:rsidP="00172925">
            <w:pPr>
              <w:jc w:val="center"/>
              <w:rPr>
                <w:b/>
                <w:bCs/>
                <w:sz w:val="20"/>
                <w:szCs w:val="20"/>
              </w:rPr>
            </w:pPr>
            <w:proofErr w:type="spellStart"/>
            <w:r>
              <w:rPr>
                <w:b/>
                <w:sz w:val="20"/>
              </w:rPr>
              <w:t>Desembolsado</w:t>
            </w:r>
            <w:proofErr w:type="spellEnd"/>
          </w:p>
        </w:tc>
        <w:tc>
          <w:tcPr>
            <w:tcW w:w="924" w:type="dxa"/>
            <w:tcBorders>
              <w:top w:val="nil"/>
              <w:left w:val="nil"/>
              <w:bottom w:val="single" w:sz="4" w:space="0" w:color="auto"/>
              <w:right w:val="single" w:sz="4" w:space="0" w:color="auto"/>
            </w:tcBorders>
            <w:shd w:val="clear" w:color="auto" w:fill="auto"/>
            <w:tcMar>
              <w:left w:w="0" w:type="dxa"/>
              <w:right w:w="0" w:type="dxa"/>
            </w:tcMar>
            <w:hideMark/>
          </w:tcPr>
          <w:p w14:paraId="7854824C" w14:textId="77777777" w:rsidR="004A7081" w:rsidRPr="00463B87" w:rsidRDefault="004A7081" w:rsidP="00172925">
            <w:pPr>
              <w:jc w:val="center"/>
              <w:rPr>
                <w:b/>
                <w:bCs/>
                <w:sz w:val="20"/>
                <w:szCs w:val="20"/>
              </w:rPr>
            </w:pPr>
            <w:proofErr w:type="spellStart"/>
            <w:r>
              <w:rPr>
                <w:b/>
                <w:sz w:val="20"/>
              </w:rPr>
              <w:t>Saldo</w:t>
            </w:r>
            <w:proofErr w:type="spellEnd"/>
          </w:p>
        </w:tc>
        <w:tc>
          <w:tcPr>
            <w:tcW w:w="126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17999D" w14:textId="77777777" w:rsidR="004A7081" w:rsidRPr="00463B87" w:rsidRDefault="004A7081" w:rsidP="00172925">
            <w:pPr>
              <w:ind w:left="-132" w:right="-111"/>
              <w:jc w:val="center"/>
              <w:rPr>
                <w:b/>
                <w:bCs/>
                <w:sz w:val="20"/>
                <w:szCs w:val="20"/>
              </w:rPr>
            </w:pPr>
            <w:r>
              <w:rPr>
                <w:b/>
                <w:sz w:val="20"/>
              </w:rPr>
              <w:t>%</w:t>
            </w:r>
            <w:r>
              <w:rPr>
                <w:b/>
                <w:sz w:val="20"/>
              </w:rPr>
              <w:br/>
            </w:r>
            <w:proofErr w:type="spellStart"/>
            <w:r>
              <w:rPr>
                <w:b/>
                <w:sz w:val="20"/>
              </w:rPr>
              <w:t>desembolsado</w:t>
            </w:r>
            <w:proofErr w:type="spellEnd"/>
          </w:p>
        </w:tc>
      </w:tr>
      <w:tr w:rsidR="004A7081" w:rsidRPr="00463B87" w14:paraId="005F2335" w14:textId="77777777" w:rsidTr="001C2686">
        <w:tc>
          <w:tcPr>
            <w:tcW w:w="1620" w:type="dxa"/>
            <w:tcBorders>
              <w:top w:val="nil"/>
              <w:left w:val="single" w:sz="4" w:space="0" w:color="auto"/>
              <w:bottom w:val="single" w:sz="4" w:space="0" w:color="auto"/>
              <w:right w:val="single" w:sz="4" w:space="0" w:color="auto"/>
            </w:tcBorders>
            <w:shd w:val="clear" w:color="auto" w:fill="auto"/>
            <w:hideMark/>
          </w:tcPr>
          <w:p w14:paraId="0BADBB2F" w14:textId="77777777" w:rsidR="004A7081" w:rsidRPr="0072455F" w:rsidRDefault="004A7081" w:rsidP="00172925">
            <w:pPr>
              <w:jc w:val="left"/>
              <w:rPr>
                <w:sz w:val="20"/>
                <w:szCs w:val="20"/>
                <w:lang w:val="es-419"/>
              </w:rPr>
            </w:pPr>
            <w:r w:rsidRPr="0072455F">
              <w:rPr>
                <w:sz w:val="20"/>
                <w:lang w:val="es-419"/>
              </w:rPr>
              <w:t>Asistencia técnica (actividades de apoyo)</w:t>
            </w:r>
          </w:p>
        </w:tc>
        <w:tc>
          <w:tcPr>
            <w:tcW w:w="1080" w:type="dxa"/>
            <w:tcBorders>
              <w:top w:val="nil"/>
              <w:left w:val="nil"/>
              <w:bottom w:val="single" w:sz="4" w:space="0" w:color="auto"/>
              <w:right w:val="single" w:sz="4" w:space="0" w:color="auto"/>
            </w:tcBorders>
            <w:shd w:val="clear" w:color="auto" w:fill="auto"/>
            <w:tcMar>
              <w:left w:w="115" w:type="dxa"/>
              <w:right w:w="144" w:type="dxa"/>
            </w:tcMar>
            <w:hideMark/>
          </w:tcPr>
          <w:p w14:paraId="22F2AF5A" w14:textId="77777777" w:rsidR="004A7081" w:rsidRPr="00463B87" w:rsidRDefault="004A7081" w:rsidP="00172925">
            <w:pPr>
              <w:jc w:val="right"/>
              <w:rPr>
                <w:sz w:val="20"/>
                <w:szCs w:val="20"/>
              </w:rPr>
            </w:pPr>
            <w:r>
              <w:rPr>
                <w:sz w:val="20"/>
              </w:rPr>
              <w:t>7</w:t>
            </w:r>
          </w:p>
        </w:tc>
        <w:tc>
          <w:tcPr>
            <w:tcW w:w="1170" w:type="dxa"/>
            <w:tcBorders>
              <w:top w:val="nil"/>
              <w:left w:val="nil"/>
              <w:bottom w:val="single" w:sz="4" w:space="0" w:color="auto"/>
              <w:right w:val="single" w:sz="4" w:space="0" w:color="auto"/>
            </w:tcBorders>
            <w:shd w:val="clear" w:color="auto" w:fill="auto"/>
            <w:tcMar>
              <w:left w:w="115" w:type="dxa"/>
              <w:right w:w="144" w:type="dxa"/>
            </w:tcMar>
            <w:hideMark/>
          </w:tcPr>
          <w:p w14:paraId="533DC8CA" w14:textId="77777777" w:rsidR="004A7081" w:rsidRPr="00463B87" w:rsidRDefault="004A7081" w:rsidP="00172925">
            <w:pPr>
              <w:jc w:val="right"/>
              <w:rPr>
                <w:sz w:val="20"/>
                <w:szCs w:val="20"/>
              </w:rPr>
            </w:pPr>
            <w:r>
              <w:rPr>
                <w:sz w:val="20"/>
              </w:rPr>
              <w:t>1</w:t>
            </w:r>
          </w:p>
        </w:tc>
        <w:tc>
          <w:tcPr>
            <w:tcW w:w="1080" w:type="dxa"/>
            <w:tcBorders>
              <w:top w:val="nil"/>
              <w:left w:val="nil"/>
              <w:bottom w:val="single" w:sz="4" w:space="0" w:color="auto"/>
              <w:right w:val="single" w:sz="4" w:space="0" w:color="auto"/>
            </w:tcBorders>
            <w:shd w:val="clear" w:color="auto" w:fill="auto"/>
            <w:tcMar>
              <w:left w:w="115" w:type="dxa"/>
              <w:right w:w="144" w:type="dxa"/>
            </w:tcMar>
            <w:hideMark/>
          </w:tcPr>
          <w:p w14:paraId="044CD6F6" w14:textId="77777777" w:rsidR="004A7081" w:rsidRPr="00463B87" w:rsidRDefault="004A7081" w:rsidP="00172925">
            <w:pPr>
              <w:jc w:val="right"/>
              <w:rPr>
                <w:sz w:val="20"/>
                <w:szCs w:val="20"/>
              </w:rPr>
            </w:pPr>
            <w:r>
              <w:rPr>
                <w:sz w:val="20"/>
              </w:rPr>
              <w:t>14</w:t>
            </w:r>
          </w:p>
        </w:tc>
        <w:tc>
          <w:tcPr>
            <w:tcW w:w="1080" w:type="dxa"/>
            <w:tcBorders>
              <w:top w:val="nil"/>
              <w:left w:val="nil"/>
              <w:bottom w:val="single" w:sz="4" w:space="0" w:color="auto"/>
              <w:right w:val="single" w:sz="4" w:space="0" w:color="auto"/>
            </w:tcBorders>
            <w:shd w:val="clear" w:color="auto" w:fill="auto"/>
            <w:tcMar>
              <w:left w:w="115" w:type="dxa"/>
              <w:right w:w="144" w:type="dxa"/>
            </w:tcMar>
            <w:hideMark/>
          </w:tcPr>
          <w:p w14:paraId="12DF4C39" w14:textId="77777777" w:rsidR="004A7081" w:rsidRPr="00463B87" w:rsidRDefault="004A7081" w:rsidP="00172925">
            <w:pPr>
              <w:jc w:val="right"/>
              <w:rPr>
                <w:sz w:val="20"/>
                <w:szCs w:val="20"/>
              </w:rPr>
            </w:pPr>
            <w:r>
              <w:rPr>
                <w:sz w:val="20"/>
              </w:rPr>
              <w:t>480.000</w:t>
            </w:r>
          </w:p>
        </w:tc>
        <w:tc>
          <w:tcPr>
            <w:tcW w:w="1236" w:type="dxa"/>
            <w:tcBorders>
              <w:top w:val="nil"/>
              <w:left w:val="nil"/>
              <w:bottom w:val="single" w:sz="4" w:space="0" w:color="auto"/>
              <w:right w:val="single" w:sz="4" w:space="0" w:color="auto"/>
            </w:tcBorders>
            <w:shd w:val="clear" w:color="auto" w:fill="auto"/>
            <w:tcMar>
              <w:left w:w="115" w:type="dxa"/>
              <w:right w:w="144" w:type="dxa"/>
            </w:tcMar>
            <w:hideMark/>
          </w:tcPr>
          <w:p w14:paraId="1B7BEAAB" w14:textId="77777777" w:rsidR="004A7081" w:rsidRPr="00463B87" w:rsidRDefault="004A7081" w:rsidP="00172925">
            <w:pPr>
              <w:jc w:val="right"/>
              <w:rPr>
                <w:sz w:val="20"/>
                <w:szCs w:val="20"/>
              </w:rPr>
            </w:pPr>
            <w:r>
              <w:rPr>
                <w:sz w:val="20"/>
              </w:rPr>
              <w:t>172.093</w:t>
            </w:r>
          </w:p>
        </w:tc>
        <w:tc>
          <w:tcPr>
            <w:tcW w:w="924" w:type="dxa"/>
            <w:tcBorders>
              <w:top w:val="nil"/>
              <w:left w:val="nil"/>
              <w:bottom w:val="single" w:sz="4" w:space="0" w:color="auto"/>
              <w:right w:val="single" w:sz="4" w:space="0" w:color="auto"/>
            </w:tcBorders>
            <w:shd w:val="clear" w:color="auto" w:fill="auto"/>
            <w:tcMar>
              <w:left w:w="115" w:type="dxa"/>
              <w:right w:w="144" w:type="dxa"/>
            </w:tcMar>
            <w:hideMark/>
          </w:tcPr>
          <w:p w14:paraId="7BE6724B" w14:textId="77777777" w:rsidR="004A7081" w:rsidRPr="00463B87" w:rsidRDefault="004A7081" w:rsidP="00172925">
            <w:pPr>
              <w:jc w:val="right"/>
              <w:rPr>
                <w:sz w:val="20"/>
                <w:szCs w:val="20"/>
              </w:rPr>
            </w:pPr>
            <w:r>
              <w:rPr>
                <w:sz w:val="20"/>
              </w:rPr>
              <w:t>307.907</w:t>
            </w:r>
          </w:p>
        </w:tc>
        <w:tc>
          <w:tcPr>
            <w:tcW w:w="1260" w:type="dxa"/>
            <w:tcBorders>
              <w:top w:val="nil"/>
              <w:left w:val="nil"/>
              <w:bottom w:val="single" w:sz="4" w:space="0" w:color="auto"/>
              <w:right w:val="single" w:sz="4" w:space="0" w:color="auto"/>
            </w:tcBorders>
            <w:shd w:val="clear" w:color="auto" w:fill="auto"/>
            <w:tcMar>
              <w:left w:w="115" w:type="dxa"/>
              <w:right w:w="144" w:type="dxa"/>
            </w:tcMar>
            <w:hideMark/>
          </w:tcPr>
          <w:p w14:paraId="52BB8EB9" w14:textId="77777777" w:rsidR="004A7081" w:rsidRPr="00463B87" w:rsidRDefault="004A7081" w:rsidP="00172925">
            <w:pPr>
              <w:jc w:val="right"/>
              <w:rPr>
                <w:sz w:val="20"/>
                <w:szCs w:val="20"/>
              </w:rPr>
            </w:pPr>
            <w:r>
              <w:rPr>
                <w:sz w:val="20"/>
              </w:rPr>
              <w:t>36</w:t>
            </w:r>
          </w:p>
        </w:tc>
      </w:tr>
    </w:tbl>
    <w:p w14:paraId="5CD64D1E" w14:textId="77777777" w:rsidR="004A7081" w:rsidRPr="0072455F" w:rsidRDefault="004A7081" w:rsidP="00172925">
      <w:pPr>
        <w:rPr>
          <w:sz w:val="20"/>
          <w:szCs w:val="20"/>
          <w:lang w:val="es-419"/>
        </w:rPr>
      </w:pPr>
      <w:r w:rsidRPr="0072455F">
        <w:rPr>
          <w:sz w:val="20"/>
          <w:lang w:val="es-419"/>
        </w:rPr>
        <w:t>* Excluidos los gastos de apoyo del organismo.</w:t>
      </w:r>
    </w:p>
    <w:p w14:paraId="24595FD4" w14:textId="77777777" w:rsidR="004A7081" w:rsidRPr="0072455F" w:rsidRDefault="004A7081" w:rsidP="00172925">
      <w:pPr>
        <w:rPr>
          <w:sz w:val="20"/>
          <w:szCs w:val="20"/>
          <w:lang w:val="es-419"/>
        </w:rPr>
      </w:pPr>
    </w:p>
    <w:p w14:paraId="13BE0768" w14:textId="04C8856F" w:rsidR="004A7081" w:rsidRPr="0072455F" w:rsidRDefault="004A7081" w:rsidP="00172925">
      <w:pPr>
        <w:pStyle w:val="Heading1"/>
        <w:rPr>
          <w:lang w:val="es-419"/>
        </w:rPr>
      </w:pPr>
      <w:r w:rsidRPr="0072455F">
        <w:rPr>
          <w:lang w:val="es-419"/>
        </w:rPr>
        <w:t xml:space="preserve">A finales de 2019, se había terminado una de las siete actividades de apoyo aprobadas. </w:t>
      </w:r>
      <w:proofErr w:type="gramStart"/>
      <w:r w:rsidRPr="0072455F">
        <w:rPr>
          <w:lang w:val="es-419"/>
        </w:rPr>
        <w:t>La prórroga de las fechas de terminación de las restantes seis actividades de apoyo en curso se aprobaron</w:t>
      </w:r>
      <w:proofErr w:type="gramEnd"/>
      <w:r w:rsidRPr="0072455F">
        <w:rPr>
          <w:lang w:val="es-419"/>
        </w:rPr>
        <w:t xml:space="preserve"> en la 83ª reunión (tres proyectos) y en la 84ª reunión (tres proyectos); estas actividades se encuentran en diferentes etapas de ejecución y se prevé que se terminarán en 2020. Del total acumulativo de fondos aprobados, de 480 000 $EUA, se han desembolsado 172 093 $EUA, lo que representa una tasa de desembolso del 36</w:t>
      </w:r>
      <w:r w:rsidR="001C2686">
        <w:rPr>
          <w:lang w:val="es-419"/>
        </w:rPr>
        <w:t xml:space="preserve"> por ciento</w:t>
      </w:r>
      <w:r w:rsidRPr="0072455F">
        <w:rPr>
          <w:lang w:val="es-419"/>
        </w:rPr>
        <w:t>.</w:t>
      </w:r>
    </w:p>
    <w:p w14:paraId="7C2EEDE1" w14:textId="77777777" w:rsidR="004A7081" w:rsidRPr="00463B87" w:rsidRDefault="004A7081" w:rsidP="00172925">
      <w:pPr>
        <w:rPr>
          <w:b/>
        </w:rPr>
      </w:pPr>
      <w:proofErr w:type="spellStart"/>
      <w:r>
        <w:rPr>
          <w:b/>
        </w:rPr>
        <w:t>Recomendación</w:t>
      </w:r>
      <w:proofErr w:type="spellEnd"/>
    </w:p>
    <w:p w14:paraId="2F68CD6C" w14:textId="77777777" w:rsidR="004A7081" w:rsidRPr="00463B87" w:rsidRDefault="004A7081" w:rsidP="00172925">
      <w:pPr>
        <w:rPr>
          <w:lang w:val="en-CA"/>
        </w:rPr>
      </w:pPr>
    </w:p>
    <w:p w14:paraId="629D654D" w14:textId="77777777" w:rsidR="004A7081" w:rsidRPr="0072455F" w:rsidRDefault="004A7081" w:rsidP="00172925">
      <w:pPr>
        <w:pStyle w:val="Heading1"/>
        <w:rPr>
          <w:lang w:val="es-419"/>
        </w:rPr>
      </w:pPr>
      <w:r w:rsidRPr="0072455F">
        <w:rPr>
          <w:snapToGrid w:val="0"/>
          <w:lang w:val="es-419"/>
        </w:rPr>
        <w:t>El Comité Ejecutivo tal vez desee:</w:t>
      </w:r>
    </w:p>
    <w:p w14:paraId="4B44163C" w14:textId="77777777" w:rsidR="004A7081" w:rsidRPr="0072455F" w:rsidRDefault="004A7081" w:rsidP="00172925">
      <w:pPr>
        <w:pStyle w:val="Heading2"/>
        <w:widowControl/>
        <w:rPr>
          <w:lang w:val="es-419"/>
        </w:rPr>
      </w:pPr>
      <w:r w:rsidRPr="0072455F">
        <w:rPr>
          <w:lang w:val="es-419"/>
        </w:rPr>
        <w:t>Tomar nota, con aprecio, de los informes sobre la marcha de las actividades presentados por los Gobiernos de Alemania, Australia, Canadá, España, la Federación de Rusia, Francia, Italia y el Japón que figuran en el documento UNEP/</w:t>
      </w:r>
      <w:proofErr w:type="spellStart"/>
      <w:r w:rsidRPr="0072455F">
        <w:rPr>
          <w:lang w:val="es-419"/>
        </w:rPr>
        <w:t>OzL.Pro</w:t>
      </w:r>
      <w:proofErr w:type="spellEnd"/>
      <w:r w:rsidRPr="0072455F">
        <w:rPr>
          <w:lang w:val="es-419"/>
        </w:rPr>
        <w:t>/</w:t>
      </w:r>
      <w:proofErr w:type="spellStart"/>
      <w:r w:rsidRPr="0072455F">
        <w:rPr>
          <w:lang w:val="es-419"/>
        </w:rPr>
        <w:t>ExCom</w:t>
      </w:r>
      <w:proofErr w:type="spellEnd"/>
      <w:r w:rsidRPr="0072455F">
        <w:rPr>
          <w:lang w:val="es-419"/>
        </w:rPr>
        <w:t>/86/16; y</w:t>
      </w:r>
    </w:p>
    <w:p w14:paraId="0E15DEC8" w14:textId="77777777" w:rsidR="004A7081" w:rsidRPr="0072455F" w:rsidRDefault="004A7081" w:rsidP="00172925">
      <w:pPr>
        <w:pStyle w:val="Heading2"/>
        <w:widowControl/>
        <w:rPr>
          <w:lang w:val="es-419"/>
        </w:rPr>
      </w:pPr>
      <w:r w:rsidRPr="0072455F">
        <w:rPr>
          <w:lang w:val="es-419"/>
        </w:rPr>
        <w:t>Aprobar las recomendaciones sobre proyectos en curso con cuestiones específicas que figuran en el Anexo I del presente documento.</w:t>
      </w:r>
    </w:p>
    <w:p w14:paraId="3F261396" w14:textId="77777777" w:rsidR="00DB4664" w:rsidRPr="00DB4664" w:rsidRDefault="00DB4664" w:rsidP="00172925">
      <w:pPr>
        <w:rPr>
          <w:lang w:val="es-ES"/>
        </w:rPr>
      </w:pPr>
    </w:p>
    <w:p w14:paraId="06247E6D" w14:textId="1A1D975E" w:rsidR="0087455A" w:rsidRPr="00DB4664" w:rsidRDefault="0087455A" w:rsidP="00172925">
      <w:pPr>
        <w:pStyle w:val="StyleHeader4Para4Left0Firstline0"/>
        <w:widowControl/>
        <w:numPr>
          <w:ilvl w:val="0"/>
          <w:numId w:val="0"/>
        </w:numPr>
        <w:rPr>
          <w:lang w:val="es-ES"/>
        </w:rPr>
      </w:pPr>
    </w:p>
    <w:p w14:paraId="4112C39C" w14:textId="77777777" w:rsidR="0087455A" w:rsidRPr="00DB4664" w:rsidRDefault="0087455A" w:rsidP="00172925">
      <w:pPr>
        <w:rPr>
          <w:lang w:val="es-ES"/>
        </w:rPr>
        <w:sectPr w:rsidR="0087455A" w:rsidRPr="00DB466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14:paraId="2118A696" w14:textId="77777777" w:rsidR="004A7081" w:rsidRPr="0072455F" w:rsidRDefault="004A7081" w:rsidP="00172925">
      <w:pPr>
        <w:jc w:val="center"/>
        <w:rPr>
          <w:b/>
          <w:bCs/>
          <w:lang w:val="es-419"/>
        </w:rPr>
      </w:pPr>
      <w:r w:rsidRPr="0072455F">
        <w:rPr>
          <w:b/>
          <w:lang w:val="es-419"/>
        </w:rPr>
        <w:lastRenderedPageBreak/>
        <w:t>Anexo I</w:t>
      </w:r>
    </w:p>
    <w:p w14:paraId="49BB851C" w14:textId="77777777" w:rsidR="004A7081" w:rsidRPr="0072455F" w:rsidRDefault="004A7081" w:rsidP="00172925">
      <w:pPr>
        <w:jc w:val="center"/>
        <w:rPr>
          <w:b/>
          <w:bCs/>
          <w:lang w:val="es-419"/>
        </w:rPr>
      </w:pPr>
    </w:p>
    <w:p w14:paraId="39EE5AFD" w14:textId="77777777" w:rsidR="004A7081" w:rsidRPr="0072455F" w:rsidRDefault="004A7081" w:rsidP="00172925">
      <w:pPr>
        <w:pStyle w:val="Heading2"/>
        <w:widowControl/>
        <w:numPr>
          <w:ilvl w:val="0"/>
          <w:numId w:val="0"/>
        </w:numPr>
        <w:jc w:val="center"/>
        <w:rPr>
          <w:b/>
          <w:lang w:val="es-419"/>
        </w:rPr>
      </w:pPr>
      <w:r w:rsidRPr="0072455F">
        <w:rPr>
          <w:b/>
          <w:lang w:val="es-419"/>
        </w:rPr>
        <w:t>PROYECTOS EN CURSO CON CUESTIONES PENDIENTES EN EL INFORME SOBRE LA MARCHA DE LAS ACTIVIDADES PARA LOS ORGANISMOS BILATERALES</w:t>
      </w:r>
    </w:p>
    <w:tbl>
      <w:tblPr>
        <w:tblW w:w="14305" w:type="dxa"/>
        <w:tblLayout w:type="fixed"/>
        <w:tblLook w:val="04A0" w:firstRow="1" w:lastRow="0" w:firstColumn="1" w:lastColumn="0" w:noHBand="0" w:noVBand="1"/>
      </w:tblPr>
      <w:tblGrid>
        <w:gridCol w:w="2155"/>
        <w:gridCol w:w="1170"/>
        <w:gridCol w:w="3690"/>
        <w:gridCol w:w="1260"/>
        <w:gridCol w:w="1890"/>
        <w:gridCol w:w="4140"/>
      </w:tblGrid>
      <w:tr w:rsidR="004A7081" w:rsidRPr="00463B87" w14:paraId="3B0A7EBB" w14:textId="77777777" w:rsidTr="001C2686">
        <w:trPr>
          <w:trHeight w:val="264"/>
          <w:tblHeader/>
        </w:trPr>
        <w:tc>
          <w:tcPr>
            <w:tcW w:w="2155" w:type="dxa"/>
            <w:tcBorders>
              <w:top w:val="single" w:sz="4" w:space="0" w:color="auto"/>
              <w:left w:val="single" w:sz="4" w:space="0" w:color="auto"/>
              <w:bottom w:val="single" w:sz="4" w:space="0" w:color="auto"/>
              <w:right w:val="single" w:sz="4" w:space="0" w:color="auto"/>
            </w:tcBorders>
            <w:shd w:val="clear" w:color="auto" w:fill="auto"/>
            <w:tcMar>
              <w:left w:w="72" w:type="dxa"/>
              <w:right w:w="58" w:type="dxa"/>
            </w:tcMar>
            <w:hideMark/>
          </w:tcPr>
          <w:p w14:paraId="08257142" w14:textId="77777777" w:rsidR="004A7081" w:rsidRPr="00463B87" w:rsidRDefault="004A7081" w:rsidP="00172925">
            <w:pPr>
              <w:jc w:val="center"/>
              <w:rPr>
                <w:b/>
                <w:bCs/>
                <w:sz w:val="20"/>
                <w:szCs w:val="20"/>
              </w:rPr>
            </w:pPr>
            <w:r>
              <w:rPr>
                <w:b/>
                <w:sz w:val="20"/>
              </w:rPr>
              <w:t>País/</w:t>
            </w:r>
            <w:proofErr w:type="spellStart"/>
            <w:r>
              <w:rPr>
                <w:b/>
                <w:sz w:val="20"/>
              </w:rPr>
              <w:t>Código</w:t>
            </w:r>
            <w:proofErr w:type="spellEnd"/>
            <w:r>
              <w:rPr>
                <w:b/>
                <w:sz w:val="20"/>
              </w:rPr>
              <w:t xml:space="preserve"> de </w:t>
            </w:r>
            <w:proofErr w:type="spellStart"/>
            <w:r>
              <w:rPr>
                <w:b/>
                <w:sz w:val="20"/>
              </w:rPr>
              <w:t>proyecto</w:t>
            </w:r>
            <w:proofErr w:type="spellEnd"/>
          </w:p>
        </w:tc>
        <w:tc>
          <w:tcPr>
            <w:tcW w:w="1170" w:type="dxa"/>
            <w:tcBorders>
              <w:top w:val="single" w:sz="4" w:space="0" w:color="auto"/>
              <w:left w:val="nil"/>
              <w:bottom w:val="single" w:sz="4" w:space="0" w:color="auto"/>
              <w:right w:val="single" w:sz="4" w:space="0" w:color="auto"/>
            </w:tcBorders>
            <w:shd w:val="clear" w:color="auto" w:fill="auto"/>
            <w:tcMar>
              <w:left w:w="72" w:type="dxa"/>
              <w:right w:w="58" w:type="dxa"/>
            </w:tcMar>
            <w:hideMark/>
          </w:tcPr>
          <w:p w14:paraId="1F76A02F" w14:textId="77777777" w:rsidR="004A7081" w:rsidRPr="00463B87" w:rsidRDefault="004A7081" w:rsidP="00172925">
            <w:pPr>
              <w:jc w:val="center"/>
              <w:rPr>
                <w:b/>
                <w:bCs/>
                <w:sz w:val="20"/>
                <w:szCs w:val="20"/>
              </w:rPr>
            </w:pPr>
            <w:proofErr w:type="spellStart"/>
            <w:r>
              <w:rPr>
                <w:b/>
                <w:sz w:val="20"/>
              </w:rPr>
              <w:t>Organismo</w:t>
            </w:r>
            <w:proofErr w:type="spellEnd"/>
          </w:p>
        </w:tc>
        <w:tc>
          <w:tcPr>
            <w:tcW w:w="3690" w:type="dxa"/>
            <w:tcBorders>
              <w:top w:val="single" w:sz="4" w:space="0" w:color="auto"/>
              <w:left w:val="nil"/>
              <w:bottom w:val="single" w:sz="4" w:space="0" w:color="auto"/>
              <w:right w:val="single" w:sz="4" w:space="0" w:color="auto"/>
            </w:tcBorders>
            <w:shd w:val="clear" w:color="auto" w:fill="auto"/>
            <w:tcMar>
              <w:left w:w="72" w:type="dxa"/>
              <w:right w:w="58" w:type="dxa"/>
            </w:tcMar>
            <w:hideMark/>
          </w:tcPr>
          <w:p w14:paraId="24EBEF30" w14:textId="77777777" w:rsidR="004A7081" w:rsidRPr="00463B87" w:rsidRDefault="004A7081" w:rsidP="00172925">
            <w:pPr>
              <w:jc w:val="center"/>
              <w:rPr>
                <w:b/>
                <w:bCs/>
                <w:sz w:val="20"/>
                <w:szCs w:val="20"/>
              </w:rPr>
            </w:pPr>
            <w:proofErr w:type="spellStart"/>
            <w:r>
              <w:rPr>
                <w:b/>
                <w:sz w:val="20"/>
              </w:rPr>
              <w:t>Título</w:t>
            </w:r>
            <w:proofErr w:type="spellEnd"/>
            <w:r>
              <w:rPr>
                <w:b/>
                <w:sz w:val="20"/>
              </w:rPr>
              <w:t xml:space="preserve"> del </w:t>
            </w:r>
            <w:proofErr w:type="spellStart"/>
            <w:r>
              <w:rPr>
                <w:b/>
                <w:sz w:val="20"/>
              </w:rPr>
              <w:t>proyecto</w:t>
            </w:r>
            <w:proofErr w:type="spellEnd"/>
          </w:p>
        </w:tc>
        <w:tc>
          <w:tcPr>
            <w:tcW w:w="1260" w:type="dxa"/>
            <w:tcBorders>
              <w:top w:val="single" w:sz="4" w:space="0" w:color="auto"/>
              <w:left w:val="nil"/>
              <w:bottom w:val="single" w:sz="4" w:space="0" w:color="auto"/>
              <w:right w:val="single" w:sz="4" w:space="0" w:color="auto"/>
            </w:tcBorders>
            <w:shd w:val="clear" w:color="auto" w:fill="auto"/>
            <w:tcMar>
              <w:left w:w="72" w:type="dxa"/>
              <w:right w:w="58" w:type="dxa"/>
            </w:tcMar>
            <w:hideMark/>
          </w:tcPr>
          <w:p w14:paraId="0A43BC30" w14:textId="77777777" w:rsidR="004A7081" w:rsidRPr="00463B87" w:rsidRDefault="004A7081" w:rsidP="00172925">
            <w:pPr>
              <w:jc w:val="center"/>
              <w:rPr>
                <w:b/>
                <w:bCs/>
                <w:sz w:val="20"/>
                <w:szCs w:val="20"/>
              </w:rPr>
            </w:pPr>
            <w:proofErr w:type="spellStart"/>
            <w:r>
              <w:rPr>
                <w:b/>
                <w:sz w:val="20"/>
              </w:rPr>
              <w:t>Desembolso</w:t>
            </w:r>
            <w:proofErr w:type="spellEnd"/>
            <w:r>
              <w:rPr>
                <w:b/>
                <w:sz w:val="20"/>
              </w:rPr>
              <w:t xml:space="preserve"> (%)</w:t>
            </w:r>
          </w:p>
        </w:tc>
        <w:tc>
          <w:tcPr>
            <w:tcW w:w="1890" w:type="dxa"/>
            <w:tcBorders>
              <w:top w:val="single" w:sz="4" w:space="0" w:color="auto"/>
              <w:left w:val="nil"/>
              <w:bottom w:val="single" w:sz="4" w:space="0" w:color="auto"/>
              <w:right w:val="single" w:sz="4" w:space="0" w:color="auto"/>
            </w:tcBorders>
            <w:shd w:val="clear" w:color="auto" w:fill="auto"/>
            <w:tcMar>
              <w:left w:w="72" w:type="dxa"/>
              <w:right w:w="58" w:type="dxa"/>
            </w:tcMar>
            <w:hideMark/>
          </w:tcPr>
          <w:p w14:paraId="6397364E" w14:textId="77777777" w:rsidR="004A7081" w:rsidRPr="00463B87" w:rsidRDefault="004A7081" w:rsidP="00172925">
            <w:pPr>
              <w:jc w:val="center"/>
              <w:rPr>
                <w:b/>
                <w:bCs/>
                <w:sz w:val="20"/>
                <w:szCs w:val="20"/>
              </w:rPr>
            </w:pPr>
            <w:proofErr w:type="spellStart"/>
            <w:r>
              <w:rPr>
                <w:b/>
                <w:sz w:val="20"/>
              </w:rPr>
              <w:t>Situación</w:t>
            </w:r>
            <w:proofErr w:type="spellEnd"/>
            <w:r>
              <w:rPr>
                <w:b/>
                <w:sz w:val="20"/>
              </w:rPr>
              <w:t>/</w:t>
            </w:r>
            <w:proofErr w:type="spellStart"/>
            <w:r>
              <w:rPr>
                <w:b/>
                <w:sz w:val="20"/>
              </w:rPr>
              <w:t>cuestiones</w:t>
            </w:r>
            <w:proofErr w:type="spellEnd"/>
          </w:p>
        </w:tc>
        <w:tc>
          <w:tcPr>
            <w:tcW w:w="4140" w:type="dxa"/>
            <w:tcBorders>
              <w:top w:val="single" w:sz="4" w:space="0" w:color="auto"/>
              <w:left w:val="nil"/>
              <w:bottom w:val="single" w:sz="4" w:space="0" w:color="auto"/>
              <w:right w:val="single" w:sz="4" w:space="0" w:color="auto"/>
            </w:tcBorders>
            <w:shd w:val="clear" w:color="auto" w:fill="auto"/>
            <w:tcMar>
              <w:left w:w="72" w:type="dxa"/>
              <w:right w:w="58" w:type="dxa"/>
            </w:tcMar>
            <w:hideMark/>
          </w:tcPr>
          <w:p w14:paraId="3B0B495E" w14:textId="77777777" w:rsidR="004A7081" w:rsidRPr="00463B87" w:rsidRDefault="004A7081" w:rsidP="00172925">
            <w:pPr>
              <w:jc w:val="center"/>
              <w:rPr>
                <w:b/>
                <w:bCs/>
                <w:sz w:val="20"/>
                <w:szCs w:val="20"/>
              </w:rPr>
            </w:pPr>
            <w:proofErr w:type="spellStart"/>
            <w:r>
              <w:rPr>
                <w:b/>
                <w:sz w:val="20"/>
              </w:rPr>
              <w:t>Recomendación</w:t>
            </w:r>
            <w:proofErr w:type="spellEnd"/>
          </w:p>
        </w:tc>
      </w:tr>
      <w:tr w:rsidR="004A7081" w:rsidRPr="00CA2A3B" w14:paraId="10758142" w14:textId="77777777" w:rsidTr="001C2686">
        <w:trPr>
          <w:trHeight w:val="528"/>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1CAC8EC6" w14:textId="77777777" w:rsidR="004A7081" w:rsidRPr="00463B87" w:rsidRDefault="004A7081" w:rsidP="00172925">
            <w:pPr>
              <w:jc w:val="left"/>
              <w:rPr>
                <w:sz w:val="20"/>
                <w:szCs w:val="20"/>
              </w:rPr>
            </w:pPr>
            <w:r>
              <w:rPr>
                <w:sz w:val="20"/>
              </w:rPr>
              <w:t>Zimbabwe</w:t>
            </w:r>
          </w:p>
          <w:p w14:paraId="22EDF64F" w14:textId="77777777" w:rsidR="004A7081" w:rsidRPr="00463B87" w:rsidRDefault="004A7081" w:rsidP="00172925">
            <w:pPr>
              <w:jc w:val="left"/>
              <w:rPr>
                <w:sz w:val="20"/>
                <w:szCs w:val="20"/>
              </w:rPr>
            </w:pPr>
            <w:r>
              <w:rPr>
                <w:sz w:val="20"/>
              </w:rPr>
              <w:t>ZIM/REF/82/INV/56</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1E0EE6E7" w14:textId="77777777" w:rsidR="004A7081" w:rsidRPr="00463B87" w:rsidRDefault="004A7081" w:rsidP="00172925">
            <w:pPr>
              <w:jc w:val="left"/>
              <w:rPr>
                <w:sz w:val="20"/>
                <w:szCs w:val="20"/>
              </w:rPr>
            </w:pPr>
            <w:proofErr w:type="spellStart"/>
            <w:r>
              <w:rPr>
                <w:sz w:val="20"/>
              </w:rPr>
              <w:t>Francia</w:t>
            </w:r>
            <w:proofErr w:type="spellEnd"/>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3CBCFA38" w14:textId="77777777" w:rsidR="004A7081" w:rsidRPr="0072455F" w:rsidRDefault="004A7081" w:rsidP="00172925">
            <w:pPr>
              <w:jc w:val="left"/>
              <w:rPr>
                <w:sz w:val="20"/>
                <w:szCs w:val="20"/>
                <w:lang w:val="es-419"/>
              </w:rPr>
            </w:pPr>
            <w:r w:rsidRPr="0072455F">
              <w:rPr>
                <w:sz w:val="20"/>
                <w:lang w:val="es-419"/>
              </w:rPr>
              <w:t xml:space="preserve">Conversión de HFC-134a a </w:t>
            </w:r>
            <w:proofErr w:type="spellStart"/>
            <w:r w:rsidRPr="0072455F">
              <w:rPr>
                <w:sz w:val="20"/>
                <w:lang w:val="es-419"/>
              </w:rPr>
              <w:t>isobutano</w:t>
            </w:r>
            <w:proofErr w:type="spellEnd"/>
            <w:r w:rsidRPr="0072455F">
              <w:rPr>
                <w:sz w:val="20"/>
                <w:lang w:val="es-419"/>
              </w:rPr>
              <w:t xml:space="preserve"> en la fabricación de refrigeradores domésticos en </w:t>
            </w:r>
            <w:proofErr w:type="spellStart"/>
            <w:r w:rsidRPr="0072455F">
              <w:rPr>
                <w:sz w:val="20"/>
                <w:lang w:val="es-419"/>
              </w:rPr>
              <w:t>Capri</w:t>
            </w:r>
            <w:proofErr w:type="spellEnd"/>
            <w:r w:rsidRPr="0072455F">
              <w:rPr>
                <w:sz w:val="20"/>
                <w:lang w:val="es-419"/>
              </w:rPr>
              <w:t xml:space="preserve"> (EPM de Harare)</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38D80911" w14:textId="77777777" w:rsidR="004A7081" w:rsidRPr="00463B87" w:rsidRDefault="004A7081" w:rsidP="00172925">
            <w:pPr>
              <w:jc w:val="center"/>
              <w:rPr>
                <w:sz w:val="20"/>
                <w:szCs w:val="20"/>
              </w:rPr>
            </w:pPr>
            <w:r>
              <w:rPr>
                <w:sz w:val="20"/>
              </w:rPr>
              <w:t>0</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52E09908" w14:textId="77777777" w:rsidR="004A7081" w:rsidRPr="00463B87" w:rsidRDefault="004A7081" w:rsidP="00172925">
            <w:pPr>
              <w:jc w:val="left"/>
              <w:rPr>
                <w:sz w:val="20"/>
                <w:szCs w:val="20"/>
              </w:rPr>
            </w:pPr>
            <w:r>
              <w:rPr>
                <w:sz w:val="20"/>
              </w:rPr>
              <w:t xml:space="preserve">12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0D5BA92B" w14:textId="77777777" w:rsidR="004A7081" w:rsidRPr="0072455F" w:rsidRDefault="004A7081" w:rsidP="00172925">
            <w:pPr>
              <w:jc w:val="left"/>
              <w:rPr>
                <w:sz w:val="20"/>
                <w:szCs w:val="20"/>
                <w:lang w:val="es-419"/>
              </w:rPr>
            </w:pPr>
            <w:r w:rsidRPr="0072455F">
              <w:rPr>
                <w:sz w:val="20"/>
                <w:lang w:val="es-419"/>
              </w:rPr>
              <w:t>Pedir a Francia que informe a la 87ª reunión acerca de este proyecto con demoras en la ejecución</w:t>
            </w:r>
          </w:p>
        </w:tc>
      </w:tr>
      <w:tr w:rsidR="004A7081" w:rsidRPr="00CA2A3B" w14:paraId="34ED8419" w14:textId="77777777" w:rsidTr="001C2686">
        <w:trPr>
          <w:trHeight w:val="528"/>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06EC8205" w14:textId="77777777" w:rsidR="004A7081" w:rsidRPr="00463B87" w:rsidRDefault="004A7081" w:rsidP="00172925">
            <w:pPr>
              <w:jc w:val="left"/>
              <w:rPr>
                <w:sz w:val="20"/>
                <w:szCs w:val="20"/>
              </w:rPr>
            </w:pPr>
            <w:r>
              <w:rPr>
                <w:sz w:val="20"/>
              </w:rPr>
              <w:t>México</w:t>
            </w:r>
          </w:p>
          <w:p w14:paraId="3A44A068" w14:textId="77777777" w:rsidR="004A7081" w:rsidRPr="00463B87" w:rsidRDefault="004A7081" w:rsidP="00172925">
            <w:pPr>
              <w:jc w:val="left"/>
              <w:rPr>
                <w:sz w:val="20"/>
                <w:szCs w:val="20"/>
              </w:rPr>
            </w:pPr>
            <w:r>
              <w:rPr>
                <w:sz w:val="20"/>
              </w:rPr>
              <w:t>MEX/PHA/74/INV/172</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75CA7E29" w14:textId="77777777" w:rsidR="004A7081" w:rsidRPr="00463B87" w:rsidRDefault="004A7081" w:rsidP="00172925">
            <w:pPr>
              <w:jc w:val="left"/>
              <w:rPr>
                <w:sz w:val="20"/>
                <w:szCs w:val="20"/>
              </w:rPr>
            </w:pPr>
            <w:proofErr w:type="spellStart"/>
            <w:r>
              <w:rPr>
                <w:sz w:val="20"/>
              </w:rPr>
              <w:t>Alemania</w:t>
            </w:r>
            <w:proofErr w:type="spellEnd"/>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7456D690" w14:textId="77777777" w:rsidR="004A7081" w:rsidRPr="0072455F" w:rsidRDefault="004A7081" w:rsidP="00172925">
            <w:pPr>
              <w:jc w:val="left"/>
              <w:rPr>
                <w:sz w:val="20"/>
                <w:szCs w:val="20"/>
                <w:lang w:val="es-419"/>
              </w:rPr>
            </w:pPr>
            <w:r w:rsidRPr="0072455F">
              <w:rPr>
                <w:sz w:val="20"/>
                <w:lang w:val="es-419"/>
              </w:rPr>
              <w:t>Plan de gestión para la eliminación de los HCFC (etapa II, primer tramo) (demostración y capacitación en relación con los HC)</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42725344" w14:textId="77777777" w:rsidR="004A7081" w:rsidRPr="00463B87" w:rsidRDefault="004A7081" w:rsidP="00172925">
            <w:pPr>
              <w:jc w:val="center"/>
              <w:rPr>
                <w:sz w:val="20"/>
                <w:szCs w:val="20"/>
              </w:rPr>
            </w:pPr>
            <w:r>
              <w:rPr>
                <w:sz w:val="20"/>
              </w:rPr>
              <w:t>69</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36F12268" w14:textId="77777777" w:rsidR="004A7081" w:rsidRPr="00463B87" w:rsidRDefault="004A7081" w:rsidP="00172925">
            <w:pPr>
              <w:jc w:val="left"/>
              <w:rPr>
                <w:sz w:val="20"/>
                <w:szCs w:val="20"/>
              </w:rPr>
            </w:pPr>
            <w:r>
              <w:rPr>
                <w:sz w:val="20"/>
              </w:rPr>
              <w:t xml:space="preserve">12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5BC1CD4A" w14:textId="77777777" w:rsidR="004A7081" w:rsidRPr="0072455F" w:rsidRDefault="004A7081" w:rsidP="00172925">
            <w:pPr>
              <w:jc w:val="left"/>
              <w:rPr>
                <w:sz w:val="20"/>
                <w:szCs w:val="20"/>
                <w:lang w:val="es-419"/>
              </w:rPr>
            </w:pPr>
            <w:r w:rsidRPr="0072455F">
              <w:rPr>
                <w:sz w:val="20"/>
                <w:lang w:val="es-419"/>
              </w:rPr>
              <w:t>Pedir a Alemania que informe a la 87ª reunión acerca de este proyecto con demoras en la ejecución</w:t>
            </w:r>
          </w:p>
        </w:tc>
      </w:tr>
      <w:tr w:rsidR="004A7081" w:rsidRPr="00CA2A3B" w14:paraId="309B529C" w14:textId="77777777" w:rsidTr="001C2686">
        <w:trPr>
          <w:trHeight w:val="528"/>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16F1825C" w14:textId="77777777" w:rsidR="004A7081" w:rsidRPr="00463B87" w:rsidRDefault="004A7081" w:rsidP="00172925">
            <w:pPr>
              <w:jc w:val="left"/>
              <w:rPr>
                <w:sz w:val="20"/>
                <w:szCs w:val="20"/>
              </w:rPr>
            </w:pPr>
            <w:r>
              <w:rPr>
                <w:sz w:val="20"/>
              </w:rPr>
              <w:t>México</w:t>
            </w:r>
          </w:p>
          <w:p w14:paraId="4A22BDA4" w14:textId="77777777" w:rsidR="004A7081" w:rsidRPr="00463B87" w:rsidRDefault="004A7081" w:rsidP="00172925">
            <w:pPr>
              <w:jc w:val="left"/>
              <w:rPr>
                <w:sz w:val="20"/>
                <w:szCs w:val="20"/>
              </w:rPr>
            </w:pPr>
            <w:r>
              <w:rPr>
                <w:sz w:val="20"/>
              </w:rPr>
              <w:t>MEX/PHA/77/INV/179</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31D21B97" w14:textId="77777777" w:rsidR="004A7081" w:rsidRPr="00463B87" w:rsidRDefault="004A7081" w:rsidP="00172925">
            <w:pPr>
              <w:jc w:val="left"/>
              <w:rPr>
                <w:sz w:val="20"/>
                <w:szCs w:val="20"/>
              </w:rPr>
            </w:pPr>
            <w:proofErr w:type="spellStart"/>
            <w:r>
              <w:rPr>
                <w:sz w:val="20"/>
              </w:rPr>
              <w:t>Alemania</w:t>
            </w:r>
            <w:proofErr w:type="spellEnd"/>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64792F9E" w14:textId="77777777" w:rsidR="004A7081" w:rsidRPr="0072455F" w:rsidRDefault="004A7081" w:rsidP="00172925">
            <w:pPr>
              <w:jc w:val="left"/>
              <w:rPr>
                <w:sz w:val="20"/>
                <w:szCs w:val="20"/>
                <w:lang w:val="es-419"/>
              </w:rPr>
            </w:pPr>
            <w:r w:rsidRPr="0072455F">
              <w:rPr>
                <w:sz w:val="20"/>
                <w:lang w:val="es-419"/>
              </w:rPr>
              <w:t>Plan de gestión de la eliminación de los HCFC (etapa II, segundo tramo) (demostración y capacitación para hidrocarburos)</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1824B058" w14:textId="77777777" w:rsidR="004A7081" w:rsidRPr="00463B87" w:rsidRDefault="004A7081" w:rsidP="00172925">
            <w:pPr>
              <w:jc w:val="center"/>
              <w:rPr>
                <w:sz w:val="20"/>
                <w:szCs w:val="20"/>
              </w:rPr>
            </w:pPr>
            <w:r>
              <w:rPr>
                <w:sz w:val="20"/>
              </w:rPr>
              <w:t>0</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528DE1AE" w14:textId="77777777" w:rsidR="004A7081" w:rsidRPr="00463B87" w:rsidRDefault="004A7081" w:rsidP="00172925">
            <w:pPr>
              <w:jc w:val="left"/>
              <w:rPr>
                <w:sz w:val="20"/>
                <w:szCs w:val="20"/>
              </w:rPr>
            </w:pPr>
            <w:r>
              <w:rPr>
                <w:sz w:val="20"/>
              </w:rPr>
              <w:t>12 y 18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2817B584" w14:textId="77777777" w:rsidR="004A7081" w:rsidRPr="0072455F" w:rsidRDefault="004A7081" w:rsidP="00172925">
            <w:pPr>
              <w:jc w:val="left"/>
              <w:rPr>
                <w:sz w:val="20"/>
                <w:szCs w:val="20"/>
                <w:lang w:val="es-419"/>
              </w:rPr>
            </w:pPr>
            <w:r w:rsidRPr="0072455F">
              <w:rPr>
                <w:sz w:val="20"/>
                <w:lang w:val="es-419"/>
              </w:rPr>
              <w:t>Pedir a Alemania que informe a la 87ª reunión acerca de este proyecto con demoras en la ejecución</w:t>
            </w:r>
          </w:p>
        </w:tc>
      </w:tr>
      <w:tr w:rsidR="004A7081" w:rsidRPr="00CA2A3B" w14:paraId="7DC2C20E" w14:textId="77777777" w:rsidTr="001C2686">
        <w:trPr>
          <w:trHeight w:val="332"/>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51BCF35A" w14:textId="77777777" w:rsidR="004A7081" w:rsidRPr="00463B87" w:rsidRDefault="004A7081" w:rsidP="00172925">
            <w:pPr>
              <w:jc w:val="left"/>
              <w:rPr>
                <w:sz w:val="20"/>
                <w:szCs w:val="20"/>
              </w:rPr>
            </w:pPr>
            <w:r>
              <w:rPr>
                <w:sz w:val="20"/>
              </w:rPr>
              <w:t xml:space="preserve">Namibia </w:t>
            </w:r>
          </w:p>
          <w:p w14:paraId="58D0A4E0" w14:textId="77777777" w:rsidR="004A7081" w:rsidRPr="00463B87" w:rsidRDefault="004A7081" w:rsidP="00172925">
            <w:pPr>
              <w:jc w:val="left"/>
              <w:rPr>
                <w:sz w:val="20"/>
                <w:szCs w:val="20"/>
              </w:rPr>
            </w:pPr>
            <w:r>
              <w:rPr>
                <w:sz w:val="20"/>
              </w:rPr>
              <w:t>NAM/PHA/71/INV/19</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575215C4" w14:textId="77777777" w:rsidR="004A7081" w:rsidRPr="00463B87" w:rsidRDefault="004A7081" w:rsidP="00172925">
            <w:pPr>
              <w:jc w:val="left"/>
              <w:rPr>
                <w:sz w:val="20"/>
                <w:szCs w:val="20"/>
              </w:rPr>
            </w:pPr>
            <w:proofErr w:type="spellStart"/>
            <w:r>
              <w:rPr>
                <w:sz w:val="20"/>
              </w:rPr>
              <w:t>Alemania</w:t>
            </w:r>
            <w:proofErr w:type="spellEnd"/>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0319EBBB" w14:textId="77777777" w:rsidR="004A7081" w:rsidRPr="0072455F" w:rsidRDefault="004A7081" w:rsidP="00172925">
            <w:pPr>
              <w:jc w:val="left"/>
              <w:rPr>
                <w:sz w:val="20"/>
                <w:szCs w:val="20"/>
                <w:lang w:val="es-419"/>
              </w:rPr>
            </w:pPr>
            <w:r w:rsidRPr="0072455F">
              <w:rPr>
                <w:sz w:val="20"/>
                <w:lang w:val="es-419"/>
              </w:rPr>
              <w:t>Plan de gestión de la eliminación de los HCFC (segundo tramo)</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14750B26" w14:textId="77777777" w:rsidR="004A7081" w:rsidRPr="00463B87" w:rsidRDefault="004A7081" w:rsidP="00172925">
            <w:pPr>
              <w:jc w:val="center"/>
              <w:rPr>
                <w:sz w:val="20"/>
                <w:szCs w:val="20"/>
              </w:rPr>
            </w:pPr>
            <w:r>
              <w:rPr>
                <w:sz w:val="20"/>
              </w:rPr>
              <w:t>87</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69397CB5" w14:textId="77777777" w:rsidR="004A7081" w:rsidRPr="00463B87" w:rsidRDefault="004A7081" w:rsidP="00172925">
            <w:pPr>
              <w:jc w:val="left"/>
              <w:rPr>
                <w:sz w:val="20"/>
                <w:szCs w:val="20"/>
              </w:rPr>
            </w:pPr>
            <w:r>
              <w:rPr>
                <w:sz w:val="20"/>
              </w:rPr>
              <w:t xml:space="preserve">12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5D721CAB" w14:textId="77777777" w:rsidR="004A7081" w:rsidRPr="0072455F" w:rsidRDefault="004A7081" w:rsidP="00172925">
            <w:pPr>
              <w:jc w:val="left"/>
              <w:rPr>
                <w:sz w:val="20"/>
                <w:szCs w:val="20"/>
                <w:lang w:val="es-419"/>
              </w:rPr>
            </w:pPr>
            <w:r w:rsidRPr="0072455F">
              <w:rPr>
                <w:sz w:val="20"/>
                <w:lang w:val="es-419"/>
              </w:rPr>
              <w:t>Pedir a Alemania que informe a la 87ª reunión acerca de este proyecto con demoras en la ejecución</w:t>
            </w:r>
          </w:p>
        </w:tc>
      </w:tr>
      <w:tr w:rsidR="004A7081" w:rsidRPr="00CA2A3B" w14:paraId="19D49DA9" w14:textId="77777777" w:rsidTr="001C2686">
        <w:trPr>
          <w:trHeight w:val="422"/>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339B8F8B" w14:textId="77777777" w:rsidR="004A7081" w:rsidRPr="0072455F" w:rsidRDefault="004A7081" w:rsidP="00172925">
            <w:pPr>
              <w:jc w:val="left"/>
              <w:rPr>
                <w:sz w:val="20"/>
                <w:szCs w:val="20"/>
                <w:lang w:val="es-419"/>
              </w:rPr>
            </w:pPr>
            <w:proofErr w:type="spellStart"/>
            <w:r w:rsidRPr="0072455F">
              <w:rPr>
                <w:sz w:val="20"/>
                <w:lang w:val="es-419"/>
              </w:rPr>
              <w:t>Papua</w:t>
            </w:r>
            <w:proofErr w:type="spellEnd"/>
            <w:r w:rsidRPr="0072455F">
              <w:rPr>
                <w:sz w:val="20"/>
                <w:lang w:val="es-419"/>
              </w:rPr>
              <w:t xml:space="preserve"> Nueva Guinea </w:t>
            </w:r>
          </w:p>
          <w:p w14:paraId="71DE9618" w14:textId="77777777" w:rsidR="004A7081" w:rsidRPr="0072455F" w:rsidRDefault="004A7081" w:rsidP="00172925">
            <w:pPr>
              <w:jc w:val="left"/>
              <w:rPr>
                <w:sz w:val="20"/>
                <w:szCs w:val="20"/>
                <w:lang w:val="es-419"/>
              </w:rPr>
            </w:pPr>
            <w:r w:rsidRPr="0072455F">
              <w:rPr>
                <w:sz w:val="20"/>
                <w:lang w:val="es-419"/>
              </w:rPr>
              <w:t>PNG/PHA/71/INV/12</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03310551" w14:textId="77777777" w:rsidR="004A7081" w:rsidRPr="00463B87" w:rsidRDefault="004A7081" w:rsidP="00172925">
            <w:pPr>
              <w:jc w:val="left"/>
              <w:rPr>
                <w:sz w:val="20"/>
                <w:szCs w:val="20"/>
              </w:rPr>
            </w:pPr>
            <w:proofErr w:type="spellStart"/>
            <w:r>
              <w:rPr>
                <w:sz w:val="20"/>
              </w:rPr>
              <w:t>Alemania</w:t>
            </w:r>
            <w:proofErr w:type="spellEnd"/>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0AA5ABCD" w14:textId="77777777" w:rsidR="004A7081" w:rsidRPr="0072455F" w:rsidRDefault="004A7081" w:rsidP="00172925">
            <w:pPr>
              <w:jc w:val="left"/>
              <w:rPr>
                <w:sz w:val="20"/>
                <w:szCs w:val="20"/>
                <w:lang w:val="es-419"/>
              </w:rPr>
            </w:pPr>
            <w:r w:rsidRPr="0072455F">
              <w:rPr>
                <w:sz w:val="20"/>
                <w:lang w:val="es-419"/>
              </w:rPr>
              <w:t>Plan de gestión de la eliminación de los HCFC (segundo tramo)</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10BC93DF" w14:textId="77777777" w:rsidR="004A7081" w:rsidRPr="00463B87" w:rsidRDefault="004A7081" w:rsidP="00172925">
            <w:pPr>
              <w:jc w:val="center"/>
              <w:rPr>
                <w:sz w:val="20"/>
                <w:szCs w:val="20"/>
              </w:rPr>
            </w:pPr>
            <w:r>
              <w:rPr>
                <w:sz w:val="20"/>
              </w:rPr>
              <w:t>93</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2D81858E" w14:textId="77777777" w:rsidR="004A7081" w:rsidRPr="00463B87" w:rsidRDefault="004A7081" w:rsidP="00172925">
            <w:pPr>
              <w:jc w:val="left"/>
              <w:rPr>
                <w:sz w:val="20"/>
                <w:szCs w:val="20"/>
              </w:rPr>
            </w:pPr>
            <w:r>
              <w:rPr>
                <w:sz w:val="20"/>
              </w:rPr>
              <w:t xml:space="preserve">12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5CED61FA" w14:textId="77777777" w:rsidR="004A7081" w:rsidRPr="0072455F" w:rsidRDefault="004A7081" w:rsidP="00172925">
            <w:pPr>
              <w:jc w:val="left"/>
              <w:rPr>
                <w:sz w:val="20"/>
                <w:szCs w:val="20"/>
                <w:lang w:val="es-419"/>
              </w:rPr>
            </w:pPr>
            <w:r w:rsidRPr="0072455F">
              <w:rPr>
                <w:sz w:val="20"/>
                <w:lang w:val="es-419"/>
              </w:rPr>
              <w:t>Pedir a Alemania que informe a la 87ª reunión acerca de este proyecto con demoras en la ejecución</w:t>
            </w:r>
          </w:p>
        </w:tc>
      </w:tr>
      <w:tr w:rsidR="004A7081" w:rsidRPr="00CA2A3B" w14:paraId="6B3FF6E2" w14:textId="77777777" w:rsidTr="001C2686">
        <w:trPr>
          <w:trHeight w:val="422"/>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0CB1127F" w14:textId="77777777" w:rsidR="004A7081" w:rsidRPr="00463B87" w:rsidRDefault="004A7081" w:rsidP="00172925">
            <w:pPr>
              <w:jc w:val="left"/>
              <w:rPr>
                <w:sz w:val="20"/>
                <w:szCs w:val="20"/>
              </w:rPr>
            </w:pPr>
            <w:r>
              <w:rPr>
                <w:sz w:val="20"/>
              </w:rPr>
              <w:t xml:space="preserve">Seychelles </w:t>
            </w:r>
          </w:p>
          <w:p w14:paraId="001F4B29" w14:textId="77777777" w:rsidR="004A7081" w:rsidRPr="00463B87" w:rsidRDefault="004A7081" w:rsidP="00172925">
            <w:pPr>
              <w:jc w:val="left"/>
              <w:rPr>
                <w:sz w:val="20"/>
                <w:szCs w:val="20"/>
              </w:rPr>
            </w:pPr>
            <w:r>
              <w:rPr>
                <w:sz w:val="20"/>
              </w:rPr>
              <w:t>SEY/PHA/70/INV/19</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4B932023" w14:textId="77777777" w:rsidR="004A7081" w:rsidRPr="00463B87" w:rsidRDefault="004A7081" w:rsidP="00172925">
            <w:pPr>
              <w:jc w:val="left"/>
              <w:rPr>
                <w:sz w:val="20"/>
                <w:szCs w:val="20"/>
              </w:rPr>
            </w:pPr>
            <w:proofErr w:type="spellStart"/>
            <w:r>
              <w:rPr>
                <w:sz w:val="20"/>
              </w:rPr>
              <w:t>Alemania</w:t>
            </w:r>
            <w:proofErr w:type="spellEnd"/>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6644BA0D" w14:textId="77777777" w:rsidR="004A7081" w:rsidRPr="0072455F" w:rsidRDefault="004A7081" w:rsidP="00172925">
            <w:pPr>
              <w:jc w:val="left"/>
              <w:rPr>
                <w:sz w:val="20"/>
                <w:szCs w:val="20"/>
                <w:lang w:val="es-419"/>
              </w:rPr>
            </w:pPr>
            <w:r w:rsidRPr="0072455F">
              <w:rPr>
                <w:sz w:val="20"/>
                <w:lang w:val="es-419"/>
              </w:rPr>
              <w:t>Plan de gestión de la eliminación de los HCFC (segundo tramo)</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75A27D0E" w14:textId="77777777" w:rsidR="004A7081" w:rsidRPr="00463B87" w:rsidRDefault="004A7081" w:rsidP="00172925">
            <w:pPr>
              <w:jc w:val="center"/>
              <w:rPr>
                <w:sz w:val="20"/>
                <w:szCs w:val="20"/>
              </w:rPr>
            </w:pPr>
            <w:r>
              <w:rPr>
                <w:sz w:val="20"/>
              </w:rPr>
              <w:t>94</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75A47759" w14:textId="77777777" w:rsidR="004A7081" w:rsidRPr="00463B87" w:rsidRDefault="004A7081" w:rsidP="00172925">
            <w:pPr>
              <w:jc w:val="left"/>
              <w:rPr>
                <w:sz w:val="20"/>
                <w:szCs w:val="20"/>
              </w:rPr>
            </w:pPr>
            <w:r>
              <w:rPr>
                <w:sz w:val="20"/>
              </w:rPr>
              <w:t xml:space="preserve">12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41837583" w14:textId="77777777" w:rsidR="004A7081" w:rsidRPr="0072455F" w:rsidRDefault="004A7081" w:rsidP="00172925">
            <w:pPr>
              <w:jc w:val="left"/>
              <w:rPr>
                <w:sz w:val="20"/>
                <w:szCs w:val="20"/>
                <w:lang w:val="es-419"/>
              </w:rPr>
            </w:pPr>
            <w:r w:rsidRPr="0072455F">
              <w:rPr>
                <w:sz w:val="20"/>
                <w:lang w:val="es-419"/>
              </w:rPr>
              <w:t>Pedir a Alemania que informe a la 87ª reunión acerca de este proyecto con demoras en la ejecución</w:t>
            </w:r>
          </w:p>
        </w:tc>
      </w:tr>
      <w:tr w:rsidR="004A7081" w:rsidRPr="00CA2A3B" w14:paraId="67A8E890" w14:textId="77777777" w:rsidTr="001C2686">
        <w:trPr>
          <w:trHeight w:val="341"/>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0FEF2335" w14:textId="77777777" w:rsidR="004A7081" w:rsidRPr="00463B87" w:rsidRDefault="004A7081" w:rsidP="00172925">
            <w:pPr>
              <w:jc w:val="left"/>
              <w:rPr>
                <w:sz w:val="20"/>
                <w:szCs w:val="20"/>
              </w:rPr>
            </w:pPr>
            <w:r>
              <w:rPr>
                <w:sz w:val="20"/>
              </w:rPr>
              <w:t xml:space="preserve">Seychelles </w:t>
            </w:r>
          </w:p>
          <w:p w14:paraId="64265954" w14:textId="77777777" w:rsidR="004A7081" w:rsidRPr="00463B87" w:rsidRDefault="004A7081" w:rsidP="00172925">
            <w:pPr>
              <w:jc w:val="left"/>
              <w:rPr>
                <w:sz w:val="20"/>
                <w:szCs w:val="20"/>
              </w:rPr>
            </w:pPr>
            <w:r>
              <w:rPr>
                <w:sz w:val="20"/>
              </w:rPr>
              <w:t>SEY/PHA/75/INV/23</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2E3DEABF" w14:textId="77777777" w:rsidR="004A7081" w:rsidRPr="00463B87" w:rsidRDefault="004A7081" w:rsidP="00172925">
            <w:pPr>
              <w:jc w:val="left"/>
              <w:rPr>
                <w:sz w:val="20"/>
                <w:szCs w:val="20"/>
              </w:rPr>
            </w:pPr>
            <w:proofErr w:type="spellStart"/>
            <w:r>
              <w:rPr>
                <w:sz w:val="20"/>
              </w:rPr>
              <w:t>Alemania</w:t>
            </w:r>
            <w:proofErr w:type="spellEnd"/>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18636533" w14:textId="77777777" w:rsidR="004A7081" w:rsidRPr="0072455F" w:rsidRDefault="004A7081" w:rsidP="00172925">
            <w:pPr>
              <w:jc w:val="left"/>
              <w:rPr>
                <w:sz w:val="20"/>
                <w:szCs w:val="20"/>
                <w:lang w:val="es-419"/>
              </w:rPr>
            </w:pPr>
            <w:r w:rsidRPr="0072455F">
              <w:rPr>
                <w:sz w:val="20"/>
                <w:lang w:val="es-419"/>
              </w:rPr>
              <w:t>Plan de gestión de la eliminación de los HCFC (etapa I, tercer tramo)</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382E17C4" w14:textId="77777777" w:rsidR="004A7081" w:rsidRPr="00463B87" w:rsidRDefault="004A7081" w:rsidP="00172925">
            <w:pPr>
              <w:jc w:val="center"/>
              <w:rPr>
                <w:sz w:val="20"/>
                <w:szCs w:val="20"/>
              </w:rPr>
            </w:pPr>
            <w:r>
              <w:rPr>
                <w:sz w:val="20"/>
              </w:rPr>
              <w:t>0</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5B52838E" w14:textId="77777777" w:rsidR="004A7081" w:rsidRPr="00463B87" w:rsidRDefault="004A7081" w:rsidP="00172925">
            <w:pPr>
              <w:jc w:val="left"/>
              <w:rPr>
                <w:sz w:val="20"/>
                <w:szCs w:val="20"/>
              </w:rPr>
            </w:pPr>
            <w:r>
              <w:rPr>
                <w:sz w:val="20"/>
              </w:rPr>
              <w:t xml:space="preserve">18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078DD820" w14:textId="77777777" w:rsidR="004A7081" w:rsidRPr="0072455F" w:rsidRDefault="004A7081" w:rsidP="00172925">
            <w:pPr>
              <w:jc w:val="left"/>
              <w:rPr>
                <w:sz w:val="20"/>
                <w:szCs w:val="20"/>
                <w:lang w:val="es-419"/>
              </w:rPr>
            </w:pPr>
            <w:r w:rsidRPr="0072455F">
              <w:rPr>
                <w:sz w:val="20"/>
                <w:lang w:val="es-419"/>
              </w:rPr>
              <w:t>Pedir a Alemania que informe a la 87ª reunión acerca de este proyecto con demoras en la ejecución</w:t>
            </w:r>
          </w:p>
        </w:tc>
      </w:tr>
      <w:tr w:rsidR="004A7081" w:rsidRPr="00CA2A3B" w14:paraId="476FF6FF" w14:textId="77777777" w:rsidTr="001C2686">
        <w:trPr>
          <w:trHeight w:val="431"/>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55EECB35" w14:textId="77777777" w:rsidR="004A7081" w:rsidRPr="00463B87" w:rsidRDefault="004A7081" w:rsidP="00172925">
            <w:pPr>
              <w:jc w:val="left"/>
              <w:rPr>
                <w:sz w:val="20"/>
                <w:szCs w:val="20"/>
              </w:rPr>
            </w:pPr>
            <w:r>
              <w:rPr>
                <w:sz w:val="20"/>
              </w:rPr>
              <w:t xml:space="preserve">Argentina </w:t>
            </w:r>
          </w:p>
          <w:p w14:paraId="44F68380" w14:textId="77777777" w:rsidR="004A7081" w:rsidRPr="00463B87" w:rsidRDefault="004A7081" w:rsidP="00172925">
            <w:pPr>
              <w:jc w:val="left"/>
              <w:rPr>
                <w:sz w:val="20"/>
                <w:szCs w:val="20"/>
              </w:rPr>
            </w:pPr>
            <w:r>
              <w:rPr>
                <w:sz w:val="20"/>
              </w:rPr>
              <w:t>ARG/PHA/79/INV/178</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401F97C6" w14:textId="77777777" w:rsidR="004A7081" w:rsidRPr="00463B87" w:rsidRDefault="004A7081" w:rsidP="00172925">
            <w:pPr>
              <w:jc w:val="left"/>
              <w:rPr>
                <w:sz w:val="20"/>
                <w:szCs w:val="20"/>
              </w:rPr>
            </w:pPr>
            <w:r>
              <w:rPr>
                <w:sz w:val="20"/>
              </w:rPr>
              <w:t>Italia</w:t>
            </w:r>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170E4B58" w14:textId="77777777" w:rsidR="004A7081" w:rsidRPr="0072455F" w:rsidRDefault="004A7081" w:rsidP="00172925">
            <w:pPr>
              <w:jc w:val="left"/>
              <w:rPr>
                <w:sz w:val="20"/>
                <w:szCs w:val="20"/>
                <w:lang w:val="es-419"/>
              </w:rPr>
            </w:pPr>
            <w:r w:rsidRPr="0072455F">
              <w:rPr>
                <w:sz w:val="20"/>
                <w:lang w:val="es-419"/>
              </w:rPr>
              <w:t>Plan de gestión de la eliminación de los HCFC (etapa II, primer tramo) (sector de servicio y mantenimiento de refrigeración)</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1A6D1C3A" w14:textId="77777777" w:rsidR="004A7081" w:rsidRPr="00463B87" w:rsidRDefault="004A7081" w:rsidP="00172925">
            <w:pPr>
              <w:jc w:val="center"/>
              <w:rPr>
                <w:sz w:val="20"/>
                <w:szCs w:val="20"/>
              </w:rPr>
            </w:pPr>
            <w:r>
              <w:rPr>
                <w:sz w:val="20"/>
              </w:rPr>
              <w:t>61</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66E0ABD1" w14:textId="77777777" w:rsidR="004A7081" w:rsidRPr="00463B87" w:rsidRDefault="004A7081" w:rsidP="00172925">
            <w:pPr>
              <w:jc w:val="left"/>
              <w:rPr>
                <w:sz w:val="20"/>
                <w:szCs w:val="20"/>
              </w:rPr>
            </w:pPr>
            <w:r>
              <w:rPr>
                <w:sz w:val="20"/>
              </w:rPr>
              <w:t xml:space="preserve">12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542C6D75" w14:textId="77777777" w:rsidR="004A7081" w:rsidRPr="0072455F" w:rsidRDefault="004A7081" w:rsidP="00172925">
            <w:pPr>
              <w:jc w:val="left"/>
              <w:rPr>
                <w:sz w:val="20"/>
                <w:szCs w:val="20"/>
                <w:lang w:val="es-419"/>
              </w:rPr>
            </w:pPr>
            <w:r w:rsidRPr="0072455F">
              <w:rPr>
                <w:sz w:val="20"/>
                <w:lang w:val="es-419"/>
              </w:rPr>
              <w:t>Pedir a Italia que informe a la 87ª reunión acerca de este proyecto con demoras en la ejecución</w:t>
            </w:r>
          </w:p>
        </w:tc>
      </w:tr>
      <w:tr w:rsidR="004A7081" w:rsidRPr="00CA2A3B" w14:paraId="5C161D92" w14:textId="77777777" w:rsidTr="001C2686">
        <w:trPr>
          <w:trHeight w:val="528"/>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2D637825" w14:textId="77777777" w:rsidR="004A7081" w:rsidRPr="00463B87" w:rsidRDefault="004A7081" w:rsidP="00172925">
            <w:pPr>
              <w:jc w:val="left"/>
              <w:rPr>
                <w:sz w:val="20"/>
                <w:szCs w:val="20"/>
              </w:rPr>
            </w:pPr>
            <w:r>
              <w:rPr>
                <w:sz w:val="20"/>
              </w:rPr>
              <w:t>China</w:t>
            </w:r>
          </w:p>
          <w:p w14:paraId="5C04DF4F" w14:textId="77777777" w:rsidR="004A7081" w:rsidRPr="00463B87" w:rsidRDefault="004A7081" w:rsidP="00172925">
            <w:pPr>
              <w:jc w:val="left"/>
              <w:rPr>
                <w:sz w:val="20"/>
                <w:szCs w:val="20"/>
              </w:rPr>
            </w:pPr>
            <w:r>
              <w:rPr>
                <w:sz w:val="20"/>
              </w:rPr>
              <w:t>CPR/PHA/77/INV/574</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41F7B88F" w14:textId="77777777" w:rsidR="004A7081" w:rsidRPr="00463B87" w:rsidRDefault="004A7081" w:rsidP="00172925">
            <w:pPr>
              <w:jc w:val="left"/>
              <w:rPr>
                <w:sz w:val="20"/>
                <w:szCs w:val="20"/>
              </w:rPr>
            </w:pPr>
            <w:r>
              <w:rPr>
                <w:sz w:val="20"/>
              </w:rPr>
              <w:t>Italia</w:t>
            </w:r>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57701E24" w14:textId="77777777" w:rsidR="004A7081" w:rsidRPr="0072455F" w:rsidRDefault="004A7081" w:rsidP="00172925">
            <w:pPr>
              <w:jc w:val="left"/>
              <w:rPr>
                <w:sz w:val="20"/>
                <w:szCs w:val="20"/>
                <w:lang w:val="es-419"/>
              </w:rPr>
            </w:pPr>
            <w:r w:rsidRPr="0072455F">
              <w:rPr>
                <w:sz w:val="20"/>
                <w:lang w:val="es-419"/>
              </w:rPr>
              <w:t>Plan de gestión de eliminación de HCFC (etapa I, primer tramo) (plan para el sector de fabricación de equipos de aire acondicionado para habitación)</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03411CE7" w14:textId="77777777" w:rsidR="004A7081" w:rsidRPr="00463B87" w:rsidRDefault="004A7081" w:rsidP="00172925">
            <w:pPr>
              <w:jc w:val="center"/>
              <w:rPr>
                <w:sz w:val="20"/>
                <w:szCs w:val="20"/>
              </w:rPr>
            </w:pPr>
            <w:r>
              <w:rPr>
                <w:sz w:val="20"/>
              </w:rPr>
              <w:t>1</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73FE8AE1" w14:textId="77777777" w:rsidR="004A7081" w:rsidRPr="00463B87" w:rsidRDefault="004A7081" w:rsidP="00172925">
            <w:pPr>
              <w:jc w:val="left"/>
              <w:rPr>
                <w:sz w:val="20"/>
                <w:szCs w:val="20"/>
              </w:rPr>
            </w:pPr>
            <w:r>
              <w:rPr>
                <w:sz w:val="20"/>
              </w:rPr>
              <w:t xml:space="preserve">12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0722C617" w14:textId="77777777" w:rsidR="004A7081" w:rsidRPr="0072455F" w:rsidRDefault="004A7081" w:rsidP="00172925">
            <w:pPr>
              <w:jc w:val="left"/>
              <w:rPr>
                <w:sz w:val="20"/>
                <w:szCs w:val="20"/>
                <w:lang w:val="es-419"/>
              </w:rPr>
            </w:pPr>
            <w:r w:rsidRPr="0072455F">
              <w:rPr>
                <w:sz w:val="20"/>
                <w:lang w:val="es-419"/>
              </w:rPr>
              <w:t>Pedir a Italia que informe a la 87ª reunión acerca de este proyecto con demoras en la ejecución</w:t>
            </w:r>
          </w:p>
        </w:tc>
      </w:tr>
      <w:tr w:rsidR="004A7081" w:rsidRPr="00CA2A3B" w14:paraId="07E2A71A" w14:textId="77777777" w:rsidTr="001C2686">
        <w:trPr>
          <w:trHeight w:val="449"/>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5779533D" w14:textId="77777777" w:rsidR="004A7081" w:rsidRPr="00463B87" w:rsidRDefault="004A7081" w:rsidP="00172925">
            <w:pPr>
              <w:jc w:val="left"/>
              <w:rPr>
                <w:sz w:val="20"/>
                <w:szCs w:val="20"/>
              </w:rPr>
            </w:pPr>
            <w:proofErr w:type="spellStart"/>
            <w:r>
              <w:rPr>
                <w:sz w:val="20"/>
              </w:rPr>
              <w:t>Maldivas</w:t>
            </w:r>
            <w:proofErr w:type="spellEnd"/>
            <w:r>
              <w:rPr>
                <w:sz w:val="20"/>
              </w:rPr>
              <w:t xml:space="preserve"> </w:t>
            </w:r>
          </w:p>
          <w:p w14:paraId="647B25E5" w14:textId="77777777" w:rsidR="004A7081" w:rsidRPr="00463B87" w:rsidRDefault="004A7081" w:rsidP="00172925">
            <w:pPr>
              <w:jc w:val="left"/>
              <w:rPr>
                <w:sz w:val="20"/>
                <w:szCs w:val="20"/>
              </w:rPr>
            </w:pPr>
            <w:r>
              <w:rPr>
                <w:sz w:val="20"/>
              </w:rPr>
              <w:t>MDV/SEV/80/TAS/02+</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6369C11E" w14:textId="77777777" w:rsidR="004A7081" w:rsidRPr="00463B87" w:rsidRDefault="004A7081" w:rsidP="00172925">
            <w:pPr>
              <w:jc w:val="left"/>
              <w:rPr>
                <w:sz w:val="20"/>
                <w:szCs w:val="20"/>
              </w:rPr>
            </w:pPr>
            <w:r>
              <w:rPr>
                <w:sz w:val="20"/>
              </w:rPr>
              <w:t>Italia</w:t>
            </w:r>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6B22908F" w14:textId="77777777" w:rsidR="004A7081" w:rsidRPr="0072455F" w:rsidRDefault="004A7081" w:rsidP="00172925">
            <w:pPr>
              <w:jc w:val="left"/>
              <w:rPr>
                <w:sz w:val="20"/>
                <w:szCs w:val="20"/>
                <w:lang w:val="es-419"/>
              </w:rPr>
            </w:pPr>
            <w:r w:rsidRPr="0072455F">
              <w:rPr>
                <w:sz w:val="20"/>
                <w:lang w:val="es-419"/>
              </w:rPr>
              <w:t>Actividades de apoyo para la reducción de los HFC</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2810B709" w14:textId="77777777" w:rsidR="004A7081" w:rsidRPr="00463B87" w:rsidRDefault="004A7081" w:rsidP="00172925">
            <w:pPr>
              <w:jc w:val="center"/>
              <w:rPr>
                <w:sz w:val="20"/>
                <w:szCs w:val="20"/>
              </w:rPr>
            </w:pPr>
            <w:r>
              <w:rPr>
                <w:sz w:val="20"/>
              </w:rPr>
              <w:t>0</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244A9C21" w14:textId="77777777" w:rsidR="004A7081" w:rsidRPr="00463B87" w:rsidRDefault="004A7081" w:rsidP="00172925">
            <w:pPr>
              <w:jc w:val="left"/>
              <w:rPr>
                <w:sz w:val="20"/>
                <w:szCs w:val="20"/>
              </w:rPr>
            </w:pPr>
            <w:r>
              <w:rPr>
                <w:sz w:val="20"/>
              </w:rPr>
              <w:t xml:space="preserve">18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5D5458E1" w14:textId="77777777" w:rsidR="004A7081" w:rsidRPr="0072455F" w:rsidRDefault="004A7081" w:rsidP="00172925">
            <w:pPr>
              <w:jc w:val="left"/>
              <w:rPr>
                <w:sz w:val="20"/>
                <w:szCs w:val="20"/>
                <w:lang w:val="es-419"/>
              </w:rPr>
            </w:pPr>
            <w:r w:rsidRPr="0072455F">
              <w:rPr>
                <w:sz w:val="20"/>
                <w:lang w:val="es-419"/>
              </w:rPr>
              <w:t>Pedir a Italia que informe a la 87ª reunión acerca de este proyecto con demoras en la ejecución</w:t>
            </w:r>
          </w:p>
        </w:tc>
      </w:tr>
      <w:tr w:rsidR="004A7081" w:rsidRPr="00CA2A3B" w14:paraId="4705D6D9" w14:textId="77777777" w:rsidTr="001C2686">
        <w:trPr>
          <w:trHeight w:val="528"/>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1D31517C" w14:textId="77777777" w:rsidR="004A7081" w:rsidRPr="00463B87" w:rsidRDefault="004A7081" w:rsidP="00172925">
            <w:pPr>
              <w:jc w:val="left"/>
              <w:rPr>
                <w:sz w:val="20"/>
                <w:szCs w:val="20"/>
              </w:rPr>
            </w:pPr>
            <w:r>
              <w:rPr>
                <w:sz w:val="20"/>
              </w:rPr>
              <w:lastRenderedPageBreak/>
              <w:t xml:space="preserve">México </w:t>
            </w:r>
          </w:p>
          <w:p w14:paraId="080FCF01" w14:textId="77777777" w:rsidR="004A7081" w:rsidRPr="00463B87" w:rsidRDefault="004A7081" w:rsidP="00172925">
            <w:pPr>
              <w:jc w:val="left"/>
              <w:rPr>
                <w:sz w:val="20"/>
                <w:szCs w:val="20"/>
              </w:rPr>
            </w:pPr>
            <w:r>
              <w:rPr>
                <w:sz w:val="20"/>
              </w:rPr>
              <w:t>MEX/PHA/73/INV/171</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6184FB61" w14:textId="77777777" w:rsidR="004A7081" w:rsidRPr="00463B87" w:rsidRDefault="004A7081" w:rsidP="00172925">
            <w:pPr>
              <w:jc w:val="left"/>
              <w:rPr>
                <w:sz w:val="20"/>
                <w:szCs w:val="20"/>
              </w:rPr>
            </w:pPr>
            <w:r>
              <w:rPr>
                <w:sz w:val="20"/>
              </w:rPr>
              <w:t>Italia</w:t>
            </w:r>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45ACA3E9" w14:textId="77777777" w:rsidR="004A7081" w:rsidRPr="0072455F" w:rsidRDefault="004A7081" w:rsidP="00172925">
            <w:pPr>
              <w:jc w:val="left"/>
              <w:rPr>
                <w:sz w:val="20"/>
                <w:szCs w:val="20"/>
                <w:lang w:val="es-419"/>
              </w:rPr>
            </w:pPr>
            <w:r w:rsidRPr="0072455F">
              <w:rPr>
                <w:sz w:val="20"/>
                <w:lang w:val="es-419"/>
              </w:rPr>
              <w:t>Plan de gestión de la eliminación de los HCFC (etapa II, primer tramo) (regeneración de refrigerantes a base de HCFC)</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0B18FC29" w14:textId="77777777" w:rsidR="004A7081" w:rsidRPr="00463B87" w:rsidRDefault="004A7081" w:rsidP="00172925">
            <w:pPr>
              <w:jc w:val="center"/>
              <w:rPr>
                <w:sz w:val="20"/>
                <w:szCs w:val="20"/>
              </w:rPr>
            </w:pPr>
            <w:r>
              <w:rPr>
                <w:sz w:val="20"/>
              </w:rPr>
              <w:t>91</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588E748E" w14:textId="77777777" w:rsidR="004A7081" w:rsidRPr="00463B87" w:rsidRDefault="004A7081" w:rsidP="00172925">
            <w:pPr>
              <w:jc w:val="left"/>
              <w:rPr>
                <w:sz w:val="20"/>
                <w:szCs w:val="20"/>
              </w:rPr>
            </w:pPr>
            <w:r>
              <w:rPr>
                <w:sz w:val="20"/>
              </w:rPr>
              <w:t xml:space="preserve">12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6C1A463F" w14:textId="77777777" w:rsidR="004A7081" w:rsidRPr="0072455F" w:rsidRDefault="004A7081" w:rsidP="00172925">
            <w:pPr>
              <w:jc w:val="left"/>
              <w:rPr>
                <w:sz w:val="20"/>
                <w:szCs w:val="20"/>
                <w:lang w:val="es-419"/>
              </w:rPr>
            </w:pPr>
            <w:r w:rsidRPr="0072455F">
              <w:rPr>
                <w:sz w:val="20"/>
                <w:lang w:val="es-419"/>
              </w:rPr>
              <w:t>Pedir a Italia que informe a la 87ª reunión acerca de este proyecto con demoras en la ejecución</w:t>
            </w:r>
          </w:p>
        </w:tc>
      </w:tr>
      <w:tr w:rsidR="004A7081" w:rsidRPr="00CA2A3B" w14:paraId="3EBC406C" w14:textId="77777777" w:rsidTr="001C2686">
        <w:trPr>
          <w:trHeight w:val="440"/>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46101554" w14:textId="77777777" w:rsidR="004A7081" w:rsidRPr="00463B87" w:rsidRDefault="004A7081" w:rsidP="00172925">
            <w:pPr>
              <w:jc w:val="left"/>
              <w:rPr>
                <w:sz w:val="20"/>
                <w:szCs w:val="20"/>
              </w:rPr>
            </w:pPr>
            <w:r>
              <w:rPr>
                <w:sz w:val="20"/>
              </w:rPr>
              <w:t xml:space="preserve">Rwanda </w:t>
            </w:r>
          </w:p>
          <w:p w14:paraId="720F10D4" w14:textId="77777777" w:rsidR="004A7081" w:rsidRPr="00463B87" w:rsidRDefault="004A7081" w:rsidP="00172925">
            <w:pPr>
              <w:jc w:val="left"/>
              <w:rPr>
                <w:sz w:val="20"/>
                <w:szCs w:val="20"/>
              </w:rPr>
            </w:pPr>
            <w:r>
              <w:rPr>
                <w:sz w:val="20"/>
              </w:rPr>
              <w:t>RWA/SEV/80/TAS/01+</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470582A3" w14:textId="77777777" w:rsidR="004A7081" w:rsidRPr="00463B87" w:rsidRDefault="004A7081" w:rsidP="00172925">
            <w:pPr>
              <w:jc w:val="left"/>
              <w:rPr>
                <w:sz w:val="20"/>
                <w:szCs w:val="20"/>
              </w:rPr>
            </w:pPr>
            <w:r>
              <w:rPr>
                <w:sz w:val="20"/>
              </w:rPr>
              <w:t>Italia</w:t>
            </w:r>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3971772A" w14:textId="77777777" w:rsidR="004A7081" w:rsidRPr="0072455F" w:rsidRDefault="004A7081" w:rsidP="00172925">
            <w:pPr>
              <w:jc w:val="left"/>
              <w:rPr>
                <w:sz w:val="20"/>
                <w:szCs w:val="20"/>
                <w:lang w:val="es-419"/>
              </w:rPr>
            </w:pPr>
            <w:r w:rsidRPr="0072455F">
              <w:rPr>
                <w:sz w:val="20"/>
                <w:lang w:val="es-419"/>
              </w:rPr>
              <w:t>Actividades de apoyo para la reducción de los HFC</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50F558D4" w14:textId="77777777" w:rsidR="004A7081" w:rsidRPr="00463B87" w:rsidRDefault="004A7081" w:rsidP="00172925">
            <w:pPr>
              <w:jc w:val="center"/>
              <w:rPr>
                <w:sz w:val="20"/>
                <w:szCs w:val="20"/>
              </w:rPr>
            </w:pPr>
            <w:r>
              <w:rPr>
                <w:sz w:val="20"/>
              </w:rPr>
              <w:t>0</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6F5D9D4C" w14:textId="77777777" w:rsidR="004A7081" w:rsidRPr="00463B87" w:rsidRDefault="004A7081" w:rsidP="00172925">
            <w:pPr>
              <w:jc w:val="left"/>
              <w:rPr>
                <w:sz w:val="20"/>
                <w:szCs w:val="20"/>
              </w:rPr>
            </w:pPr>
            <w:r>
              <w:rPr>
                <w:sz w:val="20"/>
              </w:rPr>
              <w:t xml:space="preserve">18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7568561B" w14:textId="77777777" w:rsidR="004A7081" w:rsidRPr="0072455F" w:rsidRDefault="004A7081" w:rsidP="00172925">
            <w:pPr>
              <w:jc w:val="left"/>
              <w:rPr>
                <w:sz w:val="20"/>
                <w:szCs w:val="20"/>
                <w:lang w:val="es-419"/>
              </w:rPr>
            </w:pPr>
            <w:r w:rsidRPr="0072455F">
              <w:rPr>
                <w:sz w:val="20"/>
                <w:lang w:val="es-419"/>
              </w:rPr>
              <w:t>Pedir a Italia que informe a la 87ª reunión acerca de este proyecto con demoras en la ejecución</w:t>
            </w:r>
          </w:p>
        </w:tc>
      </w:tr>
      <w:tr w:rsidR="004A7081" w:rsidRPr="00CA2A3B" w14:paraId="758F9F1C" w14:textId="77777777" w:rsidTr="001C2686">
        <w:trPr>
          <w:trHeight w:val="395"/>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57003764" w14:textId="77777777" w:rsidR="004A7081" w:rsidRPr="0072455F" w:rsidRDefault="004A7081" w:rsidP="00172925">
            <w:pPr>
              <w:jc w:val="left"/>
              <w:rPr>
                <w:sz w:val="20"/>
                <w:szCs w:val="20"/>
                <w:lang w:val="fr-CA"/>
              </w:rPr>
            </w:pPr>
            <w:r w:rsidRPr="0072455F">
              <w:rPr>
                <w:sz w:val="20"/>
                <w:lang w:val="fr-CA"/>
              </w:rPr>
              <w:t xml:space="preserve">Viet Nam </w:t>
            </w:r>
          </w:p>
          <w:p w14:paraId="3E59CE18" w14:textId="77777777" w:rsidR="004A7081" w:rsidRPr="0072455F" w:rsidRDefault="004A7081" w:rsidP="00172925">
            <w:pPr>
              <w:jc w:val="left"/>
              <w:rPr>
                <w:sz w:val="20"/>
                <w:szCs w:val="20"/>
                <w:lang w:val="fr-CA"/>
              </w:rPr>
            </w:pPr>
            <w:r w:rsidRPr="0072455F">
              <w:rPr>
                <w:sz w:val="20"/>
                <w:lang w:val="fr-CA"/>
              </w:rPr>
              <w:t>VIE/PHA/76/TAS/71</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16445599" w14:textId="77777777" w:rsidR="004A7081" w:rsidRPr="00463B87" w:rsidRDefault="004A7081" w:rsidP="00172925">
            <w:pPr>
              <w:jc w:val="left"/>
              <w:rPr>
                <w:sz w:val="20"/>
                <w:szCs w:val="20"/>
              </w:rPr>
            </w:pPr>
            <w:proofErr w:type="spellStart"/>
            <w:r>
              <w:rPr>
                <w:sz w:val="20"/>
              </w:rPr>
              <w:t>Japón</w:t>
            </w:r>
            <w:proofErr w:type="spellEnd"/>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5694911E" w14:textId="77777777" w:rsidR="004A7081" w:rsidRPr="0072455F" w:rsidRDefault="004A7081" w:rsidP="00172925">
            <w:pPr>
              <w:jc w:val="left"/>
              <w:rPr>
                <w:sz w:val="20"/>
                <w:szCs w:val="20"/>
                <w:lang w:val="es-419"/>
              </w:rPr>
            </w:pPr>
            <w:r w:rsidRPr="0072455F">
              <w:rPr>
                <w:sz w:val="20"/>
                <w:lang w:val="es-419"/>
              </w:rPr>
              <w:t>Plan de gestión de la eliminación de los HCFC (etapa II, primer tramo) (sector de servicio y mantenimiento de refrigeración)</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1C901121" w14:textId="77777777" w:rsidR="004A7081" w:rsidRPr="00463B87" w:rsidRDefault="004A7081" w:rsidP="00172925">
            <w:pPr>
              <w:jc w:val="center"/>
              <w:rPr>
                <w:sz w:val="20"/>
                <w:szCs w:val="20"/>
              </w:rPr>
            </w:pPr>
            <w:r>
              <w:rPr>
                <w:sz w:val="20"/>
              </w:rPr>
              <w:t>0</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5DEDE1AC" w14:textId="77777777" w:rsidR="004A7081" w:rsidRPr="00463B87" w:rsidRDefault="004A7081" w:rsidP="00172925">
            <w:pPr>
              <w:jc w:val="left"/>
              <w:rPr>
                <w:sz w:val="20"/>
                <w:szCs w:val="20"/>
              </w:rPr>
            </w:pPr>
            <w:r>
              <w:rPr>
                <w:sz w:val="20"/>
              </w:rPr>
              <w:t>12 y 18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09F776A7" w14:textId="77777777" w:rsidR="004A7081" w:rsidRPr="0072455F" w:rsidRDefault="004A7081" w:rsidP="00172925">
            <w:pPr>
              <w:jc w:val="left"/>
              <w:rPr>
                <w:sz w:val="20"/>
                <w:szCs w:val="20"/>
                <w:lang w:val="es-419"/>
              </w:rPr>
            </w:pPr>
            <w:r w:rsidRPr="0072455F">
              <w:rPr>
                <w:sz w:val="20"/>
                <w:lang w:val="es-419"/>
              </w:rPr>
              <w:t>Pedir al Japón que informe a la 87ª reunión acerca de este proyecto con demoras en la ejecución</w:t>
            </w:r>
          </w:p>
        </w:tc>
      </w:tr>
      <w:tr w:rsidR="004A7081" w:rsidRPr="00CA2A3B" w14:paraId="47AB95C9" w14:textId="77777777" w:rsidTr="001C2686">
        <w:trPr>
          <w:trHeight w:val="458"/>
        </w:trPr>
        <w:tc>
          <w:tcPr>
            <w:tcW w:w="2155" w:type="dxa"/>
            <w:tcBorders>
              <w:top w:val="nil"/>
              <w:left w:val="single" w:sz="4" w:space="0" w:color="auto"/>
              <w:bottom w:val="single" w:sz="4" w:space="0" w:color="auto"/>
              <w:right w:val="single" w:sz="4" w:space="0" w:color="auto"/>
            </w:tcBorders>
            <w:shd w:val="clear" w:color="auto" w:fill="auto"/>
            <w:tcMar>
              <w:left w:w="72" w:type="dxa"/>
              <w:right w:w="58" w:type="dxa"/>
            </w:tcMar>
            <w:hideMark/>
          </w:tcPr>
          <w:p w14:paraId="21D7E917" w14:textId="77777777" w:rsidR="004A7081" w:rsidRPr="00463B87" w:rsidRDefault="004A7081" w:rsidP="00172925">
            <w:pPr>
              <w:jc w:val="left"/>
              <w:rPr>
                <w:sz w:val="20"/>
                <w:szCs w:val="20"/>
              </w:rPr>
            </w:pPr>
            <w:r>
              <w:rPr>
                <w:sz w:val="20"/>
              </w:rPr>
              <w:t xml:space="preserve">México </w:t>
            </w:r>
          </w:p>
          <w:p w14:paraId="7315CAD4" w14:textId="77777777" w:rsidR="004A7081" w:rsidRPr="00463B87" w:rsidRDefault="004A7081" w:rsidP="00172925">
            <w:pPr>
              <w:jc w:val="left"/>
              <w:rPr>
                <w:sz w:val="20"/>
                <w:szCs w:val="20"/>
              </w:rPr>
            </w:pPr>
            <w:r>
              <w:rPr>
                <w:sz w:val="20"/>
              </w:rPr>
              <w:t>MEX/PHA/81/TAS/190</w:t>
            </w:r>
          </w:p>
        </w:tc>
        <w:tc>
          <w:tcPr>
            <w:tcW w:w="1170" w:type="dxa"/>
            <w:tcBorders>
              <w:top w:val="nil"/>
              <w:left w:val="nil"/>
              <w:bottom w:val="single" w:sz="4" w:space="0" w:color="auto"/>
              <w:right w:val="single" w:sz="4" w:space="0" w:color="auto"/>
            </w:tcBorders>
            <w:shd w:val="clear" w:color="auto" w:fill="auto"/>
            <w:tcMar>
              <w:left w:w="72" w:type="dxa"/>
              <w:right w:w="58" w:type="dxa"/>
            </w:tcMar>
            <w:hideMark/>
          </w:tcPr>
          <w:p w14:paraId="26131F0D" w14:textId="77777777" w:rsidR="004A7081" w:rsidRPr="00463B87" w:rsidRDefault="004A7081" w:rsidP="00172925">
            <w:pPr>
              <w:jc w:val="left"/>
              <w:rPr>
                <w:sz w:val="20"/>
                <w:szCs w:val="20"/>
              </w:rPr>
            </w:pPr>
            <w:proofErr w:type="spellStart"/>
            <w:r>
              <w:rPr>
                <w:sz w:val="20"/>
              </w:rPr>
              <w:t>España</w:t>
            </w:r>
            <w:proofErr w:type="spellEnd"/>
          </w:p>
        </w:tc>
        <w:tc>
          <w:tcPr>
            <w:tcW w:w="3690" w:type="dxa"/>
            <w:tcBorders>
              <w:top w:val="nil"/>
              <w:left w:val="nil"/>
              <w:bottom w:val="single" w:sz="4" w:space="0" w:color="auto"/>
              <w:right w:val="single" w:sz="4" w:space="0" w:color="auto"/>
            </w:tcBorders>
            <w:shd w:val="clear" w:color="auto" w:fill="auto"/>
            <w:tcMar>
              <w:left w:w="72" w:type="dxa"/>
              <w:right w:w="58" w:type="dxa"/>
            </w:tcMar>
            <w:hideMark/>
          </w:tcPr>
          <w:p w14:paraId="469B0F43" w14:textId="77777777" w:rsidR="004A7081" w:rsidRPr="0072455F" w:rsidRDefault="004A7081" w:rsidP="00172925">
            <w:pPr>
              <w:jc w:val="left"/>
              <w:rPr>
                <w:sz w:val="20"/>
                <w:szCs w:val="20"/>
                <w:lang w:val="es-419"/>
              </w:rPr>
            </w:pPr>
            <w:r w:rsidRPr="0072455F">
              <w:rPr>
                <w:sz w:val="20"/>
                <w:lang w:val="es-419"/>
              </w:rPr>
              <w:t>Plan de gestión de la eliminación de los HCFC (etapa II, primer tramo) (sector de servicio y mantenimiento de refrigeración)</w:t>
            </w:r>
          </w:p>
        </w:tc>
        <w:tc>
          <w:tcPr>
            <w:tcW w:w="1260" w:type="dxa"/>
            <w:tcBorders>
              <w:top w:val="nil"/>
              <w:left w:val="nil"/>
              <w:bottom w:val="single" w:sz="4" w:space="0" w:color="auto"/>
              <w:right w:val="single" w:sz="4" w:space="0" w:color="auto"/>
            </w:tcBorders>
            <w:shd w:val="clear" w:color="auto" w:fill="auto"/>
            <w:tcMar>
              <w:left w:w="72" w:type="dxa"/>
              <w:right w:w="58" w:type="dxa"/>
            </w:tcMar>
            <w:hideMark/>
          </w:tcPr>
          <w:p w14:paraId="45A55980" w14:textId="77777777" w:rsidR="004A7081" w:rsidRPr="00463B87" w:rsidRDefault="004A7081" w:rsidP="00172925">
            <w:pPr>
              <w:jc w:val="center"/>
              <w:rPr>
                <w:sz w:val="20"/>
                <w:szCs w:val="20"/>
              </w:rPr>
            </w:pPr>
            <w:r>
              <w:rPr>
                <w:sz w:val="20"/>
              </w:rPr>
              <w:t>0</w:t>
            </w:r>
          </w:p>
        </w:tc>
        <w:tc>
          <w:tcPr>
            <w:tcW w:w="1890" w:type="dxa"/>
            <w:tcBorders>
              <w:top w:val="nil"/>
              <w:left w:val="nil"/>
              <w:bottom w:val="single" w:sz="4" w:space="0" w:color="auto"/>
              <w:right w:val="single" w:sz="4" w:space="0" w:color="auto"/>
            </w:tcBorders>
            <w:shd w:val="clear" w:color="auto" w:fill="auto"/>
            <w:tcMar>
              <w:left w:w="72" w:type="dxa"/>
              <w:right w:w="58" w:type="dxa"/>
            </w:tcMar>
            <w:hideMark/>
          </w:tcPr>
          <w:p w14:paraId="73676D5F" w14:textId="77777777" w:rsidR="004A7081" w:rsidRPr="00463B87" w:rsidRDefault="004A7081" w:rsidP="00172925">
            <w:pPr>
              <w:jc w:val="left"/>
              <w:rPr>
                <w:sz w:val="20"/>
                <w:szCs w:val="20"/>
              </w:rPr>
            </w:pPr>
            <w:r>
              <w:rPr>
                <w:sz w:val="20"/>
              </w:rPr>
              <w:t xml:space="preserve">12 </w:t>
            </w:r>
            <w:proofErr w:type="spellStart"/>
            <w:r>
              <w:rPr>
                <w:sz w:val="20"/>
              </w:rPr>
              <w:t>meses</w:t>
            </w:r>
            <w:proofErr w:type="spellEnd"/>
            <w:r>
              <w:rPr>
                <w:sz w:val="20"/>
              </w:rPr>
              <w:t xml:space="preserve"> de </w:t>
            </w:r>
            <w:proofErr w:type="spellStart"/>
            <w:r>
              <w:rPr>
                <w:sz w:val="20"/>
              </w:rPr>
              <w:t>demora</w:t>
            </w:r>
            <w:proofErr w:type="spellEnd"/>
          </w:p>
        </w:tc>
        <w:tc>
          <w:tcPr>
            <w:tcW w:w="4140" w:type="dxa"/>
            <w:tcBorders>
              <w:top w:val="nil"/>
              <w:left w:val="nil"/>
              <w:bottom w:val="single" w:sz="4" w:space="0" w:color="auto"/>
              <w:right w:val="single" w:sz="4" w:space="0" w:color="auto"/>
            </w:tcBorders>
            <w:shd w:val="clear" w:color="auto" w:fill="auto"/>
            <w:tcMar>
              <w:left w:w="72" w:type="dxa"/>
              <w:right w:w="58" w:type="dxa"/>
            </w:tcMar>
            <w:hideMark/>
          </w:tcPr>
          <w:p w14:paraId="61DBC89A" w14:textId="77777777" w:rsidR="004A7081" w:rsidRPr="0072455F" w:rsidRDefault="004A7081" w:rsidP="00172925">
            <w:pPr>
              <w:jc w:val="left"/>
              <w:rPr>
                <w:sz w:val="20"/>
                <w:szCs w:val="20"/>
                <w:lang w:val="es-419"/>
              </w:rPr>
            </w:pPr>
            <w:r w:rsidRPr="0072455F">
              <w:rPr>
                <w:sz w:val="20"/>
                <w:lang w:val="es-419"/>
              </w:rPr>
              <w:t>Pedir a España que informe a la 87ª reunión acerca de este proyecto con demoras en la ejecución</w:t>
            </w:r>
          </w:p>
        </w:tc>
      </w:tr>
    </w:tbl>
    <w:p w14:paraId="1C9E11B2" w14:textId="77777777" w:rsidR="004A7081" w:rsidRPr="0072455F" w:rsidRDefault="004A7081" w:rsidP="00172925">
      <w:pPr>
        <w:rPr>
          <w:lang w:val="es-419"/>
        </w:rPr>
      </w:pPr>
    </w:p>
    <w:p w14:paraId="77198CB0" w14:textId="77777777" w:rsidR="004A7081" w:rsidRPr="0072455F" w:rsidRDefault="004A7081" w:rsidP="00172925">
      <w:pPr>
        <w:pStyle w:val="StyleHeader4Para4Left0Firstline0"/>
        <w:widowControl/>
        <w:numPr>
          <w:ilvl w:val="0"/>
          <w:numId w:val="0"/>
        </w:numPr>
        <w:rPr>
          <w:sz w:val="22"/>
          <w:lang w:val="es-419"/>
        </w:rPr>
        <w:sectPr w:rsidR="004A7081" w:rsidRPr="0072455F" w:rsidSect="00172925">
          <w:headerReference w:type="even" r:id="rId16"/>
          <w:headerReference w:type="first" r:id="rId17"/>
          <w:footerReference w:type="first" r:id="rId18"/>
          <w:pgSz w:w="15840" w:h="12240" w:orient="landscape" w:code="1"/>
          <w:pgMar w:top="1440" w:right="720" w:bottom="1440" w:left="864" w:header="720" w:footer="475" w:gutter="0"/>
          <w:pgNumType w:start="1"/>
          <w:cols w:space="720"/>
          <w:titlePg/>
          <w:docGrid w:linePitch="299"/>
        </w:sectPr>
      </w:pPr>
    </w:p>
    <w:p w14:paraId="2A373087" w14:textId="77777777" w:rsidR="004A7081" w:rsidRPr="0072455F" w:rsidRDefault="004A7081" w:rsidP="00172925">
      <w:pPr>
        <w:pStyle w:val="Title1"/>
        <w:rPr>
          <w:caps w:val="0"/>
          <w:lang w:val="es-419"/>
        </w:rPr>
      </w:pPr>
      <w:r w:rsidRPr="0072455F">
        <w:rPr>
          <w:caps w:val="0"/>
          <w:lang w:val="es-419"/>
        </w:rPr>
        <w:lastRenderedPageBreak/>
        <w:t>Anexo II</w:t>
      </w:r>
    </w:p>
    <w:p w14:paraId="224D76CC" w14:textId="77777777" w:rsidR="004A7081" w:rsidRPr="0072455F" w:rsidRDefault="004A7081" w:rsidP="00172925">
      <w:pPr>
        <w:pStyle w:val="Title1"/>
        <w:rPr>
          <w:caps w:val="0"/>
          <w:lang w:val="es-419"/>
        </w:rPr>
      </w:pPr>
    </w:p>
    <w:p w14:paraId="10D33C17" w14:textId="77777777" w:rsidR="004A7081" w:rsidRPr="0072455F" w:rsidRDefault="004A7081" w:rsidP="00172925">
      <w:pPr>
        <w:pStyle w:val="Title1"/>
        <w:rPr>
          <w:lang w:val="es-419"/>
        </w:rPr>
      </w:pPr>
      <w:r w:rsidRPr="0072455F">
        <w:rPr>
          <w:lang w:val="es-419"/>
        </w:rPr>
        <w:t>ANÁLISIS DEL INFORME SOBRE LA MARCHA DE LOS ORGANISMOS BILATERALES AL 31 DE DICIEMBRE DE 2019</w:t>
      </w:r>
    </w:p>
    <w:p w14:paraId="12B4F8E1" w14:textId="77777777" w:rsidR="004A7081" w:rsidRPr="0072455F" w:rsidRDefault="004A7081" w:rsidP="00172925">
      <w:pPr>
        <w:jc w:val="center"/>
        <w:rPr>
          <w:b/>
          <w:lang w:val="es-419"/>
        </w:rPr>
      </w:pPr>
    </w:p>
    <w:p w14:paraId="43BC7DE5" w14:textId="77777777" w:rsidR="004A7081" w:rsidRPr="0072455F" w:rsidRDefault="004A7081" w:rsidP="00172925">
      <w:pPr>
        <w:pStyle w:val="Heading1"/>
        <w:numPr>
          <w:ilvl w:val="0"/>
          <w:numId w:val="21"/>
        </w:numPr>
        <w:rPr>
          <w:lang w:val="es-419"/>
        </w:rPr>
      </w:pPr>
      <w:r w:rsidRPr="0072455F">
        <w:rPr>
          <w:lang w:val="es-419"/>
        </w:rPr>
        <w:t>El presente anexo consta de las dos partes siguientes:</w:t>
      </w:r>
    </w:p>
    <w:p w14:paraId="31368FD6" w14:textId="77777777" w:rsidR="004A7081" w:rsidRPr="0072455F" w:rsidRDefault="004A7081" w:rsidP="00172925">
      <w:pPr>
        <w:pStyle w:val="Heading2"/>
        <w:widowControl/>
        <w:numPr>
          <w:ilvl w:val="0"/>
          <w:numId w:val="0"/>
        </w:numPr>
        <w:adjustRightInd w:val="0"/>
        <w:ind w:left="2160" w:hanging="1440"/>
        <w:textAlignment w:val="baseline"/>
        <w:rPr>
          <w:szCs w:val="28"/>
          <w:lang w:val="es-419"/>
        </w:rPr>
      </w:pPr>
      <w:r w:rsidRPr="0072455F">
        <w:rPr>
          <w:lang w:val="es-419"/>
        </w:rPr>
        <w:t>Parte I:</w:t>
      </w:r>
      <w:r w:rsidRPr="0072455F">
        <w:rPr>
          <w:lang w:val="es-419"/>
        </w:rPr>
        <w:tab/>
        <w:t>Proyectos aprobados con cargo a las contribuciones ordinarias al Fondo Multilateral.</w:t>
      </w:r>
    </w:p>
    <w:p w14:paraId="1538CFD3" w14:textId="77777777" w:rsidR="004A7081" w:rsidRPr="0072455F" w:rsidRDefault="004A7081" w:rsidP="00172925">
      <w:pPr>
        <w:pStyle w:val="Heading2"/>
        <w:widowControl/>
        <w:numPr>
          <w:ilvl w:val="0"/>
          <w:numId w:val="0"/>
        </w:numPr>
        <w:adjustRightInd w:val="0"/>
        <w:ind w:left="2160" w:hanging="1440"/>
        <w:textAlignment w:val="baseline"/>
        <w:rPr>
          <w:szCs w:val="28"/>
          <w:lang w:val="es-419"/>
        </w:rPr>
      </w:pPr>
      <w:r w:rsidRPr="0072455F">
        <w:rPr>
          <w:lang w:val="es-419"/>
        </w:rPr>
        <w:t>Parte II:</w:t>
      </w:r>
      <w:r w:rsidRPr="0072455F">
        <w:rPr>
          <w:lang w:val="es-419"/>
        </w:rPr>
        <w:tab/>
        <w:t>Proyectos aprobados con cargo a las contribuciones voluntarias adicionales para proporcionar ayuda a corto plazo para la reducción de los HFC.</w:t>
      </w:r>
    </w:p>
    <w:p w14:paraId="3F898547" w14:textId="77777777" w:rsidR="004A7081" w:rsidRPr="0072455F" w:rsidRDefault="004A7081" w:rsidP="00172925">
      <w:pPr>
        <w:pStyle w:val="sub-title"/>
        <w:ind w:left="1418" w:hanging="1418"/>
        <w:rPr>
          <w:rFonts w:ascii="Times New Roman Bold" w:hAnsi="Times New Roman Bold"/>
          <w:caps/>
          <w:noProof w:val="0"/>
          <w:szCs w:val="28"/>
          <w:lang w:val="es-419"/>
        </w:rPr>
      </w:pPr>
      <w:r w:rsidRPr="0072455F">
        <w:rPr>
          <w:rFonts w:ascii="Times New Roman Bold" w:hAnsi="Times New Roman Bold"/>
          <w:caps/>
          <w:lang w:val="es-419"/>
        </w:rPr>
        <w:t xml:space="preserve">Parte I: </w:t>
      </w:r>
      <w:r w:rsidRPr="0072455F">
        <w:rPr>
          <w:rFonts w:ascii="Times New Roman Bold" w:hAnsi="Times New Roman Bold"/>
          <w:caps/>
          <w:lang w:val="es-419"/>
        </w:rPr>
        <w:tab/>
        <w:t>Proyectos aprobados con cargo a las contribuciones ordinarias al Fondo Multilateral</w:t>
      </w:r>
    </w:p>
    <w:p w14:paraId="19CAD467" w14:textId="77777777" w:rsidR="004A7081" w:rsidRPr="0072455F" w:rsidRDefault="004A7081" w:rsidP="00172925">
      <w:pPr>
        <w:pStyle w:val="Title1"/>
        <w:jc w:val="both"/>
        <w:rPr>
          <w:lang w:val="es-419"/>
        </w:rPr>
      </w:pPr>
    </w:p>
    <w:p w14:paraId="15434491" w14:textId="77777777" w:rsidR="004A7081" w:rsidRPr="0072455F" w:rsidRDefault="004A7081" w:rsidP="00172925">
      <w:pPr>
        <w:pStyle w:val="Heading1"/>
        <w:rPr>
          <w:lang w:val="es-419"/>
        </w:rPr>
      </w:pPr>
      <w:r w:rsidRPr="0072455F">
        <w:rPr>
          <w:lang w:val="es-419"/>
        </w:rPr>
        <w:t xml:space="preserve">Al 31 de diciembre de 2019, el Comité Ejecutivo había aprobado 173,39 millones de $EUA, que comprenden 158,3 millones de $EUA para la ejecución de proyectos de inversión y ajenos a la inversión y 15,09 millones de $EUA para gastos de apoyo de los organismos, como se muestra en el Cuadro 1. En 2019, se aprobaron seis proyectos y actividades nuevos. Se prevé que este nivel de financiación permitirá eliminar 10 384 toneladas PAO de consumo y producción de sustancias controladas. </w:t>
      </w:r>
    </w:p>
    <w:p w14:paraId="50AA3DA6" w14:textId="77777777" w:rsidR="004A7081" w:rsidRPr="0072455F" w:rsidRDefault="004A7081" w:rsidP="00172925">
      <w:pPr>
        <w:suppressAutoHyphens/>
        <w:rPr>
          <w:b/>
          <w:lang w:val="es-419"/>
        </w:rPr>
      </w:pPr>
      <w:r w:rsidRPr="0072455F">
        <w:rPr>
          <w:b/>
          <w:lang w:val="es-419"/>
        </w:rPr>
        <w:t>Cuadro 1: Financiación aprobada por sector para los organismos bilaterales al 31 de diciembre de 2019</w:t>
      </w:r>
    </w:p>
    <w:tbl>
      <w:tblPr>
        <w:tblW w:w="9356" w:type="dxa"/>
        <w:tblInd w:w="-5" w:type="dxa"/>
        <w:tblLook w:val="04A0" w:firstRow="1" w:lastRow="0" w:firstColumn="1" w:lastColumn="0" w:noHBand="0" w:noVBand="1"/>
      </w:tblPr>
      <w:tblGrid>
        <w:gridCol w:w="4678"/>
        <w:gridCol w:w="4678"/>
      </w:tblGrid>
      <w:tr w:rsidR="004A7081" w:rsidRPr="00463B87" w14:paraId="08BA58C8" w14:textId="77777777" w:rsidTr="00172925">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BF461" w14:textId="77777777" w:rsidR="004A7081" w:rsidRPr="00463B87" w:rsidRDefault="004A7081" w:rsidP="00172925">
            <w:pPr>
              <w:jc w:val="left"/>
              <w:rPr>
                <w:b/>
                <w:bCs/>
                <w:sz w:val="21"/>
                <w:szCs w:val="21"/>
              </w:rPr>
            </w:pPr>
            <w:r>
              <w:rPr>
                <w:b/>
                <w:sz w:val="21"/>
              </w:rPr>
              <w:t>Sector</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BAAF65F" w14:textId="77777777" w:rsidR="004A7081" w:rsidRPr="00463B87" w:rsidRDefault="004A7081" w:rsidP="00172925">
            <w:pPr>
              <w:jc w:val="center"/>
              <w:rPr>
                <w:b/>
                <w:bCs/>
                <w:sz w:val="21"/>
                <w:szCs w:val="21"/>
              </w:rPr>
            </w:pPr>
            <w:proofErr w:type="spellStart"/>
            <w:r>
              <w:rPr>
                <w:b/>
                <w:sz w:val="21"/>
              </w:rPr>
              <w:t>Financiación</w:t>
            </w:r>
            <w:proofErr w:type="spellEnd"/>
            <w:r>
              <w:rPr>
                <w:b/>
                <w:sz w:val="21"/>
              </w:rPr>
              <w:t xml:space="preserve"> ($EUA)</w:t>
            </w:r>
          </w:p>
        </w:tc>
      </w:tr>
      <w:tr w:rsidR="004A7081" w:rsidRPr="00463B87" w14:paraId="0D3286D1"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FECA1F5" w14:textId="77777777" w:rsidR="004A7081" w:rsidRPr="00463B87" w:rsidRDefault="004A7081" w:rsidP="00172925">
            <w:pPr>
              <w:jc w:val="left"/>
              <w:rPr>
                <w:sz w:val="21"/>
                <w:szCs w:val="21"/>
              </w:rPr>
            </w:pPr>
            <w:proofErr w:type="spellStart"/>
            <w:r>
              <w:rPr>
                <w:sz w:val="21"/>
              </w:rPr>
              <w:t>Aerosoles</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640E21C6" w14:textId="7273128F" w:rsidR="004A7081" w:rsidRPr="00463B87" w:rsidRDefault="004A7081" w:rsidP="00172925">
            <w:pPr>
              <w:jc w:val="right"/>
              <w:rPr>
                <w:sz w:val="21"/>
                <w:szCs w:val="21"/>
              </w:rPr>
            </w:pPr>
            <w:r>
              <w:rPr>
                <w:sz w:val="21"/>
              </w:rPr>
              <w:t>2</w:t>
            </w:r>
            <w:r w:rsidR="000245C4">
              <w:rPr>
                <w:sz w:val="21"/>
              </w:rPr>
              <w:t> </w:t>
            </w:r>
            <w:r>
              <w:rPr>
                <w:sz w:val="21"/>
              </w:rPr>
              <w:t>051</w:t>
            </w:r>
            <w:r w:rsidR="000245C4">
              <w:rPr>
                <w:sz w:val="21"/>
              </w:rPr>
              <w:t> </w:t>
            </w:r>
            <w:r>
              <w:rPr>
                <w:sz w:val="21"/>
              </w:rPr>
              <w:t>914</w:t>
            </w:r>
          </w:p>
        </w:tc>
      </w:tr>
      <w:tr w:rsidR="004A7081" w:rsidRPr="00463B87" w14:paraId="44CB9C66"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66ACA41" w14:textId="77777777" w:rsidR="004A7081" w:rsidRPr="00463B87" w:rsidRDefault="004A7081" w:rsidP="00172925">
            <w:pPr>
              <w:jc w:val="left"/>
              <w:rPr>
                <w:sz w:val="21"/>
                <w:szCs w:val="21"/>
              </w:rPr>
            </w:pPr>
            <w:proofErr w:type="spellStart"/>
            <w:r>
              <w:rPr>
                <w:sz w:val="21"/>
              </w:rPr>
              <w:t>Destrucción</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29DE00A6" w14:textId="126157B4" w:rsidR="004A7081" w:rsidRPr="00463B87" w:rsidRDefault="004A7081" w:rsidP="00172925">
            <w:pPr>
              <w:jc w:val="right"/>
              <w:rPr>
                <w:sz w:val="21"/>
                <w:szCs w:val="21"/>
              </w:rPr>
            </w:pPr>
            <w:r>
              <w:rPr>
                <w:sz w:val="21"/>
              </w:rPr>
              <w:t>1</w:t>
            </w:r>
            <w:r w:rsidR="000245C4">
              <w:rPr>
                <w:sz w:val="21"/>
              </w:rPr>
              <w:t> </w:t>
            </w:r>
            <w:r>
              <w:rPr>
                <w:sz w:val="21"/>
              </w:rPr>
              <w:t>526</w:t>
            </w:r>
            <w:r w:rsidR="000245C4">
              <w:rPr>
                <w:sz w:val="21"/>
              </w:rPr>
              <w:t> </w:t>
            </w:r>
            <w:r>
              <w:rPr>
                <w:sz w:val="21"/>
              </w:rPr>
              <w:t>282</w:t>
            </w:r>
          </w:p>
        </w:tc>
      </w:tr>
      <w:tr w:rsidR="004A7081" w:rsidRPr="00463B87" w14:paraId="62BB65D3"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23BC274" w14:textId="77777777" w:rsidR="004A7081" w:rsidRPr="00463B87" w:rsidRDefault="004A7081" w:rsidP="00172925">
            <w:pPr>
              <w:jc w:val="left"/>
              <w:rPr>
                <w:sz w:val="21"/>
                <w:szCs w:val="21"/>
              </w:rPr>
            </w:pPr>
            <w:proofErr w:type="spellStart"/>
            <w:r>
              <w:rPr>
                <w:sz w:val="21"/>
              </w:rPr>
              <w:t>Espumas</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599FCE55" w14:textId="1B670860" w:rsidR="004A7081" w:rsidRPr="00463B87" w:rsidRDefault="004A7081" w:rsidP="00172925">
            <w:pPr>
              <w:jc w:val="right"/>
              <w:rPr>
                <w:sz w:val="21"/>
                <w:szCs w:val="21"/>
              </w:rPr>
            </w:pPr>
            <w:r>
              <w:rPr>
                <w:sz w:val="21"/>
              </w:rPr>
              <w:t>8</w:t>
            </w:r>
            <w:r w:rsidR="000245C4">
              <w:rPr>
                <w:sz w:val="21"/>
              </w:rPr>
              <w:t> </w:t>
            </w:r>
            <w:r>
              <w:rPr>
                <w:sz w:val="21"/>
              </w:rPr>
              <w:t>093</w:t>
            </w:r>
            <w:r w:rsidR="000245C4">
              <w:rPr>
                <w:sz w:val="21"/>
              </w:rPr>
              <w:t> </w:t>
            </w:r>
            <w:r>
              <w:rPr>
                <w:sz w:val="21"/>
              </w:rPr>
              <w:t>857</w:t>
            </w:r>
          </w:p>
        </w:tc>
      </w:tr>
      <w:tr w:rsidR="004A7081" w:rsidRPr="00463B87" w14:paraId="3D01488A"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A3E2C6A" w14:textId="77777777" w:rsidR="004A7081" w:rsidRPr="00463B87" w:rsidRDefault="004A7081" w:rsidP="00172925">
            <w:pPr>
              <w:jc w:val="left"/>
              <w:rPr>
                <w:sz w:val="21"/>
                <w:szCs w:val="21"/>
              </w:rPr>
            </w:pPr>
            <w:proofErr w:type="spellStart"/>
            <w:r>
              <w:rPr>
                <w:sz w:val="21"/>
              </w:rPr>
              <w:t>Halones</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4E3AB367" w14:textId="597067E4" w:rsidR="004A7081" w:rsidRPr="00463B87" w:rsidRDefault="004A7081" w:rsidP="00172925">
            <w:pPr>
              <w:jc w:val="right"/>
              <w:rPr>
                <w:sz w:val="21"/>
                <w:szCs w:val="21"/>
              </w:rPr>
            </w:pPr>
            <w:r>
              <w:rPr>
                <w:sz w:val="21"/>
              </w:rPr>
              <w:t>6</w:t>
            </w:r>
            <w:r w:rsidR="000245C4">
              <w:rPr>
                <w:sz w:val="21"/>
              </w:rPr>
              <w:t> </w:t>
            </w:r>
            <w:r>
              <w:rPr>
                <w:sz w:val="21"/>
              </w:rPr>
              <w:t>147</w:t>
            </w:r>
            <w:r w:rsidR="000245C4">
              <w:rPr>
                <w:sz w:val="21"/>
              </w:rPr>
              <w:t> </w:t>
            </w:r>
            <w:r>
              <w:rPr>
                <w:sz w:val="21"/>
              </w:rPr>
              <w:t>361</w:t>
            </w:r>
          </w:p>
        </w:tc>
      </w:tr>
      <w:tr w:rsidR="004A7081" w:rsidRPr="00463B87" w14:paraId="78991827"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548B2F7" w14:textId="77777777" w:rsidR="004A7081" w:rsidRPr="00463B87" w:rsidRDefault="004A7081" w:rsidP="00172925">
            <w:pPr>
              <w:jc w:val="left"/>
              <w:rPr>
                <w:sz w:val="21"/>
                <w:szCs w:val="21"/>
              </w:rPr>
            </w:pPr>
            <w:proofErr w:type="spellStart"/>
            <w:r>
              <w:rPr>
                <w:sz w:val="21"/>
              </w:rPr>
              <w:t>Fumigantes</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0106AFF6" w14:textId="134D20CD" w:rsidR="004A7081" w:rsidRPr="00463B87" w:rsidRDefault="004A7081" w:rsidP="00172925">
            <w:pPr>
              <w:jc w:val="right"/>
              <w:rPr>
                <w:sz w:val="21"/>
                <w:szCs w:val="21"/>
              </w:rPr>
            </w:pPr>
            <w:r>
              <w:rPr>
                <w:sz w:val="21"/>
              </w:rPr>
              <w:t>18</w:t>
            </w:r>
            <w:r w:rsidR="000245C4">
              <w:rPr>
                <w:sz w:val="21"/>
              </w:rPr>
              <w:t> </w:t>
            </w:r>
            <w:r>
              <w:rPr>
                <w:sz w:val="21"/>
              </w:rPr>
              <w:t>226</w:t>
            </w:r>
            <w:r w:rsidR="000245C4">
              <w:rPr>
                <w:sz w:val="21"/>
              </w:rPr>
              <w:t> </w:t>
            </w:r>
            <w:r>
              <w:rPr>
                <w:sz w:val="21"/>
              </w:rPr>
              <w:t>925</w:t>
            </w:r>
          </w:p>
        </w:tc>
      </w:tr>
      <w:tr w:rsidR="004A7081" w:rsidRPr="00463B87" w14:paraId="7F6D7B45"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4407B52" w14:textId="77777777" w:rsidR="004A7081" w:rsidRPr="00463B87" w:rsidRDefault="004A7081" w:rsidP="00172925">
            <w:pPr>
              <w:jc w:val="left"/>
              <w:rPr>
                <w:sz w:val="21"/>
                <w:szCs w:val="21"/>
              </w:rPr>
            </w:pPr>
            <w:r>
              <w:rPr>
                <w:sz w:val="21"/>
              </w:rPr>
              <w:t xml:space="preserve">Plan de </w:t>
            </w:r>
            <w:proofErr w:type="spellStart"/>
            <w:r>
              <w:rPr>
                <w:sz w:val="21"/>
              </w:rPr>
              <w:t>eliminación</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58C7AE10" w14:textId="1A508199" w:rsidR="004A7081" w:rsidRPr="00463B87" w:rsidRDefault="004A7081" w:rsidP="00172925">
            <w:pPr>
              <w:jc w:val="right"/>
              <w:rPr>
                <w:sz w:val="21"/>
                <w:szCs w:val="21"/>
              </w:rPr>
            </w:pPr>
            <w:r>
              <w:rPr>
                <w:sz w:val="21"/>
              </w:rPr>
              <w:t>64</w:t>
            </w:r>
            <w:r w:rsidR="000245C4">
              <w:rPr>
                <w:sz w:val="21"/>
              </w:rPr>
              <w:t> </w:t>
            </w:r>
            <w:r>
              <w:rPr>
                <w:sz w:val="21"/>
              </w:rPr>
              <w:t>115</w:t>
            </w:r>
            <w:r w:rsidR="000245C4">
              <w:rPr>
                <w:sz w:val="21"/>
              </w:rPr>
              <w:t> </w:t>
            </w:r>
            <w:r>
              <w:rPr>
                <w:sz w:val="21"/>
              </w:rPr>
              <w:t>519</w:t>
            </w:r>
          </w:p>
        </w:tc>
      </w:tr>
      <w:tr w:rsidR="004A7081" w:rsidRPr="00463B87" w14:paraId="1B3E5EF1"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61EEFA4" w14:textId="77777777" w:rsidR="004A7081" w:rsidRPr="00463B87" w:rsidRDefault="004A7081" w:rsidP="00172925">
            <w:pPr>
              <w:jc w:val="left"/>
              <w:rPr>
                <w:sz w:val="21"/>
                <w:szCs w:val="21"/>
              </w:rPr>
            </w:pPr>
            <w:proofErr w:type="spellStart"/>
            <w:r>
              <w:rPr>
                <w:sz w:val="21"/>
              </w:rPr>
              <w:t>Producción</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0BDC3DE0" w14:textId="1953F06C" w:rsidR="004A7081" w:rsidRPr="00463B87" w:rsidRDefault="004A7081" w:rsidP="00172925">
            <w:pPr>
              <w:jc w:val="right"/>
              <w:rPr>
                <w:sz w:val="21"/>
                <w:szCs w:val="21"/>
              </w:rPr>
            </w:pPr>
            <w:r>
              <w:rPr>
                <w:sz w:val="21"/>
              </w:rPr>
              <w:t>10</w:t>
            </w:r>
            <w:r w:rsidR="000245C4">
              <w:rPr>
                <w:sz w:val="21"/>
              </w:rPr>
              <w:t> </w:t>
            </w:r>
            <w:r>
              <w:rPr>
                <w:sz w:val="21"/>
              </w:rPr>
              <w:t>000</w:t>
            </w:r>
            <w:r w:rsidR="000245C4">
              <w:rPr>
                <w:sz w:val="21"/>
              </w:rPr>
              <w:t> </w:t>
            </w:r>
            <w:r>
              <w:rPr>
                <w:sz w:val="21"/>
              </w:rPr>
              <w:t>000</w:t>
            </w:r>
          </w:p>
        </w:tc>
      </w:tr>
      <w:tr w:rsidR="004A7081" w:rsidRPr="00463B87" w14:paraId="56935882"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2CD0F9A" w14:textId="77777777" w:rsidR="004A7081" w:rsidRPr="00463B87" w:rsidRDefault="004A7081" w:rsidP="00172925">
            <w:pPr>
              <w:jc w:val="left"/>
              <w:rPr>
                <w:sz w:val="21"/>
                <w:szCs w:val="21"/>
              </w:rPr>
            </w:pPr>
            <w:proofErr w:type="spellStart"/>
            <w:r>
              <w:rPr>
                <w:sz w:val="21"/>
              </w:rPr>
              <w:t>Refrigeración</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4FDC6ECC" w14:textId="0FC41D6F" w:rsidR="004A7081" w:rsidRPr="00463B87" w:rsidRDefault="004A7081" w:rsidP="00172925">
            <w:pPr>
              <w:jc w:val="right"/>
              <w:rPr>
                <w:sz w:val="21"/>
                <w:szCs w:val="21"/>
              </w:rPr>
            </w:pPr>
            <w:r>
              <w:rPr>
                <w:sz w:val="21"/>
              </w:rPr>
              <w:t>40</w:t>
            </w:r>
            <w:r w:rsidR="000245C4">
              <w:rPr>
                <w:sz w:val="21"/>
              </w:rPr>
              <w:t> </w:t>
            </w:r>
            <w:r>
              <w:rPr>
                <w:sz w:val="21"/>
              </w:rPr>
              <w:t>910</w:t>
            </w:r>
            <w:r w:rsidR="000245C4">
              <w:rPr>
                <w:sz w:val="21"/>
              </w:rPr>
              <w:t> </w:t>
            </w:r>
            <w:r>
              <w:rPr>
                <w:sz w:val="21"/>
              </w:rPr>
              <w:t>116</w:t>
            </w:r>
          </w:p>
        </w:tc>
      </w:tr>
      <w:tr w:rsidR="004A7081" w:rsidRPr="00463B87" w14:paraId="2B4D83E0"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DB7493E" w14:textId="77777777" w:rsidR="004A7081" w:rsidRPr="00463B87" w:rsidRDefault="004A7081" w:rsidP="00172925">
            <w:pPr>
              <w:jc w:val="left"/>
              <w:rPr>
                <w:sz w:val="21"/>
                <w:szCs w:val="21"/>
              </w:rPr>
            </w:pPr>
            <w:proofErr w:type="spellStart"/>
            <w:r>
              <w:rPr>
                <w:sz w:val="21"/>
              </w:rPr>
              <w:t>Varios</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2B81BD72" w14:textId="00B42C64" w:rsidR="004A7081" w:rsidRPr="00463B87" w:rsidRDefault="004A7081" w:rsidP="00172925">
            <w:pPr>
              <w:jc w:val="right"/>
              <w:rPr>
                <w:sz w:val="21"/>
                <w:szCs w:val="21"/>
              </w:rPr>
            </w:pPr>
            <w:r>
              <w:rPr>
                <w:sz w:val="21"/>
              </w:rPr>
              <w:t>4</w:t>
            </w:r>
            <w:r w:rsidR="000245C4">
              <w:rPr>
                <w:sz w:val="21"/>
              </w:rPr>
              <w:t> </w:t>
            </w:r>
            <w:r>
              <w:rPr>
                <w:sz w:val="21"/>
              </w:rPr>
              <w:t>719</w:t>
            </w:r>
            <w:r w:rsidR="000245C4">
              <w:rPr>
                <w:sz w:val="21"/>
              </w:rPr>
              <w:t> </w:t>
            </w:r>
            <w:r>
              <w:rPr>
                <w:sz w:val="21"/>
              </w:rPr>
              <w:t>718</w:t>
            </w:r>
          </w:p>
        </w:tc>
      </w:tr>
      <w:tr w:rsidR="004A7081" w:rsidRPr="00463B87" w14:paraId="5621C5B7"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7C8EA76" w14:textId="77777777" w:rsidR="004A7081" w:rsidRPr="00463B87" w:rsidRDefault="004A7081" w:rsidP="00172925">
            <w:pPr>
              <w:jc w:val="left"/>
              <w:rPr>
                <w:sz w:val="21"/>
                <w:szCs w:val="21"/>
              </w:rPr>
            </w:pPr>
            <w:proofErr w:type="spellStart"/>
            <w:r>
              <w:rPr>
                <w:sz w:val="21"/>
              </w:rPr>
              <w:t>Disolventes</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51D792A6" w14:textId="6CDB2F74" w:rsidR="004A7081" w:rsidRPr="00463B87" w:rsidRDefault="004A7081" w:rsidP="00172925">
            <w:pPr>
              <w:jc w:val="right"/>
              <w:rPr>
                <w:sz w:val="21"/>
                <w:szCs w:val="21"/>
              </w:rPr>
            </w:pPr>
            <w:r>
              <w:rPr>
                <w:sz w:val="21"/>
              </w:rPr>
              <w:t>2</w:t>
            </w:r>
            <w:r w:rsidR="000245C4">
              <w:rPr>
                <w:sz w:val="21"/>
              </w:rPr>
              <w:t> </w:t>
            </w:r>
            <w:r>
              <w:rPr>
                <w:sz w:val="21"/>
              </w:rPr>
              <w:t>512</w:t>
            </w:r>
            <w:r w:rsidR="000245C4">
              <w:rPr>
                <w:sz w:val="21"/>
              </w:rPr>
              <w:t> </w:t>
            </w:r>
            <w:r>
              <w:rPr>
                <w:sz w:val="21"/>
              </w:rPr>
              <w:t>738</w:t>
            </w:r>
          </w:p>
        </w:tc>
      </w:tr>
      <w:tr w:rsidR="004A7081" w:rsidRPr="00463B87" w14:paraId="11D48C96"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8AAEE65" w14:textId="77777777" w:rsidR="004A7081" w:rsidRPr="00463B87" w:rsidRDefault="004A7081" w:rsidP="00172925">
            <w:pPr>
              <w:jc w:val="left"/>
              <w:rPr>
                <w:b/>
                <w:bCs/>
                <w:sz w:val="21"/>
                <w:szCs w:val="21"/>
              </w:rPr>
            </w:pPr>
            <w:r>
              <w:rPr>
                <w:b/>
                <w:sz w:val="21"/>
              </w:rPr>
              <w:t xml:space="preserve">Total </w:t>
            </w:r>
            <w:proofErr w:type="spellStart"/>
            <w:r>
              <w:rPr>
                <w:b/>
                <w:sz w:val="21"/>
              </w:rPr>
              <w:t>parcial</w:t>
            </w:r>
            <w:proofErr w:type="spellEnd"/>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00888EA2" w14:textId="5886D3D2" w:rsidR="004A7081" w:rsidRPr="00463B87" w:rsidRDefault="004A7081" w:rsidP="00172925">
            <w:pPr>
              <w:jc w:val="right"/>
              <w:rPr>
                <w:b/>
                <w:bCs/>
                <w:sz w:val="21"/>
                <w:szCs w:val="21"/>
              </w:rPr>
            </w:pPr>
            <w:r>
              <w:rPr>
                <w:b/>
                <w:sz w:val="21"/>
              </w:rPr>
              <w:t>158</w:t>
            </w:r>
            <w:r w:rsidR="000245C4">
              <w:rPr>
                <w:b/>
                <w:sz w:val="21"/>
              </w:rPr>
              <w:t> </w:t>
            </w:r>
            <w:r>
              <w:rPr>
                <w:b/>
                <w:sz w:val="21"/>
              </w:rPr>
              <w:t>304</w:t>
            </w:r>
            <w:r w:rsidR="000245C4">
              <w:rPr>
                <w:b/>
                <w:sz w:val="21"/>
              </w:rPr>
              <w:t> </w:t>
            </w:r>
            <w:r>
              <w:rPr>
                <w:b/>
                <w:sz w:val="21"/>
              </w:rPr>
              <w:t>429</w:t>
            </w:r>
          </w:p>
        </w:tc>
      </w:tr>
      <w:tr w:rsidR="004A7081" w:rsidRPr="00463B87" w14:paraId="02233F41"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221FEA8" w14:textId="77777777" w:rsidR="004A7081" w:rsidRPr="0072455F" w:rsidRDefault="004A7081" w:rsidP="00172925">
            <w:pPr>
              <w:jc w:val="left"/>
              <w:rPr>
                <w:sz w:val="21"/>
                <w:szCs w:val="21"/>
                <w:lang w:val="es-419"/>
              </w:rPr>
            </w:pPr>
            <w:r w:rsidRPr="0072455F">
              <w:rPr>
                <w:sz w:val="21"/>
                <w:lang w:val="es-419"/>
              </w:rPr>
              <w:t>Gastos de apoyo de los organismos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0D333FCC" w14:textId="661674BF" w:rsidR="004A7081" w:rsidRPr="00463B87" w:rsidRDefault="004A7081" w:rsidP="00172925">
            <w:pPr>
              <w:jc w:val="right"/>
              <w:rPr>
                <w:sz w:val="21"/>
                <w:szCs w:val="21"/>
              </w:rPr>
            </w:pPr>
            <w:r>
              <w:rPr>
                <w:sz w:val="21"/>
              </w:rPr>
              <w:t>15</w:t>
            </w:r>
            <w:r w:rsidR="000245C4">
              <w:rPr>
                <w:sz w:val="21"/>
              </w:rPr>
              <w:t> </w:t>
            </w:r>
            <w:r>
              <w:rPr>
                <w:sz w:val="21"/>
              </w:rPr>
              <w:t>090</w:t>
            </w:r>
            <w:r w:rsidR="000245C4">
              <w:rPr>
                <w:sz w:val="21"/>
              </w:rPr>
              <w:t> </w:t>
            </w:r>
            <w:r>
              <w:rPr>
                <w:sz w:val="21"/>
              </w:rPr>
              <w:t>052</w:t>
            </w:r>
          </w:p>
        </w:tc>
      </w:tr>
      <w:tr w:rsidR="004A7081" w:rsidRPr="00463B87" w14:paraId="79E112DE" w14:textId="77777777" w:rsidTr="00172925">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D3E5D0C" w14:textId="77777777" w:rsidR="004A7081" w:rsidRPr="00463B87" w:rsidRDefault="004A7081" w:rsidP="00172925">
            <w:pPr>
              <w:jc w:val="left"/>
              <w:rPr>
                <w:b/>
                <w:bCs/>
                <w:sz w:val="21"/>
                <w:szCs w:val="21"/>
              </w:rPr>
            </w:pPr>
            <w:r>
              <w:rPr>
                <w:b/>
                <w:sz w:val="21"/>
              </w:rPr>
              <w:t>Total</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center"/>
            <w:hideMark/>
          </w:tcPr>
          <w:p w14:paraId="7C844892" w14:textId="5ECB5E94" w:rsidR="004A7081" w:rsidRPr="00463B87" w:rsidRDefault="004A7081" w:rsidP="00172925">
            <w:pPr>
              <w:jc w:val="right"/>
              <w:rPr>
                <w:b/>
                <w:bCs/>
                <w:sz w:val="21"/>
                <w:szCs w:val="21"/>
              </w:rPr>
            </w:pPr>
            <w:r>
              <w:rPr>
                <w:b/>
                <w:sz w:val="21"/>
              </w:rPr>
              <w:t>173</w:t>
            </w:r>
            <w:r w:rsidR="000245C4">
              <w:rPr>
                <w:b/>
                <w:sz w:val="21"/>
              </w:rPr>
              <w:t> </w:t>
            </w:r>
            <w:r>
              <w:rPr>
                <w:b/>
                <w:sz w:val="21"/>
              </w:rPr>
              <w:t>394</w:t>
            </w:r>
            <w:r w:rsidR="000245C4">
              <w:rPr>
                <w:b/>
                <w:sz w:val="21"/>
              </w:rPr>
              <w:t> </w:t>
            </w:r>
            <w:r>
              <w:rPr>
                <w:b/>
                <w:sz w:val="21"/>
              </w:rPr>
              <w:t>482</w:t>
            </w:r>
          </w:p>
        </w:tc>
      </w:tr>
    </w:tbl>
    <w:p w14:paraId="4A9DC09D" w14:textId="77777777" w:rsidR="004A7081" w:rsidRPr="00463B87" w:rsidRDefault="004A7081" w:rsidP="00172925">
      <w:pPr>
        <w:suppressAutoHyphens/>
        <w:jc w:val="left"/>
        <w:rPr>
          <w:b/>
          <w:caps/>
          <w:spacing w:val="-3"/>
          <w:lang w:val="en-CA"/>
        </w:rPr>
      </w:pPr>
    </w:p>
    <w:p w14:paraId="20F32B84" w14:textId="77777777" w:rsidR="004A7081" w:rsidRPr="0072455F" w:rsidRDefault="004A7081" w:rsidP="00172925">
      <w:pPr>
        <w:pStyle w:val="Heading1"/>
        <w:rPr>
          <w:lang w:val="es-419"/>
        </w:rPr>
      </w:pPr>
      <w:r w:rsidRPr="0072455F">
        <w:rPr>
          <w:lang w:val="es-419"/>
        </w:rPr>
        <w:t xml:space="preserve">En el Cuadro 2 se presenta un resumen de la situación de los proyectos ejecutados por los organismos bilaterales. </w:t>
      </w:r>
    </w:p>
    <w:p w14:paraId="2BD930AF" w14:textId="77777777" w:rsidR="004A7081" w:rsidRPr="0072455F" w:rsidRDefault="004A7081" w:rsidP="00172925">
      <w:pPr>
        <w:rPr>
          <w:b/>
          <w:lang w:val="es-419"/>
        </w:rPr>
      </w:pPr>
      <w:r w:rsidRPr="0072455F">
        <w:rPr>
          <w:b/>
          <w:lang w:val="es-419"/>
        </w:rPr>
        <w:t>Cuadro 2: Situación de la ejecución de proyectos por categoría</w:t>
      </w:r>
    </w:p>
    <w:tbl>
      <w:tblPr>
        <w:tblW w:w="9476" w:type="dxa"/>
        <w:tblInd w:w="-5" w:type="dxa"/>
        <w:tblLayout w:type="fixed"/>
        <w:tblLook w:val="04A0" w:firstRow="1" w:lastRow="0" w:firstColumn="1" w:lastColumn="0" w:noHBand="0" w:noVBand="1"/>
      </w:tblPr>
      <w:tblGrid>
        <w:gridCol w:w="1823"/>
        <w:gridCol w:w="1057"/>
        <w:gridCol w:w="1080"/>
        <w:gridCol w:w="1080"/>
        <w:gridCol w:w="1170"/>
        <w:gridCol w:w="1170"/>
        <w:gridCol w:w="1031"/>
        <w:gridCol w:w="24"/>
        <w:gridCol w:w="1041"/>
      </w:tblGrid>
      <w:tr w:rsidR="004A7081" w:rsidRPr="00463B87" w14:paraId="4B8F0118" w14:textId="77777777" w:rsidTr="00172925">
        <w:trPr>
          <w:trHeight w:val="95"/>
          <w:tblHeader/>
        </w:trPr>
        <w:tc>
          <w:tcPr>
            <w:tcW w:w="1823"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62D7939" w14:textId="77777777" w:rsidR="004A7081" w:rsidRPr="004A75D4" w:rsidRDefault="004A7081" w:rsidP="00172925">
            <w:pPr>
              <w:jc w:val="left"/>
              <w:rPr>
                <w:b/>
                <w:bCs/>
                <w:sz w:val="18"/>
                <w:szCs w:val="18"/>
              </w:rPr>
            </w:pPr>
            <w:proofErr w:type="spellStart"/>
            <w:r w:rsidRPr="004A75D4">
              <w:rPr>
                <w:b/>
                <w:sz w:val="18"/>
                <w:szCs w:val="18"/>
              </w:rPr>
              <w:t>Tipo</w:t>
            </w:r>
            <w:proofErr w:type="spellEnd"/>
          </w:p>
        </w:tc>
        <w:tc>
          <w:tcPr>
            <w:tcW w:w="3217"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9905CC4" w14:textId="77777777" w:rsidR="004A7081" w:rsidRPr="004A75D4" w:rsidRDefault="004A7081" w:rsidP="00172925">
            <w:pPr>
              <w:jc w:val="center"/>
              <w:rPr>
                <w:b/>
                <w:bCs/>
                <w:sz w:val="18"/>
                <w:szCs w:val="18"/>
              </w:rPr>
            </w:pPr>
            <w:proofErr w:type="spellStart"/>
            <w:r w:rsidRPr="004A75D4">
              <w:rPr>
                <w:b/>
                <w:sz w:val="18"/>
                <w:szCs w:val="18"/>
              </w:rPr>
              <w:t>Cantidad</w:t>
            </w:r>
            <w:proofErr w:type="spellEnd"/>
            <w:r w:rsidRPr="004A75D4">
              <w:rPr>
                <w:b/>
                <w:sz w:val="18"/>
                <w:szCs w:val="18"/>
              </w:rPr>
              <w:t xml:space="preserve"> de </w:t>
            </w:r>
            <w:proofErr w:type="spellStart"/>
            <w:r w:rsidRPr="004A75D4">
              <w:rPr>
                <w:b/>
                <w:sz w:val="18"/>
                <w:szCs w:val="18"/>
              </w:rPr>
              <w:t>proyectos</w:t>
            </w:r>
            <w:proofErr w:type="spellEnd"/>
            <w:r w:rsidRPr="004A75D4">
              <w:rPr>
                <w:b/>
                <w:sz w:val="18"/>
                <w:szCs w:val="18"/>
              </w:rPr>
              <w:t>*</w:t>
            </w:r>
          </w:p>
        </w:tc>
        <w:tc>
          <w:tcPr>
            <w:tcW w:w="4436" w:type="dxa"/>
            <w:gridSpan w:val="5"/>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1243BBF9" w14:textId="77777777" w:rsidR="004A7081" w:rsidRPr="004A75D4" w:rsidRDefault="004A7081" w:rsidP="00172925">
            <w:pPr>
              <w:jc w:val="center"/>
              <w:rPr>
                <w:b/>
                <w:bCs/>
                <w:sz w:val="18"/>
                <w:szCs w:val="18"/>
              </w:rPr>
            </w:pPr>
            <w:proofErr w:type="spellStart"/>
            <w:r w:rsidRPr="004A75D4">
              <w:rPr>
                <w:b/>
                <w:sz w:val="18"/>
                <w:szCs w:val="18"/>
              </w:rPr>
              <w:t>Financiación</w:t>
            </w:r>
            <w:proofErr w:type="spellEnd"/>
            <w:r w:rsidRPr="004A75D4">
              <w:rPr>
                <w:b/>
                <w:sz w:val="18"/>
                <w:szCs w:val="18"/>
              </w:rPr>
              <w:t xml:space="preserve"> ($EUA)**</w:t>
            </w:r>
          </w:p>
        </w:tc>
      </w:tr>
      <w:tr w:rsidR="004A7081" w:rsidRPr="00463B87" w14:paraId="4A40216E" w14:textId="77777777" w:rsidTr="00172925">
        <w:trPr>
          <w:trHeight w:val="229"/>
          <w:tblHeader/>
        </w:trPr>
        <w:tc>
          <w:tcPr>
            <w:tcW w:w="1823"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14:paraId="4829D40E" w14:textId="77777777" w:rsidR="004A7081" w:rsidRPr="004A75D4" w:rsidRDefault="004A7081" w:rsidP="00172925">
            <w:pPr>
              <w:jc w:val="left"/>
              <w:rPr>
                <w:b/>
                <w:bCs/>
                <w:sz w:val="18"/>
                <w:szCs w:val="18"/>
                <w:lang w:val="en-CA" w:eastAsia="en-CA"/>
              </w:rPr>
            </w:pPr>
          </w:p>
        </w:tc>
        <w:tc>
          <w:tcPr>
            <w:tcW w:w="1057"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7B8EADE" w14:textId="77777777" w:rsidR="004A7081" w:rsidRPr="004A75D4" w:rsidRDefault="004A7081" w:rsidP="00172925">
            <w:pPr>
              <w:jc w:val="center"/>
              <w:rPr>
                <w:b/>
                <w:bCs/>
                <w:sz w:val="18"/>
                <w:szCs w:val="18"/>
              </w:rPr>
            </w:pPr>
            <w:proofErr w:type="spellStart"/>
            <w:r w:rsidRPr="004A75D4">
              <w:rPr>
                <w:b/>
                <w:sz w:val="18"/>
                <w:szCs w:val="18"/>
              </w:rPr>
              <w:t>Aprobados</w:t>
            </w:r>
            <w:proofErr w:type="spellEnd"/>
          </w:p>
        </w:tc>
        <w:tc>
          <w:tcPr>
            <w:tcW w:w="108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C16E897" w14:textId="77777777" w:rsidR="004A7081" w:rsidRPr="004A75D4" w:rsidRDefault="004A7081" w:rsidP="00172925">
            <w:pPr>
              <w:jc w:val="center"/>
              <w:rPr>
                <w:b/>
                <w:bCs/>
                <w:sz w:val="18"/>
                <w:szCs w:val="18"/>
              </w:rPr>
            </w:pPr>
            <w:proofErr w:type="spellStart"/>
            <w:r w:rsidRPr="004A75D4">
              <w:rPr>
                <w:b/>
                <w:sz w:val="18"/>
                <w:szCs w:val="18"/>
              </w:rPr>
              <w:t>Terminados</w:t>
            </w:r>
            <w:proofErr w:type="spellEnd"/>
          </w:p>
        </w:tc>
        <w:tc>
          <w:tcPr>
            <w:tcW w:w="108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5E5CD8E" w14:textId="77777777" w:rsidR="004A7081" w:rsidRPr="004A75D4" w:rsidRDefault="004A7081" w:rsidP="00172925">
            <w:pPr>
              <w:jc w:val="center"/>
              <w:rPr>
                <w:b/>
                <w:bCs/>
                <w:sz w:val="18"/>
                <w:szCs w:val="18"/>
              </w:rPr>
            </w:pPr>
            <w:r w:rsidRPr="004A75D4">
              <w:rPr>
                <w:b/>
                <w:sz w:val="18"/>
                <w:szCs w:val="18"/>
              </w:rPr>
              <w:t xml:space="preserve">% </w:t>
            </w:r>
            <w:proofErr w:type="spellStart"/>
            <w:r w:rsidRPr="004A75D4">
              <w:rPr>
                <w:b/>
                <w:sz w:val="18"/>
                <w:szCs w:val="18"/>
              </w:rPr>
              <w:t>terminados</w:t>
            </w:r>
            <w:proofErr w:type="spellEnd"/>
          </w:p>
        </w:tc>
        <w:tc>
          <w:tcPr>
            <w:tcW w:w="11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C0BC596" w14:textId="5C5A67A2" w:rsidR="004A7081" w:rsidRPr="004A75D4" w:rsidRDefault="004A7081" w:rsidP="00172925">
            <w:pPr>
              <w:jc w:val="center"/>
              <w:rPr>
                <w:b/>
                <w:bCs/>
                <w:sz w:val="18"/>
                <w:szCs w:val="18"/>
              </w:rPr>
            </w:pPr>
            <w:proofErr w:type="spellStart"/>
            <w:r w:rsidRPr="004A75D4">
              <w:rPr>
                <w:b/>
                <w:sz w:val="18"/>
                <w:szCs w:val="18"/>
              </w:rPr>
              <w:t>Aprobado</w:t>
            </w:r>
            <w:proofErr w:type="spellEnd"/>
          </w:p>
        </w:tc>
        <w:tc>
          <w:tcPr>
            <w:tcW w:w="11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AA7CEDA" w14:textId="68CEE342" w:rsidR="004A7081" w:rsidRPr="004A75D4" w:rsidRDefault="004A7081" w:rsidP="00172925">
            <w:pPr>
              <w:jc w:val="center"/>
              <w:rPr>
                <w:b/>
                <w:bCs/>
                <w:sz w:val="18"/>
                <w:szCs w:val="18"/>
              </w:rPr>
            </w:pPr>
            <w:proofErr w:type="spellStart"/>
            <w:r w:rsidRPr="004A75D4">
              <w:rPr>
                <w:b/>
                <w:sz w:val="18"/>
                <w:szCs w:val="18"/>
              </w:rPr>
              <w:t>Desembolsa</w:t>
            </w:r>
            <w:proofErr w:type="spellEnd"/>
            <w:r w:rsidR="004A75D4">
              <w:rPr>
                <w:b/>
                <w:sz w:val="18"/>
                <w:szCs w:val="18"/>
              </w:rPr>
              <w:t>-</w:t>
            </w:r>
            <w:r w:rsidRPr="004A75D4">
              <w:rPr>
                <w:b/>
                <w:sz w:val="18"/>
                <w:szCs w:val="18"/>
              </w:rPr>
              <w:t>do</w:t>
            </w:r>
          </w:p>
        </w:tc>
        <w:tc>
          <w:tcPr>
            <w:tcW w:w="1055" w:type="dxa"/>
            <w:gridSpan w:val="2"/>
            <w:tcBorders>
              <w:top w:val="nil"/>
              <w:left w:val="nil"/>
              <w:bottom w:val="single" w:sz="4" w:space="0" w:color="auto"/>
              <w:right w:val="single" w:sz="4" w:space="0" w:color="auto"/>
            </w:tcBorders>
            <w:shd w:val="clear" w:color="auto" w:fill="auto"/>
            <w:tcMar>
              <w:left w:w="72" w:type="dxa"/>
              <w:right w:w="72" w:type="dxa"/>
            </w:tcMar>
            <w:vAlign w:val="center"/>
            <w:hideMark/>
          </w:tcPr>
          <w:p w14:paraId="52B76659" w14:textId="77777777" w:rsidR="004A7081" w:rsidRPr="004A75D4" w:rsidRDefault="004A7081" w:rsidP="00172925">
            <w:pPr>
              <w:jc w:val="center"/>
              <w:rPr>
                <w:b/>
                <w:bCs/>
                <w:sz w:val="18"/>
                <w:szCs w:val="18"/>
              </w:rPr>
            </w:pPr>
            <w:proofErr w:type="spellStart"/>
            <w:r w:rsidRPr="004A75D4">
              <w:rPr>
                <w:b/>
                <w:sz w:val="18"/>
                <w:szCs w:val="18"/>
              </w:rPr>
              <w:t>Saldo</w:t>
            </w:r>
            <w:proofErr w:type="spellEnd"/>
          </w:p>
        </w:tc>
        <w:tc>
          <w:tcPr>
            <w:tcW w:w="1041"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0DE4669" w14:textId="63F14705" w:rsidR="004A7081" w:rsidRPr="004A75D4" w:rsidRDefault="004A7081" w:rsidP="00172925">
            <w:pPr>
              <w:jc w:val="center"/>
              <w:rPr>
                <w:b/>
                <w:bCs/>
                <w:sz w:val="18"/>
                <w:szCs w:val="18"/>
              </w:rPr>
            </w:pPr>
            <w:r w:rsidRPr="004A75D4">
              <w:rPr>
                <w:b/>
                <w:sz w:val="18"/>
                <w:szCs w:val="18"/>
              </w:rPr>
              <w:t xml:space="preserve">% </w:t>
            </w:r>
            <w:proofErr w:type="spellStart"/>
            <w:r w:rsidRPr="004A75D4">
              <w:rPr>
                <w:b/>
                <w:sz w:val="18"/>
                <w:szCs w:val="18"/>
              </w:rPr>
              <w:t>desembol</w:t>
            </w:r>
            <w:r w:rsidR="004A75D4">
              <w:rPr>
                <w:b/>
                <w:sz w:val="18"/>
                <w:szCs w:val="18"/>
              </w:rPr>
              <w:t>-</w:t>
            </w:r>
            <w:r w:rsidRPr="004A75D4">
              <w:rPr>
                <w:b/>
                <w:sz w:val="18"/>
                <w:szCs w:val="18"/>
              </w:rPr>
              <w:t>sado</w:t>
            </w:r>
            <w:proofErr w:type="spellEnd"/>
          </w:p>
        </w:tc>
      </w:tr>
      <w:tr w:rsidR="004A7081" w:rsidRPr="00463B87" w14:paraId="1F8BA158" w14:textId="77777777" w:rsidTr="00172925">
        <w:trPr>
          <w:trHeight w:val="223"/>
        </w:trPr>
        <w:tc>
          <w:tcPr>
            <w:tcW w:w="1823"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94F5965" w14:textId="77777777" w:rsidR="004A7081" w:rsidRPr="00463B87" w:rsidRDefault="004A7081" w:rsidP="00172925">
            <w:pPr>
              <w:jc w:val="left"/>
              <w:rPr>
                <w:sz w:val="20"/>
                <w:szCs w:val="20"/>
              </w:rPr>
            </w:pPr>
            <w:proofErr w:type="spellStart"/>
            <w:r>
              <w:rPr>
                <w:sz w:val="20"/>
              </w:rPr>
              <w:t>Programa</w:t>
            </w:r>
            <w:proofErr w:type="spellEnd"/>
            <w:r>
              <w:rPr>
                <w:sz w:val="20"/>
              </w:rPr>
              <w:t xml:space="preserve"> de </w:t>
            </w:r>
            <w:proofErr w:type="spellStart"/>
            <w:r>
              <w:rPr>
                <w:sz w:val="20"/>
              </w:rPr>
              <w:t>país</w:t>
            </w:r>
            <w:proofErr w:type="spellEnd"/>
          </w:p>
        </w:tc>
        <w:tc>
          <w:tcPr>
            <w:tcW w:w="1057" w:type="dxa"/>
            <w:tcBorders>
              <w:top w:val="nil"/>
              <w:left w:val="nil"/>
              <w:bottom w:val="single" w:sz="4" w:space="0" w:color="auto"/>
              <w:right w:val="single" w:sz="4" w:space="0" w:color="auto"/>
            </w:tcBorders>
            <w:shd w:val="clear" w:color="auto" w:fill="auto"/>
            <w:noWrap/>
            <w:tcMar>
              <w:left w:w="0" w:type="dxa"/>
              <w:right w:w="29" w:type="dxa"/>
            </w:tcMar>
            <w:hideMark/>
          </w:tcPr>
          <w:p w14:paraId="142548C4" w14:textId="77777777" w:rsidR="004A7081" w:rsidRPr="00463B87" w:rsidRDefault="004A7081" w:rsidP="00172925">
            <w:pPr>
              <w:jc w:val="right"/>
              <w:rPr>
                <w:sz w:val="20"/>
                <w:szCs w:val="20"/>
              </w:rPr>
            </w:pPr>
            <w:r>
              <w:rPr>
                <w:sz w:val="20"/>
              </w:rPr>
              <w:t>9</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75654F35" w14:textId="77777777" w:rsidR="004A7081" w:rsidRPr="00463B87" w:rsidRDefault="004A7081" w:rsidP="00172925">
            <w:pPr>
              <w:jc w:val="right"/>
              <w:rPr>
                <w:sz w:val="20"/>
                <w:szCs w:val="20"/>
              </w:rPr>
            </w:pPr>
            <w:r>
              <w:rPr>
                <w:sz w:val="20"/>
              </w:rPr>
              <w:t>9</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4A9C9372" w14:textId="77777777" w:rsidR="004A7081" w:rsidRPr="00463B87" w:rsidRDefault="004A7081" w:rsidP="00172925">
            <w:pPr>
              <w:jc w:val="right"/>
              <w:rPr>
                <w:sz w:val="20"/>
                <w:szCs w:val="20"/>
              </w:rPr>
            </w:pPr>
            <w:r>
              <w:rPr>
                <w:sz w:val="20"/>
              </w:rPr>
              <w:t>100</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73D16B88" w14:textId="625B728B" w:rsidR="004A7081" w:rsidRPr="00463B87" w:rsidRDefault="004A7081" w:rsidP="00172925">
            <w:pPr>
              <w:jc w:val="right"/>
              <w:rPr>
                <w:sz w:val="20"/>
                <w:szCs w:val="20"/>
              </w:rPr>
            </w:pPr>
            <w:r>
              <w:rPr>
                <w:sz w:val="20"/>
              </w:rPr>
              <w:t>340</w:t>
            </w:r>
            <w:r w:rsidR="000245C4">
              <w:rPr>
                <w:sz w:val="20"/>
              </w:rPr>
              <w:t> </w:t>
            </w:r>
            <w:r>
              <w:rPr>
                <w:sz w:val="20"/>
              </w:rPr>
              <w:t>787</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4417288F" w14:textId="41AA66B5" w:rsidR="004A7081" w:rsidRPr="00463B87" w:rsidRDefault="004A7081" w:rsidP="00172925">
            <w:pPr>
              <w:jc w:val="right"/>
              <w:rPr>
                <w:sz w:val="20"/>
                <w:szCs w:val="20"/>
              </w:rPr>
            </w:pPr>
            <w:r>
              <w:rPr>
                <w:sz w:val="20"/>
              </w:rPr>
              <w:t>340</w:t>
            </w:r>
            <w:r w:rsidR="000245C4">
              <w:rPr>
                <w:sz w:val="20"/>
              </w:rPr>
              <w:t> </w:t>
            </w:r>
            <w:r>
              <w:rPr>
                <w:sz w:val="20"/>
              </w:rPr>
              <w:t>787</w:t>
            </w:r>
          </w:p>
        </w:tc>
        <w:tc>
          <w:tcPr>
            <w:tcW w:w="1031" w:type="dxa"/>
            <w:tcBorders>
              <w:top w:val="nil"/>
              <w:left w:val="nil"/>
              <w:bottom w:val="single" w:sz="4" w:space="0" w:color="auto"/>
              <w:right w:val="single" w:sz="4" w:space="0" w:color="auto"/>
            </w:tcBorders>
            <w:shd w:val="clear" w:color="auto" w:fill="auto"/>
            <w:noWrap/>
            <w:tcMar>
              <w:left w:w="0" w:type="dxa"/>
              <w:right w:w="29" w:type="dxa"/>
            </w:tcMar>
            <w:hideMark/>
          </w:tcPr>
          <w:p w14:paraId="477BBC02" w14:textId="77777777" w:rsidR="004A7081" w:rsidRPr="00463B87" w:rsidRDefault="004A7081" w:rsidP="00172925">
            <w:pPr>
              <w:jc w:val="right"/>
              <w:rPr>
                <w:sz w:val="20"/>
                <w:szCs w:val="20"/>
              </w:rPr>
            </w:pPr>
            <w:r>
              <w:rPr>
                <w:sz w:val="20"/>
              </w:rPr>
              <w:t>0</w:t>
            </w:r>
          </w:p>
        </w:tc>
        <w:tc>
          <w:tcPr>
            <w:tcW w:w="1065" w:type="dxa"/>
            <w:gridSpan w:val="2"/>
            <w:tcBorders>
              <w:top w:val="nil"/>
              <w:left w:val="nil"/>
              <w:bottom w:val="single" w:sz="4" w:space="0" w:color="auto"/>
              <w:right w:val="single" w:sz="4" w:space="0" w:color="auto"/>
            </w:tcBorders>
            <w:shd w:val="clear" w:color="auto" w:fill="auto"/>
            <w:noWrap/>
            <w:tcMar>
              <w:left w:w="0" w:type="dxa"/>
              <w:right w:w="29" w:type="dxa"/>
            </w:tcMar>
            <w:hideMark/>
          </w:tcPr>
          <w:p w14:paraId="70E86C32" w14:textId="77777777" w:rsidR="004A7081" w:rsidRPr="00463B87" w:rsidRDefault="004A7081" w:rsidP="00172925">
            <w:pPr>
              <w:jc w:val="right"/>
              <w:rPr>
                <w:sz w:val="20"/>
                <w:szCs w:val="20"/>
              </w:rPr>
            </w:pPr>
            <w:r>
              <w:rPr>
                <w:sz w:val="20"/>
              </w:rPr>
              <w:t>100</w:t>
            </w:r>
          </w:p>
        </w:tc>
      </w:tr>
      <w:tr w:rsidR="004A7081" w:rsidRPr="00463B87" w14:paraId="12224397" w14:textId="77777777" w:rsidTr="00172925">
        <w:trPr>
          <w:trHeight w:val="52"/>
        </w:trPr>
        <w:tc>
          <w:tcPr>
            <w:tcW w:w="1823"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AB96517" w14:textId="77777777" w:rsidR="004A7081" w:rsidRPr="00463B87" w:rsidRDefault="004A7081" w:rsidP="00172925">
            <w:pPr>
              <w:jc w:val="left"/>
              <w:rPr>
                <w:sz w:val="20"/>
                <w:szCs w:val="20"/>
              </w:rPr>
            </w:pPr>
            <w:proofErr w:type="spellStart"/>
            <w:r>
              <w:rPr>
                <w:sz w:val="20"/>
              </w:rPr>
              <w:t>Demostración</w:t>
            </w:r>
            <w:proofErr w:type="spellEnd"/>
          </w:p>
        </w:tc>
        <w:tc>
          <w:tcPr>
            <w:tcW w:w="1057" w:type="dxa"/>
            <w:tcBorders>
              <w:top w:val="nil"/>
              <w:left w:val="nil"/>
              <w:bottom w:val="single" w:sz="4" w:space="0" w:color="auto"/>
              <w:right w:val="single" w:sz="4" w:space="0" w:color="auto"/>
            </w:tcBorders>
            <w:shd w:val="clear" w:color="auto" w:fill="auto"/>
            <w:noWrap/>
            <w:tcMar>
              <w:left w:w="0" w:type="dxa"/>
              <w:right w:w="29" w:type="dxa"/>
            </w:tcMar>
            <w:hideMark/>
          </w:tcPr>
          <w:p w14:paraId="4567FF11" w14:textId="77777777" w:rsidR="004A7081" w:rsidRPr="00463B87" w:rsidRDefault="004A7081" w:rsidP="00172925">
            <w:pPr>
              <w:jc w:val="right"/>
              <w:rPr>
                <w:sz w:val="20"/>
                <w:szCs w:val="20"/>
              </w:rPr>
            </w:pPr>
            <w:r>
              <w:rPr>
                <w:sz w:val="20"/>
              </w:rPr>
              <w:t>38</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41B1159A" w14:textId="77777777" w:rsidR="004A7081" w:rsidRPr="00463B87" w:rsidRDefault="004A7081" w:rsidP="00172925">
            <w:pPr>
              <w:jc w:val="right"/>
              <w:rPr>
                <w:sz w:val="20"/>
                <w:szCs w:val="20"/>
              </w:rPr>
            </w:pPr>
            <w:r>
              <w:rPr>
                <w:sz w:val="20"/>
              </w:rPr>
              <w:t>38</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41969A66" w14:textId="77777777" w:rsidR="004A7081" w:rsidRPr="00463B87" w:rsidRDefault="004A7081" w:rsidP="00172925">
            <w:pPr>
              <w:jc w:val="right"/>
              <w:rPr>
                <w:sz w:val="20"/>
                <w:szCs w:val="20"/>
              </w:rPr>
            </w:pPr>
            <w:r>
              <w:rPr>
                <w:sz w:val="20"/>
              </w:rPr>
              <w:t>100</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49AE12A5" w14:textId="40C03022" w:rsidR="004A7081" w:rsidRPr="00463B87" w:rsidRDefault="004A7081" w:rsidP="00172925">
            <w:pPr>
              <w:jc w:val="right"/>
              <w:rPr>
                <w:sz w:val="20"/>
                <w:szCs w:val="20"/>
              </w:rPr>
            </w:pPr>
            <w:r>
              <w:rPr>
                <w:sz w:val="20"/>
              </w:rPr>
              <w:t>9</w:t>
            </w:r>
            <w:r w:rsidR="000245C4">
              <w:rPr>
                <w:sz w:val="20"/>
              </w:rPr>
              <w:t> </w:t>
            </w:r>
            <w:r>
              <w:rPr>
                <w:sz w:val="20"/>
              </w:rPr>
              <w:t>409</w:t>
            </w:r>
            <w:r w:rsidR="000245C4">
              <w:rPr>
                <w:sz w:val="20"/>
              </w:rPr>
              <w:t> </w:t>
            </w:r>
            <w:r>
              <w:rPr>
                <w:sz w:val="20"/>
              </w:rPr>
              <w:t>431</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360E2ABE" w14:textId="5F339D7C" w:rsidR="004A7081" w:rsidRPr="00463B87" w:rsidRDefault="004A7081" w:rsidP="00172925">
            <w:pPr>
              <w:jc w:val="right"/>
              <w:rPr>
                <w:sz w:val="20"/>
                <w:szCs w:val="20"/>
              </w:rPr>
            </w:pPr>
            <w:r>
              <w:rPr>
                <w:sz w:val="20"/>
              </w:rPr>
              <w:t>9</w:t>
            </w:r>
            <w:r w:rsidR="000245C4">
              <w:rPr>
                <w:sz w:val="20"/>
              </w:rPr>
              <w:t> </w:t>
            </w:r>
            <w:r>
              <w:rPr>
                <w:sz w:val="20"/>
              </w:rPr>
              <w:t>409</w:t>
            </w:r>
            <w:r w:rsidR="000245C4">
              <w:rPr>
                <w:sz w:val="20"/>
              </w:rPr>
              <w:t> </w:t>
            </w:r>
            <w:r>
              <w:rPr>
                <w:sz w:val="20"/>
              </w:rPr>
              <w:t>431</w:t>
            </w:r>
          </w:p>
        </w:tc>
        <w:tc>
          <w:tcPr>
            <w:tcW w:w="1031" w:type="dxa"/>
            <w:tcBorders>
              <w:top w:val="nil"/>
              <w:left w:val="nil"/>
              <w:bottom w:val="single" w:sz="4" w:space="0" w:color="auto"/>
              <w:right w:val="single" w:sz="4" w:space="0" w:color="auto"/>
            </w:tcBorders>
            <w:shd w:val="clear" w:color="auto" w:fill="auto"/>
            <w:noWrap/>
            <w:tcMar>
              <w:left w:w="0" w:type="dxa"/>
              <w:right w:w="29" w:type="dxa"/>
            </w:tcMar>
            <w:hideMark/>
          </w:tcPr>
          <w:p w14:paraId="588A9CF4" w14:textId="77777777" w:rsidR="004A7081" w:rsidRPr="00463B87" w:rsidRDefault="004A7081" w:rsidP="00172925">
            <w:pPr>
              <w:jc w:val="right"/>
              <w:rPr>
                <w:sz w:val="20"/>
                <w:szCs w:val="20"/>
              </w:rPr>
            </w:pPr>
            <w:r>
              <w:rPr>
                <w:sz w:val="20"/>
              </w:rPr>
              <w:t>0</w:t>
            </w:r>
          </w:p>
        </w:tc>
        <w:tc>
          <w:tcPr>
            <w:tcW w:w="1065" w:type="dxa"/>
            <w:gridSpan w:val="2"/>
            <w:tcBorders>
              <w:top w:val="nil"/>
              <w:left w:val="nil"/>
              <w:bottom w:val="single" w:sz="4" w:space="0" w:color="auto"/>
              <w:right w:val="single" w:sz="4" w:space="0" w:color="auto"/>
            </w:tcBorders>
            <w:shd w:val="clear" w:color="auto" w:fill="auto"/>
            <w:noWrap/>
            <w:tcMar>
              <w:left w:w="0" w:type="dxa"/>
              <w:right w:w="29" w:type="dxa"/>
            </w:tcMar>
            <w:hideMark/>
          </w:tcPr>
          <w:p w14:paraId="58B425FD" w14:textId="77777777" w:rsidR="004A7081" w:rsidRPr="00463B87" w:rsidRDefault="004A7081" w:rsidP="00172925">
            <w:pPr>
              <w:jc w:val="right"/>
              <w:rPr>
                <w:sz w:val="20"/>
                <w:szCs w:val="20"/>
              </w:rPr>
            </w:pPr>
            <w:r>
              <w:rPr>
                <w:sz w:val="20"/>
              </w:rPr>
              <w:t>100</w:t>
            </w:r>
          </w:p>
        </w:tc>
      </w:tr>
      <w:tr w:rsidR="004A7081" w:rsidRPr="00463B87" w14:paraId="2F0513EE" w14:textId="77777777" w:rsidTr="00172925">
        <w:trPr>
          <w:trHeight w:val="364"/>
        </w:trPr>
        <w:tc>
          <w:tcPr>
            <w:tcW w:w="1823"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787A1D1" w14:textId="77777777" w:rsidR="004A7081" w:rsidRPr="00463B87" w:rsidRDefault="004A7081" w:rsidP="00172925">
            <w:pPr>
              <w:jc w:val="left"/>
              <w:rPr>
                <w:sz w:val="20"/>
                <w:szCs w:val="20"/>
              </w:rPr>
            </w:pPr>
            <w:proofErr w:type="spellStart"/>
            <w:r>
              <w:rPr>
                <w:sz w:val="20"/>
              </w:rPr>
              <w:t>Fortalecimiento</w:t>
            </w:r>
            <w:proofErr w:type="spellEnd"/>
            <w:r>
              <w:rPr>
                <w:sz w:val="20"/>
              </w:rPr>
              <w:t xml:space="preserve"> </w:t>
            </w:r>
            <w:proofErr w:type="spellStart"/>
            <w:r>
              <w:rPr>
                <w:sz w:val="20"/>
              </w:rPr>
              <w:t>institucional</w:t>
            </w:r>
            <w:proofErr w:type="spellEnd"/>
          </w:p>
        </w:tc>
        <w:tc>
          <w:tcPr>
            <w:tcW w:w="1057" w:type="dxa"/>
            <w:tcBorders>
              <w:top w:val="nil"/>
              <w:left w:val="nil"/>
              <w:bottom w:val="single" w:sz="4" w:space="0" w:color="auto"/>
              <w:right w:val="single" w:sz="4" w:space="0" w:color="auto"/>
            </w:tcBorders>
            <w:shd w:val="clear" w:color="auto" w:fill="auto"/>
            <w:noWrap/>
            <w:tcMar>
              <w:left w:w="0" w:type="dxa"/>
              <w:right w:w="29" w:type="dxa"/>
            </w:tcMar>
            <w:hideMark/>
          </w:tcPr>
          <w:p w14:paraId="39579DFA" w14:textId="77777777" w:rsidR="004A7081" w:rsidRPr="00463B87" w:rsidRDefault="004A7081" w:rsidP="00172925">
            <w:pPr>
              <w:jc w:val="right"/>
              <w:rPr>
                <w:sz w:val="20"/>
                <w:szCs w:val="20"/>
              </w:rPr>
            </w:pPr>
            <w:r>
              <w:rPr>
                <w:sz w:val="20"/>
              </w:rPr>
              <w:t>7</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71544B7F" w14:textId="77777777" w:rsidR="004A7081" w:rsidRPr="00463B87" w:rsidRDefault="004A7081" w:rsidP="00172925">
            <w:pPr>
              <w:jc w:val="right"/>
              <w:rPr>
                <w:sz w:val="20"/>
                <w:szCs w:val="20"/>
              </w:rPr>
            </w:pPr>
            <w:r>
              <w:rPr>
                <w:sz w:val="20"/>
              </w:rPr>
              <w:t>7</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49E13282" w14:textId="77777777" w:rsidR="004A7081" w:rsidRPr="00463B87" w:rsidRDefault="004A7081" w:rsidP="00172925">
            <w:pPr>
              <w:jc w:val="right"/>
              <w:rPr>
                <w:sz w:val="20"/>
                <w:szCs w:val="20"/>
              </w:rPr>
            </w:pPr>
            <w:r>
              <w:rPr>
                <w:sz w:val="20"/>
              </w:rPr>
              <w:t>100</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5F5B8A4E" w14:textId="223C9903" w:rsidR="004A7081" w:rsidRPr="00463B87" w:rsidRDefault="004A7081" w:rsidP="00172925">
            <w:pPr>
              <w:jc w:val="right"/>
              <w:rPr>
                <w:sz w:val="20"/>
                <w:szCs w:val="20"/>
              </w:rPr>
            </w:pPr>
            <w:r>
              <w:rPr>
                <w:sz w:val="20"/>
              </w:rPr>
              <w:t>883</w:t>
            </w:r>
            <w:r w:rsidR="000245C4">
              <w:rPr>
                <w:sz w:val="20"/>
              </w:rPr>
              <w:t> </w:t>
            </w:r>
            <w:r>
              <w:rPr>
                <w:sz w:val="20"/>
              </w:rPr>
              <w:t>376</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55D5AD73" w14:textId="2A32E309" w:rsidR="004A7081" w:rsidRPr="00463B87" w:rsidRDefault="004A7081" w:rsidP="00172925">
            <w:pPr>
              <w:jc w:val="right"/>
              <w:rPr>
                <w:sz w:val="20"/>
                <w:szCs w:val="20"/>
              </w:rPr>
            </w:pPr>
            <w:r>
              <w:rPr>
                <w:sz w:val="20"/>
              </w:rPr>
              <w:t>883</w:t>
            </w:r>
            <w:r w:rsidR="000245C4">
              <w:rPr>
                <w:sz w:val="20"/>
              </w:rPr>
              <w:t> </w:t>
            </w:r>
            <w:r>
              <w:rPr>
                <w:sz w:val="20"/>
              </w:rPr>
              <w:t>376</w:t>
            </w:r>
          </w:p>
        </w:tc>
        <w:tc>
          <w:tcPr>
            <w:tcW w:w="1031" w:type="dxa"/>
            <w:tcBorders>
              <w:top w:val="nil"/>
              <w:left w:val="nil"/>
              <w:bottom w:val="single" w:sz="4" w:space="0" w:color="auto"/>
              <w:right w:val="single" w:sz="4" w:space="0" w:color="auto"/>
            </w:tcBorders>
            <w:shd w:val="clear" w:color="auto" w:fill="auto"/>
            <w:noWrap/>
            <w:tcMar>
              <w:left w:w="0" w:type="dxa"/>
              <w:right w:w="29" w:type="dxa"/>
            </w:tcMar>
            <w:hideMark/>
          </w:tcPr>
          <w:p w14:paraId="016BE9D3" w14:textId="77777777" w:rsidR="004A7081" w:rsidRPr="00463B87" w:rsidRDefault="004A7081" w:rsidP="00172925">
            <w:pPr>
              <w:jc w:val="right"/>
              <w:rPr>
                <w:sz w:val="20"/>
                <w:szCs w:val="20"/>
              </w:rPr>
            </w:pPr>
            <w:r>
              <w:rPr>
                <w:sz w:val="20"/>
              </w:rPr>
              <w:t>0</w:t>
            </w:r>
          </w:p>
        </w:tc>
        <w:tc>
          <w:tcPr>
            <w:tcW w:w="1065" w:type="dxa"/>
            <w:gridSpan w:val="2"/>
            <w:tcBorders>
              <w:top w:val="nil"/>
              <w:left w:val="nil"/>
              <w:bottom w:val="single" w:sz="4" w:space="0" w:color="auto"/>
              <w:right w:val="single" w:sz="4" w:space="0" w:color="auto"/>
            </w:tcBorders>
            <w:shd w:val="clear" w:color="auto" w:fill="auto"/>
            <w:noWrap/>
            <w:tcMar>
              <w:left w:w="0" w:type="dxa"/>
              <w:right w:w="29" w:type="dxa"/>
            </w:tcMar>
            <w:hideMark/>
          </w:tcPr>
          <w:p w14:paraId="23F5FD59" w14:textId="77777777" w:rsidR="004A7081" w:rsidRPr="00463B87" w:rsidRDefault="004A7081" w:rsidP="00172925">
            <w:pPr>
              <w:jc w:val="right"/>
              <w:rPr>
                <w:sz w:val="20"/>
                <w:szCs w:val="20"/>
              </w:rPr>
            </w:pPr>
            <w:r>
              <w:rPr>
                <w:sz w:val="20"/>
              </w:rPr>
              <w:t>100</w:t>
            </w:r>
          </w:p>
        </w:tc>
      </w:tr>
      <w:tr w:rsidR="004A7081" w:rsidRPr="00463B87" w14:paraId="658D066F" w14:textId="77777777" w:rsidTr="00172925">
        <w:trPr>
          <w:trHeight w:val="55"/>
        </w:trPr>
        <w:tc>
          <w:tcPr>
            <w:tcW w:w="1823"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0DA5335" w14:textId="77777777" w:rsidR="004A7081" w:rsidRPr="00463B87" w:rsidRDefault="004A7081" w:rsidP="00172925">
            <w:pPr>
              <w:jc w:val="left"/>
              <w:rPr>
                <w:sz w:val="20"/>
                <w:szCs w:val="20"/>
              </w:rPr>
            </w:pPr>
            <w:proofErr w:type="spellStart"/>
            <w:r>
              <w:rPr>
                <w:sz w:val="20"/>
              </w:rPr>
              <w:t>Inversión</w:t>
            </w:r>
            <w:proofErr w:type="spellEnd"/>
          </w:p>
        </w:tc>
        <w:tc>
          <w:tcPr>
            <w:tcW w:w="1057" w:type="dxa"/>
            <w:tcBorders>
              <w:top w:val="nil"/>
              <w:left w:val="nil"/>
              <w:bottom w:val="single" w:sz="4" w:space="0" w:color="auto"/>
              <w:right w:val="single" w:sz="4" w:space="0" w:color="auto"/>
            </w:tcBorders>
            <w:shd w:val="clear" w:color="auto" w:fill="auto"/>
            <w:noWrap/>
            <w:tcMar>
              <w:left w:w="0" w:type="dxa"/>
              <w:right w:w="29" w:type="dxa"/>
            </w:tcMar>
            <w:hideMark/>
          </w:tcPr>
          <w:p w14:paraId="02B7143A" w14:textId="77777777" w:rsidR="004A7081" w:rsidRPr="00463B87" w:rsidRDefault="004A7081" w:rsidP="00172925">
            <w:pPr>
              <w:jc w:val="right"/>
              <w:rPr>
                <w:sz w:val="20"/>
                <w:szCs w:val="20"/>
              </w:rPr>
            </w:pPr>
            <w:r>
              <w:rPr>
                <w:sz w:val="20"/>
              </w:rPr>
              <w:t>230</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448FA998" w14:textId="77777777" w:rsidR="004A7081" w:rsidRPr="00463B87" w:rsidRDefault="004A7081" w:rsidP="00172925">
            <w:pPr>
              <w:jc w:val="right"/>
              <w:rPr>
                <w:sz w:val="20"/>
                <w:szCs w:val="20"/>
              </w:rPr>
            </w:pPr>
            <w:r>
              <w:rPr>
                <w:sz w:val="20"/>
              </w:rPr>
              <w:t>196</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566A12B9" w14:textId="77777777" w:rsidR="004A7081" w:rsidRPr="00463B87" w:rsidRDefault="004A7081" w:rsidP="00172925">
            <w:pPr>
              <w:jc w:val="right"/>
              <w:rPr>
                <w:sz w:val="20"/>
                <w:szCs w:val="20"/>
              </w:rPr>
            </w:pPr>
            <w:r>
              <w:rPr>
                <w:sz w:val="20"/>
              </w:rPr>
              <w:t>85</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3E5D2045" w14:textId="54BD38A7" w:rsidR="004A7081" w:rsidRPr="00463B87" w:rsidRDefault="004A7081" w:rsidP="00172925">
            <w:pPr>
              <w:jc w:val="right"/>
              <w:rPr>
                <w:sz w:val="20"/>
                <w:szCs w:val="20"/>
              </w:rPr>
            </w:pPr>
            <w:r>
              <w:rPr>
                <w:sz w:val="20"/>
              </w:rPr>
              <w:t>106</w:t>
            </w:r>
            <w:r w:rsidR="000245C4">
              <w:rPr>
                <w:sz w:val="20"/>
              </w:rPr>
              <w:t> </w:t>
            </w:r>
            <w:r>
              <w:rPr>
                <w:sz w:val="20"/>
              </w:rPr>
              <w:t>139</w:t>
            </w:r>
            <w:r w:rsidR="000245C4">
              <w:rPr>
                <w:sz w:val="20"/>
              </w:rPr>
              <w:t> </w:t>
            </w:r>
            <w:r>
              <w:rPr>
                <w:sz w:val="20"/>
              </w:rPr>
              <w:t>945</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15ABC179" w14:textId="4DEB2BDA" w:rsidR="004A7081" w:rsidRPr="00463B87" w:rsidRDefault="004A7081" w:rsidP="00172925">
            <w:pPr>
              <w:jc w:val="right"/>
              <w:rPr>
                <w:sz w:val="20"/>
                <w:szCs w:val="20"/>
              </w:rPr>
            </w:pPr>
            <w:r>
              <w:rPr>
                <w:sz w:val="20"/>
              </w:rPr>
              <w:t>98</w:t>
            </w:r>
            <w:r w:rsidR="000245C4">
              <w:rPr>
                <w:sz w:val="20"/>
              </w:rPr>
              <w:t> </w:t>
            </w:r>
            <w:r>
              <w:rPr>
                <w:sz w:val="20"/>
              </w:rPr>
              <w:t>563</w:t>
            </w:r>
            <w:r w:rsidR="000245C4">
              <w:rPr>
                <w:sz w:val="20"/>
              </w:rPr>
              <w:t> </w:t>
            </w:r>
            <w:r>
              <w:rPr>
                <w:sz w:val="20"/>
              </w:rPr>
              <w:t>367</w:t>
            </w:r>
          </w:p>
        </w:tc>
        <w:tc>
          <w:tcPr>
            <w:tcW w:w="1031" w:type="dxa"/>
            <w:tcBorders>
              <w:top w:val="nil"/>
              <w:left w:val="nil"/>
              <w:bottom w:val="single" w:sz="4" w:space="0" w:color="auto"/>
              <w:right w:val="single" w:sz="4" w:space="0" w:color="auto"/>
            </w:tcBorders>
            <w:shd w:val="clear" w:color="auto" w:fill="auto"/>
            <w:noWrap/>
            <w:tcMar>
              <w:left w:w="0" w:type="dxa"/>
              <w:right w:w="29" w:type="dxa"/>
            </w:tcMar>
            <w:hideMark/>
          </w:tcPr>
          <w:p w14:paraId="792A0097" w14:textId="5190322C" w:rsidR="004A7081" w:rsidRPr="00463B87" w:rsidRDefault="004A7081" w:rsidP="00172925">
            <w:pPr>
              <w:jc w:val="right"/>
              <w:rPr>
                <w:sz w:val="20"/>
                <w:szCs w:val="20"/>
              </w:rPr>
            </w:pPr>
            <w:r>
              <w:rPr>
                <w:sz w:val="20"/>
              </w:rPr>
              <w:t>7</w:t>
            </w:r>
            <w:r w:rsidR="000245C4">
              <w:rPr>
                <w:sz w:val="20"/>
              </w:rPr>
              <w:t> </w:t>
            </w:r>
            <w:r>
              <w:rPr>
                <w:sz w:val="20"/>
              </w:rPr>
              <w:t>576</w:t>
            </w:r>
            <w:r w:rsidR="000245C4">
              <w:rPr>
                <w:sz w:val="20"/>
              </w:rPr>
              <w:t> </w:t>
            </w:r>
            <w:r>
              <w:rPr>
                <w:sz w:val="20"/>
              </w:rPr>
              <w:t>579</w:t>
            </w:r>
          </w:p>
        </w:tc>
        <w:tc>
          <w:tcPr>
            <w:tcW w:w="1065" w:type="dxa"/>
            <w:gridSpan w:val="2"/>
            <w:tcBorders>
              <w:top w:val="nil"/>
              <w:left w:val="nil"/>
              <w:bottom w:val="single" w:sz="4" w:space="0" w:color="auto"/>
              <w:right w:val="single" w:sz="4" w:space="0" w:color="auto"/>
            </w:tcBorders>
            <w:shd w:val="clear" w:color="auto" w:fill="auto"/>
            <w:noWrap/>
            <w:tcMar>
              <w:left w:w="0" w:type="dxa"/>
              <w:right w:w="29" w:type="dxa"/>
            </w:tcMar>
            <w:hideMark/>
          </w:tcPr>
          <w:p w14:paraId="5B65A58D" w14:textId="77777777" w:rsidR="004A7081" w:rsidRPr="00463B87" w:rsidRDefault="004A7081" w:rsidP="00172925">
            <w:pPr>
              <w:jc w:val="right"/>
              <w:rPr>
                <w:sz w:val="20"/>
                <w:szCs w:val="20"/>
              </w:rPr>
            </w:pPr>
            <w:r>
              <w:rPr>
                <w:sz w:val="20"/>
              </w:rPr>
              <w:t>93</w:t>
            </w:r>
          </w:p>
        </w:tc>
      </w:tr>
      <w:tr w:rsidR="004A7081" w:rsidRPr="00463B87" w14:paraId="7A14FFFC" w14:textId="77777777" w:rsidTr="00172925">
        <w:trPr>
          <w:trHeight w:val="243"/>
        </w:trPr>
        <w:tc>
          <w:tcPr>
            <w:tcW w:w="1823"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E3CC5F6" w14:textId="77777777" w:rsidR="004A7081" w:rsidRPr="00463B87" w:rsidRDefault="004A7081" w:rsidP="00172925">
            <w:pPr>
              <w:jc w:val="left"/>
              <w:rPr>
                <w:sz w:val="20"/>
                <w:szCs w:val="20"/>
              </w:rPr>
            </w:pPr>
            <w:proofErr w:type="spellStart"/>
            <w:r>
              <w:rPr>
                <w:sz w:val="20"/>
              </w:rPr>
              <w:t>Preparación</w:t>
            </w:r>
            <w:proofErr w:type="spellEnd"/>
            <w:r>
              <w:rPr>
                <w:sz w:val="20"/>
              </w:rPr>
              <w:t xml:space="preserve"> de </w:t>
            </w:r>
            <w:proofErr w:type="spellStart"/>
            <w:r>
              <w:rPr>
                <w:sz w:val="20"/>
              </w:rPr>
              <w:t>proyectos</w:t>
            </w:r>
            <w:proofErr w:type="spellEnd"/>
          </w:p>
        </w:tc>
        <w:tc>
          <w:tcPr>
            <w:tcW w:w="1057" w:type="dxa"/>
            <w:tcBorders>
              <w:top w:val="nil"/>
              <w:left w:val="nil"/>
              <w:bottom w:val="single" w:sz="4" w:space="0" w:color="auto"/>
              <w:right w:val="single" w:sz="4" w:space="0" w:color="auto"/>
            </w:tcBorders>
            <w:shd w:val="clear" w:color="auto" w:fill="auto"/>
            <w:noWrap/>
            <w:tcMar>
              <w:left w:w="0" w:type="dxa"/>
              <w:right w:w="29" w:type="dxa"/>
            </w:tcMar>
            <w:hideMark/>
          </w:tcPr>
          <w:p w14:paraId="2C834EF4" w14:textId="77777777" w:rsidR="004A7081" w:rsidRPr="00463B87" w:rsidRDefault="004A7081" w:rsidP="00172925">
            <w:pPr>
              <w:jc w:val="right"/>
              <w:rPr>
                <w:sz w:val="20"/>
                <w:szCs w:val="20"/>
              </w:rPr>
            </w:pPr>
            <w:r>
              <w:rPr>
                <w:sz w:val="20"/>
              </w:rPr>
              <w:t>123</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44789F5D" w14:textId="77777777" w:rsidR="004A7081" w:rsidRPr="00463B87" w:rsidRDefault="004A7081" w:rsidP="00172925">
            <w:pPr>
              <w:jc w:val="right"/>
              <w:rPr>
                <w:sz w:val="20"/>
                <w:szCs w:val="20"/>
              </w:rPr>
            </w:pPr>
            <w:r>
              <w:rPr>
                <w:sz w:val="20"/>
              </w:rPr>
              <w:t>122</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62867984" w14:textId="77777777" w:rsidR="004A7081" w:rsidRPr="00463B87" w:rsidRDefault="004A7081" w:rsidP="00172925">
            <w:pPr>
              <w:jc w:val="right"/>
              <w:rPr>
                <w:sz w:val="20"/>
                <w:szCs w:val="20"/>
              </w:rPr>
            </w:pPr>
            <w:r>
              <w:rPr>
                <w:sz w:val="20"/>
              </w:rPr>
              <w:t>99</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5BF0A8C6" w14:textId="680A72FF" w:rsidR="004A7081" w:rsidRPr="00463B87" w:rsidRDefault="004A7081" w:rsidP="00172925">
            <w:pPr>
              <w:jc w:val="right"/>
              <w:rPr>
                <w:sz w:val="20"/>
                <w:szCs w:val="20"/>
              </w:rPr>
            </w:pPr>
            <w:r>
              <w:rPr>
                <w:sz w:val="20"/>
              </w:rPr>
              <w:t>5</w:t>
            </w:r>
            <w:r w:rsidR="000245C4">
              <w:rPr>
                <w:sz w:val="20"/>
              </w:rPr>
              <w:t> </w:t>
            </w:r>
            <w:r>
              <w:rPr>
                <w:sz w:val="20"/>
              </w:rPr>
              <w:t>446</w:t>
            </w:r>
            <w:r w:rsidR="000245C4">
              <w:rPr>
                <w:sz w:val="20"/>
              </w:rPr>
              <w:t> </w:t>
            </w:r>
            <w:r>
              <w:rPr>
                <w:sz w:val="20"/>
              </w:rPr>
              <w:t>111</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3A879C61" w14:textId="712D5EC3" w:rsidR="004A7081" w:rsidRPr="00463B87" w:rsidRDefault="004A7081" w:rsidP="00172925">
            <w:pPr>
              <w:jc w:val="right"/>
              <w:rPr>
                <w:sz w:val="20"/>
                <w:szCs w:val="20"/>
              </w:rPr>
            </w:pPr>
            <w:r>
              <w:rPr>
                <w:sz w:val="20"/>
              </w:rPr>
              <w:t>5</w:t>
            </w:r>
            <w:r w:rsidR="000245C4">
              <w:rPr>
                <w:sz w:val="20"/>
              </w:rPr>
              <w:t> </w:t>
            </w:r>
            <w:r>
              <w:rPr>
                <w:sz w:val="20"/>
              </w:rPr>
              <w:t>417</w:t>
            </w:r>
            <w:r w:rsidR="000245C4">
              <w:rPr>
                <w:sz w:val="20"/>
              </w:rPr>
              <w:t> </w:t>
            </w:r>
            <w:r>
              <w:rPr>
                <w:sz w:val="20"/>
              </w:rPr>
              <w:t>211</w:t>
            </w:r>
          </w:p>
        </w:tc>
        <w:tc>
          <w:tcPr>
            <w:tcW w:w="1031" w:type="dxa"/>
            <w:tcBorders>
              <w:top w:val="nil"/>
              <w:left w:val="nil"/>
              <w:bottom w:val="single" w:sz="4" w:space="0" w:color="auto"/>
              <w:right w:val="single" w:sz="4" w:space="0" w:color="auto"/>
            </w:tcBorders>
            <w:shd w:val="clear" w:color="auto" w:fill="auto"/>
            <w:noWrap/>
            <w:tcMar>
              <w:left w:w="0" w:type="dxa"/>
              <w:right w:w="29" w:type="dxa"/>
            </w:tcMar>
            <w:hideMark/>
          </w:tcPr>
          <w:p w14:paraId="7F871704" w14:textId="3B9232BA" w:rsidR="004A7081" w:rsidRPr="00463B87" w:rsidRDefault="004A7081" w:rsidP="00172925">
            <w:pPr>
              <w:jc w:val="right"/>
              <w:rPr>
                <w:sz w:val="20"/>
                <w:szCs w:val="20"/>
              </w:rPr>
            </w:pPr>
            <w:r>
              <w:rPr>
                <w:sz w:val="20"/>
              </w:rPr>
              <w:t>28</w:t>
            </w:r>
            <w:r w:rsidR="000245C4">
              <w:rPr>
                <w:sz w:val="20"/>
              </w:rPr>
              <w:t> </w:t>
            </w:r>
            <w:r>
              <w:rPr>
                <w:sz w:val="20"/>
              </w:rPr>
              <w:t>900</w:t>
            </w:r>
          </w:p>
        </w:tc>
        <w:tc>
          <w:tcPr>
            <w:tcW w:w="1065" w:type="dxa"/>
            <w:gridSpan w:val="2"/>
            <w:tcBorders>
              <w:top w:val="nil"/>
              <w:left w:val="nil"/>
              <w:bottom w:val="single" w:sz="4" w:space="0" w:color="auto"/>
              <w:right w:val="single" w:sz="4" w:space="0" w:color="auto"/>
            </w:tcBorders>
            <w:shd w:val="clear" w:color="auto" w:fill="auto"/>
            <w:noWrap/>
            <w:tcMar>
              <w:left w:w="0" w:type="dxa"/>
              <w:right w:w="29" w:type="dxa"/>
            </w:tcMar>
            <w:hideMark/>
          </w:tcPr>
          <w:p w14:paraId="7C8AF63A" w14:textId="77777777" w:rsidR="004A7081" w:rsidRPr="00463B87" w:rsidRDefault="004A7081" w:rsidP="00172925">
            <w:pPr>
              <w:jc w:val="right"/>
              <w:rPr>
                <w:sz w:val="20"/>
                <w:szCs w:val="20"/>
              </w:rPr>
            </w:pPr>
            <w:r>
              <w:rPr>
                <w:sz w:val="20"/>
              </w:rPr>
              <w:t>99</w:t>
            </w:r>
          </w:p>
        </w:tc>
      </w:tr>
      <w:tr w:rsidR="004A7081" w:rsidRPr="00463B87" w14:paraId="4E3FFB98" w14:textId="77777777" w:rsidTr="00172925">
        <w:trPr>
          <w:trHeight w:val="204"/>
        </w:trPr>
        <w:tc>
          <w:tcPr>
            <w:tcW w:w="1823"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2AD5C90" w14:textId="77777777" w:rsidR="004A7081" w:rsidRPr="00463B87" w:rsidRDefault="004A7081" w:rsidP="00172925">
            <w:pPr>
              <w:jc w:val="left"/>
              <w:rPr>
                <w:sz w:val="20"/>
                <w:szCs w:val="20"/>
              </w:rPr>
            </w:pPr>
            <w:proofErr w:type="spellStart"/>
            <w:r>
              <w:rPr>
                <w:sz w:val="20"/>
              </w:rPr>
              <w:lastRenderedPageBreak/>
              <w:t>Asistencia</w:t>
            </w:r>
            <w:proofErr w:type="spellEnd"/>
            <w:r>
              <w:rPr>
                <w:sz w:val="20"/>
              </w:rPr>
              <w:t xml:space="preserve"> </w:t>
            </w:r>
            <w:proofErr w:type="spellStart"/>
            <w:r>
              <w:rPr>
                <w:sz w:val="20"/>
              </w:rPr>
              <w:t>técnica</w:t>
            </w:r>
            <w:proofErr w:type="spellEnd"/>
          </w:p>
        </w:tc>
        <w:tc>
          <w:tcPr>
            <w:tcW w:w="1057" w:type="dxa"/>
            <w:tcBorders>
              <w:top w:val="nil"/>
              <w:left w:val="nil"/>
              <w:bottom w:val="single" w:sz="4" w:space="0" w:color="auto"/>
              <w:right w:val="single" w:sz="4" w:space="0" w:color="auto"/>
            </w:tcBorders>
            <w:shd w:val="clear" w:color="auto" w:fill="auto"/>
            <w:noWrap/>
            <w:tcMar>
              <w:left w:w="0" w:type="dxa"/>
              <w:right w:w="29" w:type="dxa"/>
            </w:tcMar>
            <w:hideMark/>
          </w:tcPr>
          <w:p w14:paraId="1FC4B716" w14:textId="77777777" w:rsidR="004A7081" w:rsidRPr="00463B87" w:rsidRDefault="004A7081" w:rsidP="00172925">
            <w:pPr>
              <w:jc w:val="right"/>
              <w:rPr>
                <w:sz w:val="20"/>
                <w:szCs w:val="20"/>
              </w:rPr>
            </w:pPr>
            <w:r>
              <w:rPr>
                <w:sz w:val="20"/>
              </w:rPr>
              <w:t>210</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58B0985D" w14:textId="77777777" w:rsidR="004A7081" w:rsidRPr="00463B87" w:rsidRDefault="004A7081" w:rsidP="00172925">
            <w:pPr>
              <w:jc w:val="right"/>
              <w:rPr>
                <w:sz w:val="20"/>
                <w:szCs w:val="20"/>
              </w:rPr>
            </w:pPr>
            <w:r>
              <w:rPr>
                <w:sz w:val="20"/>
              </w:rPr>
              <w:t>196</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09D20BAB" w14:textId="77777777" w:rsidR="004A7081" w:rsidRPr="00463B87" w:rsidRDefault="004A7081" w:rsidP="00172925">
            <w:pPr>
              <w:jc w:val="right"/>
              <w:rPr>
                <w:sz w:val="20"/>
                <w:szCs w:val="20"/>
              </w:rPr>
            </w:pPr>
            <w:r>
              <w:rPr>
                <w:sz w:val="20"/>
              </w:rPr>
              <w:t>93</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5A165777" w14:textId="685061F5" w:rsidR="004A7081" w:rsidRPr="00463B87" w:rsidRDefault="004A7081" w:rsidP="00172925">
            <w:pPr>
              <w:jc w:val="right"/>
              <w:rPr>
                <w:sz w:val="20"/>
                <w:szCs w:val="20"/>
              </w:rPr>
            </w:pPr>
            <w:r>
              <w:rPr>
                <w:sz w:val="20"/>
              </w:rPr>
              <w:t>27</w:t>
            </w:r>
            <w:r w:rsidR="000245C4">
              <w:rPr>
                <w:sz w:val="20"/>
              </w:rPr>
              <w:t> </w:t>
            </w:r>
            <w:r>
              <w:rPr>
                <w:sz w:val="20"/>
              </w:rPr>
              <w:t>663</w:t>
            </w:r>
            <w:r w:rsidR="000245C4">
              <w:rPr>
                <w:sz w:val="20"/>
              </w:rPr>
              <w:t> </w:t>
            </w:r>
            <w:r>
              <w:rPr>
                <w:sz w:val="20"/>
              </w:rPr>
              <w:t>363</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262660D9" w14:textId="4F45399F" w:rsidR="004A7081" w:rsidRPr="00463B87" w:rsidRDefault="004A7081" w:rsidP="00172925">
            <w:pPr>
              <w:jc w:val="right"/>
              <w:rPr>
                <w:sz w:val="20"/>
                <w:szCs w:val="20"/>
              </w:rPr>
            </w:pPr>
            <w:r>
              <w:rPr>
                <w:sz w:val="20"/>
              </w:rPr>
              <w:t>24</w:t>
            </w:r>
            <w:r w:rsidR="000245C4">
              <w:rPr>
                <w:sz w:val="20"/>
              </w:rPr>
              <w:t> </w:t>
            </w:r>
            <w:r>
              <w:rPr>
                <w:sz w:val="20"/>
              </w:rPr>
              <w:t>423</w:t>
            </w:r>
            <w:r w:rsidR="000245C4">
              <w:rPr>
                <w:sz w:val="20"/>
              </w:rPr>
              <w:t> </w:t>
            </w:r>
            <w:r>
              <w:rPr>
                <w:sz w:val="20"/>
              </w:rPr>
              <w:t>731</w:t>
            </w:r>
          </w:p>
        </w:tc>
        <w:tc>
          <w:tcPr>
            <w:tcW w:w="1031" w:type="dxa"/>
            <w:tcBorders>
              <w:top w:val="nil"/>
              <w:left w:val="nil"/>
              <w:bottom w:val="single" w:sz="4" w:space="0" w:color="auto"/>
              <w:right w:val="single" w:sz="4" w:space="0" w:color="auto"/>
            </w:tcBorders>
            <w:shd w:val="clear" w:color="auto" w:fill="auto"/>
            <w:noWrap/>
            <w:tcMar>
              <w:left w:w="0" w:type="dxa"/>
              <w:right w:w="29" w:type="dxa"/>
            </w:tcMar>
            <w:hideMark/>
          </w:tcPr>
          <w:p w14:paraId="295E3EE6" w14:textId="53418CE7" w:rsidR="004A7081" w:rsidRPr="00463B87" w:rsidRDefault="004A7081" w:rsidP="00172925">
            <w:pPr>
              <w:jc w:val="right"/>
              <w:rPr>
                <w:sz w:val="20"/>
                <w:szCs w:val="20"/>
              </w:rPr>
            </w:pPr>
            <w:r>
              <w:rPr>
                <w:sz w:val="20"/>
              </w:rPr>
              <w:t>3</w:t>
            </w:r>
            <w:r w:rsidR="000245C4">
              <w:rPr>
                <w:sz w:val="20"/>
              </w:rPr>
              <w:t> </w:t>
            </w:r>
            <w:r>
              <w:rPr>
                <w:sz w:val="20"/>
              </w:rPr>
              <w:t>239</w:t>
            </w:r>
            <w:r w:rsidR="000245C4">
              <w:rPr>
                <w:sz w:val="20"/>
              </w:rPr>
              <w:t> </w:t>
            </w:r>
            <w:r>
              <w:rPr>
                <w:sz w:val="20"/>
              </w:rPr>
              <w:t>633</w:t>
            </w:r>
          </w:p>
        </w:tc>
        <w:tc>
          <w:tcPr>
            <w:tcW w:w="1065" w:type="dxa"/>
            <w:gridSpan w:val="2"/>
            <w:tcBorders>
              <w:top w:val="nil"/>
              <w:left w:val="nil"/>
              <w:bottom w:val="single" w:sz="4" w:space="0" w:color="auto"/>
              <w:right w:val="single" w:sz="4" w:space="0" w:color="auto"/>
            </w:tcBorders>
            <w:shd w:val="clear" w:color="auto" w:fill="auto"/>
            <w:noWrap/>
            <w:tcMar>
              <w:left w:w="0" w:type="dxa"/>
              <w:right w:w="29" w:type="dxa"/>
            </w:tcMar>
            <w:hideMark/>
          </w:tcPr>
          <w:p w14:paraId="1F9FBDC5" w14:textId="77777777" w:rsidR="004A7081" w:rsidRPr="00463B87" w:rsidRDefault="004A7081" w:rsidP="00172925">
            <w:pPr>
              <w:jc w:val="right"/>
              <w:rPr>
                <w:sz w:val="20"/>
                <w:szCs w:val="20"/>
              </w:rPr>
            </w:pPr>
            <w:r>
              <w:rPr>
                <w:sz w:val="20"/>
              </w:rPr>
              <w:t>88</w:t>
            </w:r>
          </w:p>
        </w:tc>
      </w:tr>
      <w:tr w:rsidR="004A7081" w:rsidRPr="00463B87" w14:paraId="47069A29" w14:textId="77777777" w:rsidTr="00172925">
        <w:trPr>
          <w:trHeight w:val="52"/>
        </w:trPr>
        <w:tc>
          <w:tcPr>
            <w:tcW w:w="1823"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7A3C592" w14:textId="77777777" w:rsidR="004A7081" w:rsidRPr="00463B87" w:rsidRDefault="004A7081" w:rsidP="00172925">
            <w:pPr>
              <w:jc w:val="left"/>
              <w:rPr>
                <w:sz w:val="20"/>
                <w:szCs w:val="20"/>
              </w:rPr>
            </w:pPr>
            <w:proofErr w:type="spellStart"/>
            <w:r>
              <w:rPr>
                <w:sz w:val="20"/>
              </w:rPr>
              <w:t>Proyectos</w:t>
            </w:r>
            <w:proofErr w:type="spellEnd"/>
            <w:r>
              <w:rPr>
                <w:sz w:val="20"/>
              </w:rPr>
              <w:t xml:space="preserve"> de </w:t>
            </w:r>
            <w:proofErr w:type="spellStart"/>
            <w:r>
              <w:rPr>
                <w:sz w:val="20"/>
              </w:rPr>
              <w:t>capacitación</w:t>
            </w:r>
            <w:proofErr w:type="spellEnd"/>
          </w:p>
        </w:tc>
        <w:tc>
          <w:tcPr>
            <w:tcW w:w="1057" w:type="dxa"/>
            <w:tcBorders>
              <w:top w:val="nil"/>
              <w:left w:val="nil"/>
              <w:bottom w:val="single" w:sz="4" w:space="0" w:color="auto"/>
              <w:right w:val="single" w:sz="4" w:space="0" w:color="auto"/>
            </w:tcBorders>
            <w:shd w:val="clear" w:color="auto" w:fill="auto"/>
            <w:noWrap/>
            <w:tcMar>
              <w:left w:w="0" w:type="dxa"/>
              <w:right w:w="29" w:type="dxa"/>
            </w:tcMar>
            <w:hideMark/>
          </w:tcPr>
          <w:p w14:paraId="30DF333A" w14:textId="77777777" w:rsidR="004A7081" w:rsidRPr="00463B87" w:rsidRDefault="004A7081" w:rsidP="00172925">
            <w:pPr>
              <w:jc w:val="right"/>
              <w:rPr>
                <w:sz w:val="20"/>
                <w:szCs w:val="20"/>
              </w:rPr>
            </w:pPr>
            <w:r>
              <w:rPr>
                <w:sz w:val="20"/>
              </w:rPr>
              <w:t>73</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7DBD12F4" w14:textId="77777777" w:rsidR="004A7081" w:rsidRPr="00463B87" w:rsidRDefault="004A7081" w:rsidP="00172925">
            <w:pPr>
              <w:jc w:val="right"/>
              <w:rPr>
                <w:sz w:val="20"/>
                <w:szCs w:val="20"/>
              </w:rPr>
            </w:pPr>
            <w:r>
              <w:rPr>
                <w:sz w:val="20"/>
              </w:rPr>
              <w:t>73</w:t>
            </w:r>
          </w:p>
        </w:tc>
        <w:tc>
          <w:tcPr>
            <w:tcW w:w="1080" w:type="dxa"/>
            <w:tcBorders>
              <w:top w:val="nil"/>
              <w:left w:val="nil"/>
              <w:bottom w:val="single" w:sz="4" w:space="0" w:color="auto"/>
              <w:right w:val="single" w:sz="4" w:space="0" w:color="auto"/>
            </w:tcBorders>
            <w:shd w:val="clear" w:color="auto" w:fill="auto"/>
            <w:noWrap/>
            <w:tcMar>
              <w:left w:w="0" w:type="dxa"/>
              <w:right w:w="29" w:type="dxa"/>
            </w:tcMar>
            <w:hideMark/>
          </w:tcPr>
          <w:p w14:paraId="598D2781" w14:textId="77777777" w:rsidR="004A7081" w:rsidRPr="00463B87" w:rsidRDefault="004A7081" w:rsidP="00172925">
            <w:pPr>
              <w:jc w:val="right"/>
              <w:rPr>
                <w:sz w:val="20"/>
                <w:szCs w:val="20"/>
              </w:rPr>
            </w:pPr>
            <w:r>
              <w:rPr>
                <w:sz w:val="20"/>
              </w:rPr>
              <w:t>100</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17316C4A" w14:textId="6F680379" w:rsidR="004A7081" w:rsidRPr="00463B87" w:rsidRDefault="004A7081" w:rsidP="00172925">
            <w:pPr>
              <w:jc w:val="right"/>
              <w:rPr>
                <w:sz w:val="20"/>
                <w:szCs w:val="20"/>
              </w:rPr>
            </w:pPr>
            <w:r>
              <w:rPr>
                <w:sz w:val="20"/>
              </w:rPr>
              <w:t>8</w:t>
            </w:r>
            <w:r w:rsidR="000245C4">
              <w:rPr>
                <w:sz w:val="20"/>
              </w:rPr>
              <w:t> </w:t>
            </w:r>
            <w:r>
              <w:rPr>
                <w:sz w:val="20"/>
              </w:rPr>
              <w:t>421</w:t>
            </w:r>
            <w:r w:rsidR="000245C4">
              <w:rPr>
                <w:sz w:val="20"/>
              </w:rPr>
              <w:t> </w:t>
            </w:r>
            <w:r>
              <w:rPr>
                <w:sz w:val="20"/>
              </w:rPr>
              <w:t>416</w:t>
            </w:r>
          </w:p>
        </w:tc>
        <w:tc>
          <w:tcPr>
            <w:tcW w:w="1170" w:type="dxa"/>
            <w:tcBorders>
              <w:top w:val="nil"/>
              <w:left w:val="nil"/>
              <w:bottom w:val="single" w:sz="4" w:space="0" w:color="auto"/>
              <w:right w:val="single" w:sz="4" w:space="0" w:color="auto"/>
            </w:tcBorders>
            <w:shd w:val="clear" w:color="auto" w:fill="auto"/>
            <w:noWrap/>
            <w:tcMar>
              <w:left w:w="0" w:type="dxa"/>
              <w:right w:w="29" w:type="dxa"/>
            </w:tcMar>
            <w:hideMark/>
          </w:tcPr>
          <w:p w14:paraId="5E13FFFD" w14:textId="70C79436" w:rsidR="004A7081" w:rsidRPr="00463B87" w:rsidRDefault="004A7081" w:rsidP="00172925">
            <w:pPr>
              <w:jc w:val="right"/>
              <w:rPr>
                <w:sz w:val="20"/>
                <w:szCs w:val="20"/>
              </w:rPr>
            </w:pPr>
            <w:r>
              <w:rPr>
                <w:sz w:val="20"/>
              </w:rPr>
              <w:t>8</w:t>
            </w:r>
            <w:r w:rsidR="000245C4">
              <w:rPr>
                <w:sz w:val="20"/>
              </w:rPr>
              <w:t> </w:t>
            </w:r>
            <w:r>
              <w:rPr>
                <w:sz w:val="20"/>
              </w:rPr>
              <w:t>421</w:t>
            </w:r>
            <w:r w:rsidR="000245C4">
              <w:rPr>
                <w:sz w:val="20"/>
              </w:rPr>
              <w:t> </w:t>
            </w:r>
            <w:r>
              <w:rPr>
                <w:sz w:val="20"/>
              </w:rPr>
              <w:t>416</w:t>
            </w:r>
          </w:p>
        </w:tc>
        <w:tc>
          <w:tcPr>
            <w:tcW w:w="1031" w:type="dxa"/>
            <w:tcBorders>
              <w:top w:val="nil"/>
              <w:left w:val="nil"/>
              <w:bottom w:val="single" w:sz="4" w:space="0" w:color="auto"/>
              <w:right w:val="single" w:sz="4" w:space="0" w:color="auto"/>
            </w:tcBorders>
            <w:shd w:val="clear" w:color="auto" w:fill="auto"/>
            <w:noWrap/>
            <w:tcMar>
              <w:left w:w="0" w:type="dxa"/>
              <w:right w:w="29" w:type="dxa"/>
            </w:tcMar>
            <w:hideMark/>
          </w:tcPr>
          <w:p w14:paraId="40507416" w14:textId="77777777" w:rsidR="004A7081" w:rsidRPr="00463B87" w:rsidRDefault="004A7081" w:rsidP="00172925">
            <w:pPr>
              <w:jc w:val="right"/>
              <w:rPr>
                <w:sz w:val="20"/>
                <w:szCs w:val="20"/>
              </w:rPr>
            </w:pPr>
            <w:r>
              <w:rPr>
                <w:sz w:val="20"/>
              </w:rPr>
              <w:t>0</w:t>
            </w:r>
          </w:p>
        </w:tc>
        <w:tc>
          <w:tcPr>
            <w:tcW w:w="1065" w:type="dxa"/>
            <w:gridSpan w:val="2"/>
            <w:tcBorders>
              <w:top w:val="nil"/>
              <w:left w:val="nil"/>
              <w:bottom w:val="single" w:sz="4" w:space="0" w:color="auto"/>
              <w:right w:val="single" w:sz="4" w:space="0" w:color="auto"/>
            </w:tcBorders>
            <w:shd w:val="clear" w:color="auto" w:fill="auto"/>
            <w:noWrap/>
            <w:tcMar>
              <w:left w:w="0" w:type="dxa"/>
              <w:right w:w="29" w:type="dxa"/>
            </w:tcMar>
            <w:hideMark/>
          </w:tcPr>
          <w:p w14:paraId="69824E66" w14:textId="77777777" w:rsidR="004A7081" w:rsidRPr="00463B87" w:rsidRDefault="004A7081" w:rsidP="00172925">
            <w:pPr>
              <w:jc w:val="right"/>
              <w:rPr>
                <w:sz w:val="20"/>
                <w:szCs w:val="20"/>
              </w:rPr>
            </w:pPr>
            <w:r>
              <w:rPr>
                <w:sz w:val="20"/>
              </w:rPr>
              <w:t>100</w:t>
            </w:r>
          </w:p>
        </w:tc>
      </w:tr>
      <w:tr w:rsidR="004A7081" w:rsidRPr="00463B87" w14:paraId="3FDCF7A6" w14:textId="77777777" w:rsidTr="00172925">
        <w:trPr>
          <w:trHeight w:val="93"/>
        </w:trPr>
        <w:tc>
          <w:tcPr>
            <w:tcW w:w="1823"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63550171" w14:textId="77777777" w:rsidR="004A7081" w:rsidRPr="00463B87" w:rsidRDefault="004A7081" w:rsidP="00172925">
            <w:pPr>
              <w:jc w:val="left"/>
              <w:rPr>
                <w:b/>
                <w:bCs/>
                <w:sz w:val="20"/>
                <w:szCs w:val="20"/>
              </w:rPr>
            </w:pPr>
            <w:r>
              <w:rPr>
                <w:b/>
                <w:sz w:val="20"/>
              </w:rPr>
              <w:t>Total</w:t>
            </w:r>
          </w:p>
        </w:tc>
        <w:tc>
          <w:tcPr>
            <w:tcW w:w="1057" w:type="dxa"/>
            <w:tcBorders>
              <w:top w:val="nil"/>
              <w:left w:val="nil"/>
              <w:bottom w:val="single" w:sz="4" w:space="0" w:color="auto"/>
              <w:right w:val="single" w:sz="4" w:space="0" w:color="auto"/>
            </w:tcBorders>
            <w:shd w:val="clear" w:color="auto" w:fill="auto"/>
            <w:tcMar>
              <w:left w:w="72" w:type="dxa"/>
              <w:right w:w="29" w:type="dxa"/>
            </w:tcMar>
            <w:hideMark/>
          </w:tcPr>
          <w:p w14:paraId="4F253121" w14:textId="77777777" w:rsidR="004A7081" w:rsidRPr="00463B87" w:rsidRDefault="004A7081" w:rsidP="00172925">
            <w:pPr>
              <w:jc w:val="right"/>
              <w:rPr>
                <w:b/>
                <w:bCs/>
                <w:sz w:val="20"/>
                <w:szCs w:val="20"/>
              </w:rPr>
            </w:pPr>
            <w:r>
              <w:rPr>
                <w:b/>
                <w:sz w:val="20"/>
              </w:rPr>
              <w:t>690</w:t>
            </w:r>
          </w:p>
        </w:tc>
        <w:tc>
          <w:tcPr>
            <w:tcW w:w="1080" w:type="dxa"/>
            <w:tcBorders>
              <w:top w:val="nil"/>
              <w:left w:val="nil"/>
              <w:bottom w:val="single" w:sz="4" w:space="0" w:color="auto"/>
              <w:right w:val="single" w:sz="4" w:space="0" w:color="auto"/>
            </w:tcBorders>
            <w:shd w:val="clear" w:color="auto" w:fill="auto"/>
            <w:tcMar>
              <w:left w:w="72" w:type="dxa"/>
              <w:right w:w="29" w:type="dxa"/>
            </w:tcMar>
            <w:hideMark/>
          </w:tcPr>
          <w:p w14:paraId="60DA9A19" w14:textId="77777777" w:rsidR="004A7081" w:rsidRPr="00463B87" w:rsidRDefault="004A7081" w:rsidP="00172925">
            <w:pPr>
              <w:jc w:val="right"/>
              <w:rPr>
                <w:b/>
                <w:bCs/>
                <w:sz w:val="20"/>
                <w:szCs w:val="20"/>
              </w:rPr>
            </w:pPr>
            <w:r>
              <w:rPr>
                <w:b/>
                <w:sz w:val="20"/>
              </w:rPr>
              <w:t>641</w:t>
            </w:r>
          </w:p>
        </w:tc>
        <w:tc>
          <w:tcPr>
            <w:tcW w:w="1080" w:type="dxa"/>
            <w:tcBorders>
              <w:top w:val="nil"/>
              <w:left w:val="nil"/>
              <w:bottom w:val="single" w:sz="4" w:space="0" w:color="auto"/>
              <w:right w:val="single" w:sz="4" w:space="0" w:color="auto"/>
            </w:tcBorders>
            <w:shd w:val="clear" w:color="auto" w:fill="auto"/>
            <w:noWrap/>
            <w:tcMar>
              <w:left w:w="72" w:type="dxa"/>
              <w:right w:w="29" w:type="dxa"/>
            </w:tcMar>
            <w:hideMark/>
          </w:tcPr>
          <w:p w14:paraId="3D56AC7D" w14:textId="77777777" w:rsidR="004A7081" w:rsidRPr="00463B87" w:rsidRDefault="004A7081" w:rsidP="00172925">
            <w:pPr>
              <w:jc w:val="right"/>
              <w:rPr>
                <w:b/>
                <w:bCs/>
                <w:sz w:val="20"/>
                <w:szCs w:val="20"/>
              </w:rPr>
            </w:pPr>
            <w:r>
              <w:rPr>
                <w:b/>
                <w:sz w:val="20"/>
              </w:rPr>
              <w:t>93</w:t>
            </w:r>
          </w:p>
        </w:tc>
        <w:tc>
          <w:tcPr>
            <w:tcW w:w="1170" w:type="dxa"/>
            <w:tcBorders>
              <w:top w:val="nil"/>
              <w:left w:val="nil"/>
              <w:bottom w:val="single" w:sz="4" w:space="0" w:color="auto"/>
              <w:right w:val="single" w:sz="4" w:space="0" w:color="auto"/>
            </w:tcBorders>
            <w:shd w:val="clear" w:color="auto" w:fill="auto"/>
            <w:noWrap/>
            <w:tcMar>
              <w:left w:w="72" w:type="dxa"/>
              <w:right w:w="29" w:type="dxa"/>
            </w:tcMar>
            <w:hideMark/>
          </w:tcPr>
          <w:p w14:paraId="41241778" w14:textId="1440FD8B" w:rsidR="004A7081" w:rsidRPr="00463B87" w:rsidRDefault="004A7081" w:rsidP="00172925">
            <w:pPr>
              <w:jc w:val="right"/>
              <w:rPr>
                <w:b/>
                <w:bCs/>
                <w:sz w:val="20"/>
                <w:szCs w:val="20"/>
              </w:rPr>
            </w:pPr>
            <w:r>
              <w:rPr>
                <w:b/>
                <w:sz w:val="20"/>
              </w:rPr>
              <w:t>158</w:t>
            </w:r>
            <w:r w:rsidR="000245C4">
              <w:rPr>
                <w:b/>
                <w:sz w:val="20"/>
              </w:rPr>
              <w:t> </w:t>
            </w:r>
            <w:r>
              <w:rPr>
                <w:b/>
                <w:sz w:val="20"/>
              </w:rPr>
              <w:t>304</w:t>
            </w:r>
            <w:r w:rsidR="000245C4">
              <w:rPr>
                <w:b/>
                <w:sz w:val="20"/>
              </w:rPr>
              <w:t> </w:t>
            </w:r>
            <w:r>
              <w:rPr>
                <w:b/>
                <w:sz w:val="20"/>
              </w:rPr>
              <w:t>429</w:t>
            </w:r>
          </w:p>
        </w:tc>
        <w:tc>
          <w:tcPr>
            <w:tcW w:w="1170" w:type="dxa"/>
            <w:tcBorders>
              <w:top w:val="nil"/>
              <w:left w:val="nil"/>
              <w:bottom w:val="single" w:sz="4" w:space="0" w:color="auto"/>
              <w:right w:val="single" w:sz="4" w:space="0" w:color="auto"/>
            </w:tcBorders>
            <w:shd w:val="clear" w:color="auto" w:fill="auto"/>
            <w:noWrap/>
            <w:tcMar>
              <w:left w:w="72" w:type="dxa"/>
              <w:right w:w="29" w:type="dxa"/>
            </w:tcMar>
            <w:hideMark/>
          </w:tcPr>
          <w:p w14:paraId="20A52B31" w14:textId="60FAE43E" w:rsidR="004A7081" w:rsidRPr="00463B87" w:rsidRDefault="004A7081" w:rsidP="00172925">
            <w:pPr>
              <w:jc w:val="right"/>
              <w:rPr>
                <w:b/>
                <w:bCs/>
                <w:sz w:val="20"/>
                <w:szCs w:val="20"/>
              </w:rPr>
            </w:pPr>
            <w:r>
              <w:rPr>
                <w:b/>
                <w:sz w:val="20"/>
              </w:rPr>
              <w:t>147</w:t>
            </w:r>
            <w:r w:rsidR="000245C4">
              <w:rPr>
                <w:b/>
                <w:sz w:val="20"/>
              </w:rPr>
              <w:t> </w:t>
            </w:r>
            <w:r>
              <w:rPr>
                <w:b/>
                <w:sz w:val="20"/>
              </w:rPr>
              <w:t>459</w:t>
            </w:r>
            <w:r w:rsidR="000245C4">
              <w:rPr>
                <w:b/>
                <w:sz w:val="20"/>
              </w:rPr>
              <w:t> </w:t>
            </w:r>
            <w:r>
              <w:rPr>
                <w:b/>
                <w:sz w:val="20"/>
              </w:rPr>
              <w:t>319</w:t>
            </w:r>
          </w:p>
        </w:tc>
        <w:tc>
          <w:tcPr>
            <w:tcW w:w="1031" w:type="dxa"/>
            <w:tcBorders>
              <w:top w:val="nil"/>
              <w:left w:val="nil"/>
              <w:bottom w:val="single" w:sz="4" w:space="0" w:color="auto"/>
              <w:right w:val="single" w:sz="4" w:space="0" w:color="auto"/>
            </w:tcBorders>
            <w:shd w:val="clear" w:color="auto" w:fill="auto"/>
            <w:noWrap/>
            <w:tcMar>
              <w:left w:w="72" w:type="dxa"/>
              <w:right w:w="29" w:type="dxa"/>
            </w:tcMar>
            <w:hideMark/>
          </w:tcPr>
          <w:p w14:paraId="7B76AD0C" w14:textId="7CE0D34B" w:rsidR="004A7081" w:rsidRPr="00463B87" w:rsidRDefault="004A7081" w:rsidP="00172925">
            <w:pPr>
              <w:jc w:val="right"/>
              <w:rPr>
                <w:b/>
                <w:bCs/>
                <w:sz w:val="20"/>
                <w:szCs w:val="20"/>
              </w:rPr>
            </w:pPr>
            <w:r>
              <w:rPr>
                <w:b/>
                <w:sz w:val="20"/>
              </w:rPr>
              <w:t>10</w:t>
            </w:r>
            <w:r w:rsidR="000245C4">
              <w:rPr>
                <w:b/>
                <w:sz w:val="20"/>
              </w:rPr>
              <w:t> </w:t>
            </w:r>
            <w:r>
              <w:rPr>
                <w:b/>
                <w:sz w:val="20"/>
              </w:rPr>
              <w:t>845</w:t>
            </w:r>
            <w:r w:rsidR="000245C4">
              <w:rPr>
                <w:b/>
                <w:sz w:val="20"/>
              </w:rPr>
              <w:t> </w:t>
            </w:r>
            <w:r>
              <w:rPr>
                <w:b/>
                <w:sz w:val="20"/>
              </w:rPr>
              <w:t>111</w:t>
            </w:r>
          </w:p>
        </w:tc>
        <w:tc>
          <w:tcPr>
            <w:tcW w:w="1065" w:type="dxa"/>
            <w:gridSpan w:val="2"/>
            <w:tcBorders>
              <w:top w:val="nil"/>
              <w:left w:val="nil"/>
              <w:bottom w:val="single" w:sz="4" w:space="0" w:color="auto"/>
              <w:right w:val="single" w:sz="4" w:space="0" w:color="auto"/>
            </w:tcBorders>
            <w:shd w:val="clear" w:color="auto" w:fill="auto"/>
            <w:noWrap/>
            <w:tcMar>
              <w:left w:w="72" w:type="dxa"/>
              <w:right w:w="29" w:type="dxa"/>
            </w:tcMar>
            <w:hideMark/>
          </w:tcPr>
          <w:p w14:paraId="12D992AF" w14:textId="77777777" w:rsidR="004A7081" w:rsidRPr="00463B87" w:rsidRDefault="004A7081" w:rsidP="00172925">
            <w:pPr>
              <w:jc w:val="right"/>
              <w:rPr>
                <w:b/>
                <w:bCs/>
                <w:sz w:val="20"/>
                <w:szCs w:val="20"/>
              </w:rPr>
            </w:pPr>
            <w:r>
              <w:rPr>
                <w:b/>
                <w:sz w:val="20"/>
              </w:rPr>
              <w:t>93</w:t>
            </w:r>
          </w:p>
        </w:tc>
      </w:tr>
    </w:tbl>
    <w:p w14:paraId="1B157E5D" w14:textId="77777777" w:rsidR="004A7081" w:rsidRPr="0072455F" w:rsidRDefault="004A7081" w:rsidP="00FB7F4D">
      <w:pPr>
        <w:spacing w:after="240"/>
        <w:rPr>
          <w:sz w:val="19"/>
          <w:szCs w:val="19"/>
          <w:lang w:val="es-419"/>
        </w:rPr>
      </w:pPr>
      <w:r w:rsidRPr="0072455F">
        <w:rPr>
          <w:sz w:val="19"/>
          <w:lang w:val="es-419"/>
        </w:rPr>
        <w:t>* Excluidos los proyectos cerrados y transferidos.</w:t>
      </w:r>
    </w:p>
    <w:p w14:paraId="229D6E35" w14:textId="77777777" w:rsidR="004A7081" w:rsidRPr="0072455F" w:rsidRDefault="004A7081" w:rsidP="00172925">
      <w:pPr>
        <w:pStyle w:val="Heading1"/>
        <w:rPr>
          <w:lang w:val="es-419"/>
        </w:rPr>
      </w:pPr>
      <w:r w:rsidRPr="0072455F">
        <w:rPr>
          <w:lang w:val="es-419"/>
        </w:rPr>
        <w:t>En el Cuadro 3 se presenta una reseña de la situación de ejecución de proyectos por año</w:t>
      </w:r>
      <w:r w:rsidRPr="004644BF">
        <w:rPr>
          <w:rStyle w:val="FootnoteTextChar"/>
          <w:vertAlign w:val="superscript"/>
          <w:lang w:val="en-CA"/>
        </w:rPr>
        <w:footnoteReference w:id="18"/>
      </w:r>
      <w:r w:rsidRPr="0072455F">
        <w:rPr>
          <w:lang w:val="es-419"/>
        </w:rPr>
        <w:t xml:space="preserve">. A la fecha, se han terminado todos los proyectos y actividades aprobados entre 1992 y finales de 2010 y 2012. </w:t>
      </w:r>
    </w:p>
    <w:p w14:paraId="0C99B87B" w14:textId="77777777" w:rsidR="004A7081" w:rsidRPr="0072455F" w:rsidRDefault="004A7081" w:rsidP="00172925">
      <w:pPr>
        <w:suppressAutoHyphens/>
        <w:rPr>
          <w:b/>
          <w:spacing w:val="-3"/>
          <w:lang w:val="es-419"/>
        </w:rPr>
      </w:pPr>
      <w:r w:rsidRPr="0072455F">
        <w:rPr>
          <w:b/>
          <w:lang w:val="es-419"/>
        </w:rPr>
        <w:t>Cuadro 3: Situación de la ejecución de proyectos por año</w:t>
      </w:r>
    </w:p>
    <w:tbl>
      <w:tblPr>
        <w:tblW w:w="9467" w:type="dxa"/>
        <w:tblLayout w:type="fixed"/>
        <w:tblLook w:val="04A0" w:firstRow="1" w:lastRow="0" w:firstColumn="1" w:lastColumn="0" w:noHBand="0" w:noVBand="1"/>
      </w:tblPr>
      <w:tblGrid>
        <w:gridCol w:w="829"/>
        <w:gridCol w:w="1187"/>
        <w:gridCol w:w="1188"/>
        <w:gridCol w:w="1188"/>
        <w:gridCol w:w="1268"/>
        <w:gridCol w:w="1269"/>
        <w:gridCol w:w="1269"/>
        <w:gridCol w:w="1269"/>
      </w:tblGrid>
      <w:tr w:rsidR="004A7081" w:rsidRPr="00463B87" w14:paraId="3B4AEA3E" w14:textId="77777777" w:rsidTr="00172925">
        <w:tc>
          <w:tcPr>
            <w:tcW w:w="8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46F644" w14:textId="77777777" w:rsidR="004A7081" w:rsidRPr="00463B87" w:rsidRDefault="004A7081" w:rsidP="00172925">
            <w:pPr>
              <w:jc w:val="left"/>
              <w:rPr>
                <w:b/>
                <w:bCs/>
                <w:sz w:val="20"/>
                <w:szCs w:val="20"/>
              </w:rPr>
            </w:pPr>
            <w:proofErr w:type="spellStart"/>
            <w:r>
              <w:rPr>
                <w:b/>
                <w:sz w:val="20"/>
              </w:rPr>
              <w:t>Año</w:t>
            </w:r>
            <w:proofErr w:type="spellEnd"/>
          </w:p>
        </w:tc>
        <w:tc>
          <w:tcPr>
            <w:tcW w:w="3563" w:type="dxa"/>
            <w:gridSpan w:val="3"/>
            <w:tcBorders>
              <w:top w:val="single" w:sz="4" w:space="0" w:color="auto"/>
              <w:left w:val="nil"/>
              <w:bottom w:val="single" w:sz="4" w:space="0" w:color="auto"/>
              <w:right w:val="single" w:sz="4" w:space="0" w:color="auto"/>
            </w:tcBorders>
            <w:shd w:val="clear" w:color="auto" w:fill="auto"/>
            <w:noWrap/>
            <w:hideMark/>
          </w:tcPr>
          <w:p w14:paraId="3D624F4B" w14:textId="77777777" w:rsidR="004A7081" w:rsidRPr="00463B87" w:rsidRDefault="004A7081" w:rsidP="00172925">
            <w:pPr>
              <w:jc w:val="center"/>
              <w:rPr>
                <w:b/>
                <w:bCs/>
                <w:sz w:val="20"/>
                <w:szCs w:val="20"/>
              </w:rPr>
            </w:pPr>
            <w:proofErr w:type="spellStart"/>
            <w:r>
              <w:rPr>
                <w:b/>
                <w:sz w:val="20"/>
              </w:rPr>
              <w:t>Cantidad</w:t>
            </w:r>
            <w:proofErr w:type="spellEnd"/>
            <w:r>
              <w:rPr>
                <w:b/>
                <w:sz w:val="20"/>
              </w:rPr>
              <w:t xml:space="preserve"> de </w:t>
            </w:r>
            <w:proofErr w:type="spellStart"/>
            <w:r>
              <w:rPr>
                <w:b/>
                <w:sz w:val="20"/>
              </w:rPr>
              <w:t>proyectos</w:t>
            </w:r>
            <w:proofErr w:type="spellEnd"/>
            <w:r>
              <w:rPr>
                <w:b/>
                <w:sz w:val="20"/>
              </w:rPr>
              <w:t>*</w:t>
            </w:r>
          </w:p>
        </w:tc>
        <w:tc>
          <w:tcPr>
            <w:tcW w:w="5075" w:type="dxa"/>
            <w:gridSpan w:val="4"/>
            <w:tcBorders>
              <w:top w:val="single" w:sz="4" w:space="0" w:color="auto"/>
              <w:left w:val="nil"/>
              <w:bottom w:val="single" w:sz="4" w:space="0" w:color="auto"/>
              <w:right w:val="single" w:sz="4" w:space="0" w:color="auto"/>
            </w:tcBorders>
            <w:shd w:val="clear" w:color="auto" w:fill="auto"/>
            <w:noWrap/>
            <w:hideMark/>
          </w:tcPr>
          <w:p w14:paraId="7F88B9C0" w14:textId="77777777" w:rsidR="004A7081" w:rsidRPr="00463B87" w:rsidRDefault="004A7081" w:rsidP="00172925">
            <w:pPr>
              <w:jc w:val="center"/>
              <w:rPr>
                <w:b/>
                <w:bCs/>
                <w:sz w:val="20"/>
                <w:szCs w:val="20"/>
              </w:rPr>
            </w:pPr>
            <w:proofErr w:type="spellStart"/>
            <w:r>
              <w:rPr>
                <w:b/>
                <w:sz w:val="20"/>
              </w:rPr>
              <w:t>Financiación</w:t>
            </w:r>
            <w:proofErr w:type="spellEnd"/>
            <w:r>
              <w:rPr>
                <w:b/>
                <w:sz w:val="20"/>
              </w:rPr>
              <w:t xml:space="preserve"> ($EUA)**</w:t>
            </w:r>
          </w:p>
        </w:tc>
      </w:tr>
      <w:tr w:rsidR="004A7081" w:rsidRPr="00463B87" w14:paraId="3DC37FAC" w14:textId="77777777" w:rsidTr="00172925">
        <w:tc>
          <w:tcPr>
            <w:tcW w:w="829" w:type="dxa"/>
            <w:vMerge/>
            <w:tcBorders>
              <w:top w:val="single" w:sz="4" w:space="0" w:color="auto"/>
              <w:left w:val="single" w:sz="4" w:space="0" w:color="auto"/>
              <w:bottom w:val="single" w:sz="4" w:space="0" w:color="auto"/>
              <w:right w:val="single" w:sz="4" w:space="0" w:color="auto"/>
            </w:tcBorders>
            <w:vAlign w:val="center"/>
            <w:hideMark/>
          </w:tcPr>
          <w:p w14:paraId="44093127" w14:textId="77777777" w:rsidR="004A7081" w:rsidRPr="00463B87" w:rsidRDefault="004A7081" w:rsidP="00172925">
            <w:pPr>
              <w:jc w:val="left"/>
              <w:rPr>
                <w:b/>
                <w:bCs/>
                <w:sz w:val="20"/>
                <w:szCs w:val="20"/>
                <w:lang w:val="en-CA" w:eastAsia="en-CA"/>
              </w:rPr>
            </w:pPr>
          </w:p>
        </w:tc>
        <w:tc>
          <w:tcPr>
            <w:tcW w:w="1187" w:type="dxa"/>
            <w:tcBorders>
              <w:top w:val="nil"/>
              <w:left w:val="nil"/>
              <w:bottom w:val="single" w:sz="4" w:space="0" w:color="auto"/>
              <w:right w:val="single" w:sz="4" w:space="0" w:color="auto"/>
            </w:tcBorders>
            <w:shd w:val="clear" w:color="auto" w:fill="auto"/>
            <w:noWrap/>
            <w:tcMar>
              <w:left w:w="0" w:type="dxa"/>
              <w:right w:w="0" w:type="dxa"/>
            </w:tcMar>
            <w:hideMark/>
          </w:tcPr>
          <w:p w14:paraId="2FAF7CD6" w14:textId="77777777" w:rsidR="004A7081" w:rsidRPr="00463B87" w:rsidRDefault="004A7081" w:rsidP="00172925">
            <w:pPr>
              <w:jc w:val="center"/>
              <w:rPr>
                <w:b/>
                <w:bCs/>
                <w:sz w:val="20"/>
                <w:szCs w:val="20"/>
              </w:rPr>
            </w:pPr>
            <w:proofErr w:type="spellStart"/>
            <w:r>
              <w:rPr>
                <w:b/>
                <w:sz w:val="20"/>
              </w:rPr>
              <w:t>Aprobados</w:t>
            </w:r>
            <w:proofErr w:type="spellEnd"/>
          </w:p>
        </w:tc>
        <w:tc>
          <w:tcPr>
            <w:tcW w:w="1188" w:type="dxa"/>
            <w:tcBorders>
              <w:top w:val="nil"/>
              <w:left w:val="nil"/>
              <w:bottom w:val="single" w:sz="4" w:space="0" w:color="auto"/>
              <w:right w:val="single" w:sz="4" w:space="0" w:color="auto"/>
            </w:tcBorders>
            <w:shd w:val="clear" w:color="auto" w:fill="auto"/>
            <w:noWrap/>
            <w:tcMar>
              <w:left w:w="0" w:type="dxa"/>
              <w:right w:w="0" w:type="dxa"/>
            </w:tcMar>
            <w:hideMark/>
          </w:tcPr>
          <w:p w14:paraId="7A54E525" w14:textId="77777777" w:rsidR="004A7081" w:rsidRPr="00463B87" w:rsidRDefault="004A7081" w:rsidP="00172925">
            <w:pPr>
              <w:jc w:val="center"/>
              <w:rPr>
                <w:b/>
                <w:bCs/>
                <w:sz w:val="20"/>
                <w:szCs w:val="20"/>
              </w:rPr>
            </w:pPr>
            <w:proofErr w:type="spellStart"/>
            <w:r>
              <w:rPr>
                <w:b/>
                <w:sz w:val="20"/>
              </w:rPr>
              <w:t>Terminados</w:t>
            </w:r>
            <w:proofErr w:type="spellEnd"/>
          </w:p>
        </w:tc>
        <w:tc>
          <w:tcPr>
            <w:tcW w:w="1188" w:type="dxa"/>
            <w:tcBorders>
              <w:top w:val="nil"/>
              <w:left w:val="nil"/>
              <w:bottom w:val="single" w:sz="4" w:space="0" w:color="auto"/>
              <w:right w:val="single" w:sz="4" w:space="0" w:color="auto"/>
            </w:tcBorders>
            <w:shd w:val="clear" w:color="auto" w:fill="auto"/>
            <w:noWrap/>
            <w:tcMar>
              <w:left w:w="0" w:type="dxa"/>
              <w:right w:w="0" w:type="dxa"/>
            </w:tcMar>
            <w:hideMark/>
          </w:tcPr>
          <w:p w14:paraId="25E7C09E" w14:textId="77777777" w:rsidR="004A7081" w:rsidRPr="00463B87" w:rsidRDefault="004A7081" w:rsidP="00172925">
            <w:pPr>
              <w:jc w:val="center"/>
              <w:rPr>
                <w:b/>
                <w:bCs/>
                <w:sz w:val="20"/>
                <w:szCs w:val="20"/>
              </w:rPr>
            </w:pPr>
            <w:r>
              <w:rPr>
                <w:b/>
                <w:sz w:val="20"/>
              </w:rPr>
              <w:t xml:space="preserve">% </w:t>
            </w:r>
            <w:proofErr w:type="spellStart"/>
            <w:r>
              <w:rPr>
                <w:b/>
                <w:sz w:val="20"/>
              </w:rPr>
              <w:t>terminados</w:t>
            </w:r>
            <w:proofErr w:type="spellEnd"/>
          </w:p>
        </w:tc>
        <w:tc>
          <w:tcPr>
            <w:tcW w:w="1268" w:type="dxa"/>
            <w:tcBorders>
              <w:top w:val="nil"/>
              <w:left w:val="nil"/>
              <w:bottom w:val="single" w:sz="4" w:space="0" w:color="auto"/>
              <w:right w:val="single" w:sz="4" w:space="0" w:color="auto"/>
            </w:tcBorders>
            <w:shd w:val="clear" w:color="auto" w:fill="auto"/>
            <w:noWrap/>
            <w:tcMar>
              <w:left w:w="0" w:type="dxa"/>
              <w:right w:w="0" w:type="dxa"/>
            </w:tcMar>
            <w:hideMark/>
          </w:tcPr>
          <w:p w14:paraId="46D530C2" w14:textId="134696B5" w:rsidR="004A7081" w:rsidRPr="00463B87" w:rsidRDefault="004A7081" w:rsidP="00172925">
            <w:pPr>
              <w:jc w:val="center"/>
              <w:rPr>
                <w:b/>
                <w:bCs/>
                <w:sz w:val="20"/>
                <w:szCs w:val="20"/>
              </w:rPr>
            </w:pPr>
            <w:proofErr w:type="spellStart"/>
            <w:r>
              <w:rPr>
                <w:b/>
                <w:sz w:val="20"/>
              </w:rPr>
              <w:t>Aprobado</w:t>
            </w:r>
            <w:proofErr w:type="spellEnd"/>
          </w:p>
        </w:tc>
        <w:tc>
          <w:tcPr>
            <w:tcW w:w="1269" w:type="dxa"/>
            <w:tcBorders>
              <w:top w:val="nil"/>
              <w:left w:val="nil"/>
              <w:bottom w:val="single" w:sz="4" w:space="0" w:color="auto"/>
              <w:right w:val="single" w:sz="4" w:space="0" w:color="auto"/>
            </w:tcBorders>
            <w:shd w:val="clear" w:color="auto" w:fill="auto"/>
            <w:noWrap/>
            <w:tcMar>
              <w:left w:w="0" w:type="dxa"/>
              <w:right w:w="0" w:type="dxa"/>
            </w:tcMar>
            <w:hideMark/>
          </w:tcPr>
          <w:p w14:paraId="7BBC67A0" w14:textId="77777777" w:rsidR="004A7081" w:rsidRPr="00463B87" w:rsidRDefault="004A7081" w:rsidP="00172925">
            <w:pPr>
              <w:jc w:val="center"/>
              <w:rPr>
                <w:b/>
                <w:bCs/>
                <w:sz w:val="20"/>
                <w:szCs w:val="20"/>
              </w:rPr>
            </w:pPr>
            <w:proofErr w:type="spellStart"/>
            <w:r>
              <w:rPr>
                <w:b/>
                <w:sz w:val="20"/>
              </w:rPr>
              <w:t>Desembolsado</w:t>
            </w:r>
            <w:proofErr w:type="spellEnd"/>
          </w:p>
        </w:tc>
        <w:tc>
          <w:tcPr>
            <w:tcW w:w="1269" w:type="dxa"/>
            <w:tcBorders>
              <w:top w:val="nil"/>
              <w:left w:val="nil"/>
              <w:bottom w:val="single" w:sz="4" w:space="0" w:color="auto"/>
              <w:right w:val="single" w:sz="4" w:space="0" w:color="auto"/>
            </w:tcBorders>
            <w:shd w:val="clear" w:color="auto" w:fill="auto"/>
            <w:noWrap/>
            <w:tcMar>
              <w:left w:w="0" w:type="dxa"/>
              <w:right w:w="0" w:type="dxa"/>
            </w:tcMar>
            <w:hideMark/>
          </w:tcPr>
          <w:p w14:paraId="05E06D93" w14:textId="77777777" w:rsidR="004A7081" w:rsidRPr="00463B87" w:rsidRDefault="004A7081" w:rsidP="00172925">
            <w:pPr>
              <w:jc w:val="center"/>
              <w:rPr>
                <w:b/>
                <w:bCs/>
                <w:sz w:val="20"/>
                <w:szCs w:val="20"/>
              </w:rPr>
            </w:pPr>
            <w:proofErr w:type="spellStart"/>
            <w:r>
              <w:rPr>
                <w:b/>
                <w:sz w:val="20"/>
              </w:rPr>
              <w:t>Saldo</w:t>
            </w:r>
            <w:proofErr w:type="spellEnd"/>
          </w:p>
        </w:tc>
        <w:tc>
          <w:tcPr>
            <w:tcW w:w="1269" w:type="dxa"/>
            <w:tcBorders>
              <w:top w:val="nil"/>
              <w:left w:val="nil"/>
              <w:bottom w:val="single" w:sz="4" w:space="0" w:color="auto"/>
              <w:right w:val="single" w:sz="4" w:space="0" w:color="auto"/>
            </w:tcBorders>
            <w:shd w:val="clear" w:color="auto" w:fill="auto"/>
            <w:noWrap/>
            <w:tcMar>
              <w:left w:w="0" w:type="dxa"/>
              <w:right w:w="0" w:type="dxa"/>
            </w:tcMar>
            <w:hideMark/>
          </w:tcPr>
          <w:p w14:paraId="0DD84B0A" w14:textId="77777777" w:rsidR="004A7081" w:rsidRPr="00463B87" w:rsidRDefault="004A7081" w:rsidP="00172925">
            <w:pPr>
              <w:jc w:val="center"/>
              <w:rPr>
                <w:b/>
                <w:bCs/>
                <w:sz w:val="20"/>
                <w:szCs w:val="20"/>
              </w:rPr>
            </w:pPr>
            <w:r>
              <w:rPr>
                <w:b/>
                <w:sz w:val="20"/>
              </w:rPr>
              <w:t xml:space="preserve">% </w:t>
            </w:r>
            <w:proofErr w:type="spellStart"/>
            <w:r>
              <w:rPr>
                <w:b/>
                <w:sz w:val="20"/>
              </w:rPr>
              <w:t>desembolsado</w:t>
            </w:r>
            <w:proofErr w:type="spellEnd"/>
          </w:p>
        </w:tc>
      </w:tr>
      <w:tr w:rsidR="004A7081" w:rsidRPr="00463B87" w14:paraId="5176122D"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005B670" w14:textId="77777777" w:rsidR="004A7081" w:rsidRPr="00463B87" w:rsidRDefault="004A7081" w:rsidP="00172925">
            <w:pPr>
              <w:jc w:val="left"/>
              <w:rPr>
                <w:sz w:val="20"/>
                <w:szCs w:val="20"/>
              </w:rPr>
            </w:pPr>
            <w:r>
              <w:rPr>
                <w:sz w:val="20"/>
              </w:rPr>
              <w:t>1992</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634AF11" w14:textId="77777777" w:rsidR="004A7081" w:rsidRPr="00463B87" w:rsidRDefault="004A7081" w:rsidP="00172925">
            <w:pPr>
              <w:jc w:val="right"/>
              <w:rPr>
                <w:sz w:val="20"/>
                <w:szCs w:val="20"/>
              </w:rPr>
            </w:pPr>
            <w:r>
              <w:rPr>
                <w:sz w:val="20"/>
              </w:rPr>
              <w:t>18</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E2D0AD8" w14:textId="77777777" w:rsidR="004A7081" w:rsidRPr="00463B87" w:rsidRDefault="004A7081" w:rsidP="00172925">
            <w:pPr>
              <w:jc w:val="right"/>
              <w:rPr>
                <w:sz w:val="20"/>
                <w:szCs w:val="20"/>
              </w:rPr>
            </w:pPr>
            <w:r>
              <w:rPr>
                <w:sz w:val="20"/>
              </w:rPr>
              <w:t>18</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1060158"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6E6E76FD" w14:textId="6E69D6CE" w:rsidR="004A7081" w:rsidRPr="00463B87" w:rsidRDefault="004A7081" w:rsidP="00172925">
            <w:pPr>
              <w:jc w:val="right"/>
              <w:rPr>
                <w:sz w:val="20"/>
                <w:szCs w:val="20"/>
              </w:rPr>
            </w:pPr>
            <w:r>
              <w:rPr>
                <w:sz w:val="20"/>
              </w:rPr>
              <w:t>2</w:t>
            </w:r>
            <w:r w:rsidR="000245C4">
              <w:rPr>
                <w:sz w:val="20"/>
              </w:rPr>
              <w:t> </w:t>
            </w:r>
            <w:r>
              <w:rPr>
                <w:sz w:val="20"/>
              </w:rPr>
              <w:t>883</w:t>
            </w:r>
            <w:r w:rsidR="000245C4">
              <w:rPr>
                <w:sz w:val="20"/>
              </w:rPr>
              <w:t> </w:t>
            </w:r>
            <w:r>
              <w:rPr>
                <w:sz w:val="20"/>
              </w:rPr>
              <w:t>669</w:t>
            </w:r>
          </w:p>
        </w:tc>
        <w:tc>
          <w:tcPr>
            <w:tcW w:w="1269" w:type="dxa"/>
            <w:tcBorders>
              <w:top w:val="nil"/>
              <w:left w:val="nil"/>
              <w:bottom w:val="single" w:sz="4" w:space="0" w:color="auto"/>
              <w:right w:val="single" w:sz="4" w:space="0" w:color="auto"/>
            </w:tcBorders>
            <w:shd w:val="clear" w:color="auto" w:fill="auto"/>
            <w:noWrap/>
            <w:vAlign w:val="center"/>
            <w:hideMark/>
          </w:tcPr>
          <w:p w14:paraId="1ED7C8F0" w14:textId="544D7202" w:rsidR="004A7081" w:rsidRPr="00463B87" w:rsidRDefault="004A7081" w:rsidP="00172925">
            <w:pPr>
              <w:jc w:val="right"/>
              <w:rPr>
                <w:sz w:val="20"/>
                <w:szCs w:val="20"/>
              </w:rPr>
            </w:pPr>
            <w:r>
              <w:rPr>
                <w:sz w:val="20"/>
              </w:rPr>
              <w:t>2</w:t>
            </w:r>
            <w:r w:rsidR="000245C4">
              <w:rPr>
                <w:sz w:val="20"/>
              </w:rPr>
              <w:t> </w:t>
            </w:r>
            <w:r>
              <w:rPr>
                <w:sz w:val="20"/>
              </w:rPr>
              <w:t>883</w:t>
            </w:r>
            <w:r w:rsidR="000245C4">
              <w:rPr>
                <w:sz w:val="20"/>
              </w:rPr>
              <w:t> </w:t>
            </w:r>
            <w:r>
              <w:rPr>
                <w:sz w:val="20"/>
              </w:rPr>
              <w:t>669</w:t>
            </w:r>
          </w:p>
        </w:tc>
        <w:tc>
          <w:tcPr>
            <w:tcW w:w="1269" w:type="dxa"/>
            <w:tcBorders>
              <w:top w:val="nil"/>
              <w:left w:val="nil"/>
              <w:bottom w:val="single" w:sz="4" w:space="0" w:color="auto"/>
              <w:right w:val="single" w:sz="4" w:space="0" w:color="auto"/>
            </w:tcBorders>
            <w:shd w:val="clear" w:color="auto" w:fill="auto"/>
            <w:noWrap/>
            <w:vAlign w:val="center"/>
            <w:hideMark/>
          </w:tcPr>
          <w:p w14:paraId="574470EF"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7AD612E" w14:textId="77777777" w:rsidR="004A7081" w:rsidRPr="00463B87" w:rsidRDefault="004A7081" w:rsidP="00172925">
            <w:pPr>
              <w:jc w:val="right"/>
              <w:rPr>
                <w:sz w:val="20"/>
                <w:szCs w:val="20"/>
              </w:rPr>
            </w:pPr>
            <w:r>
              <w:rPr>
                <w:sz w:val="20"/>
              </w:rPr>
              <w:t>100</w:t>
            </w:r>
          </w:p>
        </w:tc>
      </w:tr>
      <w:tr w:rsidR="004A7081" w:rsidRPr="00463B87" w14:paraId="0DF340CE"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9A43AEA" w14:textId="77777777" w:rsidR="004A7081" w:rsidRPr="00463B87" w:rsidRDefault="004A7081" w:rsidP="00172925">
            <w:pPr>
              <w:jc w:val="left"/>
              <w:rPr>
                <w:sz w:val="20"/>
                <w:szCs w:val="20"/>
              </w:rPr>
            </w:pPr>
            <w:r>
              <w:rPr>
                <w:sz w:val="20"/>
              </w:rPr>
              <w:t>1993</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C74F26E" w14:textId="77777777" w:rsidR="004A7081" w:rsidRPr="00463B87" w:rsidRDefault="004A7081" w:rsidP="00172925">
            <w:pPr>
              <w:jc w:val="right"/>
              <w:rPr>
                <w:sz w:val="20"/>
                <w:szCs w:val="20"/>
              </w:rPr>
            </w:pPr>
            <w:r>
              <w:rPr>
                <w:sz w:val="20"/>
              </w:rPr>
              <w:t>10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D85547B" w14:textId="77777777" w:rsidR="004A7081" w:rsidRPr="00463B87" w:rsidRDefault="004A7081" w:rsidP="00172925">
            <w:pPr>
              <w:jc w:val="right"/>
              <w:rPr>
                <w:sz w:val="20"/>
                <w:szCs w:val="20"/>
              </w:rPr>
            </w:pPr>
            <w:r>
              <w:rPr>
                <w:sz w:val="20"/>
              </w:rPr>
              <w:t>10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F06C986"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226E0787" w14:textId="06E95744" w:rsidR="004A7081" w:rsidRPr="00463B87" w:rsidRDefault="004A7081" w:rsidP="00172925">
            <w:pPr>
              <w:jc w:val="right"/>
              <w:rPr>
                <w:sz w:val="20"/>
                <w:szCs w:val="20"/>
              </w:rPr>
            </w:pPr>
            <w:r>
              <w:rPr>
                <w:sz w:val="20"/>
              </w:rPr>
              <w:t>1</w:t>
            </w:r>
            <w:r w:rsidR="000245C4">
              <w:rPr>
                <w:sz w:val="20"/>
              </w:rPr>
              <w:t> </w:t>
            </w:r>
            <w:r>
              <w:rPr>
                <w:sz w:val="20"/>
              </w:rPr>
              <w:t>445</w:t>
            </w:r>
            <w:r w:rsidR="000245C4">
              <w:rPr>
                <w:sz w:val="20"/>
              </w:rPr>
              <w:t> </w:t>
            </w:r>
            <w:r>
              <w:rPr>
                <w:sz w:val="20"/>
              </w:rPr>
              <w:t>586</w:t>
            </w:r>
          </w:p>
        </w:tc>
        <w:tc>
          <w:tcPr>
            <w:tcW w:w="1269" w:type="dxa"/>
            <w:tcBorders>
              <w:top w:val="nil"/>
              <w:left w:val="nil"/>
              <w:bottom w:val="single" w:sz="4" w:space="0" w:color="auto"/>
              <w:right w:val="single" w:sz="4" w:space="0" w:color="auto"/>
            </w:tcBorders>
            <w:shd w:val="clear" w:color="auto" w:fill="auto"/>
            <w:noWrap/>
            <w:vAlign w:val="center"/>
            <w:hideMark/>
          </w:tcPr>
          <w:p w14:paraId="72238475" w14:textId="7764D8EA" w:rsidR="004A7081" w:rsidRPr="00463B87" w:rsidRDefault="004A7081" w:rsidP="00172925">
            <w:pPr>
              <w:jc w:val="right"/>
              <w:rPr>
                <w:sz w:val="20"/>
                <w:szCs w:val="20"/>
              </w:rPr>
            </w:pPr>
            <w:r>
              <w:rPr>
                <w:sz w:val="20"/>
              </w:rPr>
              <w:t>1</w:t>
            </w:r>
            <w:r w:rsidR="000245C4">
              <w:rPr>
                <w:sz w:val="20"/>
              </w:rPr>
              <w:t> </w:t>
            </w:r>
            <w:r>
              <w:rPr>
                <w:sz w:val="20"/>
              </w:rPr>
              <w:t>445</w:t>
            </w:r>
            <w:r w:rsidR="000245C4">
              <w:rPr>
                <w:sz w:val="20"/>
              </w:rPr>
              <w:t> </w:t>
            </w:r>
            <w:r>
              <w:rPr>
                <w:sz w:val="20"/>
              </w:rPr>
              <w:t>586</w:t>
            </w:r>
          </w:p>
        </w:tc>
        <w:tc>
          <w:tcPr>
            <w:tcW w:w="1269" w:type="dxa"/>
            <w:tcBorders>
              <w:top w:val="nil"/>
              <w:left w:val="nil"/>
              <w:bottom w:val="single" w:sz="4" w:space="0" w:color="auto"/>
              <w:right w:val="single" w:sz="4" w:space="0" w:color="auto"/>
            </w:tcBorders>
            <w:shd w:val="clear" w:color="auto" w:fill="auto"/>
            <w:noWrap/>
            <w:vAlign w:val="center"/>
            <w:hideMark/>
          </w:tcPr>
          <w:p w14:paraId="579D621B"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BC98B56" w14:textId="77777777" w:rsidR="004A7081" w:rsidRPr="00463B87" w:rsidRDefault="004A7081" w:rsidP="00172925">
            <w:pPr>
              <w:jc w:val="right"/>
              <w:rPr>
                <w:sz w:val="20"/>
                <w:szCs w:val="20"/>
              </w:rPr>
            </w:pPr>
            <w:r>
              <w:rPr>
                <w:sz w:val="20"/>
              </w:rPr>
              <w:t>100</w:t>
            </w:r>
          </w:p>
        </w:tc>
      </w:tr>
      <w:tr w:rsidR="004A7081" w:rsidRPr="00463B87" w14:paraId="1B8F239F"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809DB27" w14:textId="77777777" w:rsidR="004A7081" w:rsidRPr="00463B87" w:rsidRDefault="004A7081" w:rsidP="00172925">
            <w:pPr>
              <w:jc w:val="left"/>
              <w:rPr>
                <w:sz w:val="20"/>
                <w:szCs w:val="20"/>
              </w:rPr>
            </w:pPr>
            <w:r>
              <w:rPr>
                <w:sz w:val="20"/>
              </w:rPr>
              <w:t>1994</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D294979" w14:textId="77777777" w:rsidR="004A7081" w:rsidRPr="00463B87" w:rsidRDefault="004A7081" w:rsidP="00172925">
            <w:pPr>
              <w:jc w:val="right"/>
              <w:rPr>
                <w:sz w:val="20"/>
                <w:szCs w:val="20"/>
              </w:rPr>
            </w:pPr>
            <w:r>
              <w:rPr>
                <w:sz w:val="20"/>
              </w:rPr>
              <w:t>30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3F48CC8" w14:textId="77777777" w:rsidR="004A7081" w:rsidRPr="00463B87" w:rsidRDefault="004A7081" w:rsidP="00172925">
            <w:pPr>
              <w:jc w:val="right"/>
              <w:rPr>
                <w:sz w:val="20"/>
                <w:szCs w:val="20"/>
              </w:rPr>
            </w:pPr>
            <w:r>
              <w:rPr>
                <w:sz w:val="20"/>
              </w:rPr>
              <w:t>30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7C9CF18"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641A77B3" w14:textId="7B603C5D" w:rsidR="004A7081" w:rsidRPr="00463B87" w:rsidRDefault="004A7081" w:rsidP="00172925">
            <w:pPr>
              <w:jc w:val="right"/>
              <w:rPr>
                <w:sz w:val="20"/>
                <w:szCs w:val="20"/>
              </w:rPr>
            </w:pPr>
            <w:r>
              <w:rPr>
                <w:sz w:val="20"/>
              </w:rPr>
              <w:t>3</w:t>
            </w:r>
            <w:r w:rsidR="000245C4">
              <w:rPr>
                <w:sz w:val="20"/>
              </w:rPr>
              <w:t> </w:t>
            </w:r>
            <w:r>
              <w:rPr>
                <w:sz w:val="20"/>
              </w:rPr>
              <w:t>190</w:t>
            </w:r>
            <w:r w:rsidR="000245C4">
              <w:rPr>
                <w:sz w:val="20"/>
              </w:rPr>
              <w:t> </w:t>
            </w:r>
            <w:r>
              <w:rPr>
                <w:sz w:val="20"/>
              </w:rPr>
              <w:t>374</w:t>
            </w:r>
          </w:p>
        </w:tc>
        <w:tc>
          <w:tcPr>
            <w:tcW w:w="1269" w:type="dxa"/>
            <w:tcBorders>
              <w:top w:val="nil"/>
              <w:left w:val="nil"/>
              <w:bottom w:val="single" w:sz="4" w:space="0" w:color="auto"/>
              <w:right w:val="single" w:sz="4" w:space="0" w:color="auto"/>
            </w:tcBorders>
            <w:shd w:val="clear" w:color="auto" w:fill="auto"/>
            <w:noWrap/>
            <w:vAlign w:val="center"/>
            <w:hideMark/>
          </w:tcPr>
          <w:p w14:paraId="666EFFC4" w14:textId="1A4C2697" w:rsidR="004A7081" w:rsidRPr="00463B87" w:rsidRDefault="004A7081" w:rsidP="00172925">
            <w:pPr>
              <w:jc w:val="right"/>
              <w:rPr>
                <w:sz w:val="20"/>
                <w:szCs w:val="20"/>
              </w:rPr>
            </w:pPr>
            <w:r>
              <w:rPr>
                <w:sz w:val="20"/>
              </w:rPr>
              <w:t>3</w:t>
            </w:r>
            <w:r w:rsidR="000245C4">
              <w:rPr>
                <w:sz w:val="20"/>
              </w:rPr>
              <w:t> </w:t>
            </w:r>
            <w:r>
              <w:rPr>
                <w:sz w:val="20"/>
              </w:rPr>
              <w:t>190</w:t>
            </w:r>
            <w:r w:rsidR="000245C4">
              <w:rPr>
                <w:sz w:val="20"/>
              </w:rPr>
              <w:t> </w:t>
            </w:r>
            <w:r>
              <w:rPr>
                <w:sz w:val="20"/>
              </w:rPr>
              <w:t>374</w:t>
            </w:r>
          </w:p>
        </w:tc>
        <w:tc>
          <w:tcPr>
            <w:tcW w:w="1269" w:type="dxa"/>
            <w:tcBorders>
              <w:top w:val="nil"/>
              <w:left w:val="nil"/>
              <w:bottom w:val="single" w:sz="4" w:space="0" w:color="auto"/>
              <w:right w:val="single" w:sz="4" w:space="0" w:color="auto"/>
            </w:tcBorders>
            <w:shd w:val="clear" w:color="auto" w:fill="auto"/>
            <w:noWrap/>
            <w:vAlign w:val="center"/>
            <w:hideMark/>
          </w:tcPr>
          <w:p w14:paraId="4B56F811"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277734C" w14:textId="77777777" w:rsidR="004A7081" w:rsidRPr="00463B87" w:rsidRDefault="004A7081" w:rsidP="00172925">
            <w:pPr>
              <w:jc w:val="right"/>
              <w:rPr>
                <w:sz w:val="20"/>
                <w:szCs w:val="20"/>
              </w:rPr>
            </w:pPr>
            <w:r>
              <w:rPr>
                <w:sz w:val="20"/>
              </w:rPr>
              <w:t>100</w:t>
            </w:r>
          </w:p>
        </w:tc>
      </w:tr>
      <w:tr w:rsidR="004A7081" w:rsidRPr="00463B87" w14:paraId="29C4799C"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D564BA6" w14:textId="77777777" w:rsidR="004A7081" w:rsidRPr="00463B87" w:rsidRDefault="004A7081" w:rsidP="00172925">
            <w:pPr>
              <w:jc w:val="left"/>
              <w:rPr>
                <w:sz w:val="20"/>
                <w:szCs w:val="20"/>
              </w:rPr>
            </w:pPr>
            <w:r>
              <w:rPr>
                <w:sz w:val="20"/>
              </w:rPr>
              <w:t>1995</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2A104AF" w14:textId="77777777" w:rsidR="004A7081" w:rsidRPr="00463B87" w:rsidRDefault="004A7081" w:rsidP="00172925">
            <w:pPr>
              <w:jc w:val="right"/>
              <w:rPr>
                <w:sz w:val="20"/>
                <w:szCs w:val="20"/>
              </w:rPr>
            </w:pPr>
            <w:r>
              <w:rPr>
                <w:sz w:val="20"/>
              </w:rPr>
              <w:t>17</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63D7E33" w14:textId="77777777" w:rsidR="004A7081" w:rsidRPr="00463B87" w:rsidRDefault="004A7081" w:rsidP="00172925">
            <w:pPr>
              <w:jc w:val="right"/>
              <w:rPr>
                <w:sz w:val="20"/>
                <w:szCs w:val="20"/>
              </w:rPr>
            </w:pPr>
            <w:r>
              <w:rPr>
                <w:sz w:val="20"/>
              </w:rPr>
              <w:t>17</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01F2F17"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475E408C" w14:textId="6121A871" w:rsidR="004A7081" w:rsidRPr="00463B87" w:rsidRDefault="004A7081" w:rsidP="00172925">
            <w:pPr>
              <w:jc w:val="right"/>
              <w:rPr>
                <w:sz w:val="20"/>
                <w:szCs w:val="20"/>
              </w:rPr>
            </w:pPr>
            <w:r>
              <w:rPr>
                <w:sz w:val="20"/>
              </w:rPr>
              <w:t>4</w:t>
            </w:r>
            <w:r w:rsidR="000245C4">
              <w:rPr>
                <w:sz w:val="20"/>
              </w:rPr>
              <w:t> </w:t>
            </w:r>
            <w:r>
              <w:rPr>
                <w:sz w:val="20"/>
              </w:rPr>
              <w:t>654</w:t>
            </w:r>
            <w:r w:rsidR="000245C4">
              <w:rPr>
                <w:sz w:val="20"/>
              </w:rPr>
              <w:t> </w:t>
            </w:r>
            <w:r>
              <w:rPr>
                <w:sz w:val="20"/>
              </w:rPr>
              <w:t>902</w:t>
            </w:r>
          </w:p>
        </w:tc>
        <w:tc>
          <w:tcPr>
            <w:tcW w:w="1269" w:type="dxa"/>
            <w:tcBorders>
              <w:top w:val="nil"/>
              <w:left w:val="nil"/>
              <w:bottom w:val="single" w:sz="4" w:space="0" w:color="auto"/>
              <w:right w:val="single" w:sz="4" w:space="0" w:color="auto"/>
            </w:tcBorders>
            <w:shd w:val="clear" w:color="auto" w:fill="auto"/>
            <w:noWrap/>
            <w:vAlign w:val="center"/>
            <w:hideMark/>
          </w:tcPr>
          <w:p w14:paraId="05DF27BC" w14:textId="54286990" w:rsidR="004A7081" w:rsidRPr="00463B87" w:rsidRDefault="004A7081" w:rsidP="00172925">
            <w:pPr>
              <w:jc w:val="right"/>
              <w:rPr>
                <w:sz w:val="20"/>
                <w:szCs w:val="20"/>
              </w:rPr>
            </w:pPr>
            <w:r>
              <w:rPr>
                <w:sz w:val="20"/>
              </w:rPr>
              <w:t>4</w:t>
            </w:r>
            <w:r w:rsidR="000245C4">
              <w:rPr>
                <w:sz w:val="20"/>
              </w:rPr>
              <w:t> </w:t>
            </w:r>
            <w:r>
              <w:rPr>
                <w:sz w:val="20"/>
              </w:rPr>
              <w:t>654</w:t>
            </w:r>
            <w:r w:rsidR="000245C4">
              <w:rPr>
                <w:sz w:val="20"/>
              </w:rPr>
              <w:t> </w:t>
            </w:r>
            <w:r>
              <w:rPr>
                <w:sz w:val="20"/>
              </w:rPr>
              <w:t>902</w:t>
            </w:r>
          </w:p>
        </w:tc>
        <w:tc>
          <w:tcPr>
            <w:tcW w:w="1269" w:type="dxa"/>
            <w:tcBorders>
              <w:top w:val="nil"/>
              <w:left w:val="nil"/>
              <w:bottom w:val="single" w:sz="4" w:space="0" w:color="auto"/>
              <w:right w:val="single" w:sz="4" w:space="0" w:color="auto"/>
            </w:tcBorders>
            <w:shd w:val="clear" w:color="auto" w:fill="auto"/>
            <w:noWrap/>
            <w:vAlign w:val="center"/>
            <w:hideMark/>
          </w:tcPr>
          <w:p w14:paraId="5D04163C"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0D5EBD2" w14:textId="77777777" w:rsidR="004A7081" w:rsidRPr="00463B87" w:rsidRDefault="004A7081" w:rsidP="00172925">
            <w:pPr>
              <w:jc w:val="right"/>
              <w:rPr>
                <w:sz w:val="20"/>
                <w:szCs w:val="20"/>
              </w:rPr>
            </w:pPr>
            <w:r>
              <w:rPr>
                <w:sz w:val="20"/>
              </w:rPr>
              <w:t>100</w:t>
            </w:r>
          </w:p>
        </w:tc>
      </w:tr>
      <w:tr w:rsidR="004A7081" w:rsidRPr="00463B87" w14:paraId="271F6044"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17A107D" w14:textId="77777777" w:rsidR="004A7081" w:rsidRPr="00463B87" w:rsidRDefault="004A7081" w:rsidP="00172925">
            <w:pPr>
              <w:jc w:val="left"/>
              <w:rPr>
                <w:sz w:val="20"/>
                <w:szCs w:val="20"/>
              </w:rPr>
            </w:pPr>
            <w:r>
              <w:rPr>
                <w:sz w:val="20"/>
              </w:rPr>
              <w:t>1996</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2D7874D" w14:textId="77777777" w:rsidR="004A7081" w:rsidRPr="00463B87" w:rsidRDefault="004A7081" w:rsidP="00172925">
            <w:pPr>
              <w:jc w:val="right"/>
              <w:rPr>
                <w:sz w:val="20"/>
                <w:szCs w:val="20"/>
              </w:rPr>
            </w:pPr>
            <w:r>
              <w:rPr>
                <w:sz w:val="20"/>
              </w:rPr>
              <w:t>26</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16E8F2E" w14:textId="77777777" w:rsidR="004A7081" w:rsidRPr="00463B87" w:rsidRDefault="004A7081" w:rsidP="00172925">
            <w:pPr>
              <w:jc w:val="right"/>
              <w:rPr>
                <w:sz w:val="20"/>
                <w:szCs w:val="20"/>
              </w:rPr>
            </w:pPr>
            <w:r>
              <w:rPr>
                <w:sz w:val="20"/>
              </w:rPr>
              <w:t>26</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977BB71"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215EAED3" w14:textId="3C550E92" w:rsidR="004A7081" w:rsidRPr="00463B87" w:rsidRDefault="004A7081" w:rsidP="00172925">
            <w:pPr>
              <w:jc w:val="right"/>
              <w:rPr>
                <w:sz w:val="20"/>
                <w:szCs w:val="20"/>
              </w:rPr>
            </w:pPr>
            <w:r>
              <w:rPr>
                <w:sz w:val="20"/>
              </w:rPr>
              <w:t>3</w:t>
            </w:r>
            <w:r w:rsidR="000245C4">
              <w:rPr>
                <w:sz w:val="20"/>
              </w:rPr>
              <w:t> </w:t>
            </w:r>
            <w:r>
              <w:rPr>
                <w:sz w:val="20"/>
              </w:rPr>
              <w:t>468</w:t>
            </w:r>
            <w:r w:rsidR="000245C4">
              <w:rPr>
                <w:sz w:val="20"/>
              </w:rPr>
              <w:t> </w:t>
            </w:r>
            <w:r>
              <w:rPr>
                <w:sz w:val="20"/>
              </w:rPr>
              <w:t>211</w:t>
            </w:r>
          </w:p>
        </w:tc>
        <w:tc>
          <w:tcPr>
            <w:tcW w:w="1269" w:type="dxa"/>
            <w:tcBorders>
              <w:top w:val="nil"/>
              <w:left w:val="nil"/>
              <w:bottom w:val="single" w:sz="4" w:space="0" w:color="auto"/>
              <w:right w:val="single" w:sz="4" w:space="0" w:color="auto"/>
            </w:tcBorders>
            <w:shd w:val="clear" w:color="auto" w:fill="auto"/>
            <w:noWrap/>
            <w:vAlign w:val="center"/>
            <w:hideMark/>
          </w:tcPr>
          <w:p w14:paraId="4865A726" w14:textId="2B248627" w:rsidR="004A7081" w:rsidRPr="00463B87" w:rsidRDefault="004A7081" w:rsidP="00172925">
            <w:pPr>
              <w:jc w:val="right"/>
              <w:rPr>
                <w:sz w:val="20"/>
                <w:szCs w:val="20"/>
              </w:rPr>
            </w:pPr>
            <w:r>
              <w:rPr>
                <w:sz w:val="20"/>
              </w:rPr>
              <w:t>3</w:t>
            </w:r>
            <w:r w:rsidR="000245C4">
              <w:rPr>
                <w:sz w:val="20"/>
              </w:rPr>
              <w:t> </w:t>
            </w:r>
            <w:r>
              <w:rPr>
                <w:sz w:val="20"/>
              </w:rPr>
              <w:t>468</w:t>
            </w:r>
            <w:r w:rsidR="000245C4">
              <w:rPr>
                <w:sz w:val="20"/>
              </w:rPr>
              <w:t> </w:t>
            </w:r>
            <w:r>
              <w:rPr>
                <w:sz w:val="20"/>
              </w:rPr>
              <w:t>211</w:t>
            </w:r>
          </w:p>
        </w:tc>
        <w:tc>
          <w:tcPr>
            <w:tcW w:w="1269" w:type="dxa"/>
            <w:tcBorders>
              <w:top w:val="nil"/>
              <w:left w:val="nil"/>
              <w:bottom w:val="single" w:sz="4" w:space="0" w:color="auto"/>
              <w:right w:val="single" w:sz="4" w:space="0" w:color="auto"/>
            </w:tcBorders>
            <w:shd w:val="clear" w:color="auto" w:fill="auto"/>
            <w:noWrap/>
            <w:vAlign w:val="center"/>
            <w:hideMark/>
          </w:tcPr>
          <w:p w14:paraId="7ECA361E"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E8B0A85" w14:textId="77777777" w:rsidR="004A7081" w:rsidRPr="00463B87" w:rsidRDefault="004A7081" w:rsidP="00172925">
            <w:pPr>
              <w:jc w:val="right"/>
              <w:rPr>
                <w:sz w:val="20"/>
                <w:szCs w:val="20"/>
              </w:rPr>
            </w:pPr>
            <w:r>
              <w:rPr>
                <w:sz w:val="20"/>
              </w:rPr>
              <w:t>100</w:t>
            </w:r>
          </w:p>
        </w:tc>
      </w:tr>
      <w:tr w:rsidR="004A7081" w:rsidRPr="00463B87" w14:paraId="02F43B9D"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9BCE345" w14:textId="77777777" w:rsidR="004A7081" w:rsidRPr="00463B87" w:rsidRDefault="004A7081" w:rsidP="00172925">
            <w:pPr>
              <w:jc w:val="left"/>
              <w:rPr>
                <w:sz w:val="20"/>
                <w:szCs w:val="20"/>
              </w:rPr>
            </w:pPr>
            <w:r>
              <w:rPr>
                <w:sz w:val="20"/>
              </w:rPr>
              <w:t>1997</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E67D4B6" w14:textId="77777777" w:rsidR="004A7081" w:rsidRPr="00463B87" w:rsidRDefault="004A7081" w:rsidP="00172925">
            <w:pPr>
              <w:jc w:val="right"/>
              <w:rPr>
                <w:sz w:val="20"/>
                <w:szCs w:val="20"/>
              </w:rPr>
            </w:pPr>
            <w:r>
              <w:rPr>
                <w:sz w:val="20"/>
              </w:rPr>
              <w:t>32</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05833B1" w14:textId="77777777" w:rsidR="004A7081" w:rsidRPr="00463B87" w:rsidRDefault="004A7081" w:rsidP="00172925">
            <w:pPr>
              <w:jc w:val="right"/>
              <w:rPr>
                <w:sz w:val="20"/>
                <w:szCs w:val="20"/>
              </w:rPr>
            </w:pPr>
            <w:r>
              <w:rPr>
                <w:sz w:val="20"/>
              </w:rPr>
              <w:t>32</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2C3E484"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10228648" w14:textId="0ADF4DA2" w:rsidR="004A7081" w:rsidRPr="00463B87" w:rsidRDefault="004A7081" w:rsidP="00172925">
            <w:pPr>
              <w:jc w:val="right"/>
              <w:rPr>
                <w:sz w:val="20"/>
                <w:szCs w:val="20"/>
              </w:rPr>
            </w:pPr>
            <w:r>
              <w:rPr>
                <w:sz w:val="20"/>
              </w:rPr>
              <w:t>4</w:t>
            </w:r>
            <w:r w:rsidR="000245C4">
              <w:rPr>
                <w:sz w:val="20"/>
              </w:rPr>
              <w:t> </w:t>
            </w:r>
            <w:r>
              <w:rPr>
                <w:sz w:val="20"/>
              </w:rPr>
              <w:t>040</w:t>
            </w:r>
            <w:r w:rsidR="000245C4">
              <w:rPr>
                <w:sz w:val="20"/>
              </w:rPr>
              <w:t> </w:t>
            </w:r>
            <w:r>
              <w:rPr>
                <w:sz w:val="20"/>
              </w:rPr>
              <w:t>251</w:t>
            </w:r>
          </w:p>
        </w:tc>
        <w:tc>
          <w:tcPr>
            <w:tcW w:w="1269" w:type="dxa"/>
            <w:tcBorders>
              <w:top w:val="nil"/>
              <w:left w:val="nil"/>
              <w:bottom w:val="single" w:sz="4" w:space="0" w:color="auto"/>
              <w:right w:val="single" w:sz="4" w:space="0" w:color="auto"/>
            </w:tcBorders>
            <w:shd w:val="clear" w:color="auto" w:fill="auto"/>
            <w:noWrap/>
            <w:vAlign w:val="center"/>
            <w:hideMark/>
          </w:tcPr>
          <w:p w14:paraId="178621F8" w14:textId="4E5FB2F3" w:rsidR="004A7081" w:rsidRPr="00463B87" w:rsidRDefault="004A7081" w:rsidP="00172925">
            <w:pPr>
              <w:jc w:val="right"/>
              <w:rPr>
                <w:sz w:val="20"/>
                <w:szCs w:val="20"/>
              </w:rPr>
            </w:pPr>
            <w:r>
              <w:rPr>
                <w:sz w:val="20"/>
              </w:rPr>
              <w:t>4</w:t>
            </w:r>
            <w:r w:rsidR="000245C4">
              <w:rPr>
                <w:sz w:val="20"/>
              </w:rPr>
              <w:t> </w:t>
            </w:r>
            <w:r>
              <w:rPr>
                <w:sz w:val="20"/>
              </w:rPr>
              <w:t>040</w:t>
            </w:r>
            <w:r w:rsidR="000245C4">
              <w:rPr>
                <w:sz w:val="20"/>
              </w:rPr>
              <w:t> </w:t>
            </w:r>
            <w:r>
              <w:rPr>
                <w:sz w:val="20"/>
              </w:rPr>
              <w:t>251</w:t>
            </w:r>
          </w:p>
        </w:tc>
        <w:tc>
          <w:tcPr>
            <w:tcW w:w="1269" w:type="dxa"/>
            <w:tcBorders>
              <w:top w:val="nil"/>
              <w:left w:val="nil"/>
              <w:bottom w:val="single" w:sz="4" w:space="0" w:color="auto"/>
              <w:right w:val="single" w:sz="4" w:space="0" w:color="auto"/>
            </w:tcBorders>
            <w:shd w:val="clear" w:color="auto" w:fill="auto"/>
            <w:noWrap/>
            <w:vAlign w:val="center"/>
            <w:hideMark/>
          </w:tcPr>
          <w:p w14:paraId="0FD1E836"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2C60D2D" w14:textId="77777777" w:rsidR="004A7081" w:rsidRPr="00463B87" w:rsidRDefault="004A7081" w:rsidP="00172925">
            <w:pPr>
              <w:jc w:val="right"/>
              <w:rPr>
                <w:sz w:val="20"/>
                <w:szCs w:val="20"/>
              </w:rPr>
            </w:pPr>
            <w:r>
              <w:rPr>
                <w:sz w:val="20"/>
              </w:rPr>
              <w:t>100</w:t>
            </w:r>
          </w:p>
        </w:tc>
      </w:tr>
      <w:tr w:rsidR="004A7081" w:rsidRPr="00463B87" w14:paraId="77FFB3F7"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E9F955B" w14:textId="77777777" w:rsidR="004A7081" w:rsidRPr="00463B87" w:rsidRDefault="004A7081" w:rsidP="00172925">
            <w:pPr>
              <w:jc w:val="left"/>
              <w:rPr>
                <w:sz w:val="20"/>
                <w:szCs w:val="20"/>
              </w:rPr>
            </w:pPr>
            <w:r>
              <w:rPr>
                <w:sz w:val="20"/>
              </w:rPr>
              <w:t>1998</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B31B20C" w14:textId="77777777" w:rsidR="004A7081" w:rsidRPr="00463B87" w:rsidRDefault="004A7081" w:rsidP="00172925">
            <w:pPr>
              <w:jc w:val="right"/>
              <w:rPr>
                <w:sz w:val="20"/>
                <w:szCs w:val="20"/>
              </w:rPr>
            </w:pPr>
            <w:r>
              <w:rPr>
                <w:sz w:val="20"/>
              </w:rPr>
              <w:t>39</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C886195" w14:textId="77777777" w:rsidR="004A7081" w:rsidRPr="00463B87" w:rsidRDefault="004A7081" w:rsidP="00172925">
            <w:pPr>
              <w:jc w:val="right"/>
              <w:rPr>
                <w:sz w:val="20"/>
                <w:szCs w:val="20"/>
              </w:rPr>
            </w:pPr>
            <w:r>
              <w:rPr>
                <w:sz w:val="20"/>
              </w:rPr>
              <w:t>39</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7146845"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44F1026C" w14:textId="767BB6AE" w:rsidR="004A7081" w:rsidRPr="00463B87" w:rsidRDefault="004A7081" w:rsidP="00172925">
            <w:pPr>
              <w:jc w:val="right"/>
              <w:rPr>
                <w:sz w:val="20"/>
                <w:szCs w:val="20"/>
              </w:rPr>
            </w:pPr>
            <w:r>
              <w:rPr>
                <w:sz w:val="20"/>
              </w:rPr>
              <w:t>4</w:t>
            </w:r>
            <w:r w:rsidR="000245C4">
              <w:rPr>
                <w:sz w:val="20"/>
              </w:rPr>
              <w:t> </w:t>
            </w:r>
            <w:r>
              <w:rPr>
                <w:sz w:val="20"/>
              </w:rPr>
              <w:t>108</w:t>
            </w:r>
            <w:r w:rsidR="000245C4">
              <w:rPr>
                <w:sz w:val="20"/>
              </w:rPr>
              <w:t> </w:t>
            </w:r>
            <w:r>
              <w:rPr>
                <w:sz w:val="20"/>
              </w:rPr>
              <w:t>525</w:t>
            </w:r>
          </w:p>
        </w:tc>
        <w:tc>
          <w:tcPr>
            <w:tcW w:w="1269" w:type="dxa"/>
            <w:tcBorders>
              <w:top w:val="nil"/>
              <w:left w:val="nil"/>
              <w:bottom w:val="single" w:sz="4" w:space="0" w:color="auto"/>
              <w:right w:val="single" w:sz="4" w:space="0" w:color="auto"/>
            </w:tcBorders>
            <w:shd w:val="clear" w:color="auto" w:fill="auto"/>
            <w:noWrap/>
            <w:vAlign w:val="center"/>
            <w:hideMark/>
          </w:tcPr>
          <w:p w14:paraId="6CF6BD87" w14:textId="1C06C229" w:rsidR="004A7081" w:rsidRPr="00463B87" w:rsidRDefault="004A7081" w:rsidP="00172925">
            <w:pPr>
              <w:jc w:val="right"/>
              <w:rPr>
                <w:sz w:val="20"/>
                <w:szCs w:val="20"/>
              </w:rPr>
            </w:pPr>
            <w:r>
              <w:rPr>
                <w:sz w:val="20"/>
              </w:rPr>
              <w:t>4</w:t>
            </w:r>
            <w:r w:rsidR="000245C4">
              <w:rPr>
                <w:sz w:val="20"/>
              </w:rPr>
              <w:t> </w:t>
            </w:r>
            <w:r>
              <w:rPr>
                <w:sz w:val="20"/>
              </w:rPr>
              <w:t>108</w:t>
            </w:r>
            <w:r w:rsidR="000245C4">
              <w:rPr>
                <w:sz w:val="20"/>
              </w:rPr>
              <w:t> </w:t>
            </w:r>
            <w:r>
              <w:rPr>
                <w:sz w:val="20"/>
              </w:rPr>
              <w:t>525</w:t>
            </w:r>
          </w:p>
        </w:tc>
        <w:tc>
          <w:tcPr>
            <w:tcW w:w="1269" w:type="dxa"/>
            <w:tcBorders>
              <w:top w:val="nil"/>
              <w:left w:val="nil"/>
              <w:bottom w:val="single" w:sz="4" w:space="0" w:color="auto"/>
              <w:right w:val="single" w:sz="4" w:space="0" w:color="auto"/>
            </w:tcBorders>
            <w:shd w:val="clear" w:color="auto" w:fill="auto"/>
            <w:noWrap/>
            <w:vAlign w:val="center"/>
            <w:hideMark/>
          </w:tcPr>
          <w:p w14:paraId="50D1CB25"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B6B21E3" w14:textId="77777777" w:rsidR="004A7081" w:rsidRPr="00463B87" w:rsidRDefault="004A7081" w:rsidP="00172925">
            <w:pPr>
              <w:jc w:val="right"/>
              <w:rPr>
                <w:sz w:val="20"/>
                <w:szCs w:val="20"/>
              </w:rPr>
            </w:pPr>
            <w:r>
              <w:rPr>
                <w:sz w:val="20"/>
              </w:rPr>
              <w:t>100</w:t>
            </w:r>
          </w:p>
        </w:tc>
      </w:tr>
      <w:tr w:rsidR="004A7081" w:rsidRPr="00463B87" w14:paraId="366A1118"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7A7F4E8" w14:textId="77777777" w:rsidR="004A7081" w:rsidRPr="00463B87" w:rsidRDefault="004A7081" w:rsidP="00172925">
            <w:pPr>
              <w:jc w:val="left"/>
              <w:rPr>
                <w:sz w:val="20"/>
                <w:szCs w:val="20"/>
              </w:rPr>
            </w:pPr>
            <w:r>
              <w:rPr>
                <w:sz w:val="20"/>
              </w:rPr>
              <w:t>1999</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16B2A97" w14:textId="77777777" w:rsidR="004A7081" w:rsidRPr="00463B87" w:rsidRDefault="004A7081" w:rsidP="00172925">
            <w:pPr>
              <w:jc w:val="right"/>
              <w:rPr>
                <w:sz w:val="20"/>
                <w:szCs w:val="20"/>
              </w:rPr>
            </w:pPr>
            <w:r>
              <w:rPr>
                <w:sz w:val="20"/>
              </w:rPr>
              <w:t>59</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74DD98B" w14:textId="77777777" w:rsidR="004A7081" w:rsidRPr="00463B87" w:rsidRDefault="004A7081" w:rsidP="00172925">
            <w:pPr>
              <w:jc w:val="right"/>
              <w:rPr>
                <w:sz w:val="20"/>
                <w:szCs w:val="20"/>
              </w:rPr>
            </w:pPr>
            <w:r>
              <w:rPr>
                <w:sz w:val="20"/>
              </w:rPr>
              <w:t>59</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09F788C"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40E05E8A" w14:textId="68013A62" w:rsidR="004A7081" w:rsidRPr="00463B87" w:rsidRDefault="004A7081" w:rsidP="00172925">
            <w:pPr>
              <w:jc w:val="right"/>
              <w:rPr>
                <w:sz w:val="20"/>
                <w:szCs w:val="20"/>
              </w:rPr>
            </w:pPr>
            <w:r>
              <w:rPr>
                <w:sz w:val="20"/>
              </w:rPr>
              <w:t>12</w:t>
            </w:r>
            <w:r w:rsidR="000245C4">
              <w:rPr>
                <w:sz w:val="20"/>
              </w:rPr>
              <w:t> </w:t>
            </w:r>
            <w:r>
              <w:rPr>
                <w:sz w:val="20"/>
              </w:rPr>
              <w:t>131</w:t>
            </w:r>
            <w:r w:rsidR="000245C4">
              <w:rPr>
                <w:sz w:val="20"/>
              </w:rPr>
              <w:t> </w:t>
            </w:r>
            <w:r>
              <w:rPr>
                <w:sz w:val="20"/>
              </w:rPr>
              <w:t>407</w:t>
            </w:r>
          </w:p>
        </w:tc>
        <w:tc>
          <w:tcPr>
            <w:tcW w:w="1269" w:type="dxa"/>
            <w:tcBorders>
              <w:top w:val="nil"/>
              <w:left w:val="nil"/>
              <w:bottom w:val="single" w:sz="4" w:space="0" w:color="auto"/>
              <w:right w:val="single" w:sz="4" w:space="0" w:color="auto"/>
            </w:tcBorders>
            <w:shd w:val="clear" w:color="auto" w:fill="auto"/>
            <w:noWrap/>
            <w:vAlign w:val="center"/>
            <w:hideMark/>
          </w:tcPr>
          <w:p w14:paraId="7A979923" w14:textId="3B295D1F" w:rsidR="004A7081" w:rsidRPr="00463B87" w:rsidRDefault="004A7081" w:rsidP="00172925">
            <w:pPr>
              <w:jc w:val="right"/>
              <w:rPr>
                <w:sz w:val="20"/>
                <w:szCs w:val="20"/>
              </w:rPr>
            </w:pPr>
            <w:r>
              <w:rPr>
                <w:sz w:val="20"/>
              </w:rPr>
              <w:t>12</w:t>
            </w:r>
            <w:r w:rsidR="000245C4">
              <w:rPr>
                <w:sz w:val="20"/>
              </w:rPr>
              <w:t> </w:t>
            </w:r>
            <w:r>
              <w:rPr>
                <w:sz w:val="20"/>
              </w:rPr>
              <w:t>131</w:t>
            </w:r>
            <w:r w:rsidR="000245C4">
              <w:rPr>
                <w:sz w:val="20"/>
              </w:rPr>
              <w:t> </w:t>
            </w:r>
            <w:r>
              <w:rPr>
                <w:sz w:val="20"/>
              </w:rPr>
              <w:t>407</w:t>
            </w:r>
          </w:p>
        </w:tc>
        <w:tc>
          <w:tcPr>
            <w:tcW w:w="1269" w:type="dxa"/>
            <w:tcBorders>
              <w:top w:val="nil"/>
              <w:left w:val="nil"/>
              <w:bottom w:val="single" w:sz="4" w:space="0" w:color="auto"/>
              <w:right w:val="single" w:sz="4" w:space="0" w:color="auto"/>
            </w:tcBorders>
            <w:shd w:val="clear" w:color="auto" w:fill="auto"/>
            <w:noWrap/>
            <w:vAlign w:val="center"/>
            <w:hideMark/>
          </w:tcPr>
          <w:p w14:paraId="24DADF15"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BACFCC5" w14:textId="77777777" w:rsidR="004A7081" w:rsidRPr="00463B87" w:rsidRDefault="004A7081" w:rsidP="00172925">
            <w:pPr>
              <w:jc w:val="right"/>
              <w:rPr>
                <w:sz w:val="20"/>
                <w:szCs w:val="20"/>
              </w:rPr>
            </w:pPr>
            <w:r>
              <w:rPr>
                <w:sz w:val="20"/>
              </w:rPr>
              <w:t>100</w:t>
            </w:r>
          </w:p>
        </w:tc>
      </w:tr>
      <w:tr w:rsidR="004A7081" w:rsidRPr="00463B87" w14:paraId="1CAC9530"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E1EA58E" w14:textId="77777777" w:rsidR="004A7081" w:rsidRPr="00463B87" w:rsidRDefault="004A7081" w:rsidP="00172925">
            <w:pPr>
              <w:jc w:val="left"/>
              <w:rPr>
                <w:sz w:val="20"/>
                <w:szCs w:val="20"/>
              </w:rPr>
            </w:pPr>
            <w:r>
              <w:rPr>
                <w:sz w:val="20"/>
              </w:rPr>
              <w:t>2000</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8C1F847" w14:textId="77777777" w:rsidR="004A7081" w:rsidRPr="00463B87" w:rsidRDefault="004A7081" w:rsidP="00172925">
            <w:pPr>
              <w:jc w:val="right"/>
              <w:rPr>
                <w:sz w:val="20"/>
                <w:szCs w:val="20"/>
              </w:rPr>
            </w:pPr>
            <w:r>
              <w:rPr>
                <w:sz w:val="20"/>
              </w:rPr>
              <w:t>29</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45E7E67" w14:textId="77777777" w:rsidR="004A7081" w:rsidRPr="00463B87" w:rsidRDefault="004A7081" w:rsidP="00172925">
            <w:pPr>
              <w:jc w:val="right"/>
              <w:rPr>
                <w:sz w:val="20"/>
                <w:szCs w:val="20"/>
              </w:rPr>
            </w:pPr>
            <w:r>
              <w:rPr>
                <w:sz w:val="20"/>
              </w:rPr>
              <w:t>29</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824219E"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3D2A68F7" w14:textId="45E7A726" w:rsidR="004A7081" w:rsidRPr="00463B87" w:rsidRDefault="004A7081" w:rsidP="00172925">
            <w:pPr>
              <w:jc w:val="right"/>
              <w:rPr>
                <w:sz w:val="20"/>
                <w:szCs w:val="20"/>
              </w:rPr>
            </w:pPr>
            <w:r>
              <w:rPr>
                <w:sz w:val="20"/>
              </w:rPr>
              <w:t>4</w:t>
            </w:r>
            <w:r w:rsidR="000245C4">
              <w:rPr>
                <w:sz w:val="20"/>
              </w:rPr>
              <w:t> </w:t>
            </w:r>
            <w:r>
              <w:rPr>
                <w:sz w:val="20"/>
              </w:rPr>
              <w:t>808</w:t>
            </w:r>
            <w:r w:rsidR="000245C4">
              <w:rPr>
                <w:sz w:val="20"/>
              </w:rPr>
              <w:t> </w:t>
            </w:r>
            <w:r>
              <w:rPr>
                <w:sz w:val="20"/>
              </w:rPr>
              <w:t>878</w:t>
            </w:r>
          </w:p>
        </w:tc>
        <w:tc>
          <w:tcPr>
            <w:tcW w:w="1269" w:type="dxa"/>
            <w:tcBorders>
              <w:top w:val="nil"/>
              <w:left w:val="nil"/>
              <w:bottom w:val="single" w:sz="4" w:space="0" w:color="auto"/>
              <w:right w:val="single" w:sz="4" w:space="0" w:color="auto"/>
            </w:tcBorders>
            <w:shd w:val="clear" w:color="auto" w:fill="auto"/>
            <w:noWrap/>
            <w:vAlign w:val="center"/>
            <w:hideMark/>
          </w:tcPr>
          <w:p w14:paraId="1F0998E9" w14:textId="094B8F97" w:rsidR="004A7081" w:rsidRPr="00463B87" w:rsidRDefault="004A7081" w:rsidP="00172925">
            <w:pPr>
              <w:jc w:val="right"/>
              <w:rPr>
                <w:sz w:val="20"/>
                <w:szCs w:val="20"/>
              </w:rPr>
            </w:pPr>
            <w:r>
              <w:rPr>
                <w:sz w:val="20"/>
              </w:rPr>
              <w:t>4</w:t>
            </w:r>
            <w:r w:rsidR="000245C4">
              <w:rPr>
                <w:sz w:val="20"/>
              </w:rPr>
              <w:t> </w:t>
            </w:r>
            <w:r>
              <w:rPr>
                <w:sz w:val="20"/>
              </w:rPr>
              <w:t>808</w:t>
            </w:r>
            <w:r w:rsidR="000245C4">
              <w:rPr>
                <w:sz w:val="20"/>
              </w:rPr>
              <w:t> </w:t>
            </w:r>
            <w:r>
              <w:rPr>
                <w:sz w:val="20"/>
              </w:rPr>
              <w:t>878</w:t>
            </w:r>
          </w:p>
        </w:tc>
        <w:tc>
          <w:tcPr>
            <w:tcW w:w="1269" w:type="dxa"/>
            <w:tcBorders>
              <w:top w:val="nil"/>
              <w:left w:val="nil"/>
              <w:bottom w:val="single" w:sz="4" w:space="0" w:color="auto"/>
              <w:right w:val="single" w:sz="4" w:space="0" w:color="auto"/>
            </w:tcBorders>
            <w:shd w:val="clear" w:color="auto" w:fill="auto"/>
            <w:noWrap/>
            <w:vAlign w:val="center"/>
            <w:hideMark/>
          </w:tcPr>
          <w:p w14:paraId="4E3BD991"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9166EFB" w14:textId="77777777" w:rsidR="004A7081" w:rsidRPr="00463B87" w:rsidRDefault="004A7081" w:rsidP="00172925">
            <w:pPr>
              <w:jc w:val="right"/>
              <w:rPr>
                <w:sz w:val="20"/>
                <w:szCs w:val="20"/>
              </w:rPr>
            </w:pPr>
            <w:r>
              <w:rPr>
                <w:sz w:val="20"/>
              </w:rPr>
              <w:t>100</w:t>
            </w:r>
          </w:p>
        </w:tc>
      </w:tr>
      <w:tr w:rsidR="004A7081" w:rsidRPr="00463B87" w14:paraId="7399DFD4"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3E40B89" w14:textId="77777777" w:rsidR="004A7081" w:rsidRPr="00463B87" w:rsidRDefault="004A7081" w:rsidP="00172925">
            <w:pPr>
              <w:jc w:val="left"/>
              <w:rPr>
                <w:sz w:val="20"/>
                <w:szCs w:val="20"/>
              </w:rPr>
            </w:pPr>
            <w:r>
              <w:rPr>
                <w:sz w:val="20"/>
              </w:rPr>
              <w:t>2001</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E9B49FA" w14:textId="77777777" w:rsidR="004A7081" w:rsidRPr="00463B87" w:rsidRDefault="004A7081" w:rsidP="00172925">
            <w:pPr>
              <w:jc w:val="right"/>
              <w:rPr>
                <w:sz w:val="20"/>
                <w:szCs w:val="20"/>
              </w:rPr>
            </w:pPr>
            <w:r>
              <w:rPr>
                <w:sz w:val="20"/>
              </w:rPr>
              <w:t>41</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671F967" w14:textId="77777777" w:rsidR="004A7081" w:rsidRPr="00463B87" w:rsidRDefault="004A7081" w:rsidP="00172925">
            <w:pPr>
              <w:jc w:val="right"/>
              <w:rPr>
                <w:sz w:val="20"/>
                <w:szCs w:val="20"/>
              </w:rPr>
            </w:pPr>
            <w:r>
              <w:rPr>
                <w:sz w:val="20"/>
              </w:rPr>
              <w:t>41</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D79A860"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3F3D6169" w14:textId="39BABDDE" w:rsidR="004A7081" w:rsidRPr="00463B87" w:rsidRDefault="004A7081" w:rsidP="00172925">
            <w:pPr>
              <w:jc w:val="right"/>
              <w:rPr>
                <w:sz w:val="20"/>
                <w:szCs w:val="20"/>
              </w:rPr>
            </w:pPr>
            <w:r>
              <w:rPr>
                <w:sz w:val="20"/>
              </w:rPr>
              <w:t>7</w:t>
            </w:r>
            <w:r w:rsidR="000245C4">
              <w:rPr>
                <w:sz w:val="20"/>
              </w:rPr>
              <w:t> </w:t>
            </w:r>
            <w:r>
              <w:rPr>
                <w:sz w:val="20"/>
              </w:rPr>
              <w:t>523</w:t>
            </w:r>
            <w:r w:rsidR="000245C4">
              <w:rPr>
                <w:sz w:val="20"/>
              </w:rPr>
              <w:t> </w:t>
            </w:r>
            <w:r>
              <w:rPr>
                <w:sz w:val="20"/>
              </w:rPr>
              <w:t>213</w:t>
            </w:r>
          </w:p>
        </w:tc>
        <w:tc>
          <w:tcPr>
            <w:tcW w:w="1269" w:type="dxa"/>
            <w:tcBorders>
              <w:top w:val="nil"/>
              <w:left w:val="nil"/>
              <w:bottom w:val="single" w:sz="4" w:space="0" w:color="auto"/>
              <w:right w:val="single" w:sz="4" w:space="0" w:color="auto"/>
            </w:tcBorders>
            <w:shd w:val="clear" w:color="auto" w:fill="auto"/>
            <w:noWrap/>
            <w:vAlign w:val="center"/>
            <w:hideMark/>
          </w:tcPr>
          <w:p w14:paraId="30CEE0C6" w14:textId="01546D73" w:rsidR="004A7081" w:rsidRPr="00463B87" w:rsidRDefault="004A7081" w:rsidP="00172925">
            <w:pPr>
              <w:jc w:val="right"/>
              <w:rPr>
                <w:sz w:val="20"/>
                <w:szCs w:val="20"/>
              </w:rPr>
            </w:pPr>
            <w:r>
              <w:rPr>
                <w:sz w:val="20"/>
              </w:rPr>
              <w:t>7</w:t>
            </w:r>
            <w:r w:rsidR="000245C4">
              <w:rPr>
                <w:sz w:val="20"/>
              </w:rPr>
              <w:t> </w:t>
            </w:r>
            <w:r>
              <w:rPr>
                <w:sz w:val="20"/>
              </w:rPr>
              <w:t>523</w:t>
            </w:r>
            <w:r w:rsidR="000245C4">
              <w:rPr>
                <w:sz w:val="20"/>
              </w:rPr>
              <w:t> </w:t>
            </w:r>
            <w:r>
              <w:rPr>
                <w:sz w:val="20"/>
              </w:rPr>
              <w:t>213</w:t>
            </w:r>
          </w:p>
        </w:tc>
        <w:tc>
          <w:tcPr>
            <w:tcW w:w="1269" w:type="dxa"/>
            <w:tcBorders>
              <w:top w:val="nil"/>
              <w:left w:val="nil"/>
              <w:bottom w:val="single" w:sz="4" w:space="0" w:color="auto"/>
              <w:right w:val="single" w:sz="4" w:space="0" w:color="auto"/>
            </w:tcBorders>
            <w:shd w:val="clear" w:color="auto" w:fill="auto"/>
            <w:noWrap/>
            <w:vAlign w:val="center"/>
            <w:hideMark/>
          </w:tcPr>
          <w:p w14:paraId="0B91C76D"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29C5C9D" w14:textId="77777777" w:rsidR="004A7081" w:rsidRPr="00463B87" w:rsidRDefault="004A7081" w:rsidP="00172925">
            <w:pPr>
              <w:jc w:val="right"/>
              <w:rPr>
                <w:sz w:val="20"/>
                <w:szCs w:val="20"/>
              </w:rPr>
            </w:pPr>
            <w:r>
              <w:rPr>
                <w:sz w:val="20"/>
              </w:rPr>
              <w:t>100</w:t>
            </w:r>
          </w:p>
        </w:tc>
      </w:tr>
      <w:tr w:rsidR="004A7081" w:rsidRPr="00463B87" w14:paraId="7DD9DF67"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12CBE53" w14:textId="77777777" w:rsidR="004A7081" w:rsidRPr="00463B87" w:rsidRDefault="004A7081" w:rsidP="00172925">
            <w:pPr>
              <w:jc w:val="left"/>
              <w:rPr>
                <w:sz w:val="20"/>
                <w:szCs w:val="20"/>
              </w:rPr>
            </w:pPr>
            <w:r>
              <w:rPr>
                <w:sz w:val="20"/>
              </w:rPr>
              <w:t>2002</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C8E6F29" w14:textId="77777777" w:rsidR="004A7081" w:rsidRPr="00463B87" w:rsidRDefault="004A7081" w:rsidP="00172925">
            <w:pPr>
              <w:jc w:val="right"/>
              <w:rPr>
                <w:sz w:val="20"/>
                <w:szCs w:val="20"/>
              </w:rPr>
            </w:pPr>
            <w:r>
              <w:rPr>
                <w:sz w:val="20"/>
              </w:rPr>
              <w:t>61</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F4B5F38" w14:textId="77777777" w:rsidR="004A7081" w:rsidRPr="00463B87" w:rsidRDefault="004A7081" w:rsidP="00172925">
            <w:pPr>
              <w:jc w:val="right"/>
              <w:rPr>
                <w:sz w:val="20"/>
                <w:szCs w:val="20"/>
              </w:rPr>
            </w:pPr>
            <w:r>
              <w:rPr>
                <w:sz w:val="20"/>
              </w:rPr>
              <w:t>61</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990D3B0"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7415F9CD" w14:textId="1E191F58" w:rsidR="004A7081" w:rsidRPr="00463B87" w:rsidRDefault="004A7081" w:rsidP="00172925">
            <w:pPr>
              <w:jc w:val="right"/>
              <w:rPr>
                <w:sz w:val="20"/>
                <w:szCs w:val="20"/>
              </w:rPr>
            </w:pPr>
            <w:r>
              <w:rPr>
                <w:sz w:val="20"/>
              </w:rPr>
              <w:t>7</w:t>
            </w:r>
            <w:r w:rsidR="000245C4">
              <w:rPr>
                <w:sz w:val="20"/>
              </w:rPr>
              <w:t> </w:t>
            </w:r>
            <w:r>
              <w:rPr>
                <w:sz w:val="20"/>
              </w:rPr>
              <w:t>910</w:t>
            </w:r>
            <w:r w:rsidR="000245C4">
              <w:rPr>
                <w:sz w:val="20"/>
              </w:rPr>
              <w:t> </w:t>
            </w:r>
            <w:r>
              <w:rPr>
                <w:sz w:val="20"/>
              </w:rPr>
              <w:t>174</w:t>
            </w:r>
          </w:p>
        </w:tc>
        <w:tc>
          <w:tcPr>
            <w:tcW w:w="1269" w:type="dxa"/>
            <w:tcBorders>
              <w:top w:val="nil"/>
              <w:left w:val="nil"/>
              <w:bottom w:val="single" w:sz="4" w:space="0" w:color="auto"/>
              <w:right w:val="single" w:sz="4" w:space="0" w:color="auto"/>
            </w:tcBorders>
            <w:shd w:val="clear" w:color="auto" w:fill="auto"/>
            <w:noWrap/>
            <w:vAlign w:val="center"/>
            <w:hideMark/>
          </w:tcPr>
          <w:p w14:paraId="0A1D18C6" w14:textId="66545A71" w:rsidR="004A7081" w:rsidRPr="00463B87" w:rsidRDefault="004A7081" w:rsidP="00172925">
            <w:pPr>
              <w:jc w:val="right"/>
              <w:rPr>
                <w:sz w:val="20"/>
                <w:szCs w:val="20"/>
              </w:rPr>
            </w:pPr>
            <w:r>
              <w:rPr>
                <w:sz w:val="20"/>
              </w:rPr>
              <w:t>7</w:t>
            </w:r>
            <w:r w:rsidR="000245C4">
              <w:rPr>
                <w:sz w:val="20"/>
              </w:rPr>
              <w:t> </w:t>
            </w:r>
            <w:r>
              <w:rPr>
                <w:sz w:val="20"/>
              </w:rPr>
              <w:t>910</w:t>
            </w:r>
            <w:r w:rsidR="000245C4">
              <w:rPr>
                <w:sz w:val="20"/>
              </w:rPr>
              <w:t> </w:t>
            </w:r>
            <w:r>
              <w:rPr>
                <w:sz w:val="20"/>
              </w:rPr>
              <w:t>174</w:t>
            </w:r>
          </w:p>
        </w:tc>
        <w:tc>
          <w:tcPr>
            <w:tcW w:w="1269" w:type="dxa"/>
            <w:tcBorders>
              <w:top w:val="nil"/>
              <w:left w:val="nil"/>
              <w:bottom w:val="single" w:sz="4" w:space="0" w:color="auto"/>
              <w:right w:val="single" w:sz="4" w:space="0" w:color="auto"/>
            </w:tcBorders>
            <w:shd w:val="clear" w:color="auto" w:fill="auto"/>
            <w:noWrap/>
            <w:vAlign w:val="center"/>
            <w:hideMark/>
          </w:tcPr>
          <w:p w14:paraId="194C1B9B"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7CBBB37" w14:textId="77777777" w:rsidR="004A7081" w:rsidRPr="00463B87" w:rsidRDefault="004A7081" w:rsidP="00172925">
            <w:pPr>
              <w:jc w:val="right"/>
              <w:rPr>
                <w:sz w:val="20"/>
                <w:szCs w:val="20"/>
              </w:rPr>
            </w:pPr>
            <w:r>
              <w:rPr>
                <w:sz w:val="20"/>
              </w:rPr>
              <w:t>100</w:t>
            </w:r>
          </w:p>
        </w:tc>
      </w:tr>
      <w:tr w:rsidR="004A7081" w:rsidRPr="00463B87" w14:paraId="12883727"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A5C7BFD" w14:textId="77777777" w:rsidR="004A7081" w:rsidRPr="00463B87" w:rsidRDefault="004A7081" w:rsidP="00172925">
            <w:pPr>
              <w:jc w:val="left"/>
              <w:rPr>
                <w:sz w:val="20"/>
                <w:szCs w:val="20"/>
              </w:rPr>
            </w:pPr>
            <w:r>
              <w:rPr>
                <w:sz w:val="20"/>
              </w:rPr>
              <w:t>2003</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90D5F45" w14:textId="77777777" w:rsidR="004A7081" w:rsidRPr="00463B87" w:rsidRDefault="004A7081" w:rsidP="00172925">
            <w:pPr>
              <w:jc w:val="right"/>
              <w:rPr>
                <w:sz w:val="20"/>
                <w:szCs w:val="20"/>
              </w:rPr>
            </w:pPr>
            <w:r>
              <w:rPr>
                <w:sz w:val="20"/>
              </w:rPr>
              <w:t>32</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10CA30C" w14:textId="77777777" w:rsidR="004A7081" w:rsidRPr="00463B87" w:rsidRDefault="004A7081" w:rsidP="00172925">
            <w:pPr>
              <w:jc w:val="right"/>
              <w:rPr>
                <w:sz w:val="20"/>
                <w:szCs w:val="20"/>
              </w:rPr>
            </w:pPr>
            <w:r>
              <w:rPr>
                <w:sz w:val="20"/>
              </w:rPr>
              <w:t>32</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CD7DA0D"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2FD504A2" w14:textId="3BBFD259" w:rsidR="004A7081" w:rsidRPr="00463B87" w:rsidRDefault="004A7081" w:rsidP="00172925">
            <w:pPr>
              <w:jc w:val="right"/>
              <w:rPr>
                <w:sz w:val="20"/>
                <w:szCs w:val="20"/>
              </w:rPr>
            </w:pPr>
            <w:r>
              <w:rPr>
                <w:sz w:val="20"/>
              </w:rPr>
              <w:t>6</w:t>
            </w:r>
            <w:r w:rsidR="000245C4">
              <w:rPr>
                <w:sz w:val="20"/>
              </w:rPr>
              <w:t> </w:t>
            </w:r>
            <w:r>
              <w:rPr>
                <w:sz w:val="20"/>
              </w:rPr>
              <w:t>810</w:t>
            </w:r>
            <w:r w:rsidR="000245C4">
              <w:rPr>
                <w:sz w:val="20"/>
              </w:rPr>
              <w:t> </w:t>
            </w:r>
            <w:r>
              <w:rPr>
                <w:sz w:val="20"/>
              </w:rPr>
              <w:t>120</w:t>
            </w:r>
          </w:p>
        </w:tc>
        <w:tc>
          <w:tcPr>
            <w:tcW w:w="1269" w:type="dxa"/>
            <w:tcBorders>
              <w:top w:val="nil"/>
              <w:left w:val="nil"/>
              <w:bottom w:val="single" w:sz="4" w:space="0" w:color="auto"/>
              <w:right w:val="single" w:sz="4" w:space="0" w:color="auto"/>
            </w:tcBorders>
            <w:shd w:val="clear" w:color="auto" w:fill="auto"/>
            <w:noWrap/>
            <w:vAlign w:val="center"/>
            <w:hideMark/>
          </w:tcPr>
          <w:p w14:paraId="1A1F8183" w14:textId="279C1BA9" w:rsidR="004A7081" w:rsidRPr="00463B87" w:rsidRDefault="004A7081" w:rsidP="00172925">
            <w:pPr>
              <w:jc w:val="right"/>
              <w:rPr>
                <w:sz w:val="20"/>
                <w:szCs w:val="20"/>
              </w:rPr>
            </w:pPr>
            <w:r>
              <w:rPr>
                <w:sz w:val="20"/>
              </w:rPr>
              <w:t>6</w:t>
            </w:r>
            <w:r w:rsidR="000245C4">
              <w:rPr>
                <w:sz w:val="20"/>
              </w:rPr>
              <w:t> </w:t>
            </w:r>
            <w:r>
              <w:rPr>
                <w:sz w:val="20"/>
              </w:rPr>
              <w:t>810</w:t>
            </w:r>
            <w:r w:rsidR="000245C4">
              <w:rPr>
                <w:sz w:val="20"/>
              </w:rPr>
              <w:t> </w:t>
            </w:r>
            <w:r>
              <w:rPr>
                <w:sz w:val="20"/>
              </w:rPr>
              <w:t>120</w:t>
            </w:r>
          </w:p>
        </w:tc>
        <w:tc>
          <w:tcPr>
            <w:tcW w:w="1269" w:type="dxa"/>
            <w:tcBorders>
              <w:top w:val="nil"/>
              <w:left w:val="nil"/>
              <w:bottom w:val="single" w:sz="4" w:space="0" w:color="auto"/>
              <w:right w:val="single" w:sz="4" w:space="0" w:color="auto"/>
            </w:tcBorders>
            <w:shd w:val="clear" w:color="auto" w:fill="auto"/>
            <w:noWrap/>
            <w:vAlign w:val="center"/>
            <w:hideMark/>
          </w:tcPr>
          <w:p w14:paraId="45B83D14"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80C14D6" w14:textId="77777777" w:rsidR="004A7081" w:rsidRPr="00463B87" w:rsidRDefault="004A7081" w:rsidP="00172925">
            <w:pPr>
              <w:jc w:val="right"/>
              <w:rPr>
                <w:sz w:val="20"/>
                <w:szCs w:val="20"/>
              </w:rPr>
            </w:pPr>
            <w:r>
              <w:rPr>
                <w:sz w:val="20"/>
              </w:rPr>
              <w:t>100</w:t>
            </w:r>
          </w:p>
        </w:tc>
      </w:tr>
      <w:tr w:rsidR="004A7081" w:rsidRPr="00463B87" w14:paraId="24BCB473"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EB88BBE" w14:textId="77777777" w:rsidR="004A7081" w:rsidRPr="00463B87" w:rsidRDefault="004A7081" w:rsidP="00172925">
            <w:pPr>
              <w:jc w:val="left"/>
              <w:rPr>
                <w:sz w:val="20"/>
                <w:szCs w:val="20"/>
              </w:rPr>
            </w:pPr>
            <w:r>
              <w:rPr>
                <w:sz w:val="20"/>
              </w:rPr>
              <w:t>2004</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8D5B0D1" w14:textId="77777777" w:rsidR="004A7081" w:rsidRPr="00463B87" w:rsidRDefault="004A7081" w:rsidP="00172925">
            <w:pPr>
              <w:jc w:val="right"/>
              <w:rPr>
                <w:sz w:val="20"/>
                <w:szCs w:val="20"/>
              </w:rPr>
            </w:pPr>
            <w:r>
              <w:rPr>
                <w:sz w:val="20"/>
              </w:rPr>
              <w:t>30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8ED35FE" w14:textId="77777777" w:rsidR="004A7081" w:rsidRPr="00463B87" w:rsidRDefault="004A7081" w:rsidP="00172925">
            <w:pPr>
              <w:jc w:val="right"/>
              <w:rPr>
                <w:sz w:val="20"/>
                <w:szCs w:val="20"/>
              </w:rPr>
            </w:pPr>
            <w:r>
              <w:rPr>
                <w:sz w:val="20"/>
              </w:rPr>
              <w:t>30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F3D129C"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44FFD37F" w14:textId="71980BF0" w:rsidR="004A7081" w:rsidRPr="00463B87" w:rsidRDefault="004A7081" w:rsidP="00172925">
            <w:pPr>
              <w:jc w:val="right"/>
              <w:rPr>
                <w:sz w:val="20"/>
                <w:szCs w:val="20"/>
              </w:rPr>
            </w:pPr>
            <w:r>
              <w:rPr>
                <w:sz w:val="20"/>
              </w:rPr>
              <w:t>15</w:t>
            </w:r>
            <w:r w:rsidR="000245C4">
              <w:rPr>
                <w:sz w:val="20"/>
              </w:rPr>
              <w:t> </w:t>
            </w:r>
            <w:r>
              <w:rPr>
                <w:sz w:val="20"/>
              </w:rPr>
              <w:t>005</w:t>
            </w:r>
            <w:r w:rsidR="000245C4">
              <w:rPr>
                <w:sz w:val="20"/>
              </w:rPr>
              <w:t> </w:t>
            </w:r>
            <w:r>
              <w:rPr>
                <w:sz w:val="20"/>
              </w:rPr>
              <w:t>412</w:t>
            </w:r>
          </w:p>
        </w:tc>
        <w:tc>
          <w:tcPr>
            <w:tcW w:w="1269" w:type="dxa"/>
            <w:tcBorders>
              <w:top w:val="nil"/>
              <w:left w:val="nil"/>
              <w:bottom w:val="single" w:sz="4" w:space="0" w:color="auto"/>
              <w:right w:val="single" w:sz="4" w:space="0" w:color="auto"/>
            </w:tcBorders>
            <w:shd w:val="clear" w:color="auto" w:fill="auto"/>
            <w:noWrap/>
            <w:vAlign w:val="center"/>
            <w:hideMark/>
          </w:tcPr>
          <w:p w14:paraId="25618D66" w14:textId="10E70729" w:rsidR="004A7081" w:rsidRPr="00463B87" w:rsidRDefault="004A7081" w:rsidP="00172925">
            <w:pPr>
              <w:jc w:val="right"/>
              <w:rPr>
                <w:sz w:val="20"/>
                <w:szCs w:val="20"/>
              </w:rPr>
            </w:pPr>
            <w:r>
              <w:rPr>
                <w:sz w:val="20"/>
              </w:rPr>
              <w:t>15</w:t>
            </w:r>
            <w:r w:rsidR="000245C4">
              <w:rPr>
                <w:sz w:val="20"/>
              </w:rPr>
              <w:t> </w:t>
            </w:r>
            <w:r>
              <w:rPr>
                <w:sz w:val="20"/>
              </w:rPr>
              <w:t>005</w:t>
            </w:r>
            <w:r w:rsidR="000245C4">
              <w:rPr>
                <w:sz w:val="20"/>
              </w:rPr>
              <w:t> </w:t>
            </w:r>
            <w:r>
              <w:rPr>
                <w:sz w:val="20"/>
              </w:rPr>
              <w:t>412</w:t>
            </w:r>
          </w:p>
        </w:tc>
        <w:tc>
          <w:tcPr>
            <w:tcW w:w="1269" w:type="dxa"/>
            <w:tcBorders>
              <w:top w:val="nil"/>
              <w:left w:val="nil"/>
              <w:bottom w:val="single" w:sz="4" w:space="0" w:color="auto"/>
              <w:right w:val="single" w:sz="4" w:space="0" w:color="auto"/>
            </w:tcBorders>
            <w:shd w:val="clear" w:color="auto" w:fill="auto"/>
            <w:noWrap/>
            <w:vAlign w:val="center"/>
            <w:hideMark/>
          </w:tcPr>
          <w:p w14:paraId="2A7A48DD"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04A12B7" w14:textId="77777777" w:rsidR="004A7081" w:rsidRPr="00463B87" w:rsidRDefault="004A7081" w:rsidP="00172925">
            <w:pPr>
              <w:jc w:val="right"/>
              <w:rPr>
                <w:sz w:val="20"/>
                <w:szCs w:val="20"/>
              </w:rPr>
            </w:pPr>
            <w:r>
              <w:rPr>
                <w:sz w:val="20"/>
              </w:rPr>
              <w:t>100</w:t>
            </w:r>
          </w:p>
        </w:tc>
      </w:tr>
      <w:tr w:rsidR="004A7081" w:rsidRPr="00463B87" w14:paraId="0CB65C05"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6635B91" w14:textId="77777777" w:rsidR="004A7081" w:rsidRPr="00463B87" w:rsidRDefault="004A7081" w:rsidP="00172925">
            <w:pPr>
              <w:jc w:val="left"/>
              <w:rPr>
                <w:sz w:val="20"/>
                <w:szCs w:val="20"/>
              </w:rPr>
            </w:pPr>
            <w:r>
              <w:rPr>
                <w:sz w:val="20"/>
              </w:rPr>
              <w:t>2005</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CBCC7EE" w14:textId="77777777" w:rsidR="004A7081" w:rsidRPr="00463B87" w:rsidRDefault="004A7081" w:rsidP="00172925">
            <w:pPr>
              <w:jc w:val="right"/>
              <w:rPr>
                <w:sz w:val="20"/>
                <w:szCs w:val="20"/>
              </w:rPr>
            </w:pPr>
            <w:r>
              <w:rPr>
                <w:sz w:val="20"/>
              </w:rPr>
              <w:t>28</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14ED1D9" w14:textId="77777777" w:rsidR="004A7081" w:rsidRPr="00463B87" w:rsidRDefault="004A7081" w:rsidP="00172925">
            <w:pPr>
              <w:jc w:val="right"/>
              <w:rPr>
                <w:sz w:val="20"/>
                <w:szCs w:val="20"/>
              </w:rPr>
            </w:pPr>
            <w:r>
              <w:rPr>
                <w:sz w:val="20"/>
              </w:rPr>
              <w:t>28</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7D54A3F"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2C8E399D" w14:textId="0511B3E8" w:rsidR="004A7081" w:rsidRPr="00463B87" w:rsidRDefault="004A7081" w:rsidP="00172925">
            <w:pPr>
              <w:jc w:val="right"/>
              <w:rPr>
                <w:sz w:val="20"/>
                <w:szCs w:val="20"/>
              </w:rPr>
            </w:pPr>
            <w:r>
              <w:rPr>
                <w:sz w:val="20"/>
              </w:rPr>
              <w:t>18</w:t>
            </w:r>
            <w:r w:rsidR="000245C4">
              <w:rPr>
                <w:sz w:val="20"/>
              </w:rPr>
              <w:t> </w:t>
            </w:r>
            <w:r>
              <w:rPr>
                <w:sz w:val="20"/>
              </w:rPr>
              <w:t>183</w:t>
            </w:r>
            <w:r w:rsidR="000245C4">
              <w:rPr>
                <w:sz w:val="20"/>
              </w:rPr>
              <w:t> </w:t>
            </w:r>
            <w:r>
              <w:rPr>
                <w:sz w:val="20"/>
              </w:rPr>
              <w:t>034</w:t>
            </w:r>
          </w:p>
        </w:tc>
        <w:tc>
          <w:tcPr>
            <w:tcW w:w="1269" w:type="dxa"/>
            <w:tcBorders>
              <w:top w:val="nil"/>
              <w:left w:val="nil"/>
              <w:bottom w:val="single" w:sz="4" w:space="0" w:color="auto"/>
              <w:right w:val="single" w:sz="4" w:space="0" w:color="auto"/>
            </w:tcBorders>
            <w:shd w:val="clear" w:color="auto" w:fill="auto"/>
            <w:noWrap/>
            <w:vAlign w:val="center"/>
            <w:hideMark/>
          </w:tcPr>
          <w:p w14:paraId="674516FF" w14:textId="6448B534" w:rsidR="004A7081" w:rsidRPr="00463B87" w:rsidRDefault="004A7081" w:rsidP="00172925">
            <w:pPr>
              <w:jc w:val="right"/>
              <w:rPr>
                <w:sz w:val="20"/>
                <w:szCs w:val="20"/>
              </w:rPr>
            </w:pPr>
            <w:r>
              <w:rPr>
                <w:sz w:val="20"/>
              </w:rPr>
              <w:t>18</w:t>
            </w:r>
            <w:r w:rsidR="000245C4">
              <w:rPr>
                <w:sz w:val="20"/>
              </w:rPr>
              <w:t> </w:t>
            </w:r>
            <w:r>
              <w:rPr>
                <w:sz w:val="20"/>
              </w:rPr>
              <w:t>183</w:t>
            </w:r>
            <w:r w:rsidR="000245C4">
              <w:rPr>
                <w:sz w:val="20"/>
              </w:rPr>
              <w:t> </w:t>
            </w:r>
            <w:r>
              <w:rPr>
                <w:sz w:val="20"/>
              </w:rPr>
              <w:t>034</w:t>
            </w:r>
          </w:p>
        </w:tc>
        <w:tc>
          <w:tcPr>
            <w:tcW w:w="1269" w:type="dxa"/>
            <w:tcBorders>
              <w:top w:val="nil"/>
              <w:left w:val="nil"/>
              <w:bottom w:val="single" w:sz="4" w:space="0" w:color="auto"/>
              <w:right w:val="single" w:sz="4" w:space="0" w:color="auto"/>
            </w:tcBorders>
            <w:shd w:val="clear" w:color="auto" w:fill="auto"/>
            <w:noWrap/>
            <w:vAlign w:val="center"/>
            <w:hideMark/>
          </w:tcPr>
          <w:p w14:paraId="6090221B"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4794E1D" w14:textId="77777777" w:rsidR="004A7081" w:rsidRPr="00463B87" w:rsidRDefault="004A7081" w:rsidP="00172925">
            <w:pPr>
              <w:jc w:val="right"/>
              <w:rPr>
                <w:sz w:val="20"/>
                <w:szCs w:val="20"/>
              </w:rPr>
            </w:pPr>
            <w:r>
              <w:rPr>
                <w:sz w:val="20"/>
              </w:rPr>
              <w:t>100</w:t>
            </w:r>
          </w:p>
        </w:tc>
      </w:tr>
      <w:tr w:rsidR="004A7081" w:rsidRPr="00463B87" w14:paraId="62B2C958"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AF4E91B" w14:textId="77777777" w:rsidR="004A7081" w:rsidRPr="00463B87" w:rsidRDefault="004A7081" w:rsidP="00172925">
            <w:pPr>
              <w:jc w:val="left"/>
              <w:rPr>
                <w:sz w:val="20"/>
                <w:szCs w:val="20"/>
              </w:rPr>
            </w:pPr>
            <w:r>
              <w:rPr>
                <w:sz w:val="20"/>
              </w:rPr>
              <w:t>2006</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09FA0FA" w14:textId="77777777" w:rsidR="004A7081" w:rsidRPr="00463B87" w:rsidRDefault="004A7081" w:rsidP="00172925">
            <w:pPr>
              <w:jc w:val="right"/>
              <w:rPr>
                <w:sz w:val="20"/>
                <w:szCs w:val="20"/>
              </w:rPr>
            </w:pPr>
            <w:r>
              <w:rPr>
                <w:sz w:val="20"/>
              </w:rPr>
              <w:t>25</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6EF6D6F" w14:textId="77777777" w:rsidR="004A7081" w:rsidRPr="00463B87" w:rsidRDefault="004A7081" w:rsidP="00172925">
            <w:pPr>
              <w:jc w:val="right"/>
              <w:rPr>
                <w:sz w:val="20"/>
                <w:szCs w:val="20"/>
              </w:rPr>
            </w:pPr>
            <w:r>
              <w:rPr>
                <w:sz w:val="20"/>
              </w:rPr>
              <w:t>25</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A463AA0"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5343FD57" w14:textId="6D52C1CD" w:rsidR="004A7081" w:rsidRPr="00463B87" w:rsidRDefault="004A7081" w:rsidP="00172925">
            <w:pPr>
              <w:jc w:val="right"/>
              <w:rPr>
                <w:sz w:val="20"/>
                <w:szCs w:val="20"/>
              </w:rPr>
            </w:pPr>
            <w:r>
              <w:rPr>
                <w:sz w:val="20"/>
              </w:rPr>
              <w:t>7</w:t>
            </w:r>
            <w:r w:rsidR="000245C4">
              <w:rPr>
                <w:sz w:val="20"/>
              </w:rPr>
              <w:t> </w:t>
            </w:r>
            <w:r>
              <w:rPr>
                <w:sz w:val="20"/>
              </w:rPr>
              <w:t>128</w:t>
            </w:r>
            <w:r w:rsidR="000245C4">
              <w:rPr>
                <w:sz w:val="20"/>
              </w:rPr>
              <w:t> </w:t>
            </w:r>
            <w:r>
              <w:rPr>
                <w:sz w:val="20"/>
              </w:rPr>
              <w:t>808</w:t>
            </w:r>
          </w:p>
        </w:tc>
        <w:tc>
          <w:tcPr>
            <w:tcW w:w="1269" w:type="dxa"/>
            <w:tcBorders>
              <w:top w:val="nil"/>
              <w:left w:val="nil"/>
              <w:bottom w:val="single" w:sz="4" w:space="0" w:color="auto"/>
              <w:right w:val="single" w:sz="4" w:space="0" w:color="auto"/>
            </w:tcBorders>
            <w:shd w:val="clear" w:color="auto" w:fill="auto"/>
            <w:noWrap/>
            <w:vAlign w:val="center"/>
            <w:hideMark/>
          </w:tcPr>
          <w:p w14:paraId="725ADE0D" w14:textId="1C8D9D73" w:rsidR="004A7081" w:rsidRPr="00463B87" w:rsidRDefault="004A7081" w:rsidP="00172925">
            <w:pPr>
              <w:jc w:val="right"/>
              <w:rPr>
                <w:sz w:val="20"/>
                <w:szCs w:val="20"/>
              </w:rPr>
            </w:pPr>
            <w:r>
              <w:rPr>
                <w:sz w:val="20"/>
              </w:rPr>
              <w:t>7</w:t>
            </w:r>
            <w:r w:rsidR="000245C4">
              <w:rPr>
                <w:sz w:val="20"/>
              </w:rPr>
              <w:t> </w:t>
            </w:r>
            <w:r>
              <w:rPr>
                <w:sz w:val="20"/>
              </w:rPr>
              <w:t>128</w:t>
            </w:r>
            <w:r w:rsidR="000245C4">
              <w:rPr>
                <w:sz w:val="20"/>
              </w:rPr>
              <w:t> </w:t>
            </w:r>
            <w:r>
              <w:rPr>
                <w:sz w:val="20"/>
              </w:rPr>
              <w:t>808</w:t>
            </w:r>
          </w:p>
        </w:tc>
        <w:tc>
          <w:tcPr>
            <w:tcW w:w="1269" w:type="dxa"/>
            <w:tcBorders>
              <w:top w:val="nil"/>
              <w:left w:val="nil"/>
              <w:bottom w:val="single" w:sz="4" w:space="0" w:color="auto"/>
              <w:right w:val="single" w:sz="4" w:space="0" w:color="auto"/>
            </w:tcBorders>
            <w:shd w:val="clear" w:color="auto" w:fill="auto"/>
            <w:noWrap/>
            <w:vAlign w:val="center"/>
            <w:hideMark/>
          </w:tcPr>
          <w:p w14:paraId="230584B2"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5C070C4" w14:textId="77777777" w:rsidR="004A7081" w:rsidRPr="00463B87" w:rsidRDefault="004A7081" w:rsidP="00172925">
            <w:pPr>
              <w:jc w:val="right"/>
              <w:rPr>
                <w:sz w:val="20"/>
                <w:szCs w:val="20"/>
              </w:rPr>
            </w:pPr>
            <w:r>
              <w:rPr>
                <w:sz w:val="20"/>
              </w:rPr>
              <w:t>100</w:t>
            </w:r>
          </w:p>
        </w:tc>
      </w:tr>
      <w:tr w:rsidR="004A7081" w:rsidRPr="00463B87" w14:paraId="11D89A8A"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FE3335F" w14:textId="77777777" w:rsidR="004A7081" w:rsidRPr="00463B87" w:rsidRDefault="004A7081" w:rsidP="00172925">
            <w:pPr>
              <w:jc w:val="left"/>
              <w:rPr>
                <w:sz w:val="20"/>
                <w:szCs w:val="20"/>
              </w:rPr>
            </w:pPr>
            <w:r>
              <w:rPr>
                <w:sz w:val="20"/>
              </w:rPr>
              <w:t>2007</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A36ADC2" w14:textId="77777777" w:rsidR="004A7081" w:rsidRPr="00463B87" w:rsidRDefault="004A7081" w:rsidP="00172925">
            <w:pPr>
              <w:jc w:val="right"/>
              <w:rPr>
                <w:sz w:val="20"/>
                <w:szCs w:val="20"/>
              </w:rPr>
            </w:pPr>
            <w:r>
              <w:rPr>
                <w:sz w:val="20"/>
              </w:rPr>
              <w:t>13</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EB4DB32" w14:textId="77777777" w:rsidR="004A7081" w:rsidRPr="00463B87" w:rsidRDefault="004A7081" w:rsidP="00172925">
            <w:pPr>
              <w:jc w:val="right"/>
              <w:rPr>
                <w:sz w:val="20"/>
                <w:szCs w:val="20"/>
              </w:rPr>
            </w:pPr>
            <w:r>
              <w:rPr>
                <w:sz w:val="20"/>
              </w:rPr>
              <w:t>13</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B49E055"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0C300E8C" w14:textId="65BF6C89" w:rsidR="004A7081" w:rsidRPr="00463B87" w:rsidRDefault="004A7081" w:rsidP="00172925">
            <w:pPr>
              <w:jc w:val="right"/>
              <w:rPr>
                <w:sz w:val="20"/>
                <w:szCs w:val="20"/>
              </w:rPr>
            </w:pPr>
            <w:r>
              <w:rPr>
                <w:sz w:val="20"/>
              </w:rPr>
              <w:t>3</w:t>
            </w:r>
            <w:r w:rsidR="000245C4">
              <w:rPr>
                <w:sz w:val="20"/>
              </w:rPr>
              <w:t> </w:t>
            </w:r>
            <w:r>
              <w:rPr>
                <w:sz w:val="20"/>
              </w:rPr>
              <w:t>138</w:t>
            </w:r>
            <w:r w:rsidR="000245C4">
              <w:rPr>
                <w:sz w:val="20"/>
              </w:rPr>
              <w:t> </w:t>
            </w:r>
            <w:r>
              <w:rPr>
                <w:sz w:val="20"/>
              </w:rPr>
              <w:t>440</w:t>
            </w:r>
          </w:p>
        </w:tc>
        <w:tc>
          <w:tcPr>
            <w:tcW w:w="1269" w:type="dxa"/>
            <w:tcBorders>
              <w:top w:val="nil"/>
              <w:left w:val="nil"/>
              <w:bottom w:val="single" w:sz="4" w:space="0" w:color="auto"/>
              <w:right w:val="single" w:sz="4" w:space="0" w:color="auto"/>
            </w:tcBorders>
            <w:shd w:val="clear" w:color="auto" w:fill="auto"/>
            <w:noWrap/>
            <w:vAlign w:val="center"/>
            <w:hideMark/>
          </w:tcPr>
          <w:p w14:paraId="2AAAD977" w14:textId="4F033B88" w:rsidR="004A7081" w:rsidRPr="00463B87" w:rsidRDefault="004A7081" w:rsidP="00172925">
            <w:pPr>
              <w:jc w:val="right"/>
              <w:rPr>
                <w:sz w:val="20"/>
                <w:szCs w:val="20"/>
              </w:rPr>
            </w:pPr>
            <w:r>
              <w:rPr>
                <w:sz w:val="20"/>
              </w:rPr>
              <w:t>3</w:t>
            </w:r>
            <w:r w:rsidR="000245C4">
              <w:rPr>
                <w:sz w:val="20"/>
              </w:rPr>
              <w:t> </w:t>
            </w:r>
            <w:r>
              <w:rPr>
                <w:sz w:val="20"/>
              </w:rPr>
              <w:t>138</w:t>
            </w:r>
            <w:r w:rsidR="000245C4">
              <w:rPr>
                <w:sz w:val="20"/>
              </w:rPr>
              <w:t> </w:t>
            </w:r>
            <w:r>
              <w:rPr>
                <w:sz w:val="20"/>
              </w:rPr>
              <w:t>440</w:t>
            </w:r>
          </w:p>
        </w:tc>
        <w:tc>
          <w:tcPr>
            <w:tcW w:w="1269" w:type="dxa"/>
            <w:tcBorders>
              <w:top w:val="nil"/>
              <w:left w:val="nil"/>
              <w:bottom w:val="single" w:sz="4" w:space="0" w:color="auto"/>
              <w:right w:val="single" w:sz="4" w:space="0" w:color="auto"/>
            </w:tcBorders>
            <w:shd w:val="clear" w:color="auto" w:fill="auto"/>
            <w:noWrap/>
            <w:vAlign w:val="center"/>
            <w:hideMark/>
          </w:tcPr>
          <w:p w14:paraId="77658471"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C96D791" w14:textId="77777777" w:rsidR="004A7081" w:rsidRPr="00463B87" w:rsidRDefault="004A7081" w:rsidP="00172925">
            <w:pPr>
              <w:jc w:val="right"/>
              <w:rPr>
                <w:sz w:val="20"/>
                <w:szCs w:val="20"/>
              </w:rPr>
            </w:pPr>
            <w:r>
              <w:rPr>
                <w:sz w:val="20"/>
              </w:rPr>
              <w:t>100</w:t>
            </w:r>
          </w:p>
        </w:tc>
      </w:tr>
      <w:tr w:rsidR="004A7081" w:rsidRPr="00463B87" w14:paraId="6666C316"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DAD50D6" w14:textId="77777777" w:rsidR="004A7081" w:rsidRPr="00463B87" w:rsidRDefault="004A7081" w:rsidP="00172925">
            <w:pPr>
              <w:jc w:val="left"/>
              <w:rPr>
                <w:sz w:val="20"/>
                <w:szCs w:val="20"/>
              </w:rPr>
            </w:pPr>
            <w:r>
              <w:rPr>
                <w:sz w:val="20"/>
              </w:rPr>
              <w:t>2008</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D02FE21" w14:textId="77777777" w:rsidR="004A7081" w:rsidRPr="00463B87" w:rsidRDefault="004A7081" w:rsidP="00172925">
            <w:pPr>
              <w:jc w:val="right"/>
              <w:rPr>
                <w:sz w:val="20"/>
                <w:szCs w:val="20"/>
              </w:rPr>
            </w:pPr>
            <w:r>
              <w:rPr>
                <w:sz w:val="20"/>
              </w:rPr>
              <w:t>33</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6DC1068" w14:textId="77777777" w:rsidR="004A7081" w:rsidRPr="00463B87" w:rsidRDefault="004A7081" w:rsidP="00172925">
            <w:pPr>
              <w:jc w:val="right"/>
              <w:rPr>
                <w:sz w:val="20"/>
                <w:szCs w:val="20"/>
              </w:rPr>
            </w:pPr>
            <w:r>
              <w:rPr>
                <w:sz w:val="20"/>
              </w:rPr>
              <w:t>33</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36E2625"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23BA3468" w14:textId="757E68E4" w:rsidR="004A7081" w:rsidRPr="00463B87" w:rsidRDefault="004A7081" w:rsidP="00172925">
            <w:pPr>
              <w:jc w:val="right"/>
              <w:rPr>
                <w:sz w:val="20"/>
                <w:szCs w:val="20"/>
              </w:rPr>
            </w:pPr>
            <w:r>
              <w:rPr>
                <w:sz w:val="20"/>
              </w:rPr>
              <w:t>7</w:t>
            </w:r>
            <w:r w:rsidR="000245C4">
              <w:rPr>
                <w:sz w:val="20"/>
              </w:rPr>
              <w:t> </w:t>
            </w:r>
            <w:r>
              <w:rPr>
                <w:sz w:val="20"/>
              </w:rPr>
              <w:t>531</w:t>
            </w:r>
            <w:r w:rsidR="000245C4">
              <w:rPr>
                <w:sz w:val="20"/>
              </w:rPr>
              <w:t> </w:t>
            </w:r>
            <w:r>
              <w:rPr>
                <w:sz w:val="20"/>
              </w:rPr>
              <w:t>037</w:t>
            </w:r>
          </w:p>
        </w:tc>
        <w:tc>
          <w:tcPr>
            <w:tcW w:w="1269" w:type="dxa"/>
            <w:tcBorders>
              <w:top w:val="nil"/>
              <w:left w:val="nil"/>
              <w:bottom w:val="single" w:sz="4" w:space="0" w:color="auto"/>
              <w:right w:val="single" w:sz="4" w:space="0" w:color="auto"/>
            </w:tcBorders>
            <w:shd w:val="clear" w:color="auto" w:fill="auto"/>
            <w:noWrap/>
            <w:vAlign w:val="center"/>
            <w:hideMark/>
          </w:tcPr>
          <w:p w14:paraId="397940E4" w14:textId="29D27A8C" w:rsidR="004A7081" w:rsidRPr="00463B87" w:rsidRDefault="004A7081" w:rsidP="00172925">
            <w:pPr>
              <w:jc w:val="right"/>
              <w:rPr>
                <w:sz w:val="20"/>
                <w:szCs w:val="20"/>
              </w:rPr>
            </w:pPr>
            <w:r>
              <w:rPr>
                <w:sz w:val="20"/>
              </w:rPr>
              <w:t>7</w:t>
            </w:r>
            <w:r w:rsidR="000245C4">
              <w:rPr>
                <w:sz w:val="20"/>
              </w:rPr>
              <w:t> </w:t>
            </w:r>
            <w:r>
              <w:rPr>
                <w:sz w:val="20"/>
              </w:rPr>
              <w:t>531</w:t>
            </w:r>
            <w:r w:rsidR="000245C4">
              <w:rPr>
                <w:sz w:val="20"/>
              </w:rPr>
              <w:t> </w:t>
            </w:r>
            <w:r>
              <w:rPr>
                <w:sz w:val="20"/>
              </w:rPr>
              <w:t>037</w:t>
            </w:r>
          </w:p>
        </w:tc>
        <w:tc>
          <w:tcPr>
            <w:tcW w:w="1269" w:type="dxa"/>
            <w:tcBorders>
              <w:top w:val="nil"/>
              <w:left w:val="nil"/>
              <w:bottom w:val="single" w:sz="4" w:space="0" w:color="auto"/>
              <w:right w:val="single" w:sz="4" w:space="0" w:color="auto"/>
            </w:tcBorders>
            <w:shd w:val="clear" w:color="auto" w:fill="auto"/>
            <w:noWrap/>
            <w:vAlign w:val="center"/>
            <w:hideMark/>
          </w:tcPr>
          <w:p w14:paraId="7BBB2CC3" w14:textId="77777777" w:rsidR="004A7081" w:rsidRPr="00463B87" w:rsidRDefault="004A7081" w:rsidP="00172925">
            <w:pPr>
              <w:jc w:val="right"/>
              <w:rPr>
                <w:sz w:val="20"/>
                <w:szCs w:val="20"/>
              </w:rPr>
            </w:pPr>
            <w:r>
              <w:rPr>
                <w:sz w:val="20"/>
              </w:rPr>
              <w:t>-1</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6B12F0C" w14:textId="77777777" w:rsidR="004A7081" w:rsidRPr="00463B87" w:rsidRDefault="004A7081" w:rsidP="00172925">
            <w:pPr>
              <w:jc w:val="right"/>
              <w:rPr>
                <w:sz w:val="20"/>
                <w:szCs w:val="20"/>
              </w:rPr>
            </w:pPr>
            <w:r>
              <w:rPr>
                <w:sz w:val="20"/>
              </w:rPr>
              <w:t>100</w:t>
            </w:r>
          </w:p>
        </w:tc>
      </w:tr>
      <w:tr w:rsidR="004A7081" w:rsidRPr="00463B87" w14:paraId="481BA28D"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F571A22" w14:textId="77777777" w:rsidR="004A7081" w:rsidRPr="00463B87" w:rsidRDefault="004A7081" w:rsidP="00172925">
            <w:pPr>
              <w:jc w:val="left"/>
              <w:rPr>
                <w:sz w:val="20"/>
                <w:szCs w:val="20"/>
              </w:rPr>
            </w:pPr>
            <w:r>
              <w:rPr>
                <w:sz w:val="20"/>
              </w:rPr>
              <w:t>2009</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B92367D" w14:textId="77777777" w:rsidR="004A7081" w:rsidRPr="00463B87" w:rsidRDefault="004A7081" w:rsidP="00172925">
            <w:pPr>
              <w:jc w:val="right"/>
              <w:rPr>
                <w:sz w:val="20"/>
                <w:szCs w:val="20"/>
              </w:rPr>
            </w:pPr>
            <w:r>
              <w:rPr>
                <w:sz w:val="20"/>
              </w:rPr>
              <w:t>21</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3410C5C" w14:textId="77777777" w:rsidR="004A7081" w:rsidRPr="00463B87" w:rsidRDefault="004A7081" w:rsidP="00172925">
            <w:pPr>
              <w:jc w:val="right"/>
              <w:rPr>
                <w:sz w:val="20"/>
                <w:szCs w:val="20"/>
              </w:rPr>
            </w:pPr>
            <w:r>
              <w:rPr>
                <w:sz w:val="20"/>
              </w:rPr>
              <w:t>21</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184130C"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42DB5CDF" w14:textId="490748E9" w:rsidR="004A7081" w:rsidRPr="00463B87" w:rsidRDefault="004A7081" w:rsidP="00172925">
            <w:pPr>
              <w:jc w:val="right"/>
              <w:rPr>
                <w:sz w:val="20"/>
                <w:szCs w:val="20"/>
              </w:rPr>
            </w:pPr>
            <w:r>
              <w:rPr>
                <w:sz w:val="20"/>
              </w:rPr>
              <w:t>2</w:t>
            </w:r>
            <w:r w:rsidR="000245C4">
              <w:rPr>
                <w:sz w:val="20"/>
              </w:rPr>
              <w:t> </w:t>
            </w:r>
            <w:r>
              <w:rPr>
                <w:sz w:val="20"/>
              </w:rPr>
              <w:t>347</w:t>
            </w:r>
            <w:r w:rsidR="000245C4">
              <w:rPr>
                <w:sz w:val="20"/>
              </w:rPr>
              <w:t> </w:t>
            </w:r>
            <w:r>
              <w:rPr>
                <w:sz w:val="20"/>
              </w:rPr>
              <w:t>228</w:t>
            </w:r>
          </w:p>
        </w:tc>
        <w:tc>
          <w:tcPr>
            <w:tcW w:w="1269" w:type="dxa"/>
            <w:tcBorders>
              <w:top w:val="nil"/>
              <w:left w:val="nil"/>
              <w:bottom w:val="single" w:sz="4" w:space="0" w:color="auto"/>
              <w:right w:val="single" w:sz="4" w:space="0" w:color="auto"/>
            </w:tcBorders>
            <w:shd w:val="clear" w:color="auto" w:fill="auto"/>
            <w:noWrap/>
            <w:vAlign w:val="center"/>
            <w:hideMark/>
          </w:tcPr>
          <w:p w14:paraId="7486A29D" w14:textId="15A5B2C8" w:rsidR="004A7081" w:rsidRPr="00463B87" w:rsidRDefault="004A7081" w:rsidP="00172925">
            <w:pPr>
              <w:jc w:val="right"/>
              <w:rPr>
                <w:sz w:val="20"/>
                <w:szCs w:val="20"/>
              </w:rPr>
            </w:pPr>
            <w:r>
              <w:rPr>
                <w:sz w:val="20"/>
              </w:rPr>
              <w:t>2</w:t>
            </w:r>
            <w:r w:rsidR="000245C4">
              <w:rPr>
                <w:sz w:val="20"/>
              </w:rPr>
              <w:t> </w:t>
            </w:r>
            <w:r>
              <w:rPr>
                <w:sz w:val="20"/>
              </w:rPr>
              <w:t>347</w:t>
            </w:r>
            <w:r w:rsidR="000245C4">
              <w:rPr>
                <w:sz w:val="20"/>
              </w:rPr>
              <w:t> </w:t>
            </w:r>
            <w:r>
              <w:rPr>
                <w:sz w:val="20"/>
              </w:rPr>
              <w:t>228</w:t>
            </w:r>
          </w:p>
        </w:tc>
        <w:tc>
          <w:tcPr>
            <w:tcW w:w="1269" w:type="dxa"/>
            <w:tcBorders>
              <w:top w:val="nil"/>
              <w:left w:val="nil"/>
              <w:bottom w:val="single" w:sz="4" w:space="0" w:color="auto"/>
              <w:right w:val="single" w:sz="4" w:space="0" w:color="auto"/>
            </w:tcBorders>
            <w:shd w:val="clear" w:color="auto" w:fill="auto"/>
            <w:noWrap/>
            <w:vAlign w:val="center"/>
            <w:hideMark/>
          </w:tcPr>
          <w:p w14:paraId="6C1950E7"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2418F1A" w14:textId="77777777" w:rsidR="004A7081" w:rsidRPr="00463B87" w:rsidRDefault="004A7081" w:rsidP="00172925">
            <w:pPr>
              <w:jc w:val="right"/>
              <w:rPr>
                <w:sz w:val="20"/>
                <w:szCs w:val="20"/>
              </w:rPr>
            </w:pPr>
            <w:r>
              <w:rPr>
                <w:sz w:val="20"/>
              </w:rPr>
              <w:t>100</w:t>
            </w:r>
          </w:p>
        </w:tc>
      </w:tr>
      <w:tr w:rsidR="004A7081" w:rsidRPr="00463B87" w14:paraId="0C14FE7D"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737C759" w14:textId="77777777" w:rsidR="004A7081" w:rsidRPr="00463B87" w:rsidRDefault="004A7081" w:rsidP="00172925">
            <w:pPr>
              <w:jc w:val="left"/>
              <w:rPr>
                <w:sz w:val="20"/>
                <w:szCs w:val="20"/>
              </w:rPr>
            </w:pPr>
            <w:r>
              <w:rPr>
                <w:sz w:val="20"/>
              </w:rPr>
              <w:t>2010</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1E79026" w14:textId="77777777" w:rsidR="004A7081" w:rsidRPr="00463B87" w:rsidRDefault="004A7081" w:rsidP="00172925">
            <w:pPr>
              <w:jc w:val="right"/>
              <w:rPr>
                <w:sz w:val="20"/>
                <w:szCs w:val="20"/>
              </w:rPr>
            </w:pPr>
            <w:r>
              <w:rPr>
                <w:sz w:val="20"/>
              </w:rPr>
              <w:t>20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B91F473" w14:textId="77777777" w:rsidR="004A7081" w:rsidRPr="00463B87" w:rsidRDefault="004A7081" w:rsidP="00172925">
            <w:pPr>
              <w:jc w:val="right"/>
              <w:rPr>
                <w:sz w:val="20"/>
                <w:szCs w:val="20"/>
              </w:rPr>
            </w:pPr>
            <w:r>
              <w:rPr>
                <w:sz w:val="20"/>
              </w:rPr>
              <w:t>20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95B8FCE"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48A8BC3C" w14:textId="15591B61" w:rsidR="004A7081" w:rsidRPr="00463B87" w:rsidRDefault="004A7081" w:rsidP="00172925">
            <w:pPr>
              <w:jc w:val="right"/>
              <w:rPr>
                <w:sz w:val="20"/>
                <w:szCs w:val="20"/>
              </w:rPr>
            </w:pPr>
            <w:r>
              <w:rPr>
                <w:sz w:val="20"/>
              </w:rPr>
              <w:t>3</w:t>
            </w:r>
            <w:r w:rsidR="000245C4">
              <w:rPr>
                <w:sz w:val="20"/>
              </w:rPr>
              <w:t> </w:t>
            </w:r>
            <w:r>
              <w:rPr>
                <w:sz w:val="20"/>
              </w:rPr>
              <w:t>278</w:t>
            </w:r>
            <w:r w:rsidR="000245C4">
              <w:rPr>
                <w:sz w:val="20"/>
              </w:rPr>
              <w:t> </w:t>
            </w:r>
            <w:r>
              <w:rPr>
                <w:sz w:val="20"/>
              </w:rPr>
              <w:t>515</w:t>
            </w:r>
          </w:p>
        </w:tc>
        <w:tc>
          <w:tcPr>
            <w:tcW w:w="1269" w:type="dxa"/>
            <w:tcBorders>
              <w:top w:val="nil"/>
              <w:left w:val="nil"/>
              <w:bottom w:val="single" w:sz="4" w:space="0" w:color="auto"/>
              <w:right w:val="single" w:sz="4" w:space="0" w:color="auto"/>
            </w:tcBorders>
            <w:shd w:val="clear" w:color="auto" w:fill="auto"/>
            <w:noWrap/>
            <w:vAlign w:val="center"/>
            <w:hideMark/>
          </w:tcPr>
          <w:p w14:paraId="0C4A20F1" w14:textId="24E73170" w:rsidR="004A7081" w:rsidRPr="00463B87" w:rsidRDefault="004A7081" w:rsidP="00172925">
            <w:pPr>
              <w:jc w:val="right"/>
              <w:rPr>
                <w:sz w:val="20"/>
                <w:szCs w:val="20"/>
              </w:rPr>
            </w:pPr>
            <w:r>
              <w:rPr>
                <w:sz w:val="20"/>
              </w:rPr>
              <w:t>3</w:t>
            </w:r>
            <w:r w:rsidR="000245C4">
              <w:rPr>
                <w:sz w:val="20"/>
              </w:rPr>
              <w:t> </w:t>
            </w:r>
            <w:r>
              <w:rPr>
                <w:sz w:val="20"/>
              </w:rPr>
              <w:t>278</w:t>
            </w:r>
            <w:r w:rsidR="000245C4">
              <w:rPr>
                <w:sz w:val="20"/>
              </w:rPr>
              <w:t> </w:t>
            </w:r>
            <w:r>
              <w:rPr>
                <w:sz w:val="20"/>
              </w:rPr>
              <w:t>389</w:t>
            </w:r>
          </w:p>
        </w:tc>
        <w:tc>
          <w:tcPr>
            <w:tcW w:w="1269" w:type="dxa"/>
            <w:tcBorders>
              <w:top w:val="nil"/>
              <w:left w:val="nil"/>
              <w:bottom w:val="single" w:sz="4" w:space="0" w:color="auto"/>
              <w:right w:val="single" w:sz="4" w:space="0" w:color="auto"/>
            </w:tcBorders>
            <w:shd w:val="clear" w:color="auto" w:fill="auto"/>
            <w:noWrap/>
            <w:vAlign w:val="center"/>
            <w:hideMark/>
          </w:tcPr>
          <w:p w14:paraId="12DE7A8C" w14:textId="77777777" w:rsidR="004A7081" w:rsidRPr="00463B87" w:rsidRDefault="004A7081" w:rsidP="00172925">
            <w:pPr>
              <w:jc w:val="right"/>
              <w:rPr>
                <w:sz w:val="20"/>
                <w:szCs w:val="20"/>
              </w:rPr>
            </w:pPr>
            <w:r>
              <w:rPr>
                <w:sz w:val="20"/>
              </w:rPr>
              <w:t>125</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C0FFAC9" w14:textId="77777777" w:rsidR="004A7081" w:rsidRPr="00463B87" w:rsidRDefault="004A7081" w:rsidP="00172925">
            <w:pPr>
              <w:jc w:val="right"/>
              <w:rPr>
                <w:sz w:val="20"/>
                <w:szCs w:val="20"/>
              </w:rPr>
            </w:pPr>
            <w:r>
              <w:rPr>
                <w:sz w:val="20"/>
              </w:rPr>
              <w:t>100</w:t>
            </w:r>
          </w:p>
        </w:tc>
      </w:tr>
      <w:tr w:rsidR="004A7081" w:rsidRPr="00463B87" w14:paraId="47BD55A8"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C73B27E" w14:textId="77777777" w:rsidR="004A7081" w:rsidRPr="00463B87" w:rsidRDefault="004A7081" w:rsidP="00172925">
            <w:pPr>
              <w:jc w:val="left"/>
              <w:rPr>
                <w:sz w:val="20"/>
                <w:szCs w:val="20"/>
              </w:rPr>
            </w:pPr>
            <w:r>
              <w:rPr>
                <w:sz w:val="20"/>
              </w:rPr>
              <w:t>2011</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D933E47" w14:textId="77777777" w:rsidR="004A7081" w:rsidRPr="00463B87" w:rsidRDefault="004A7081" w:rsidP="00172925">
            <w:pPr>
              <w:jc w:val="right"/>
              <w:rPr>
                <w:sz w:val="20"/>
                <w:szCs w:val="20"/>
              </w:rPr>
            </w:pPr>
            <w:r>
              <w:rPr>
                <w:sz w:val="20"/>
              </w:rPr>
              <w:t>20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4C8ED9B" w14:textId="77777777" w:rsidR="004A7081" w:rsidRPr="00463B87" w:rsidRDefault="004A7081" w:rsidP="00172925">
            <w:pPr>
              <w:jc w:val="right"/>
              <w:rPr>
                <w:sz w:val="20"/>
                <w:szCs w:val="20"/>
              </w:rPr>
            </w:pPr>
            <w:r>
              <w:rPr>
                <w:sz w:val="20"/>
              </w:rPr>
              <w:t>19</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B50158C" w14:textId="77777777" w:rsidR="004A7081" w:rsidRPr="00463B87" w:rsidRDefault="004A7081" w:rsidP="00172925">
            <w:pPr>
              <w:jc w:val="right"/>
              <w:rPr>
                <w:sz w:val="20"/>
                <w:szCs w:val="20"/>
              </w:rPr>
            </w:pPr>
            <w:r>
              <w:rPr>
                <w:sz w:val="20"/>
              </w:rPr>
              <w:t>95</w:t>
            </w:r>
          </w:p>
        </w:tc>
        <w:tc>
          <w:tcPr>
            <w:tcW w:w="1268" w:type="dxa"/>
            <w:tcBorders>
              <w:top w:val="nil"/>
              <w:left w:val="nil"/>
              <w:bottom w:val="single" w:sz="4" w:space="0" w:color="auto"/>
              <w:right w:val="single" w:sz="4" w:space="0" w:color="auto"/>
            </w:tcBorders>
            <w:shd w:val="clear" w:color="auto" w:fill="auto"/>
            <w:noWrap/>
            <w:vAlign w:val="center"/>
            <w:hideMark/>
          </w:tcPr>
          <w:p w14:paraId="6A576536" w14:textId="7F0BC81C" w:rsidR="004A7081" w:rsidRPr="00463B87" w:rsidRDefault="004A7081" w:rsidP="00172925">
            <w:pPr>
              <w:jc w:val="right"/>
              <w:rPr>
                <w:sz w:val="20"/>
                <w:szCs w:val="20"/>
              </w:rPr>
            </w:pPr>
            <w:r>
              <w:rPr>
                <w:sz w:val="20"/>
              </w:rPr>
              <w:t>6</w:t>
            </w:r>
            <w:r w:rsidR="000245C4">
              <w:rPr>
                <w:sz w:val="20"/>
              </w:rPr>
              <w:t> </w:t>
            </w:r>
            <w:r>
              <w:rPr>
                <w:sz w:val="20"/>
              </w:rPr>
              <w:t>823</w:t>
            </w:r>
            <w:r w:rsidR="000245C4">
              <w:rPr>
                <w:sz w:val="20"/>
              </w:rPr>
              <w:t> </w:t>
            </w:r>
            <w:r>
              <w:rPr>
                <w:sz w:val="20"/>
              </w:rPr>
              <w:t>868</w:t>
            </w:r>
          </w:p>
        </w:tc>
        <w:tc>
          <w:tcPr>
            <w:tcW w:w="1269" w:type="dxa"/>
            <w:tcBorders>
              <w:top w:val="nil"/>
              <w:left w:val="nil"/>
              <w:bottom w:val="single" w:sz="4" w:space="0" w:color="auto"/>
              <w:right w:val="single" w:sz="4" w:space="0" w:color="auto"/>
            </w:tcBorders>
            <w:shd w:val="clear" w:color="auto" w:fill="auto"/>
            <w:noWrap/>
            <w:vAlign w:val="center"/>
            <w:hideMark/>
          </w:tcPr>
          <w:p w14:paraId="35D2C227" w14:textId="158F81BA" w:rsidR="004A7081" w:rsidRPr="00463B87" w:rsidRDefault="004A7081" w:rsidP="00172925">
            <w:pPr>
              <w:jc w:val="right"/>
              <w:rPr>
                <w:sz w:val="20"/>
                <w:szCs w:val="20"/>
              </w:rPr>
            </w:pPr>
            <w:r>
              <w:rPr>
                <w:sz w:val="20"/>
              </w:rPr>
              <w:t>6</w:t>
            </w:r>
            <w:r w:rsidR="000245C4">
              <w:rPr>
                <w:sz w:val="20"/>
              </w:rPr>
              <w:t> </w:t>
            </w:r>
            <w:r>
              <w:rPr>
                <w:sz w:val="20"/>
              </w:rPr>
              <w:t>823</w:t>
            </w:r>
            <w:r w:rsidR="000245C4">
              <w:rPr>
                <w:sz w:val="20"/>
              </w:rPr>
              <w:t> </w:t>
            </w:r>
            <w:r>
              <w:rPr>
                <w:sz w:val="20"/>
              </w:rPr>
              <w:t>868</w:t>
            </w:r>
          </w:p>
        </w:tc>
        <w:tc>
          <w:tcPr>
            <w:tcW w:w="1269" w:type="dxa"/>
            <w:tcBorders>
              <w:top w:val="nil"/>
              <w:left w:val="nil"/>
              <w:bottom w:val="single" w:sz="4" w:space="0" w:color="auto"/>
              <w:right w:val="single" w:sz="4" w:space="0" w:color="auto"/>
            </w:tcBorders>
            <w:shd w:val="clear" w:color="auto" w:fill="auto"/>
            <w:noWrap/>
            <w:vAlign w:val="center"/>
            <w:hideMark/>
          </w:tcPr>
          <w:p w14:paraId="716F1D78"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ECA737D" w14:textId="77777777" w:rsidR="004A7081" w:rsidRPr="00463B87" w:rsidRDefault="004A7081" w:rsidP="00172925">
            <w:pPr>
              <w:jc w:val="right"/>
              <w:rPr>
                <w:sz w:val="20"/>
                <w:szCs w:val="20"/>
              </w:rPr>
            </w:pPr>
            <w:r>
              <w:rPr>
                <w:sz w:val="20"/>
              </w:rPr>
              <w:t>100</w:t>
            </w:r>
          </w:p>
        </w:tc>
      </w:tr>
      <w:tr w:rsidR="004A7081" w:rsidRPr="00463B87" w14:paraId="378C1617"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58BE04D" w14:textId="77777777" w:rsidR="004A7081" w:rsidRPr="00463B87" w:rsidRDefault="004A7081" w:rsidP="00172925">
            <w:pPr>
              <w:jc w:val="left"/>
              <w:rPr>
                <w:sz w:val="20"/>
                <w:szCs w:val="20"/>
              </w:rPr>
            </w:pPr>
            <w:r>
              <w:rPr>
                <w:sz w:val="20"/>
              </w:rPr>
              <w:t>2012</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228D4BF" w14:textId="77777777" w:rsidR="004A7081" w:rsidRPr="00463B87" w:rsidRDefault="004A7081" w:rsidP="00172925">
            <w:pPr>
              <w:jc w:val="right"/>
              <w:rPr>
                <w:sz w:val="20"/>
                <w:szCs w:val="20"/>
              </w:rPr>
            </w:pPr>
            <w:r>
              <w:rPr>
                <w:sz w:val="20"/>
              </w:rPr>
              <w:t>11</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3767702" w14:textId="77777777" w:rsidR="004A7081" w:rsidRPr="00463B87" w:rsidRDefault="004A7081" w:rsidP="00172925">
            <w:pPr>
              <w:jc w:val="right"/>
              <w:rPr>
                <w:sz w:val="20"/>
                <w:szCs w:val="20"/>
              </w:rPr>
            </w:pPr>
            <w:r>
              <w:rPr>
                <w:sz w:val="20"/>
              </w:rPr>
              <w:t>11</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2C0567A" w14:textId="77777777" w:rsidR="004A7081" w:rsidRPr="00463B87" w:rsidRDefault="004A7081" w:rsidP="00172925">
            <w:pPr>
              <w:jc w:val="right"/>
              <w:rPr>
                <w:sz w:val="20"/>
                <w:szCs w:val="20"/>
              </w:rPr>
            </w:pPr>
            <w:r>
              <w:rPr>
                <w:sz w:val="20"/>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67C25C7C" w14:textId="3EB0C22D" w:rsidR="004A7081" w:rsidRPr="00463B87" w:rsidRDefault="004A7081" w:rsidP="00172925">
            <w:pPr>
              <w:jc w:val="right"/>
              <w:rPr>
                <w:sz w:val="20"/>
                <w:szCs w:val="20"/>
              </w:rPr>
            </w:pPr>
            <w:r>
              <w:rPr>
                <w:sz w:val="20"/>
              </w:rPr>
              <w:t>6</w:t>
            </w:r>
            <w:r w:rsidR="000245C4">
              <w:rPr>
                <w:sz w:val="20"/>
              </w:rPr>
              <w:t> </w:t>
            </w:r>
            <w:r>
              <w:rPr>
                <w:sz w:val="20"/>
              </w:rPr>
              <w:t>594</w:t>
            </w:r>
            <w:r w:rsidR="000245C4">
              <w:rPr>
                <w:sz w:val="20"/>
              </w:rPr>
              <w:t> </w:t>
            </w:r>
            <w:r>
              <w:rPr>
                <w:sz w:val="20"/>
              </w:rPr>
              <w:t>959</w:t>
            </w:r>
          </w:p>
        </w:tc>
        <w:tc>
          <w:tcPr>
            <w:tcW w:w="1269" w:type="dxa"/>
            <w:tcBorders>
              <w:top w:val="nil"/>
              <w:left w:val="nil"/>
              <w:bottom w:val="single" w:sz="4" w:space="0" w:color="auto"/>
              <w:right w:val="single" w:sz="4" w:space="0" w:color="auto"/>
            </w:tcBorders>
            <w:shd w:val="clear" w:color="auto" w:fill="auto"/>
            <w:noWrap/>
            <w:vAlign w:val="center"/>
            <w:hideMark/>
          </w:tcPr>
          <w:p w14:paraId="2662FCE8" w14:textId="1D2619C9" w:rsidR="004A7081" w:rsidRPr="00463B87" w:rsidRDefault="004A7081" w:rsidP="00172925">
            <w:pPr>
              <w:jc w:val="right"/>
              <w:rPr>
                <w:sz w:val="20"/>
                <w:szCs w:val="20"/>
              </w:rPr>
            </w:pPr>
            <w:r>
              <w:rPr>
                <w:sz w:val="20"/>
              </w:rPr>
              <w:t>6</w:t>
            </w:r>
            <w:r w:rsidR="000245C4">
              <w:rPr>
                <w:sz w:val="20"/>
              </w:rPr>
              <w:t> </w:t>
            </w:r>
            <w:r>
              <w:rPr>
                <w:sz w:val="20"/>
              </w:rPr>
              <w:t>594</w:t>
            </w:r>
            <w:r w:rsidR="000245C4">
              <w:rPr>
                <w:sz w:val="20"/>
              </w:rPr>
              <w:t> </w:t>
            </w:r>
            <w:r>
              <w:rPr>
                <w:sz w:val="20"/>
              </w:rPr>
              <w:t>959</w:t>
            </w:r>
          </w:p>
        </w:tc>
        <w:tc>
          <w:tcPr>
            <w:tcW w:w="1269" w:type="dxa"/>
            <w:tcBorders>
              <w:top w:val="nil"/>
              <w:left w:val="nil"/>
              <w:bottom w:val="single" w:sz="4" w:space="0" w:color="auto"/>
              <w:right w:val="single" w:sz="4" w:space="0" w:color="auto"/>
            </w:tcBorders>
            <w:shd w:val="clear" w:color="auto" w:fill="auto"/>
            <w:noWrap/>
            <w:vAlign w:val="center"/>
            <w:hideMark/>
          </w:tcPr>
          <w:p w14:paraId="3E8D0D6C" w14:textId="77777777" w:rsidR="004A7081" w:rsidRPr="00463B87" w:rsidRDefault="004A7081" w:rsidP="00172925">
            <w:pPr>
              <w:jc w:val="right"/>
              <w:rPr>
                <w:sz w:val="20"/>
                <w:szCs w:val="20"/>
              </w:rPr>
            </w:pPr>
            <w:r>
              <w:rPr>
                <w:sz w:val="20"/>
              </w:rPr>
              <w:t>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448CA77" w14:textId="77777777" w:rsidR="004A7081" w:rsidRPr="00463B87" w:rsidRDefault="004A7081" w:rsidP="00172925">
            <w:pPr>
              <w:jc w:val="right"/>
              <w:rPr>
                <w:sz w:val="20"/>
                <w:szCs w:val="20"/>
              </w:rPr>
            </w:pPr>
            <w:r>
              <w:rPr>
                <w:sz w:val="20"/>
              </w:rPr>
              <w:t>100</w:t>
            </w:r>
          </w:p>
        </w:tc>
      </w:tr>
      <w:tr w:rsidR="004A7081" w:rsidRPr="00463B87" w14:paraId="68BE2E85"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438488D" w14:textId="77777777" w:rsidR="004A7081" w:rsidRPr="00463B87" w:rsidRDefault="004A7081" w:rsidP="00172925">
            <w:pPr>
              <w:jc w:val="left"/>
              <w:rPr>
                <w:sz w:val="20"/>
                <w:szCs w:val="20"/>
              </w:rPr>
            </w:pPr>
            <w:r>
              <w:rPr>
                <w:sz w:val="20"/>
              </w:rPr>
              <w:t>2013</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E43F4AE" w14:textId="77777777" w:rsidR="004A7081" w:rsidRPr="00463B87" w:rsidRDefault="004A7081" w:rsidP="00172925">
            <w:pPr>
              <w:jc w:val="right"/>
              <w:rPr>
                <w:sz w:val="20"/>
                <w:szCs w:val="20"/>
              </w:rPr>
            </w:pPr>
            <w:r>
              <w:rPr>
                <w:sz w:val="20"/>
              </w:rPr>
              <w:t>7</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00E9E8A" w14:textId="77777777" w:rsidR="004A7081" w:rsidRPr="00463B87" w:rsidRDefault="004A7081" w:rsidP="00172925">
            <w:pPr>
              <w:jc w:val="right"/>
              <w:rPr>
                <w:sz w:val="20"/>
                <w:szCs w:val="20"/>
              </w:rPr>
            </w:pPr>
            <w:r>
              <w:rPr>
                <w:sz w:val="20"/>
              </w:rPr>
              <w:t>4</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BE4DA1D" w14:textId="77777777" w:rsidR="004A7081" w:rsidRPr="00463B87" w:rsidRDefault="004A7081" w:rsidP="00172925">
            <w:pPr>
              <w:jc w:val="right"/>
              <w:rPr>
                <w:sz w:val="20"/>
                <w:szCs w:val="20"/>
              </w:rPr>
            </w:pPr>
            <w:r>
              <w:rPr>
                <w:sz w:val="20"/>
              </w:rPr>
              <w:t>57</w:t>
            </w:r>
          </w:p>
        </w:tc>
        <w:tc>
          <w:tcPr>
            <w:tcW w:w="1268" w:type="dxa"/>
            <w:tcBorders>
              <w:top w:val="nil"/>
              <w:left w:val="nil"/>
              <w:bottom w:val="single" w:sz="4" w:space="0" w:color="auto"/>
              <w:right w:val="single" w:sz="4" w:space="0" w:color="auto"/>
            </w:tcBorders>
            <w:shd w:val="clear" w:color="auto" w:fill="auto"/>
            <w:noWrap/>
            <w:vAlign w:val="center"/>
            <w:hideMark/>
          </w:tcPr>
          <w:p w14:paraId="45907D66" w14:textId="1A574A1E" w:rsidR="004A7081" w:rsidRPr="00463B87" w:rsidRDefault="004A7081" w:rsidP="00172925">
            <w:pPr>
              <w:jc w:val="right"/>
              <w:rPr>
                <w:sz w:val="20"/>
                <w:szCs w:val="20"/>
              </w:rPr>
            </w:pPr>
            <w:r>
              <w:rPr>
                <w:sz w:val="20"/>
              </w:rPr>
              <w:t>2</w:t>
            </w:r>
            <w:r w:rsidR="000245C4">
              <w:rPr>
                <w:sz w:val="20"/>
              </w:rPr>
              <w:t> </w:t>
            </w:r>
            <w:r>
              <w:rPr>
                <w:sz w:val="20"/>
              </w:rPr>
              <w:t>276</w:t>
            </w:r>
            <w:r w:rsidR="000245C4">
              <w:rPr>
                <w:sz w:val="20"/>
              </w:rPr>
              <w:t> </w:t>
            </w:r>
            <w:r>
              <w:rPr>
                <w:sz w:val="20"/>
              </w:rPr>
              <w:t>412</w:t>
            </w:r>
          </w:p>
        </w:tc>
        <w:tc>
          <w:tcPr>
            <w:tcW w:w="1269" w:type="dxa"/>
            <w:tcBorders>
              <w:top w:val="nil"/>
              <w:left w:val="nil"/>
              <w:bottom w:val="single" w:sz="4" w:space="0" w:color="auto"/>
              <w:right w:val="single" w:sz="4" w:space="0" w:color="auto"/>
            </w:tcBorders>
            <w:shd w:val="clear" w:color="auto" w:fill="auto"/>
            <w:noWrap/>
            <w:vAlign w:val="center"/>
            <w:hideMark/>
          </w:tcPr>
          <w:p w14:paraId="53279D6D" w14:textId="2757404C" w:rsidR="004A7081" w:rsidRPr="00463B87" w:rsidRDefault="004A7081" w:rsidP="00172925">
            <w:pPr>
              <w:jc w:val="right"/>
              <w:rPr>
                <w:sz w:val="20"/>
                <w:szCs w:val="20"/>
              </w:rPr>
            </w:pPr>
            <w:r>
              <w:rPr>
                <w:sz w:val="20"/>
              </w:rPr>
              <w:t>2</w:t>
            </w:r>
            <w:r w:rsidR="000245C4">
              <w:rPr>
                <w:sz w:val="20"/>
              </w:rPr>
              <w:t> </w:t>
            </w:r>
            <w:r>
              <w:rPr>
                <w:sz w:val="20"/>
              </w:rPr>
              <w:t>211</w:t>
            </w:r>
            <w:r w:rsidR="000245C4">
              <w:rPr>
                <w:sz w:val="20"/>
              </w:rPr>
              <w:t> </w:t>
            </w:r>
            <w:r>
              <w:rPr>
                <w:sz w:val="20"/>
              </w:rPr>
              <w:t>972</w:t>
            </w:r>
          </w:p>
        </w:tc>
        <w:tc>
          <w:tcPr>
            <w:tcW w:w="1269" w:type="dxa"/>
            <w:tcBorders>
              <w:top w:val="nil"/>
              <w:left w:val="nil"/>
              <w:bottom w:val="single" w:sz="4" w:space="0" w:color="auto"/>
              <w:right w:val="single" w:sz="4" w:space="0" w:color="auto"/>
            </w:tcBorders>
            <w:shd w:val="clear" w:color="auto" w:fill="auto"/>
            <w:noWrap/>
            <w:vAlign w:val="center"/>
            <w:hideMark/>
          </w:tcPr>
          <w:p w14:paraId="31CF439A" w14:textId="17E40BA9" w:rsidR="004A7081" w:rsidRPr="00463B87" w:rsidRDefault="004A7081" w:rsidP="00172925">
            <w:pPr>
              <w:jc w:val="right"/>
              <w:rPr>
                <w:sz w:val="20"/>
                <w:szCs w:val="20"/>
              </w:rPr>
            </w:pPr>
            <w:r>
              <w:rPr>
                <w:sz w:val="20"/>
              </w:rPr>
              <w:t>64</w:t>
            </w:r>
            <w:r w:rsidR="000245C4">
              <w:rPr>
                <w:sz w:val="20"/>
              </w:rPr>
              <w:t> </w:t>
            </w:r>
            <w:r>
              <w:rPr>
                <w:sz w:val="20"/>
              </w:rPr>
              <w:t>440</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7613F16" w14:textId="77777777" w:rsidR="004A7081" w:rsidRPr="00463B87" w:rsidRDefault="004A7081" w:rsidP="00172925">
            <w:pPr>
              <w:jc w:val="right"/>
              <w:rPr>
                <w:sz w:val="20"/>
                <w:szCs w:val="20"/>
              </w:rPr>
            </w:pPr>
            <w:r>
              <w:rPr>
                <w:sz w:val="20"/>
              </w:rPr>
              <w:t>97</w:t>
            </w:r>
          </w:p>
        </w:tc>
      </w:tr>
      <w:tr w:rsidR="004A7081" w:rsidRPr="00463B87" w14:paraId="3BA6AB68"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30B8426" w14:textId="77777777" w:rsidR="004A7081" w:rsidRPr="00463B87" w:rsidRDefault="004A7081" w:rsidP="00172925">
            <w:pPr>
              <w:jc w:val="left"/>
              <w:rPr>
                <w:sz w:val="20"/>
                <w:szCs w:val="20"/>
              </w:rPr>
            </w:pPr>
            <w:r>
              <w:rPr>
                <w:sz w:val="20"/>
              </w:rPr>
              <w:t>2014</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BD98BDB" w14:textId="77777777" w:rsidR="004A7081" w:rsidRPr="00463B87" w:rsidRDefault="004A7081" w:rsidP="00172925">
            <w:pPr>
              <w:jc w:val="right"/>
              <w:rPr>
                <w:sz w:val="20"/>
                <w:szCs w:val="20"/>
              </w:rPr>
            </w:pPr>
            <w:r>
              <w:rPr>
                <w:sz w:val="20"/>
              </w:rPr>
              <w:t>14</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3D73988" w14:textId="77777777" w:rsidR="004A7081" w:rsidRPr="00463B87" w:rsidRDefault="004A7081" w:rsidP="00172925">
            <w:pPr>
              <w:jc w:val="right"/>
              <w:rPr>
                <w:sz w:val="20"/>
                <w:szCs w:val="20"/>
              </w:rPr>
            </w:pPr>
            <w:r>
              <w:rPr>
                <w:sz w:val="20"/>
              </w:rPr>
              <w:t>13</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2C7029B" w14:textId="77777777" w:rsidR="004A7081" w:rsidRPr="00463B87" w:rsidRDefault="004A7081" w:rsidP="00172925">
            <w:pPr>
              <w:jc w:val="right"/>
              <w:rPr>
                <w:sz w:val="20"/>
                <w:szCs w:val="20"/>
              </w:rPr>
            </w:pPr>
            <w:r>
              <w:rPr>
                <w:sz w:val="20"/>
              </w:rPr>
              <w:t>93</w:t>
            </w:r>
          </w:p>
        </w:tc>
        <w:tc>
          <w:tcPr>
            <w:tcW w:w="1268" w:type="dxa"/>
            <w:tcBorders>
              <w:top w:val="nil"/>
              <w:left w:val="nil"/>
              <w:bottom w:val="single" w:sz="4" w:space="0" w:color="auto"/>
              <w:right w:val="single" w:sz="4" w:space="0" w:color="auto"/>
            </w:tcBorders>
            <w:shd w:val="clear" w:color="auto" w:fill="auto"/>
            <w:noWrap/>
            <w:vAlign w:val="center"/>
            <w:hideMark/>
          </w:tcPr>
          <w:p w14:paraId="47BBB2E0" w14:textId="5119AFE3" w:rsidR="004A7081" w:rsidRPr="00463B87" w:rsidRDefault="004A7081" w:rsidP="00172925">
            <w:pPr>
              <w:jc w:val="right"/>
              <w:rPr>
                <w:sz w:val="20"/>
                <w:szCs w:val="20"/>
              </w:rPr>
            </w:pPr>
            <w:r>
              <w:rPr>
                <w:sz w:val="20"/>
              </w:rPr>
              <w:t>1</w:t>
            </w:r>
            <w:r w:rsidR="000245C4">
              <w:rPr>
                <w:sz w:val="20"/>
              </w:rPr>
              <w:t> </w:t>
            </w:r>
            <w:r>
              <w:rPr>
                <w:sz w:val="20"/>
              </w:rPr>
              <w:t>365</w:t>
            </w:r>
            <w:r w:rsidR="000245C4">
              <w:rPr>
                <w:sz w:val="20"/>
              </w:rPr>
              <w:t> </w:t>
            </w:r>
            <w:r>
              <w:rPr>
                <w:sz w:val="20"/>
              </w:rPr>
              <w:t>834</w:t>
            </w:r>
          </w:p>
        </w:tc>
        <w:tc>
          <w:tcPr>
            <w:tcW w:w="1269" w:type="dxa"/>
            <w:tcBorders>
              <w:top w:val="nil"/>
              <w:left w:val="nil"/>
              <w:bottom w:val="single" w:sz="4" w:space="0" w:color="auto"/>
              <w:right w:val="single" w:sz="4" w:space="0" w:color="auto"/>
            </w:tcBorders>
            <w:shd w:val="clear" w:color="auto" w:fill="auto"/>
            <w:noWrap/>
            <w:vAlign w:val="center"/>
            <w:hideMark/>
          </w:tcPr>
          <w:p w14:paraId="06CA088E" w14:textId="2849076F" w:rsidR="004A7081" w:rsidRPr="00463B87" w:rsidRDefault="004A7081" w:rsidP="00172925">
            <w:pPr>
              <w:jc w:val="right"/>
              <w:rPr>
                <w:sz w:val="20"/>
                <w:szCs w:val="20"/>
              </w:rPr>
            </w:pPr>
            <w:r>
              <w:rPr>
                <w:sz w:val="20"/>
              </w:rPr>
              <w:t>1</w:t>
            </w:r>
            <w:r w:rsidR="000245C4">
              <w:rPr>
                <w:sz w:val="20"/>
              </w:rPr>
              <w:t> </w:t>
            </w:r>
            <w:r>
              <w:rPr>
                <w:sz w:val="20"/>
              </w:rPr>
              <w:t>326</w:t>
            </w:r>
            <w:r w:rsidR="000245C4">
              <w:rPr>
                <w:sz w:val="20"/>
              </w:rPr>
              <w:t> </w:t>
            </w:r>
            <w:r>
              <w:rPr>
                <w:sz w:val="20"/>
              </w:rPr>
              <w:t>092</w:t>
            </w:r>
          </w:p>
        </w:tc>
        <w:tc>
          <w:tcPr>
            <w:tcW w:w="1269" w:type="dxa"/>
            <w:tcBorders>
              <w:top w:val="nil"/>
              <w:left w:val="nil"/>
              <w:bottom w:val="single" w:sz="4" w:space="0" w:color="auto"/>
              <w:right w:val="single" w:sz="4" w:space="0" w:color="auto"/>
            </w:tcBorders>
            <w:shd w:val="clear" w:color="auto" w:fill="auto"/>
            <w:noWrap/>
            <w:vAlign w:val="center"/>
            <w:hideMark/>
          </w:tcPr>
          <w:p w14:paraId="0FB6E683" w14:textId="18373901" w:rsidR="004A7081" w:rsidRPr="00463B87" w:rsidRDefault="004A7081" w:rsidP="00172925">
            <w:pPr>
              <w:jc w:val="right"/>
              <w:rPr>
                <w:sz w:val="20"/>
                <w:szCs w:val="20"/>
              </w:rPr>
            </w:pPr>
            <w:r>
              <w:rPr>
                <w:sz w:val="20"/>
              </w:rPr>
              <w:t>39</w:t>
            </w:r>
            <w:r w:rsidR="000245C4">
              <w:rPr>
                <w:sz w:val="20"/>
              </w:rPr>
              <w:t> </w:t>
            </w:r>
            <w:r>
              <w:rPr>
                <w:sz w:val="20"/>
              </w:rPr>
              <w:t>742</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6B5E888" w14:textId="77777777" w:rsidR="004A7081" w:rsidRPr="00463B87" w:rsidRDefault="004A7081" w:rsidP="00172925">
            <w:pPr>
              <w:jc w:val="right"/>
              <w:rPr>
                <w:sz w:val="20"/>
                <w:szCs w:val="20"/>
              </w:rPr>
            </w:pPr>
            <w:r>
              <w:rPr>
                <w:sz w:val="20"/>
              </w:rPr>
              <w:t>97</w:t>
            </w:r>
          </w:p>
        </w:tc>
      </w:tr>
      <w:tr w:rsidR="004A7081" w:rsidRPr="00463B87" w14:paraId="72DFD70D"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40A9452" w14:textId="77777777" w:rsidR="004A7081" w:rsidRPr="00463B87" w:rsidRDefault="004A7081" w:rsidP="00172925">
            <w:pPr>
              <w:jc w:val="left"/>
              <w:rPr>
                <w:sz w:val="20"/>
                <w:szCs w:val="20"/>
              </w:rPr>
            </w:pPr>
            <w:r>
              <w:rPr>
                <w:sz w:val="20"/>
              </w:rPr>
              <w:t>2015</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4E8B19B" w14:textId="77777777" w:rsidR="004A7081" w:rsidRPr="00463B87" w:rsidRDefault="004A7081" w:rsidP="00172925">
            <w:pPr>
              <w:jc w:val="right"/>
              <w:rPr>
                <w:sz w:val="20"/>
                <w:szCs w:val="20"/>
              </w:rPr>
            </w:pPr>
            <w:r>
              <w:rPr>
                <w:sz w:val="20"/>
              </w:rPr>
              <w:t>27</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DF25A68" w14:textId="77777777" w:rsidR="004A7081" w:rsidRPr="00463B87" w:rsidRDefault="004A7081" w:rsidP="00172925">
            <w:pPr>
              <w:jc w:val="right"/>
              <w:rPr>
                <w:sz w:val="20"/>
                <w:szCs w:val="20"/>
              </w:rPr>
            </w:pPr>
            <w:r>
              <w:rPr>
                <w:sz w:val="20"/>
              </w:rPr>
              <w:t>22</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5830C1E" w14:textId="77777777" w:rsidR="004A7081" w:rsidRPr="00463B87" w:rsidRDefault="004A7081" w:rsidP="00172925">
            <w:pPr>
              <w:jc w:val="right"/>
              <w:rPr>
                <w:sz w:val="20"/>
                <w:szCs w:val="20"/>
              </w:rPr>
            </w:pPr>
            <w:r>
              <w:rPr>
                <w:sz w:val="20"/>
              </w:rPr>
              <w:t>81</w:t>
            </w:r>
          </w:p>
        </w:tc>
        <w:tc>
          <w:tcPr>
            <w:tcW w:w="1268" w:type="dxa"/>
            <w:tcBorders>
              <w:top w:val="nil"/>
              <w:left w:val="nil"/>
              <w:bottom w:val="single" w:sz="4" w:space="0" w:color="auto"/>
              <w:right w:val="single" w:sz="4" w:space="0" w:color="auto"/>
            </w:tcBorders>
            <w:shd w:val="clear" w:color="auto" w:fill="auto"/>
            <w:noWrap/>
            <w:vAlign w:val="center"/>
            <w:hideMark/>
          </w:tcPr>
          <w:p w14:paraId="2F74A78D" w14:textId="4079EF3D" w:rsidR="004A7081" w:rsidRPr="00463B87" w:rsidRDefault="004A7081" w:rsidP="00172925">
            <w:pPr>
              <w:jc w:val="right"/>
              <w:rPr>
                <w:sz w:val="20"/>
                <w:szCs w:val="20"/>
              </w:rPr>
            </w:pPr>
            <w:r>
              <w:rPr>
                <w:sz w:val="20"/>
              </w:rPr>
              <w:t>4</w:t>
            </w:r>
            <w:r w:rsidR="000245C4">
              <w:rPr>
                <w:sz w:val="20"/>
              </w:rPr>
              <w:t> </w:t>
            </w:r>
            <w:r>
              <w:rPr>
                <w:sz w:val="20"/>
              </w:rPr>
              <w:t>921</w:t>
            </w:r>
            <w:r w:rsidR="000245C4">
              <w:rPr>
                <w:sz w:val="20"/>
              </w:rPr>
              <w:t> </w:t>
            </w:r>
            <w:r>
              <w:rPr>
                <w:sz w:val="20"/>
              </w:rPr>
              <w:t>949</w:t>
            </w:r>
          </w:p>
        </w:tc>
        <w:tc>
          <w:tcPr>
            <w:tcW w:w="1269" w:type="dxa"/>
            <w:tcBorders>
              <w:top w:val="nil"/>
              <w:left w:val="nil"/>
              <w:bottom w:val="single" w:sz="4" w:space="0" w:color="auto"/>
              <w:right w:val="single" w:sz="4" w:space="0" w:color="auto"/>
            </w:tcBorders>
            <w:shd w:val="clear" w:color="auto" w:fill="auto"/>
            <w:noWrap/>
            <w:vAlign w:val="center"/>
            <w:hideMark/>
          </w:tcPr>
          <w:p w14:paraId="294C9F18" w14:textId="4566F5D6" w:rsidR="004A7081" w:rsidRPr="00463B87" w:rsidRDefault="004A7081" w:rsidP="00172925">
            <w:pPr>
              <w:jc w:val="right"/>
              <w:rPr>
                <w:sz w:val="20"/>
                <w:szCs w:val="20"/>
              </w:rPr>
            </w:pPr>
            <w:r>
              <w:rPr>
                <w:sz w:val="20"/>
              </w:rPr>
              <w:t>4</w:t>
            </w:r>
            <w:r w:rsidR="000245C4">
              <w:rPr>
                <w:sz w:val="20"/>
              </w:rPr>
              <w:t> </w:t>
            </w:r>
            <w:r>
              <w:rPr>
                <w:sz w:val="20"/>
              </w:rPr>
              <w:t>572</w:t>
            </w:r>
            <w:r w:rsidR="000245C4">
              <w:rPr>
                <w:sz w:val="20"/>
              </w:rPr>
              <w:t> </w:t>
            </w:r>
            <w:r>
              <w:rPr>
                <w:sz w:val="20"/>
              </w:rPr>
              <w:t>116</w:t>
            </w:r>
          </w:p>
        </w:tc>
        <w:tc>
          <w:tcPr>
            <w:tcW w:w="1269" w:type="dxa"/>
            <w:tcBorders>
              <w:top w:val="nil"/>
              <w:left w:val="nil"/>
              <w:bottom w:val="single" w:sz="4" w:space="0" w:color="auto"/>
              <w:right w:val="single" w:sz="4" w:space="0" w:color="auto"/>
            </w:tcBorders>
            <w:shd w:val="clear" w:color="auto" w:fill="auto"/>
            <w:noWrap/>
            <w:vAlign w:val="center"/>
            <w:hideMark/>
          </w:tcPr>
          <w:p w14:paraId="7B803182" w14:textId="6F9DF25A" w:rsidR="004A7081" w:rsidRPr="00463B87" w:rsidRDefault="004A7081" w:rsidP="00172925">
            <w:pPr>
              <w:jc w:val="right"/>
              <w:rPr>
                <w:sz w:val="20"/>
                <w:szCs w:val="20"/>
              </w:rPr>
            </w:pPr>
            <w:r>
              <w:rPr>
                <w:sz w:val="20"/>
              </w:rPr>
              <w:t>349</w:t>
            </w:r>
            <w:r w:rsidR="000245C4">
              <w:rPr>
                <w:sz w:val="20"/>
              </w:rPr>
              <w:t> </w:t>
            </w:r>
            <w:r>
              <w:rPr>
                <w:sz w:val="20"/>
              </w:rPr>
              <w:t>833</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FF8479A" w14:textId="77777777" w:rsidR="004A7081" w:rsidRPr="00463B87" w:rsidRDefault="004A7081" w:rsidP="00172925">
            <w:pPr>
              <w:jc w:val="right"/>
              <w:rPr>
                <w:sz w:val="20"/>
                <w:szCs w:val="20"/>
              </w:rPr>
            </w:pPr>
            <w:r>
              <w:rPr>
                <w:sz w:val="20"/>
              </w:rPr>
              <w:t>93</w:t>
            </w:r>
          </w:p>
        </w:tc>
      </w:tr>
      <w:tr w:rsidR="004A7081" w:rsidRPr="00463B87" w14:paraId="4C07937F"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04A1486" w14:textId="77777777" w:rsidR="004A7081" w:rsidRPr="00463B87" w:rsidRDefault="004A7081" w:rsidP="00172925">
            <w:pPr>
              <w:jc w:val="left"/>
              <w:rPr>
                <w:sz w:val="20"/>
                <w:szCs w:val="20"/>
              </w:rPr>
            </w:pPr>
            <w:r>
              <w:rPr>
                <w:sz w:val="20"/>
              </w:rPr>
              <w:t>2016</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5020378" w14:textId="77777777" w:rsidR="004A7081" w:rsidRPr="00463B87" w:rsidRDefault="004A7081" w:rsidP="00172925">
            <w:pPr>
              <w:jc w:val="right"/>
              <w:rPr>
                <w:sz w:val="20"/>
                <w:szCs w:val="20"/>
              </w:rPr>
            </w:pPr>
            <w:r>
              <w:rPr>
                <w:sz w:val="20"/>
              </w:rPr>
              <w:t>16</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94BBB35" w14:textId="77777777" w:rsidR="004A7081" w:rsidRPr="00463B87" w:rsidRDefault="004A7081" w:rsidP="00172925">
            <w:pPr>
              <w:jc w:val="right"/>
              <w:rPr>
                <w:sz w:val="20"/>
                <w:szCs w:val="20"/>
              </w:rPr>
            </w:pPr>
            <w:r>
              <w:rPr>
                <w:sz w:val="20"/>
              </w:rPr>
              <w:t>7</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959A4F7" w14:textId="77777777" w:rsidR="004A7081" w:rsidRPr="00463B87" w:rsidRDefault="004A7081" w:rsidP="00172925">
            <w:pPr>
              <w:jc w:val="right"/>
              <w:rPr>
                <w:sz w:val="20"/>
                <w:szCs w:val="20"/>
              </w:rPr>
            </w:pPr>
            <w:r>
              <w:rPr>
                <w:sz w:val="20"/>
              </w:rPr>
              <w:t>44</w:t>
            </w:r>
          </w:p>
        </w:tc>
        <w:tc>
          <w:tcPr>
            <w:tcW w:w="1268" w:type="dxa"/>
            <w:tcBorders>
              <w:top w:val="nil"/>
              <w:left w:val="nil"/>
              <w:bottom w:val="single" w:sz="4" w:space="0" w:color="auto"/>
              <w:right w:val="single" w:sz="4" w:space="0" w:color="auto"/>
            </w:tcBorders>
            <w:shd w:val="clear" w:color="auto" w:fill="auto"/>
            <w:noWrap/>
            <w:vAlign w:val="center"/>
            <w:hideMark/>
          </w:tcPr>
          <w:p w14:paraId="6F1A60DC" w14:textId="697C5CCF" w:rsidR="004A7081" w:rsidRPr="00463B87" w:rsidRDefault="004A7081" w:rsidP="00172925">
            <w:pPr>
              <w:jc w:val="right"/>
              <w:rPr>
                <w:sz w:val="20"/>
                <w:szCs w:val="20"/>
              </w:rPr>
            </w:pPr>
            <w:r>
              <w:rPr>
                <w:sz w:val="20"/>
              </w:rPr>
              <w:t>5</w:t>
            </w:r>
            <w:r w:rsidR="000245C4">
              <w:rPr>
                <w:sz w:val="20"/>
              </w:rPr>
              <w:t> </w:t>
            </w:r>
            <w:r>
              <w:rPr>
                <w:sz w:val="20"/>
              </w:rPr>
              <w:t>136</w:t>
            </w:r>
            <w:r w:rsidR="000245C4">
              <w:rPr>
                <w:sz w:val="20"/>
              </w:rPr>
              <w:t> </w:t>
            </w:r>
            <w:r>
              <w:rPr>
                <w:sz w:val="20"/>
              </w:rPr>
              <w:t>141</w:t>
            </w:r>
          </w:p>
        </w:tc>
        <w:tc>
          <w:tcPr>
            <w:tcW w:w="1269" w:type="dxa"/>
            <w:tcBorders>
              <w:top w:val="nil"/>
              <w:left w:val="nil"/>
              <w:bottom w:val="single" w:sz="4" w:space="0" w:color="auto"/>
              <w:right w:val="single" w:sz="4" w:space="0" w:color="auto"/>
            </w:tcBorders>
            <w:shd w:val="clear" w:color="auto" w:fill="auto"/>
            <w:noWrap/>
            <w:vAlign w:val="center"/>
            <w:hideMark/>
          </w:tcPr>
          <w:p w14:paraId="6202BC8C" w14:textId="520CD4BB" w:rsidR="004A7081" w:rsidRPr="00463B87" w:rsidRDefault="004A7081" w:rsidP="00172925">
            <w:pPr>
              <w:jc w:val="right"/>
              <w:rPr>
                <w:sz w:val="20"/>
                <w:szCs w:val="20"/>
              </w:rPr>
            </w:pPr>
            <w:r>
              <w:rPr>
                <w:sz w:val="20"/>
              </w:rPr>
              <w:t>3</w:t>
            </w:r>
            <w:r w:rsidR="000245C4">
              <w:rPr>
                <w:sz w:val="20"/>
              </w:rPr>
              <w:t> </w:t>
            </w:r>
            <w:r>
              <w:rPr>
                <w:sz w:val="20"/>
              </w:rPr>
              <w:t>022</w:t>
            </w:r>
            <w:r w:rsidR="000245C4">
              <w:rPr>
                <w:sz w:val="20"/>
              </w:rPr>
              <w:t> </w:t>
            </w:r>
            <w:r>
              <w:rPr>
                <w:sz w:val="20"/>
              </w:rPr>
              <w:t>910</w:t>
            </w:r>
          </w:p>
        </w:tc>
        <w:tc>
          <w:tcPr>
            <w:tcW w:w="1269" w:type="dxa"/>
            <w:tcBorders>
              <w:top w:val="nil"/>
              <w:left w:val="nil"/>
              <w:bottom w:val="single" w:sz="4" w:space="0" w:color="auto"/>
              <w:right w:val="single" w:sz="4" w:space="0" w:color="auto"/>
            </w:tcBorders>
            <w:shd w:val="clear" w:color="auto" w:fill="auto"/>
            <w:noWrap/>
            <w:vAlign w:val="center"/>
            <w:hideMark/>
          </w:tcPr>
          <w:p w14:paraId="1E0844F7" w14:textId="1CC6AD16" w:rsidR="004A7081" w:rsidRPr="00463B87" w:rsidRDefault="004A7081" w:rsidP="00172925">
            <w:pPr>
              <w:jc w:val="right"/>
              <w:rPr>
                <w:sz w:val="20"/>
                <w:szCs w:val="20"/>
              </w:rPr>
            </w:pPr>
            <w:r>
              <w:rPr>
                <w:sz w:val="20"/>
              </w:rPr>
              <w:t>2</w:t>
            </w:r>
            <w:r w:rsidR="000245C4">
              <w:rPr>
                <w:sz w:val="20"/>
              </w:rPr>
              <w:t> </w:t>
            </w:r>
            <w:r>
              <w:rPr>
                <w:sz w:val="20"/>
              </w:rPr>
              <w:t>113</w:t>
            </w:r>
            <w:r w:rsidR="000245C4">
              <w:rPr>
                <w:sz w:val="20"/>
              </w:rPr>
              <w:t> </w:t>
            </w:r>
            <w:r>
              <w:rPr>
                <w:sz w:val="20"/>
              </w:rPr>
              <w:t>231</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E4A861B" w14:textId="77777777" w:rsidR="004A7081" w:rsidRPr="00463B87" w:rsidRDefault="004A7081" w:rsidP="00172925">
            <w:pPr>
              <w:jc w:val="right"/>
              <w:rPr>
                <w:sz w:val="20"/>
                <w:szCs w:val="20"/>
              </w:rPr>
            </w:pPr>
            <w:r>
              <w:rPr>
                <w:sz w:val="20"/>
              </w:rPr>
              <w:t>59</w:t>
            </w:r>
          </w:p>
        </w:tc>
      </w:tr>
      <w:tr w:rsidR="004A7081" w:rsidRPr="00463B87" w14:paraId="106663C8"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9B2593C" w14:textId="77777777" w:rsidR="004A7081" w:rsidRPr="00463B87" w:rsidRDefault="004A7081" w:rsidP="00172925">
            <w:pPr>
              <w:jc w:val="left"/>
              <w:rPr>
                <w:sz w:val="20"/>
                <w:szCs w:val="20"/>
              </w:rPr>
            </w:pPr>
            <w:r>
              <w:rPr>
                <w:sz w:val="20"/>
              </w:rPr>
              <w:t>2017</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A16346E" w14:textId="77777777" w:rsidR="004A7081" w:rsidRPr="00463B87" w:rsidRDefault="004A7081" w:rsidP="00172925">
            <w:pPr>
              <w:jc w:val="right"/>
              <w:rPr>
                <w:sz w:val="20"/>
                <w:szCs w:val="20"/>
              </w:rPr>
            </w:pPr>
            <w:r>
              <w:rPr>
                <w:sz w:val="20"/>
              </w:rPr>
              <w:t>9</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0E62D70" w14:textId="77777777" w:rsidR="004A7081" w:rsidRPr="00463B87" w:rsidRDefault="004A7081" w:rsidP="00172925">
            <w:pPr>
              <w:jc w:val="right"/>
              <w:rPr>
                <w:sz w:val="20"/>
                <w:szCs w:val="20"/>
              </w:rPr>
            </w:pPr>
            <w:r>
              <w:rPr>
                <w:sz w:val="20"/>
              </w:rPr>
              <w:t>1</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969F47D" w14:textId="77777777" w:rsidR="004A7081" w:rsidRPr="00463B87" w:rsidRDefault="004A7081" w:rsidP="00172925">
            <w:pPr>
              <w:jc w:val="right"/>
              <w:rPr>
                <w:sz w:val="20"/>
                <w:szCs w:val="20"/>
              </w:rPr>
            </w:pPr>
            <w:r>
              <w:rPr>
                <w:sz w:val="20"/>
              </w:rPr>
              <w:t>11</w:t>
            </w:r>
          </w:p>
        </w:tc>
        <w:tc>
          <w:tcPr>
            <w:tcW w:w="1268" w:type="dxa"/>
            <w:tcBorders>
              <w:top w:val="nil"/>
              <w:left w:val="nil"/>
              <w:bottom w:val="single" w:sz="4" w:space="0" w:color="auto"/>
              <w:right w:val="single" w:sz="4" w:space="0" w:color="auto"/>
            </w:tcBorders>
            <w:shd w:val="clear" w:color="auto" w:fill="auto"/>
            <w:noWrap/>
            <w:vAlign w:val="center"/>
            <w:hideMark/>
          </w:tcPr>
          <w:p w14:paraId="40D507DF" w14:textId="3188F60A" w:rsidR="004A7081" w:rsidRPr="00463B87" w:rsidRDefault="004A7081" w:rsidP="00172925">
            <w:pPr>
              <w:jc w:val="right"/>
              <w:rPr>
                <w:sz w:val="20"/>
                <w:szCs w:val="20"/>
              </w:rPr>
            </w:pPr>
            <w:r>
              <w:rPr>
                <w:sz w:val="20"/>
              </w:rPr>
              <w:t>2</w:t>
            </w:r>
            <w:r w:rsidR="000245C4">
              <w:rPr>
                <w:sz w:val="20"/>
              </w:rPr>
              <w:t> </w:t>
            </w:r>
            <w:r>
              <w:rPr>
                <w:sz w:val="20"/>
              </w:rPr>
              <w:t>605</w:t>
            </w:r>
            <w:r w:rsidR="000245C4">
              <w:rPr>
                <w:sz w:val="20"/>
              </w:rPr>
              <w:t> </w:t>
            </w:r>
            <w:r>
              <w:rPr>
                <w:sz w:val="20"/>
              </w:rPr>
              <w:t>614</w:t>
            </w:r>
          </w:p>
        </w:tc>
        <w:tc>
          <w:tcPr>
            <w:tcW w:w="1269" w:type="dxa"/>
            <w:tcBorders>
              <w:top w:val="nil"/>
              <w:left w:val="nil"/>
              <w:bottom w:val="single" w:sz="4" w:space="0" w:color="auto"/>
              <w:right w:val="single" w:sz="4" w:space="0" w:color="auto"/>
            </w:tcBorders>
            <w:shd w:val="clear" w:color="auto" w:fill="auto"/>
            <w:noWrap/>
            <w:vAlign w:val="center"/>
            <w:hideMark/>
          </w:tcPr>
          <w:p w14:paraId="479BD326" w14:textId="2733A7BF" w:rsidR="004A7081" w:rsidRPr="00463B87" w:rsidRDefault="004A7081" w:rsidP="00172925">
            <w:pPr>
              <w:jc w:val="right"/>
              <w:rPr>
                <w:sz w:val="20"/>
                <w:szCs w:val="20"/>
              </w:rPr>
            </w:pPr>
            <w:r>
              <w:rPr>
                <w:sz w:val="20"/>
              </w:rPr>
              <w:t>1</w:t>
            </w:r>
            <w:r w:rsidR="000245C4">
              <w:rPr>
                <w:sz w:val="20"/>
              </w:rPr>
              <w:t> </w:t>
            </w:r>
            <w:r>
              <w:rPr>
                <w:sz w:val="20"/>
              </w:rPr>
              <w:t>254</w:t>
            </w:r>
            <w:r w:rsidR="000245C4">
              <w:rPr>
                <w:sz w:val="20"/>
              </w:rPr>
              <w:t> </w:t>
            </w:r>
            <w:r>
              <w:rPr>
                <w:sz w:val="20"/>
              </w:rPr>
              <w:t>898</w:t>
            </w:r>
          </w:p>
        </w:tc>
        <w:tc>
          <w:tcPr>
            <w:tcW w:w="1269" w:type="dxa"/>
            <w:tcBorders>
              <w:top w:val="nil"/>
              <w:left w:val="nil"/>
              <w:bottom w:val="single" w:sz="4" w:space="0" w:color="auto"/>
              <w:right w:val="single" w:sz="4" w:space="0" w:color="auto"/>
            </w:tcBorders>
            <w:shd w:val="clear" w:color="auto" w:fill="auto"/>
            <w:noWrap/>
            <w:vAlign w:val="center"/>
            <w:hideMark/>
          </w:tcPr>
          <w:p w14:paraId="40002A2D" w14:textId="03AAFFED" w:rsidR="004A7081" w:rsidRPr="00463B87" w:rsidRDefault="004A7081" w:rsidP="00172925">
            <w:pPr>
              <w:jc w:val="right"/>
              <w:rPr>
                <w:sz w:val="20"/>
                <w:szCs w:val="20"/>
              </w:rPr>
            </w:pPr>
            <w:r>
              <w:rPr>
                <w:sz w:val="20"/>
              </w:rPr>
              <w:t>1</w:t>
            </w:r>
            <w:r w:rsidR="000245C4">
              <w:rPr>
                <w:sz w:val="20"/>
              </w:rPr>
              <w:t> </w:t>
            </w:r>
            <w:r>
              <w:rPr>
                <w:sz w:val="20"/>
              </w:rPr>
              <w:t>350</w:t>
            </w:r>
            <w:r w:rsidR="000245C4">
              <w:rPr>
                <w:sz w:val="20"/>
              </w:rPr>
              <w:t> </w:t>
            </w:r>
            <w:r>
              <w:rPr>
                <w:sz w:val="20"/>
              </w:rPr>
              <w:t>716</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15EE43A" w14:textId="77777777" w:rsidR="004A7081" w:rsidRPr="00463B87" w:rsidRDefault="004A7081" w:rsidP="00172925">
            <w:pPr>
              <w:jc w:val="right"/>
              <w:rPr>
                <w:sz w:val="20"/>
                <w:szCs w:val="20"/>
              </w:rPr>
            </w:pPr>
            <w:r>
              <w:rPr>
                <w:sz w:val="20"/>
              </w:rPr>
              <w:t>48</w:t>
            </w:r>
          </w:p>
        </w:tc>
      </w:tr>
      <w:tr w:rsidR="004A7081" w:rsidRPr="00463B87" w14:paraId="3706EF59"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30EB9E9" w14:textId="77777777" w:rsidR="004A7081" w:rsidRPr="00463B87" w:rsidRDefault="004A7081" w:rsidP="00172925">
            <w:pPr>
              <w:jc w:val="left"/>
              <w:rPr>
                <w:sz w:val="20"/>
                <w:szCs w:val="20"/>
              </w:rPr>
            </w:pPr>
            <w:r>
              <w:rPr>
                <w:sz w:val="20"/>
              </w:rPr>
              <w:t>2018</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6FEF9B6" w14:textId="77777777" w:rsidR="004A7081" w:rsidRPr="00463B87" w:rsidRDefault="004A7081" w:rsidP="00172925">
            <w:pPr>
              <w:jc w:val="right"/>
              <w:rPr>
                <w:sz w:val="20"/>
                <w:szCs w:val="20"/>
              </w:rPr>
            </w:pPr>
            <w:r>
              <w:rPr>
                <w:sz w:val="20"/>
              </w:rPr>
              <w:t>16</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EBE7B55" w14:textId="77777777" w:rsidR="004A7081" w:rsidRPr="00463B87" w:rsidRDefault="004A7081" w:rsidP="00172925">
            <w:pPr>
              <w:jc w:val="right"/>
              <w:rPr>
                <w:sz w:val="20"/>
                <w:szCs w:val="20"/>
              </w:rPr>
            </w:pPr>
            <w:r>
              <w:rPr>
                <w:sz w:val="20"/>
              </w:rPr>
              <w:t>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C8E38E9" w14:textId="77777777" w:rsidR="004A7081" w:rsidRPr="00463B87" w:rsidRDefault="004A7081" w:rsidP="00172925">
            <w:pPr>
              <w:jc w:val="right"/>
              <w:rPr>
                <w:sz w:val="20"/>
                <w:szCs w:val="20"/>
              </w:rPr>
            </w:pPr>
            <w:r>
              <w:rPr>
                <w:sz w:val="20"/>
              </w:rPr>
              <w:t>0</w:t>
            </w:r>
          </w:p>
        </w:tc>
        <w:tc>
          <w:tcPr>
            <w:tcW w:w="1268" w:type="dxa"/>
            <w:tcBorders>
              <w:top w:val="nil"/>
              <w:left w:val="nil"/>
              <w:bottom w:val="single" w:sz="4" w:space="0" w:color="auto"/>
              <w:right w:val="single" w:sz="4" w:space="0" w:color="auto"/>
            </w:tcBorders>
            <w:shd w:val="clear" w:color="auto" w:fill="auto"/>
            <w:noWrap/>
            <w:vAlign w:val="center"/>
            <w:hideMark/>
          </w:tcPr>
          <w:p w14:paraId="4729EBA1" w14:textId="66E55878" w:rsidR="004A7081" w:rsidRPr="00463B87" w:rsidRDefault="004A7081" w:rsidP="00172925">
            <w:pPr>
              <w:jc w:val="right"/>
              <w:rPr>
                <w:sz w:val="20"/>
                <w:szCs w:val="20"/>
              </w:rPr>
            </w:pPr>
            <w:r>
              <w:rPr>
                <w:sz w:val="20"/>
              </w:rPr>
              <w:t>7</w:t>
            </w:r>
            <w:r w:rsidR="000245C4">
              <w:rPr>
                <w:sz w:val="20"/>
              </w:rPr>
              <w:t> </w:t>
            </w:r>
            <w:r>
              <w:rPr>
                <w:sz w:val="20"/>
              </w:rPr>
              <w:t>050</w:t>
            </w:r>
            <w:r w:rsidR="000245C4">
              <w:rPr>
                <w:sz w:val="20"/>
              </w:rPr>
              <w:t> </w:t>
            </w:r>
            <w:r>
              <w:rPr>
                <w:sz w:val="20"/>
              </w:rPr>
              <w:t>550</w:t>
            </w:r>
          </w:p>
        </w:tc>
        <w:tc>
          <w:tcPr>
            <w:tcW w:w="1269" w:type="dxa"/>
            <w:tcBorders>
              <w:top w:val="nil"/>
              <w:left w:val="nil"/>
              <w:bottom w:val="single" w:sz="4" w:space="0" w:color="auto"/>
              <w:right w:val="single" w:sz="4" w:space="0" w:color="auto"/>
            </w:tcBorders>
            <w:shd w:val="clear" w:color="auto" w:fill="auto"/>
            <w:noWrap/>
            <w:vAlign w:val="center"/>
            <w:hideMark/>
          </w:tcPr>
          <w:p w14:paraId="2E41670A" w14:textId="073D7878" w:rsidR="004A7081" w:rsidRPr="00463B87" w:rsidRDefault="004A7081" w:rsidP="00172925">
            <w:pPr>
              <w:jc w:val="right"/>
              <w:rPr>
                <w:sz w:val="20"/>
                <w:szCs w:val="20"/>
              </w:rPr>
            </w:pPr>
            <w:r>
              <w:rPr>
                <w:sz w:val="20"/>
              </w:rPr>
              <w:t>1</w:t>
            </w:r>
            <w:r w:rsidR="000245C4">
              <w:rPr>
                <w:sz w:val="20"/>
              </w:rPr>
              <w:t> </w:t>
            </w:r>
            <w:r>
              <w:rPr>
                <w:sz w:val="20"/>
              </w:rPr>
              <w:t>684</w:t>
            </w:r>
            <w:r w:rsidR="000245C4">
              <w:rPr>
                <w:sz w:val="20"/>
              </w:rPr>
              <w:t> </w:t>
            </w:r>
            <w:r>
              <w:rPr>
                <w:sz w:val="20"/>
              </w:rPr>
              <w:t>377</w:t>
            </w:r>
          </w:p>
        </w:tc>
        <w:tc>
          <w:tcPr>
            <w:tcW w:w="1269" w:type="dxa"/>
            <w:tcBorders>
              <w:top w:val="nil"/>
              <w:left w:val="nil"/>
              <w:bottom w:val="single" w:sz="4" w:space="0" w:color="auto"/>
              <w:right w:val="single" w:sz="4" w:space="0" w:color="auto"/>
            </w:tcBorders>
            <w:shd w:val="clear" w:color="auto" w:fill="auto"/>
            <w:noWrap/>
            <w:vAlign w:val="center"/>
            <w:hideMark/>
          </w:tcPr>
          <w:p w14:paraId="1E1AC586" w14:textId="66282398" w:rsidR="004A7081" w:rsidRPr="00463B87" w:rsidRDefault="004A7081" w:rsidP="00172925">
            <w:pPr>
              <w:jc w:val="right"/>
              <w:rPr>
                <w:sz w:val="20"/>
                <w:szCs w:val="20"/>
              </w:rPr>
            </w:pPr>
            <w:r>
              <w:rPr>
                <w:sz w:val="20"/>
              </w:rPr>
              <w:t>5</w:t>
            </w:r>
            <w:r w:rsidR="000245C4">
              <w:rPr>
                <w:sz w:val="20"/>
              </w:rPr>
              <w:t> </w:t>
            </w:r>
            <w:r>
              <w:rPr>
                <w:sz w:val="20"/>
              </w:rPr>
              <w:t>366</w:t>
            </w:r>
            <w:r w:rsidR="000245C4">
              <w:rPr>
                <w:sz w:val="20"/>
              </w:rPr>
              <w:t> </w:t>
            </w:r>
            <w:r>
              <w:rPr>
                <w:sz w:val="20"/>
              </w:rPr>
              <w:t>173</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41865D3" w14:textId="77777777" w:rsidR="004A7081" w:rsidRPr="00463B87" w:rsidRDefault="004A7081" w:rsidP="00172925">
            <w:pPr>
              <w:jc w:val="right"/>
              <w:rPr>
                <w:sz w:val="20"/>
                <w:szCs w:val="20"/>
              </w:rPr>
            </w:pPr>
            <w:r>
              <w:rPr>
                <w:sz w:val="20"/>
              </w:rPr>
              <w:t>24</w:t>
            </w:r>
          </w:p>
        </w:tc>
      </w:tr>
      <w:tr w:rsidR="004A7081" w:rsidRPr="00463B87" w14:paraId="0FE6965C"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018FCCE" w14:textId="77777777" w:rsidR="004A7081" w:rsidRPr="00463B87" w:rsidRDefault="004A7081" w:rsidP="00172925">
            <w:pPr>
              <w:jc w:val="left"/>
              <w:rPr>
                <w:sz w:val="20"/>
                <w:szCs w:val="20"/>
              </w:rPr>
            </w:pPr>
            <w:r>
              <w:rPr>
                <w:sz w:val="20"/>
              </w:rPr>
              <w:t>2019</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9A72BA5" w14:textId="77777777" w:rsidR="004A7081" w:rsidRPr="00463B87" w:rsidRDefault="004A7081" w:rsidP="00172925">
            <w:pPr>
              <w:jc w:val="right"/>
              <w:rPr>
                <w:sz w:val="20"/>
                <w:szCs w:val="20"/>
              </w:rPr>
            </w:pPr>
            <w:r>
              <w:rPr>
                <w:sz w:val="20"/>
              </w:rPr>
              <w:t>6</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D425DB7" w14:textId="77777777" w:rsidR="004A7081" w:rsidRPr="00463B87" w:rsidRDefault="004A7081" w:rsidP="00172925">
            <w:pPr>
              <w:jc w:val="right"/>
              <w:rPr>
                <w:sz w:val="20"/>
                <w:szCs w:val="20"/>
              </w:rPr>
            </w:pPr>
            <w:r>
              <w:rPr>
                <w:sz w:val="20"/>
              </w:rPr>
              <w:t>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6120A3A" w14:textId="77777777" w:rsidR="004A7081" w:rsidRPr="00463B87" w:rsidRDefault="004A7081" w:rsidP="00172925">
            <w:pPr>
              <w:jc w:val="right"/>
              <w:rPr>
                <w:sz w:val="20"/>
                <w:szCs w:val="20"/>
              </w:rPr>
            </w:pPr>
            <w:r>
              <w:rPr>
                <w:sz w:val="20"/>
              </w:rPr>
              <w:t>0</w:t>
            </w:r>
          </w:p>
        </w:tc>
        <w:tc>
          <w:tcPr>
            <w:tcW w:w="1268" w:type="dxa"/>
            <w:tcBorders>
              <w:top w:val="nil"/>
              <w:left w:val="nil"/>
              <w:bottom w:val="single" w:sz="4" w:space="0" w:color="auto"/>
              <w:right w:val="single" w:sz="4" w:space="0" w:color="auto"/>
            </w:tcBorders>
            <w:shd w:val="clear" w:color="auto" w:fill="auto"/>
            <w:noWrap/>
            <w:vAlign w:val="center"/>
            <w:hideMark/>
          </w:tcPr>
          <w:p w14:paraId="4D1F1741" w14:textId="2DF5BC31" w:rsidR="004A7081" w:rsidRPr="00463B87" w:rsidRDefault="004A7081" w:rsidP="00172925">
            <w:pPr>
              <w:jc w:val="right"/>
              <w:rPr>
                <w:sz w:val="20"/>
                <w:szCs w:val="20"/>
              </w:rPr>
            </w:pPr>
            <w:r>
              <w:rPr>
                <w:sz w:val="20"/>
              </w:rPr>
              <w:t>1</w:t>
            </w:r>
            <w:r w:rsidR="000245C4">
              <w:rPr>
                <w:sz w:val="20"/>
              </w:rPr>
              <w:t> </w:t>
            </w:r>
            <w:r>
              <w:rPr>
                <w:sz w:val="20"/>
              </w:rPr>
              <w:t>941</w:t>
            </w:r>
            <w:r w:rsidR="000245C4">
              <w:rPr>
                <w:sz w:val="20"/>
              </w:rPr>
              <w:t> </w:t>
            </w:r>
            <w:r>
              <w:rPr>
                <w:sz w:val="20"/>
              </w:rPr>
              <w:t>319</w:t>
            </w:r>
          </w:p>
        </w:tc>
        <w:tc>
          <w:tcPr>
            <w:tcW w:w="1269" w:type="dxa"/>
            <w:tcBorders>
              <w:top w:val="nil"/>
              <w:left w:val="nil"/>
              <w:bottom w:val="single" w:sz="4" w:space="0" w:color="auto"/>
              <w:right w:val="single" w:sz="4" w:space="0" w:color="auto"/>
            </w:tcBorders>
            <w:shd w:val="clear" w:color="auto" w:fill="auto"/>
            <w:noWrap/>
            <w:vAlign w:val="center"/>
            <w:hideMark/>
          </w:tcPr>
          <w:p w14:paraId="3CCBFDB1" w14:textId="325BFDD8" w:rsidR="004A7081" w:rsidRPr="00463B87" w:rsidRDefault="004A7081" w:rsidP="00172925">
            <w:pPr>
              <w:jc w:val="right"/>
              <w:rPr>
                <w:sz w:val="20"/>
                <w:szCs w:val="20"/>
              </w:rPr>
            </w:pPr>
            <w:r>
              <w:rPr>
                <w:sz w:val="20"/>
              </w:rPr>
              <w:t>380</w:t>
            </w:r>
            <w:r w:rsidR="000245C4">
              <w:rPr>
                <w:sz w:val="20"/>
              </w:rPr>
              <w:t> </w:t>
            </w:r>
            <w:r>
              <w:rPr>
                <w:sz w:val="20"/>
              </w:rPr>
              <w:t>468</w:t>
            </w:r>
          </w:p>
        </w:tc>
        <w:tc>
          <w:tcPr>
            <w:tcW w:w="1269" w:type="dxa"/>
            <w:tcBorders>
              <w:top w:val="nil"/>
              <w:left w:val="nil"/>
              <w:bottom w:val="single" w:sz="4" w:space="0" w:color="auto"/>
              <w:right w:val="single" w:sz="4" w:space="0" w:color="auto"/>
            </w:tcBorders>
            <w:shd w:val="clear" w:color="auto" w:fill="auto"/>
            <w:noWrap/>
            <w:vAlign w:val="center"/>
            <w:hideMark/>
          </w:tcPr>
          <w:p w14:paraId="78D04A69" w14:textId="63B98843" w:rsidR="004A7081" w:rsidRPr="00463B87" w:rsidRDefault="004A7081" w:rsidP="00172925">
            <w:pPr>
              <w:jc w:val="right"/>
              <w:rPr>
                <w:sz w:val="20"/>
                <w:szCs w:val="20"/>
              </w:rPr>
            </w:pPr>
            <w:r>
              <w:rPr>
                <w:sz w:val="20"/>
              </w:rPr>
              <w:t>1</w:t>
            </w:r>
            <w:r w:rsidR="000245C4">
              <w:rPr>
                <w:sz w:val="20"/>
              </w:rPr>
              <w:t> </w:t>
            </w:r>
            <w:r>
              <w:rPr>
                <w:sz w:val="20"/>
              </w:rPr>
              <w:t>560</w:t>
            </w:r>
            <w:r w:rsidR="000245C4">
              <w:rPr>
                <w:sz w:val="20"/>
              </w:rPr>
              <w:t> </w:t>
            </w:r>
            <w:r>
              <w:rPr>
                <w:sz w:val="20"/>
              </w:rPr>
              <w:t>851</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9C3998D" w14:textId="77777777" w:rsidR="004A7081" w:rsidRPr="00463B87" w:rsidRDefault="004A7081" w:rsidP="00172925">
            <w:pPr>
              <w:jc w:val="right"/>
              <w:rPr>
                <w:sz w:val="20"/>
                <w:szCs w:val="20"/>
              </w:rPr>
            </w:pPr>
            <w:r>
              <w:rPr>
                <w:sz w:val="20"/>
              </w:rPr>
              <w:t>20</w:t>
            </w:r>
          </w:p>
        </w:tc>
      </w:tr>
      <w:tr w:rsidR="004A7081" w:rsidRPr="00463B87" w14:paraId="680B446C" w14:textId="77777777" w:rsidTr="00172925">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C22FCA0" w14:textId="77777777" w:rsidR="004A7081" w:rsidRPr="00463B87" w:rsidRDefault="004A7081" w:rsidP="00172925">
            <w:pPr>
              <w:jc w:val="left"/>
              <w:rPr>
                <w:b/>
                <w:bCs/>
                <w:sz w:val="20"/>
                <w:szCs w:val="20"/>
              </w:rPr>
            </w:pPr>
            <w:r>
              <w:rPr>
                <w:b/>
                <w:sz w:val="20"/>
              </w:rPr>
              <w:t>Total</w:t>
            </w:r>
          </w:p>
        </w:tc>
        <w:tc>
          <w:tcPr>
            <w:tcW w:w="118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5423842" w14:textId="77777777" w:rsidR="004A7081" w:rsidRPr="00463B87" w:rsidRDefault="004A7081" w:rsidP="00172925">
            <w:pPr>
              <w:jc w:val="right"/>
              <w:rPr>
                <w:b/>
                <w:bCs/>
                <w:sz w:val="20"/>
                <w:szCs w:val="20"/>
              </w:rPr>
            </w:pPr>
            <w:r>
              <w:rPr>
                <w:b/>
                <w:sz w:val="20"/>
              </w:rPr>
              <w:t>690</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874DCF2" w14:textId="77777777" w:rsidR="004A7081" w:rsidRPr="00463B87" w:rsidRDefault="004A7081" w:rsidP="00172925">
            <w:pPr>
              <w:jc w:val="right"/>
              <w:rPr>
                <w:b/>
                <w:bCs/>
                <w:sz w:val="20"/>
                <w:szCs w:val="20"/>
              </w:rPr>
            </w:pPr>
            <w:r>
              <w:rPr>
                <w:b/>
                <w:sz w:val="20"/>
              </w:rPr>
              <w:t>641</w:t>
            </w:r>
          </w:p>
        </w:tc>
        <w:tc>
          <w:tcPr>
            <w:tcW w:w="118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64D06C2" w14:textId="77777777" w:rsidR="004A7081" w:rsidRPr="00463B87" w:rsidRDefault="004A7081" w:rsidP="00172925">
            <w:pPr>
              <w:jc w:val="right"/>
              <w:rPr>
                <w:b/>
                <w:bCs/>
                <w:sz w:val="20"/>
                <w:szCs w:val="20"/>
              </w:rPr>
            </w:pPr>
            <w:r>
              <w:rPr>
                <w:b/>
                <w:sz w:val="20"/>
              </w:rPr>
              <w:t>93</w:t>
            </w:r>
          </w:p>
        </w:tc>
        <w:tc>
          <w:tcPr>
            <w:tcW w:w="1268" w:type="dxa"/>
            <w:tcBorders>
              <w:top w:val="nil"/>
              <w:left w:val="nil"/>
              <w:bottom w:val="single" w:sz="4" w:space="0" w:color="auto"/>
              <w:right w:val="single" w:sz="4" w:space="0" w:color="auto"/>
            </w:tcBorders>
            <w:shd w:val="clear" w:color="auto" w:fill="auto"/>
            <w:noWrap/>
            <w:vAlign w:val="center"/>
            <w:hideMark/>
          </w:tcPr>
          <w:p w14:paraId="240907F6" w14:textId="74C81ECD" w:rsidR="004A7081" w:rsidRPr="00463B87" w:rsidRDefault="004A7081" w:rsidP="00172925">
            <w:pPr>
              <w:jc w:val="right"/>
              <w:rPr>
                <w:b/>
                <w:bCs/>
                <w:sz w:val="20"/>
                <w:szCs w:val="20"/>
              </w:rPr>
            </w:pPr>
            <w:r>
              <w:rPr>
                <w:b/>
                <w:sz w:val="20"/>
              </w:rPr>
              <w:t>158</w:t>
            </w:r>
            <w:r w:rsidR="000245C4">
              <w:rPr>
                <w:b/>
                <w:sz w:val="20"/>
              </w:rPr>
              <w:t> </w:t>
            </w:r>
            <w:r>
              <w:rPr>
                <w:b/>
                <w:sz w:val="20"/>
              </w:rPr>
              <w:t>304</w:t>
            </w:r>
            <w:r w:rsidR="000245C4">
              <w:rPr>
                <w:b/>
                <w:sz w:val="20"/>
              </w:rPr>
              <w:t> </w:t>
            </w:r>
            <w:r>
              <w:rPr>
                <w:b/>
                <w:sz w:val="20"/>
              </w:rPr>
              <w:t>429</w:t>
            </w:r>
          </w:p>
        </w:tc>
        <w:tc>
          <w:tcPr>
            <w:tcW w:w="1269" w:type="dxa"/>
            <w:tcBorders>
              <w:top w:val="nil"/>
              <w:left w:val="nil"/>
              <w:bottom w:val="single" w:sz="4" w:space="0" w:color="auto"/>
              <w:right w:val="single" w:sz="4" w:space="0" w:color="auto"/>
            </w:tcBorders>
            <w:shd w:val="clear" w:color="auto" w:fill="auto"/>
            <w:noWrap/>
            <w:vAlign w:val="center"/>
            <w:hideMark/>
          </w:tcPr>
          <w:p w14:paraId="098326C9" w14:textId="51AC569C" w:rsidR="004A7081" w:rsidRPr="00463B87" w:rsidRDefault="004A7081" w:rsidP="00172925">
            <w:pPr>
              <w:jc w:val="right"/>
              <w:rPr>
                <w:b/>
                <w:bCs/>
                <w:sz w:val="20"/>
                <w:szCs w:val="20"/>
              </w:rPr>
            </w:pPr>
            <w:r>
              <w:rPr>
                <w:b/>
                <w:sz w:val="20"/>
              </w:rPr>
              <w:t>147</w:t>
            </w:r>
            <w:r w:rsidR="000245C4">
              <w:rPr>
                <w:b/>
                <w:sz w:val="20"/>
              </w:rPr>
              <w:t> </w:t>
            </w:r>
            <w:r>
              <w:rPr>
                <w:b/>
                <w:sz w:val="20"/>
              </w:rPr>
              <w:t>459</w:t>
            </w:r>
            <w:r w:rsidR="000245C4">
              <w:rPr>
                <w:b/>
                <w:sz w:val="20"/>
              </w:rPr>
              <w:t> </w:t>
            </w:r>
            <w:r>
              <w:rPr>
                <w:b/>
                <w:sz w:val="20"/>
              </w:rPr>
              <w:t>319</w:t>
            </w:r>
          </w:p>
        </w:tc>
        <w:tc>
          <w:tcPr>
            <w:tcW w:w="1269" w:type="dxa"/>
            <w:tcBorders>
              <w:top w:val="nil"/>
              <w:left w:val="nil"/>
              <w:bottom w:val="single" w:sz="4" w:space="0" w:color="auto"/>
              <w:right w:val="single" w:sz="4" w:space="0" w:color="auto"/>
            </w:tcBorders>
            <w:shd w:val="clear" w:color="auto" w:fill="auto"/>
            <w:noWrap/>
            <w:vAlign w:val="center"/>
            <w:hideMark/>
          </w:tcPr>
          <w:p w14:paraId="0773AC43" w14:textId="0CFCE142" w:rsidR="004A7081" w:rsidRPr="00463B87" w:rsidRDefault="004A7081" w:rsidP="00172925">
            <w:pPr>
              <w:jc w:val="right"/>
              <w:rPr>
                <w:b/>
                <w:bCs/>
                <w:sz w:val="20"/>
                <w:szCs w:val="20"/>
              </w:rPr>
            </w:pPr>
            <w:r>
              <w:rPr>
                <w:b/>
                <w:sz w:val="20"/>
              </w:rPr>
              <w:t>10</w:t>
            </w:r>
            <w:r w:rsidR="000245C4">
              <w:rPr>
                <w:b/>
                <w:sz w:val="20"/>
              </w:rPr>
              <w:t> </w:t>
            </w:r>
            <w:r>
              <w:rPr>
                <w:b/>
                <w:sz w:val="20"/>
              </w:rPr>
              <w:t>845</w:t>
            </w:r>
            <w:r w:rsidR="000245C4">
              <w:rPr>
                <w:b/>
                <w:sz w:val="20"/>
              </w:rPr>
              <w:t> </w:t>
            </w:r>
            <w:r>
              <w:rPr>
                <w:b/>
                <w:sz w:val="20"/>
              </w:rPr>
              <w:t>111</w:t>
            </w:r>
          </w:p>
        </w:tc>
        <w:tc>
          <w:tcPr>
            <w:tcW w:w="1269"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BA44580" w14:textId="77777777" w:rsidR="004A7081" w:rsidRPr="00463B87" w:rsidRDefault="004A7081" w:rsidP="00172925">
            <w:pPr>
              <w:jc w:val="right"/>
              <w:rPr>
                <w:b/>
                <w:bCs/>
                <w:sz w:val="20"/>
                <w:szCs w:val="20"/>
              </w:rPr>
            </w:pPr>
            <w:r>
              <w:rPr>
                <w:b/>
                <w:sz w:val="20"/>
              </w:rPr>
              <w:t>93</w:t>
            </w:r>
          </w:p>
        </w:tc>
      </w:tr>
    </w:tbl>
    <w:p w14:paraId="134CC611" w14:textId="77777777" w:rsidR="004A7081" w:rsidRPr="0072455F" w:rsidRDefault="004A7081" w:rsidP="00172925">
      <w:pPr>
        <w:rPr>
          <w:sz w:val="19"/>
          <w:szCs w:val="19"/>
          <w:lang w:val="es-419"/>
        </w:rPr>
      </w:pPr>
      <w:r w:rsidRPr="0072455F">
        <w:rPr>
          <w:sz w:val="19"/>
          <w:lang w:val="es-419"/>
        </w:rPr>
        <w:t>* Excluidos los proyectos cerrados y transferidos.</w:t>
      </w:r>
    </w:p>
    <w:p w14:paraId="0357440F" w14:textId="77777777" w:rsidR="004A7081" w:rsidRPr="0072455F" w:rsidRDefault="004A7081" w:rsidP="00172925">
      <w:pPr>
        <w:rPr>
          <w:sz w:val="19"/>
          <w:szCs w:val="19"/>
          <w:lang w:val="es-419"/>
        </w:rPr>
      </w:pPr>
      <w:r w:rsidRPr="0072455F">
        <w:rPr>
          <w:sz w:val="19"/>
          <w:lang w:val="es-419"/>
        </w:rPr>
        <w:t xml:space="preserve">** Excluidos los gastos de apoyo del organismo. </w:t>
      </w:r>
    </w:p>
    <w:p w14:paraId="45DAAAAC" w14:textId="77777777" w:rsidR="004A7081" w:rsidRPr="0072455F" w:rsidRDefault="004A7081" w:rsidP="00172925">
      <w:pPr>
        <w:rPr>
          <w:sz w:val="20"/>
          <w:szCs w:val="20"/>
          <w:lang w:val="es-419"/>
        </w:rPr>
      </w:pPr>
    </w:p>
    <w:p w14:paraId="70D25D4D" w14:textId="77777777" w:rsidR="004A7081" w:rsidRPr="0072455F" w:rsidRDefault="004A7081" w:rsidP="00172925">
      <w:pPr>
        <w:pStyle w:val="Heading1"/>
        <w:rPr>
          <w:lang w:val="es-419"/>
        </w:rPr>
      </w:pPr>
      <w:r w:rsidRPr="0072455F">
        <w:rPr>
          <w:lang w:val="es-419"/>
        </w:rPr>
        <w:lastRenderedPageBreak/>
        <w:t>En el Cuadro 4 se presenta un resumen de los proyectos relacionados con los HFC aprobados con cargo a las contribuciones ordinarias.</w:t>
      </w:r>
    </w:p>
    <w:p w14:paraId="5152447D" w14:textId="77777777" w:rsidR="004A7081" w:rsidRPr="0072455F" w:rsidRDefault="004A7081" w:rsidP="00172925">
      <w:pPr>
        <w:rPr>
          <w:b/>
          <w:lang w:val="es-419"/>
        </w:rPr>
      </w:pPr>
      <w:r w:rsidRPr="0072455F">
        <w:rPr>
          <w:b/>
          <w:lang w:val="es-419"/>
        </w:rPr>
        <w:t>Cuadro 4. Proyectos relacionados con los HFC aprobados con cargo a las contribuciones ordinarias</w:t>
      </w:r>
    </w:p>
    <w:tbl>
      <w:tblPr>
        <w:tblW w:w="9676" w:type="dxa"/>
        <w:tblInd w:w="-5" w:type="dxa"/>
        <w:tblLayout w:type="fixed"/>
        <w:tblLook w:val="04A0" w:firstRow="1" w:lastRow="0" w:firstColumn="1" w:lastColumn="0" w:noHBand="0" w:noVBand="1"/>
      </w:tblPr>
      <w:tblGrid>
        <w:gridCol w:w="2022"/>
        <w:gridCol w:w="1074"/>
        <w:gridCol w:w="1075"/>
        <w:gridCol w:w="1075"/>
        <w:gridCol w:w="1106"/>
        <w:gridCol w:w="1106"/>
        <w:gridCol w:w="1106"/>
        <w:gridCol w:w="1112"/>
      </w:tblGrid>
      <w:tr w:rsidR="004A7081" w:rsidRPr="00463B87" w14:paraId="4848BD64" w14:textId="77777777" w:rsidTr="00172925">
        <w:trPr>
          <w:trHeight w:val="95"/>
        </w:trPr>
        <w:tc>
          <w:tcPr>
            <w:tcW w:w="2022"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C1A5071" w14:textId="77777777" w:rsidR="004A7081" w:rsidRPr="00463B87" w:rsidRDefault="004A7081" w:rsidP="00172925">
            <w:pPr>
              <w:jc w:val="left"/>
              <w:rPr>
                <w:b/>
                <w:bCs/>
                <w:sz w:val="20"/>
                <w:szCs w:val="20"/>
              </w:rPr>
            </w:pPr>
            <w:proofErr w:type="spellStart"/>
            <w:r>
              <w:rPr>
                <w:b/>
                <w:sz w:val="20"/>
              </w:rPr>
              <w:t>Tipo</w:t>
            </w:r>
            <w:proofErr w:type="spellEnd"/>
          </w:p>
        </w:tc>
        <w:tc>
          <w:tcPr>
            <w:tcW w:w="3224"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788CE181" w14:textId="77777777" w:rsidR="004A7081" w:rsidRPr="00463B87" w:rsidRDefault="004A7081" w:rsidP="00172925">
            <w:pPr>
              <w:jc w:val="center"/>
              <w:rPr>
                <w:b/>
                <w:bCs/>
                <w:sz w:val="20"/>
                <w:szCs w:val="20"/>
              </w:rPr>
            </w:pPr>
            <w:proofErr w:type="spellStart"/>
            <w:r>
              <w:rPr>
                <w:b/>
                <w:sz w:val="20"/>
              </w:rPr>
              <w:t>Cantidad</w:t>
            </w:r>
            <w:proofErr w:type="spellEnd"/>
            <w:r>
              <w:rPr>
                <w:b/>
                <w:sz w:val="20"/>
              </w:rPr>
              <w:t xml:space="preserve"> de </w:t>
            </w:r>
            <w:proofErr w:type="spellStart"/>
            <w:r>
              <w:rPr>
                <w:b/>
                <w:sz w:val="20"/>
              </w:rPr>
              <w:t>proyectos</w:t>
            </w:r>
            <w:proofErr w:type="spellEnd"/>
          </w:p>
        </w:tc>
        <w:tc>
          <w:tcPr>
            <w:tcW w:w="4430"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4FB405A0" w14:textId="77777777" w:rsidR="004A7081" w:rsidRPr="00463B87" w:rsidRDefault="004A7081" w:rsidP="00172925">
            <w:pPr>
              <w:jc w:val="center"/>
              <w:rPr>
                <w:b/>
                <w:bCs/>
                <w:sz w:val="20"/>
                <w:szCs w:val="20"/>
              </w:rPr>
            </w:pPr>
            <w:proofErr w:type="spellStart"/>
            <w:r>
              <w:rPr>
                <w:b/>
                <w:sz w:val="20"/>
              </w:rPr>
              <w:t>Financiación</w:t>
            </w:r>
            <w:proofErr w:type="spellEnd"/>
            <w:r>
              <w:rPr>
                <w:b/>
                <w:sz w:val="20"/>
              </w:rPr>
              <w:t xml:space="preserve"> ($EUA)*</w:t>
            </w:r>
          </w:p>
        </w:tc>
      </w:tr>
      <w:tr w:rsidR="004A7081" w:rsidRPr="00463B87" w14:paraId="144CEC45" w14:textId="77777777" w:rsidTr="00172925">
        <w:trPr>
          <w:trHeight w:val="228"/>
        </w:trPr>
        <w:tc>
          <w:tcPr>
            <w:tcW w:w="2022"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29967F3E" w14:textId="77777777" w:rsidR="004A7081" w:rsidRPr="00463B87" w:rsidRDefault="004A7081" w:rsidP="00172925">
            <w:pPr>
              <w:jc w:val="left"/>
              <w:rPr>
                <w:b/>
                <w:bCs/>
                <w:sz w:val="20"/>
                <w:szCs w:val="20"/>
                <w:lang w:val="en-CA" w:eastAsia="en-CA"/>
              </w:rPr>
            </w:pPr>
          </w:p>
        </w:tc>
        <w:tc>
          <w:tcPr>
            <w:tcW w:w="107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9C462B" w14:textId="77777777" w:rsidR="004A7081" w:rsidRPr="00463B87" w:rsidRDefault="004A7081" w:rsidP="00172925">
            <w:pPr>
              <w:jc w:val="center"/>
              <w:rPr>
                <w:b/>
                <w:bCs/>
                <w:sz w:val="20"/>
                <w:szCs w:val="20"/>
              </w:rPr>
            </w:pPr>
            <w:proofErr w:type="spellStart"/>
            <w:r>
              <w:rPr>
                <w:b/>
                <w:sz w:val="20"/>
              </w:rPr>
              <w:t>Aprobados</w:t>
            </w:r>
            <w:proofErr w:type="spellEnd"/>
          </w:p>
        </w:tc>
        <w:tc>
          <w:tcPr>
            <w:tcW w:w="107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3C8E87" w14:textId="77777777" w:rsidR="004A7081" w:rsidRPr="00463B87" w:rsidRDefault="004A7081" w:rsidP="00172925">
            <w:pPr>
              <w:ind w:left="-191" w:right="-149"/>
              <w:jc w:val="center"/>
              <w:rPr>
                <w:b/>
                <w:bCs/>
                <w:sz w:val="20"/>
                <w:szCs w:val="20"/>
              </w:rPr>
            </w:pPr>
            <w:proofErr w:type="spellStart"/>
            <w:r>
              <w:rPr>
                <w:b/>
                <w:sz w:val="20"/>
              </w:rPr>
              <w:t>Terminados</w:t>
            </w:r>
            <w:proofErr w:type="spellEnd"/>
          </w:p>
        </w:tc>
        <w:tc>
          <w:tcPr>
            <w:tcW w:w="107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349FA5" w14:textId="77777777" w:rsidR="004A7081" w:rsidRPr="00463B87" w:rsidRDefault="004A7081" w:rsidP="00172925">
            <w:pPr>
              <w:ind w:left="-67" w:right="-109"/>
              <w:jc w:val="center"/>
              <w:rPr>
                <w:b/>
                <w:bCs/>
                <w:sz w:val="20"/>
                <w:szCs w:val="20"/>
              </w:rPr>
            </w:pPr>
            <w:r>
              <w:rPr>
                <w:b/>
                <w:sz w:val="20"/>
              </w:rPr>
              <w:t xml:space="preserve">% </w:t>
            </w:r>
            <w:proofErr w:type="spellStart"/>
            <w:r>
              <w:rPr>
                <w:b/>
                <w:sz w:val="20"/>
              </w:rPr>
              <w:t>terminados</w:t>
            </w:r>
            <w:proofErr w:type="spellEnd"/>
          </w:p>
        </w:tc>
        <w:tc>
          <w:tcPr>
            <w:tcW w:w="110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DD452D" w14:textId="5FE98343" w:rsidR="004A7081" w:rsidRPr="00463B87" w:rsidRDefault="004A7081" w:rsidP="00172925">
            <w:pPr>
              <w:jc w:val="center"/>
              <w:rPr>
                <w:b/>
                <w:bCs/>
                <w:sz w:val="20"/>
                <w:szCs w:val="20"/>
              </w:rPr>
            </w:pPr>
            <w:proofErr w:type="spellStart"/>
            <w:r>
              <w:rPr>
                <w:b/>
                <w:sz w:val="20"/>
              </w:rPr>
              <w:t>Aprobado</w:t>
            </w:r>
            <w:proofErr w:type="spellEnd"/>
          </w:p>
        </w:tc>
        <w:tc>
          <w:tcPr>
            <w:tcW w:w="110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B386B9" w14:textId="1C5D9555" w:rsidR="004A7081" w:rsidRPr="00463B87" w:rsidRDefault="004A7081" w:rsidP="00172925">
            <w:pPr>
              <w:jc w:val="center"/>
              <w:rPr>
                <w:b/>
                <w:bCs/>
                <w:sz w:val="20"/>
                <w:szCs w:val="20"/>
              </w:rPr>
            </w:pPr>
            <w:proofErr w:type="spellStart"/>
            <w:r>
              <w:rPr>
                <w:b/>
                <w:sz w:val="20"/>
              </w:rPr>
              <w:t>Desembol</w:t>
            </w:r>
            <w:r w:rsidR="000245C4">
              <w:rPr>
                <w:b/>
                <w:sz w:val="20"/>
              </w:rPr>
              <w:t>-</w:t>
            </w:r>
            <w:r>
              <w:rPr>
                <w:b/>
                <w:sz w:val="20"/>
              </w:rPr>
              <w:t>sado</w:t>
            </w:r>
            <w:proofErr w:type="spellEnd"/>
          </w:p>
        </w:tc>
        <w:tc>
          <w:tcPr>
            <w:tcW w:w="110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42399" w14:textId="77777777" w:rsidR="004A7081" w:rsidRPr="00463B87" w:rsidRDefault="004A7081" w:rsidP="00172925">
            <w:pPr>
              <w:jc w:val="center"/>
              <w:rPr>
                <w:b/>
                <w:bCs/>
                <w:sz w:val="20"/>
                <w:szCs w:val="20"/>
              </w:rPr>
            </w:pPr>
            <w:proofErr w:type="spellStart"/>
            <w:r>
              <w:rPr>
                <w:b/>
                <w:sz w:val="20"/>
              </w:rPr>
              <w:t>Saldo</w:t>
            </w:r>
            <w:proofErr w:type="spellEnd"/>
          </w:p>
        </w:tc>
        <w:tc>
          <w:tcPr>
            <w:tcW w:w="111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168DDA" w14:textId="406753CC" w:rsidR="004A7081" w:rsidRPr="00463B87" w:rsidRDefault="004A7081" w:rsidP="00172925">
            <w:pPr>
              <w:ind w:left="-111" w:right="-111"/>
              <w:jc w:val="center"/>
              <w:rPr>
                <w:b/>
                <w:bCs/>
                <w:sz w:val="20"/>
                <w:szCs w:val="20"/>
              </w:rPr>
            </w:pPr>
            <w:r>
              <w:rPr>
                <w:b/>
                <w:sz w:val="20"/>
              </w:rPr>
              <w:t>%</w:t>
            </w:r>
            <w:r w:rsidR="000245C4">
              <w:rPr>
                <w:b/>
                <w:sz w:val="20"/>
              </w:rPr>
              <w:t xml:space="preserve"> </w:t>
            </w:r>
            <w:proofErr w:type="spellStart"/>
            <w:r>
              <w:rPr>
                <w:b/>
                <w:sz w:val="20"/>
              </w:rPr>
              <w:t>desembol</w:t>
            </w:r>
            <w:r w:rsidR="000245C4">
              <w:rPr>
                <w:b/>
                <w:sz w:val="20"/>
              </w:rPr>
              <w:t>-</w:t>
            </w:r>
            <w:r>
              <w:rPr>
                <w:b/>
                <w:sz w:val="20"/>
              </w:rPr>
              <w:t>sado</w:t>
            </w:r>
            <w:proofErr w:type="spellEnd"/>
          </w:p>
        </w:tc>
      </w:tr>
      <w:tr w:rsidR="004A7081" w:rsidRPr="00463B87" w14:paraId="23DC1C2F" w14:textId="77777777" w:rsidTr="00172925">
        <w:trPr>
          <w:trHeight w:val="66"/>
        </w:trPr>
        <w:tc>
          <w:tcPr>
            <w:tcW w:w="2022"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610C125" w14:textId="77777777" w:rsidR="004A7081" w:rsidRPr="00463B87" w:rsidRDefault="004A7081" w:rsidP="00172925">
            <w:pPr>
              <w:jc w:val="left"/>
              <w:rPr>
                <w:sz w:val="20"/>
                <w:szCs w:val="20"/>
              </w:rPr>
            </w:pPr>
            <w:proofErr w:type="spellStart"/>
            <w:r>
              <w:rPr>
                <w:sz w:val="20"/>
              </w:rPr>
              <w:t>Inversión</w:t>
            </w:r>
            <w:proofErr w:type="spellEnd"/>
            <w:r>
              <w:rPr>
                <w:sz w:val="20"/>
              </w:rPr>
              <w:t>**</w:t>
            </w:r>
          </w:p>
        </w:tc>
        <w:tc>
          <w:tcPr>
            <w:tcW w:w="1074" w:type="dxa"/>
            <w:tcBorders>
              <w:top w:val="nil"/>
              <w:left w:val="nil"/>
              <w:bottom w:val="single" w:sz="4" w:space="0" w:color="auto"/>
              <w:right w:val="single" w:sz="4" w:space="0" w:color="auto"/>
            </w:tcBorders>
            <w:shd w:val="clear" w:color="auto" w:fill="auto"/>
            <w:noWrap/>
            <w:tcMar>
              <w:left w:w="72" w:type="dxa"/>
              <w:right w:w="72" w:type="dxa"/>
            </w:tcMar>
            <w:hideMark/>
          </w:tcPr>
          <w:p w14:paraId="2BCE9D7B" w14:textId="77777777" w:rsidR="004A7081" w:rsidRPr="00463B87" w:rsidRDefault="004A7081" w:rsidP="00172925">
            <w:pPr>
              <w:jc w:val="right"/>
              <w:rPr>
                <w:sz w:val="20"/>
                <w:szCs w:val="20"/>
              </w:rPr>
            </w:pPr>
            <w:r>
              <w:rPr>
                <w:sz w:val="20"/>
              </w:rPr>
              <w:t>3</w:t>
            </w:r>
          </w:p>
        </w:tc>
        <w:tc>
          <w:tcPr>
            <w:tcW w:w="1075" w:type="dxa"/>
            <w:tcBorders>
              <w:top w:val="nil"/>
              <w:left w:val="nil"/>
              <w:bottom w:val="single" w:sz="4" w:space="0" w:color="auto"/>
              <w:right w:val="single" w:sz="4" w:space="0" w:color="auto"/>
            </w:tcBorders>
            <w:shd w:val="clear" w:color="auto" w:fill="auto"/>
            <w:tcMar>
              <w:left w:w="72" w:type="dxa"/>
              <w:right w:w="72" w:type="dxa"/>
            </w:tcMar>
            <w:hideMark/>
          </w:tcPr>
          <w:p w14:paraId="307C46E2" w14:textId="77777777" w:rsidR="004A7081" w:rsidRPr="00463B87" w:rsidRDefault="004A7081" w:rsidP="00172925">
            <w:pPr>
              <w:jc w:val="right"/>
              <w:rPr>
                <w:sz w:val="20"/>
                <w:szCs w:val="20"/>
              </w:rPr>
            </w:pPr>
            <w:r>
              <w:rPr>
                <w:sz w:val="20"/>
              </w:rPr>
              <w:t>0</w:t>
            </w:r>
          </w:p>
        </w:tc>
        <w:tc>
          <w:tcPr>
            <w:tcW w:w="1075" w:type="dxa"/>
            <w:tcBorders>
              <w:top w:val="nil"/>
              <w:left w:val="nil"/>
              <w:bottom w:val="single" w:sz="4" w:space="0" w:color="auto"/>
              <w:right w:val="single" w:sz="4" w:space="0" w:color="auto"/>
            </w:tcBorders>
            <w:shd w:val="clear" w:color="auto" w:fill="auto"/>
            <w:noWrap/>
            <w:tcMar>
              <w:left w:w="72" w:type="dxa"/>
              <w:right w:w="72" w:type="dxa"/>
            </w:tcMar>
            <w:hideMark/>
          </w:tcPr>
          <w:p w14:paraId="2AB825B8" w14:textId="77777777" w:rsidR="004A7081" w:rsidRPr="00463B87" w:rsidRDefault="004A7081" w:rsidP="00172925">
            <w:pPr>
              <w:jc w:val="right"/>
              <w:rPr>
                <w:sz w:val="20"/>
                <w:szCs w:val="20"/>
              </w:rPr>
            </w:pPr>
            <w:r>
              <w:rPr>
                <w:sz w:val="20"/>
              </w:rPr>
              <w:t>0</w:t>
            </w:r>
          </w:p>
        </w:tc>
        <w:tc>
          <w:tcPr>
            <w:tcW w:w="1106" w:type="dxa"/>
            <w:tcBorders>
              <w:top w:val="nil"/>
              <w:left w:val="nil"/>
              <w:bottom w:val="single" w:sz="4" w:space="0" w:color="auto"/>
              <w:right w:val="single" w:sz="4" w:space="0" w:color="auto"/>
            </w:tcBorders>
            <w:shd w:val="clear" w:color="auto" w:fill="auto"/>
            <w:tcMar>
              <w:left w:w="72" w:type="dxa"/>
              <w:right w:w="72" w:type="dxa"/>
            </w:tcMar>
            <w:hideMark/>
          </w:tcPr>
          <w:p w14:paraId="758BC09C" w14:textId="0DD7B5C7" w:rsidR="004A7081" w:rsidRPr="00463B87" w:rsidRDefault="004A7081" w:rsidP="00172925">
            <w:pPr>
              <w:jc w:val="right"/>
              <w:rPr>
                <w:sz w:val="20"/>
                <w:szCs w:val="20"/>
              </w:rPr>
            </w:pPr>
            <w:r>
              <w:rPr>
                <w:sz w:val="20"/>
              </w:rPr>
              <w:t>764</w:t>
            </w:r>
            <w:r w:rsidR="000245C4">
              <w:rPr>
                <w:sz w:val="20"/>
              </w:rPr>
              <w:t> </w:t>
            </w:r>
            <w:r>
              <w:rPr>
                <w:sz w:val="20"/>
              </w:rPr>
              <w:t>988</w:t>
            </w:r>
          </w:p>
        </w:tc>
        <w:tc>
          <w:tcPr>
            <w:tcW w:w="1106" w:type="dxa"/>
            <w:tcBorders>
              <w:top w:val="nil"/>
              <w:left w:val="nil"/>
              <w:bottom w:val="single" w:sz="4" w:space="0" w:color="auto"/>
              <w:right w:val="single" w:sz="4" w:space="0" w:color="auto"/>
            </w:tcBorders>
            <w:shd w:val="clear" w:color="auto" w:fill="auto"/>
            <w:tcMar>
              <w:left w:w="72" w:type="dxa"/>
              <w:right w:w="72" w:type="dxa"/>
            </w:tcMar>
            <w:hideMark/>
          </w:tcPr>
          <w:p w14:paraId="0D69066E" w14:textId="741C3C71" w:rsidR="004A7081" w:rsidRPr="00463B87" w:rsidRDefault="004A7081" w:rsidP="00172925">
            <w:pPr>
              <w:jc w:val="right"/>
              <w:rPr>
                <w:sz w:val="20"/>
                <w:szCs w:val="20"/>
              </w:rPr>
            </w:pPr>
            <w:r>
              <w:rPr>
                <w:sz w:val="20"/>
              </w:rPr>
              <w:t>342</w:t>
            </w:r>
            <w:r w:rsidR="000245C4">
              <w:rPr>
                <w:sz w:val="20"/>
              </w:rPr>
              <w:t> </w:t>
            </w:r>
            <w:r>
              <w:rPr>
                <w:sz w:val="20"/>
              </w:rPr>
              <w:t>869</w:t>
            </w:r>
          </w:p>
        </w:tc>
        <w:tc>
          <w:tcPr>
            <w:tcW w:w="1106" w:type="dxa"/>
            <w:tcBorders>
              <w:top w:val="nil"/>
              <w:left w:val="nil"/>
              <w:bottom w:val="single" w:sz="4" w:space="0" w:color="auto"/>
              <w:right w:val="single" w:sz="4" w:space="0" w:color="auto"/>
            </w:tcBorders>
            <w:shd w:val="clear" w:color="auto" w:fill="auto"/>
            <w:tcMar>
              <w:left w:w="72" w:type="dxa"/>
              <w:right w:w="72" w:type="dxa"/>
            </w:tcMar>
            <w:hideMark/>
          </w:tcPr>
          <w:p w14:paraId="112850DA" w14:textId="2B15D350" w:rsidR="004A7081" w:rsidRPr="00463B87" w:rsidRDefault="004A7081" w:rsidP="00172925">
            <w:pPr>
              <w:jc w:val="right"/>
              <w:rPr>
                <w:sz w:val="20"/>
                <w:szCs w:val="20"/>
              </w:rPr>
            </w:pPr>
            <w:r>
              <w:rPr>
                <w:sz w:val="20"/>
              </w:rPr>
              <w:t>422</w:t>
            </w:r>
            <w:r w:rsidR="000245C4">
              <w:rPr>
                <w:sz w:val="20"/>
              </w:rPr>
              <w:t> </w:t>
            </w:r>
            <w:r>
              <w:rPr>
                <w:sz w:val="20"/>
              </w:rPr>
              <w:t>119</w:t>
            </w:r>
          </w:p>
        </w:tc>
        <w:tc>
          <w:tcPr>
            <w:tcW w:w="1110" w:type="dxa"/>
            <w:tcBorders>
              <w:top w:val="nil"/>
              <w:left w:val="nil"/>
              <w:bottom w:val="single" w:sz="4" w:space="0" w:color="auto"/>
              <w:right w:val="single" w:sz="4" w:space="0" w:color="auto"/>
            </w:tcBorders>
            <w:shd w:val="clear" w:color="auto" w:fill="auto"/>
            <w:noWrap/>
            <w:tcMar>
              <w:left w:w="72" w:type="dxa"/>
              <w:right w:w="72" w:type="dxa"/>
            </w:tcMar>
            <w:hideMark/>
          </w:tcPr>
          <w:p w14:paraId="52B27916" w14:textId="77777777" w:rsidR="004A7081" w:rsidRPr="00463B87" w:rsidRDefault="004A7081" w:rsidP="00172925">
            <w:pPr>
              <w:jc w:val="right"/>
              <w:rPr>
                <w:sz w:val="20"/>
                <w:szCs w:val="20"/>
              </w:rPr>
            </w:pPr>
            <w:r>
              <w:rPr>
                <w:sz w:val="20"/>
              </w:rPr>
              <w:t>45</w:t>
            </w:r>
          </w:p>
        </w:tc>
      </w:tr>
      <w:tr w:rsidR="004A7081" w:rsidRPr="00463B87" w14:paraId="2AADCD0D" w14:textId="77777777" w:rsidTr="00172925">
        <w:trPr>
          <w:trHeight w:val="194"/>
        </w:trPr>
        <w:tc>
          <w:tcPr>
            <w:tcW w:w="2022"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E31ECB9" w14:textId="77777777" w:rsidR="004A7081" w:rsidRPr="0072455F" w:rsidRDefault="004A7081" w:rsidP="00172925">
            <w:pPr>
              <w:jc w:val="left"/>
              <w:rPr>
                <w:sz w:val="20"/>
                <w:szCs w:val="20"/>
                <w:lang w:val="es-419"/>
              </w:rPr>
            </w:pPr>
            <w:r w:rsidRPr="0072455F">
              <w:rPr>
                <w:sz w:val="20"/>
                <w:lang w:val="es-419"/>
              </w:rPr>
              <w:t>Asistencia técnica - Actividades de apoyo</w:t>
            </w:r>
          </w:p>
        </w:tc>
        <w:tc>
          <w:tcPr>
            <w:tcW w:w="1074" w:type="dxa"/>
            <w:tcBorders>
              <w:top w:val="nil"/>
              <w:left w:val="nil"/>
              <w:bottom w:val="single" w:sz="4" w:space="0" w:color="auto"/>
              <w:right w:val="single" w:sz="4" w:space="0" w:color="auto"/>
            </w:tcBorders>
            <w:shd w:val="clear" w:color="auto" w:fill="auto"/>
            <w:noWrap/>
            <w:tcMar>
              <w:left w:w="72" w:type="dxa"/>
              <w:right w:w="72" w:type="dxa"/>
            </w:tcMar>
            <w:hideMark/>
          </w:tcPr>
          <w:p w14:paraId="6C535124" w14:textId="77777777" w:rsidR="004A7081" w:rsidRPr="00463B87" w:rsidRDefault="004A7081" w:rsidP="00172925">
            <w:pPr>
              <w:jc w:val="right"/>
              <w:rPr>
                <w:sz w:val="20"/>
                <w:szCs w:val="20"/>
              </w:rPr>
            </w:pPr>
            <w:r>
              <w:rPr>
                <w:sz w:val="20"/>
              </w:rPr>
              <w:t>4</w:t>
            </w:r>
          </w:p>
        </w:tc>
        <w:tc>
          <w:tcPr>
            <w:tcW w:w="1075" w:type="dxa"/>
            <w:tcBorders>
              <w:top w:val="nil"/>
              <w:left w:val="nil"/>
              <w:bottom w:val="single" w:sz="4" w:space="0" w:color="auto"/>
              <w:right w:val="single" w:sz="4" w:space="0" w:color="auto"/>
            </w:tcBorders>
            <w:shd w:val="clear" w:color="auto" w:fill="auto"/>
            <w:tcMar>
              <w:left w:w="72" w:type="dxa"/>
              <w:right w:w="72" w:type="dxa"/>
            </w:tcMar>
            <w:hideMark/>
          </w:tcPr>
          <w:p w14:paraId="535CCD69" w14:textId="77777777" w:rsidR="004A7081" w:rsidRPr="00463B87" w:rsidRDefault="004A7081" w:rsidP="00172925">
            <w:pPr>
              <w:jc w:val="right"/>
              <w:rPr>
                <w:sz w:val="20"/>
                <w:szCs w:val="20"/>
              </w:rPr>
            </w:pPr>
            <w:r>
              <w:rPr>
                <w:sz w:val="20"/>
              </w:rPr>
              <w:t>0</w:t>
            </w:r>
          </w:p>
        </w:tc>
        <w:tc>
          <w:tcPr>
            <w:tcW w:w="1075" w:type="dxa"/>
            <w:tcBorders>
              <w:top w:val="nil"/>
              <w:left w:val="nil"/>
              <w:bottom w:val="single" w:sz="4" w:space="0" w:color="auto"/>
              <w:right w:val="single" w:sz="4" w:space="0" w:color="auto"/>
            </w:tcBorders>
            <w:shd w:val="clear" w:color="auto" w:fill="auto"/>
            <w:noWrap/>
            <w:tcMar>
              <w:left w:w="72" w:type="dxa"/>
              <w:right w:w="72" w:type="dxa"/>
            </w:tcMar>
            <w:hideMark/>
          </w:tcPr>
          <w:p w14:paraId="2A410E63" w14:textId="77777777" w:rsidR="004A7081" w:rsidRPr="00463B87" w:rsidRDefault="004A7081" w:rsidP="00172925">
            <w:pPr>
              <w:jc w:val="right"/>
              <w:rPr>
                <w:sz w:val="20"/>
                <w:szCs w:val="20"/>
              </w:rPr>
            </w:pPr>
            <w:r>
              <w:rPr>
                <w:sz w:val="20"/>
              </w:rPr>
              <w:t>0</w:t>
            </w:r>
          </w:p>
        </w:tc>
        <w:tc>
          <w:tcPr>
            <w:tcW w:w="1106" w:type="dxa"/>
            <w:tcBorders>
              <w:top w:val="nil"/>
              <w:left w:val="nil"/>
              <w:bottom w:val="single" w:sz="4" w:space="0" w:color="auto"/>
              <w:right w:val="single" w:sz="4" w:space="0" w:color="auto"/>
            </w:tcBorders>
            <w:shd w:val="clear" w:color="auto" w:fill="auto"/>
            <w:tcMar>
              <w:left w:w="72" w:type="dxa"/>
              <w:right w:w="72" w:type="dxa"/>
            </w:tcMar>
            <w:hideMark/>
          </w:tcPr>
          <w:p w14:paraId="1CD1AC41" w14:textId="7E7034C8" w:rsidR="004A7081" w:rsidRPr="00463B87" w:rsidRDefault="004A7081" w:rsidP="00172925">
            <w:pPr>
              <w:jc w:val="right"/>
              <w:rPr>
                <w:sz w:val="20"/>
                <w:szCs w:val="20"/>
              </w:rPr>
            </w:pPr>
            <w:r>
              <w:rPr>
                <w:sz w:val="20"/>
              </w:rPr>
              <w:t>250</w:t>
            </w:r>
            <w:r w:rsidR="000245C4">
              <w:rPr>
                <w:sz w:val="20"/>
              </w:rPr>
              <w:t> </w:t>
            </w:r>
            <w:r>
              <w:rPr>
                <w:sz w:val="20"/>
              </w:rPr>
              <w:t>000</w:t>
            </w:r>
          </w:p>
        </w:tc>
        <w:tc>
          <w:tcPr>
            <w:tcW w:w="1106" w:type="dxa"/>
            <w:tcBorders>
              <w:top w:val="nil"/>
              <w:left w:val="nil"/>
              <w:bottom w:val="single" w:sz="4" w:space="0" w:color="auto"/>
              <w:right w:val="single" w:sz="4" w:space="0" w:color="auto"/>
            </w:tcBorders>
            <w:shd w:val="clear" w:color="auto" w:fill="auto"/>
            <w:tcMar>
              <w:left w:w="72" w:type="dxa"/>
              <w:right w:w="72" w:type="dxa"/>
            </w:tcMar>
            <w:hideMark/>
          </w:tcPr>
          <w:p w14:paraId="32CA0D9C" w14:textId="3FACDCFC" w:rsidR="004A7081" w:rsidRPr="00463B87" w:rsidRDefault="004A7081" w:rsidP="00172925">
            <w:pPr>
              <w:jc w:val="right"/>
              <w:rPr>
                <w:sz w:val="20"/>
                <w:szCs w:val="20"/>
              </w:rPr>
            </w:pPr>
            <w:r>
              <w:rPr>
                <w:sz w:val="20"/>
              </w:rPr>
              <w:t>203</w:t>
            </w:r>
            <w:r w:rsidR="000245C4">
              <w:rPr>
                <w:sz w:val="20"/>
              </w:rPr>
              <w:t> </w:t>
            </w:r>
            <w:r>
              <w:rPr>
                <w:sz w:val="20"/>
              </w:rPr>
              <w:t>450</w:t>
            </w:r>
          </w:p>
        </w:tc>
        <w:tc>
          <w:tcPr>
            <w:tcW w:w="1106" w:type="dxa"/>
            <w:tcBorders>
              <w:top w:val="nil"/>
              <w:left w:val="nil"/>
              <w:bottom w:val="single" w:sz="4" w:space="0" w:color="auto"/>
              <w:right w:val="single" w:sz="4" w:space="0" w:color="auto"/>
            </w:tcBorders>
            <w:shd w:val="clear" w:color="auto" w:fill="auto"/>
            <w:tcMar>
              <w:left w:w="72" w:type="dxa"/>
              <w:right w:w="72" w:type="dxa"/>
            </w:tcMar>
            <w:hideMark/>
          </w:tcPr>
          <w:p w14:paraId="0C78E4E7" w14:textId="3FF19826" w:rsidR="004A7081" w:rsidRPr="00463B87" w:rsidRDefault="004A7081" w:rsidP="00172925">
            <w:pPr>
              <w:jc w:val="right"/>
              <w:rPr>
                <w:sz w:val="20"/>
                <w:szCs w:val="20"/>
              </w:rPr>
            </w:pPr>
            <w:r>
              <w:rPr>
                <w:sz w:val="20"/>
              </w:rPr>
              <w:t>46</w:t>
            </w:r>
            <w:r w:rsidR="000245C4">
              <w:rPr>
                <w:sz w:val="20"/>
              </w:rPr>
              <w:t> </w:t>
            </w:r>
            <w:r>
              <w:rPr>
                <w:sz w:val="20"/>
              </w:rPr>
              <w:t>550</w:t>
            </w:r>
          </w:p>
        </w:tc>
        <w:tc>
          <w:tcPr>
            <w:tcW w:w="1110" w:type="dxa"/>
            <w:tcBorders>
              <w:top w:val="nil"/>
              <w:left w:val="nil"/>
              <w:bottom w:val="single" w:sz="4" w:space="0" w:color="auto"/>
              <w:right w:val="single" w:sz="4" w:space="0" w:color="auto"/>
            </w:tcBorders>
            <w:shd w:val="clear" w:color="auto" w:fill="auto"/>
            <w:noWrap/>
            <w:tcMar>
              <w:left w:w="72" w:type="dxa"/>
              <w:right w:w="72" w:type="dxa"/>
            </w:tcMar>
            <w:hideMark/>
          </w:tcPr>
          <w:p w14:paraId="14F2337C" w14:textId="77777777" w:rsidR="004A7081" w:rsidRPr="00463B87" w:rsidRDefault="004A7081" w:rsidP="00172925">
            <w:pPr>
              <w:jc w:val="right"/>
              <w:rPr>
                <w:sz w:val="20"/>
                <w:szCs w:val="20"/>
              </w:rPr>
            </w:pPr>
            <w:r>
              <w:rPr>
                <w:sz w:val="20"/>
              </w:rPr>
              <w:t>81</w:t>
            </w:r>
          </w:p>
        </w:tc>
      </w:tr>
      <w:tr w:rsidR="004A7081" w:rsidRPr="00463B87" w14:paraId="7E20DD6A" w14:textId="77777777" w:rsidTr="00172925">
        <w:trPr>
          <w:trHeight w:val="49"/>
        </w:trPr>
        <w:tc>
          <w:tcPr>
            <w:tcW w:w="2022"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8A03D9E" w14:textId="77777777" w:rsidR="004A7081" w:rsidRPr="00463B87" w:rsidRDefault="004A7081" w:rsidP="00172925">
            <w:pPr>
              <w:jc w:val="left"/>
              <w:rPr>
                <w:b/>
                <w:bCs/>
                <w:sz w:val="20"/>
                <w:szCs w:val="20"/>
              </w:rPr>
            </w:pPr>
            <w:r>
              <w:rPr>
                <w:b/>
                <w:sz w:val="20"/>
              </w:rPr>
              <w:t>Total</w:t>
            </w:r>
          </w:p>
        </w:tc>
        <w:tc>
          <w:tcPr>
            <w:tcW w:w="1074" w:type="dxa"/>
            <w:tcBorders>
              <w:top w:val="nil"/>
              <w:left w:val="nil"/>
              <w:bottom w:val="single" w:sz="4" w:space="0" w:color="auto"/>
              <w:right w:val="single" w:sz="4" w:space="0" w:color="auto"/>
            </w:tcBorders>
            <w:shd w:val="clear" w:color="auto" w:fill="auto"/>
            <w:noWrap/>
            <w:tcMar>
              <w:left w:w="72" w:type="dxa"/>
              <w:right w:w="72" w:type="dxa"/>
            </w:tcMar>
            <w:hideMark/>
          </w:tcPr>
          <w:p w14:paraId="6668C4B1" w14:textId="77777777" w:rsidR="004A7081" w:rsidRPr="00463B87" w:rsidRDefault="004A7081" w:rsidP="00172925">
            <w:pPr>
              <w:jc w:val="right"/>
              <w:rPr>
                <w:b/>
                <w:bCs/>
                <w:sz w:val="20"/>
                <w:szCs w:val="20"/>
              </w:rPr>
            </w:pPr>
            <w:r>
              <w:rPr>
                <w:b/>
                <w:sz w:val="20"/>
              </w:rPr>
              <w:t>7</w:t>
            </w:r>
          </w:p>
        </w:tc>
        <w:tc>
          <w:tcPr>
            <w:tcW w:w="1075" w:type="dxa"/>
            <w:tcBorders>
              <w:top w:val="nil"/>
              <w:left w:val="nil"/>
              <w:bottom w:val="single" w:sz="4" w:space="0" w:color="auto"/>
              <w:right w:val="single" w:sz="4" w:space="0" w:color="auto"/>
            </w:tcBorders>
            <w:shd w:val="clear" w:color="auto" w:fill="auto"/>
            <w:tcMar>
              <w:left w:w="72" w:type="dxa"/>
              <w:right w:w="72" w:type="dxa"/>
            </w:tcMar>
            <w:hideMark/>
          </w:tcPr>
          <w:p w14:paraId="5C4EA286" w14:textId="77777777" w:rsidR="004A7081" w:rsidRPr="00463B87" w:rsidRDefault="004A7081" w:rsidP="00172925">
            <w:pPr>
              <w:jc w:val="right"/>
              <w:rPr>
                <w:b/>
                <w:bCs/>
                <w:sz w:val="20"/>
                <w:szCs w:val="20"/>
              </w:rPr>
            </w:pPr>
            <w:r>
              <w:rPr>
                <w:b/>
                <w:sz w:val="20"/>
              </w:rPr>
              <w:t>0</w:t>
            </w:r>
          </w:p>
        </w:tc>
        <w:tc>
          <w:tcPr>
            <w:tcW w:w="1075" w:type="dxa"/>
            <w:tcBorders>
              <w:top w:val="nil"/>
              <w:left w:val="nil"/>
              <w:bottom w:val="single" w:sz="4" w:space="0" w:color="auto"/>
              <w:right w:val="single" w:sz="4" w:space="0" w:color="auto"/>
            </w:tcBorders>
            <w:shd w:val="clear" w:color="auto" w:fill="auto"/>
            <w:noWrap/>
            <w:tcMar>
              <w:left w:w="72" w:type="dxa"/>
              <w:right w:w="72" w:type="dxa"/>
            </w:tcMar>
            <w:hideMark/>
          </w:tcPr>
          <w:p w14:paraId="4FBDE1EB" w14:textId="77777777" w:rsidR="004A7081" w:rsidRPr="00463B87" w:rsidRDefault="004A7081" w:rsidP="00172925">
            <w:pPr>
              <w:jc w:val="right"/>
              <w:rPr>
                <w:b/>
                <w:bCs/>
                <w:sz w:val="20"/>
                <w:szCs w:val="20"/>
              </w:rPr>
            </w:pPr>
            <w:r>
              <w:rPr>
                <w:b/>
                <w:sz w:val="20"/>
              </w:rPr>
              <w:t>0</w:t>
            </w:r>
          </w:p>
        </w:tc>
        <w:tc>
          <w:tcPr>
            <w:tcW w:w="1106" w:type="dxa"/>
            <w:tcBorders>
              <w:top w:val="nil"/>
              <w:left w:val="nil"/>
              <w:bottom w:val="single" w:sz="4" w:space="0" w:color="auto"/>
              <w:right w:val="single" w:sz="4" w:space="0" w:color="auto"/>
            </w:tcBorders>
            <w:shd w:val="clear" w:color="auto" w:fill="auto"/>
            <w:tcMar>
              <w:left w:w="72" w:type="dxa"/>
              <w:right w:w="72" w:type="dxa"/>
            </w:tcMar>
            <w:hideMark/>
          </w:tcPr>
          <w:p w14:paraId="4290DC26" w14:textId="1E2A96FC" w:rsidR="004A7081" w:rsidRPr="00463B87" w:rsidRDefault="004A7081" w:rsidP="00172925">
            <w:pPr>
              <w:jc w:val="right"/>
              <w:rPr>
                <w:b/>
                <w:bCs/>
                <w:sz w:val="20"/>
                <w:szCs w:val="20"/>
              </w:rPr>
            </w:pPr>
            <w:r>
              <w:rPr>
                <w:b/>
                <w:sz w:val="20"/>
              </w:rPr>
              <w:t>1</w:t>
            </w:r>
            <w:r w:rsidR="000245C4">
              <w:rPr>
                <w:b/>
                <w:sz w:val="20"/>
              </w:rPr>
              <w:t> </w:t>
            </w:r>
            <w:r>
              <w:rPr>
                <w:b/>
                <w:sz w:val="20"/>
              </w:rPr>
              <w:t>014</w:t>
            </w:r>
            <w:r w:rsidR="000245C4">
              <w:rPr>
                <w:b/>
                <w:sz w:val="20"/>
              </w:rPr>
              <w:t> </w:t>
            </w:r>
            <w:r>
              <w:rPr>
                <w:b/>
                <w:sz w:val="20"/>
              </w:rPr>
              <w:t>988</w:t>
            </w:r>
          </w:p>
        </w:tc>
        <w:tc>
          <w:tcPr>
            <w:tcW w:w="1106" w:type="dxa"/>
            <w:tcBorders>
              <w:top w:val="nil"/>
              <w:left w:val="nil"/>
              <w:bottom w:val="single" w:sz="4" w:space="0" w:color="auto"/>
              <w:right w:val="single" w:sz="4" w:space="0" w:color="auto"/>
            </w:tcBorders>
            <w:shd w:val="clear" w:color="auto" w:fill="auto"/>
            <w:tcMar>
              <w:left w:w="72" w:type="dxa"/>
              <w:right w:w="72" w:type="dxa"/>
            </w:tcMar>
            <w:hideMark/>
          </w:tcPr>
          <w:p w14:paraId="4A5A673C" w14:textId="090EC13F" w:rsidR="004A7081" w:rsidRPr="00463B87" w:rsidRDefault="004A7081" w:rsidP="00172925">
            <w:pPr>
              <w:jc w:val="right"/>
              <w:rPr>
                <w:b/>
                <w:bCs/>
                <w:sz w:val="20"/>
                <w:szCs w:val="20"/>
              </w:rPr>
            </w:pPr>
            <w:r>
              <w:rPr>
                <w:b/>
                <w:sz w:val="20"/>
              </w:rPr>
              <w:t>546</w:t>
            </w:r>
            <w:r w:rsidR="000245C4">
              <w:rPr>
                <w:b/>
                <w:sz w:val="20"/>
              </w:rPr>
              <w:t> </w:t>
            </w:r>
            <w:r>
              <w:rPr>
                <w:b/>
                <w:sz w:val="20"/>
              </w:rPr>
              <w:t>319</w:t>
            </w:r>
          </w:p>
        </w:tc>
        <w:tc>
          <w:tcPr>
            <w:tcW w:w="1106" w:type="dxa"/>
            <w:tcBorders>
              <w:top w:val="nil"/>
              <w:left w:val="nil"/>
              <w:bottom w:val="single" w:sz="4" w:space="0" w:color="auto"/>
              <w:right w:val="single" w:sz="4" w:space="0" w:color="auto"/>
            </w:tcBorders>
            <w:shd w:val="clear" w:color="auto" w:fill="auto"/>
            <w:tcMar>
              <w:left w:w="72" w:type="dxa"/>
              <w:right w:w="72" w:type="dxa"/>
            </w:tcMar>
            <w:hideMark/>
          </w:tcPr>
          <w:p w14:paraId="093742F0" w14:textId="3A656BE8" w:rsidR="004A7081" w:rsidRPr="00463B87" w:rsidRDefault="004A7081" w:rsidP="00172925">
            <w:pPr>
              <w:jc w:val="right"/>
              <w:rPr>
                <w:b/>
                <w:bCs/>
                <w:sz w:val="20"/>
                <w:szCs w:val="20"/>
              </w:rPr>
            </w:pPr>
            <w:r>
              <w:rPr>
                <w:b/>
                <w:sz w:val="20"/>
              </w:rPr>
              <w:t>468</w:t>
            </w:r>
            <w:r w:rsidR="000245C4">
              <w:rPr>
                <w:b/>
                <w:sz w:val="20"/>
              </w:rPr>
              <w:t> </w:t>
            </w:r>
            <w:r>
              <w:rPr>
                <w:b/>
                <w:sz w:val="20"/>
              </w:rPr>
              <w:t>669</w:t>
            </w:r>
          </w:p>
        </w:tc>
        <w:tc>
          <w:tcPr>
            <w:tcW w:w="1110" w:type="dxa"/>
            <w:tcBorders>
              <w:top w:val="nil"/>
              <w:left w:val="nil"/>
              <w:bottom w:val="single" w:sz="4" w:space="0" w:color="auto"/>
              <w:right w:val="single" w:sz="4" w:space="0" w:color="auto"/>
            </w:tcBorders>
            <w:shd w:val="clear" w:color="auto" w:fill="auto"/>
            <w:noWrap/>
            <w:tcMar>
              <w:left w:w="72" w:type="dxa"/>
              <w:right w:w="72" w:type="dxa"/>
            </w:tcMar>
            <w:hideMark/>
          </w:tcPr>
          <w:p w14:paraId="280FB85F" w14:textId="77777777" w:rsidR="004A7081" w:rsidRPr="00463B87" w:rsidRDefault="004A7081" w:rsidP="00172925">
            <w:pPr>
              <w:jc w:val="right"/>
              <w:rPr>
                <w:b/>
                <w:bCs/>
                <w:sz w:val="20"/>
                <w:szCs w:val="20"/>
              </w:rPr>
            </w:pPr>
            <w:r>
              <w:rPr>
                <w:b/>
                <w:sz w:val="20"/>
              </w:rPr>
              <w:t>54</w:t>
            </w:r>
          </w:p>
        </w:tc>
      </w:tr>
    </w:tbl>
    <w:p w14:paraId="4DDB2198" w14:textId="77777777" w:rsidR="004A7081" w:rsidRPr="0072455F" w:rsidRDefault="004A7081" w:rsidP="00172925">
      <w:pPr>
        <w:rPr>
          <w:sz w:val="19"/>
          <w:szCs w:val="19"/>
          <w:lang w:val="es-419"/>
        </w:rPr>
      </w:pPr>
      <w:r w:rsidRPr="0072455F">
        <w:rPr>
          <w:sz w:val="19"/>
          <w:lang w:val="es-419"/>
        </w:rPr>
        <w:t xml:space="preserve">* Excluidos los gastos de apoyo del organismo. </w:t>
      </w:r>
    </w:p>
    <w:p w14:paraId="6AA4A83F" w14:textId="77777777" w:rsidR="004A7081" w:rsidRPr="0072455F" w:rsidRDefault="004A7081" w:rsidP="00172925">
      <w:pPr>
        <w:rPr>
          <w:sz w:val="19"/>
          <w:szCs w:val="19"/>
          <w:lang w:val="es-419"/>
        </w:rPr>
      </w:pPr>
      <w:r w:rsidRPr="0072455F">
        <w:rPr>
          <w:sz w:val="19"/>
          <w:lang w:val="es-419"/>
        </w:rPr>
        <w:t>** Eliminación de 74 </w:t>
      </w:r>
      <w:proofErr w:type="spellStart"/>
      <w:r w:rsidRPr="0072455F">
        <w:rPr>
          <w:sz w:val="19"/>
          <w:lang w:val="es-419"/>
        </w:rPr>
        <w:t>tm</w:t>
      </w:r>
      <w:proofErr w:type="spellEnd"/>
      <w:r w:rsidRPr="0072455F">
        <w:rPr>
          <w:sz w:val="19"/>
          <w:lang w:val="es-419"/>
        </w:rPr>
        <w:t xml:space="preserve"> (105 865 </w:t>
      </w:r>
      <w:proofErr w:type="spellStart"/>
      <w:r w:rsidRPr="0072455F">
        <w:rPr>
          <w:sz w:val="19"/>
          <w:lang w:val="es-419"/>
        </w:rPr>
        <w:t>tm</w:t>
      </w:r>
      <w:proofErr w:type="spellEnd"/>
      <w:r w:rsidRPr="0072455F">
        <w:rPr>
          <w:sz w:val="19"/>
          <w:lang w:val="es-419"/>
        </w:rPr>
        <w:t xml:space="preserve"> de </w:t>
      </w:r>
      <w:proofErr w:type="spellStart"/>
      <w:r w:rsidRPr="0072455F">
        <w:rPr>
          <w:sz w:val="19"/>
          <w:lang w:val="es-419"/>
        </w:rPr>
        <w:t>eq</w:t>
      </w:r>
      <w:proofErr w:type="spellEnd"/>
      <w:r w:rsidRPr="0072455F">
        <w:rPr>
          <w:sz w:val="19"/>
          <w:lang w:val="es-419"/>
        </w:rPr>
        <w:t>. de CO</w:t>
      </w:r>
      <w:r w:rsidRPr="0072455F">
        <w:rPr>
          <w:sz w:val="19"/>
          <w:vertAlign w:val="subscript"/>
          <w:lang w:val="es-419"/>
        </w:rPr>
        <w:t>2</w:t>
      </w:r>
      <w:r w:rsidRPr="0072455F">
        <w:rPr>
          <w:sz w:val="19"/>
          <w:lang w:val="es-419"/>
        </w:rPr>
        <w:t>) de HFC.</w:t>
      </w:r>
    </w:p>
    <w:p w14:paraId="49D76588" w14:textId="77777777" w:rsidR="004A7081" w:rsidRPr="0072455F" w:rsidRDefault="004A7081" w:rsidP="00172925">
      <w:pPr>
        <w:rPr>
          <w:sz w:val="20"/>
          <w:szCs w:val="20"/>
          <w:lang w:val="es-419"/>
        </w:rPr>
      </w:pPr>
    </w:p>
    <w:p w14:paraId="675EFAC7" w14:textId="77777777" w:rsidR="004A7081" w:rsidRPr="0072455F" w:rsidRDefault="004A7081" w:rsidP="00172925">
      <w:pPr>
        <w:pStyle w:val="Heading1"/>
        <w:rPr>
          <w:lang w:val="es-419"/>
        </w:rPr>
      </w:pPr>
      <w:r w:rsidRPr="0072455F">
        <w:rPr>
          <w:lang w:val="es-419"/>
        </w:rPr>
        <w:t xml:space="preserve">Actualmente, se han aprobado siete actividades relacionadas con los HFC (que incluyen tres actividades de inversión y cuatro actividades de apoyo) con cargo a las contribuciones ordinarias, por un valor total de 1 014 988 $EUA, con un desembolso de fondos de 546 319 $EUA. </w:t>
      </w:r>
      <w:proofErr w:type="gramStart"/>
      <w:r w:rsidRPr="0072455F">
        <w:rPr>
          <w:lang w:val="es-419"/>
        </w:rPr>
        <w:t>La prórroga de las fechas de terminación de las cuatro actividades de apoyo se aprobaron</w:t>
      </w:r>
      <w:proofErr w:type="gramEnd"/>
      <w:r w:rsidRPr="0072455F">
        <w:rPr>
          <w:lang w:val="es-419"/>
        </w:rPr>
        <w:t xml:space="preserve"> en la 84ª reunión; estas actividades se encuentran en diferentes etapas de ejecución y se prevé que se terminarán en 2021. Se prevé que los tres proyectos de inversión en curso se terminen a tiempo en 2020 y 2022.</w:t>
      </w:r>
    </w:p>
    <w:p w14:paraId="41C7A578" w14:textId="77777777" w:rsidR="004A7081" w:rsidRPr="0072455F" w:rsidRDefault="004A7081" w:rsidP="00172925">
      <w:pPr>
        <w:pStyle w:val="Heading1"/>
        <w:numPr>
          <w:ilvl w:val="0"/>
          <w:numId w:val="0"/>
        </w:numPr>
        <w:ind w:left="1418" w:hanging="1418"/>
        <w:rPr>
          <w:rFonts w:ascii="Times New Roman Bold" w:hAnsi="Times New Roman Bold"/>
          <w:caps/>
          <w:szCs w:val="28"/>
          <w:lang w:val="es-419"/>
        </w:rPr>
      </w:pPr>
      <w:r w:rsidRPr="0072455F">
        <w:rPr>
          <w:rFonts w:ascii="Times New Roman Bold" w:hAnsi="Times New Roman Bold"/>
          <w:b/>
          <w:bCs/>
          <w:caps/>
          <w:lang w:val="es-419"/>
        </w:rPr>
        <w:t>Parte II:</w:t>
      </w:r>
      <w:r w:rsidRPr="0072455F">
        <w:rPr>
          <w:rFonts w:ascii="Times New Roman Bold" w:hAnsi="Times New Roman Bold"/>
          <w:b/>
          <w:bCs/>
          <w:caps/>
          <w:lang w:val="es-419"/>
        </w:rPr>
        <w:tab/>
      </w:r>
      <w:r w:rsidRPr="0072455F">
        <w:rPr>
          <w:rFonts w:ascii="Times New Roman Bold" w:hAnsi="Times New Roman Bold"/>
          <w:b/>
          <w:caps/>
          <w:lang w:val="es-419"/>
        </w:rPr>
        <w:t>Proyectos aprobados con cargo a las contribuciones voluntarias adicionales para proporcionar ayuda a corto plazo para la reducción de los HFC</w:t>
      </w:r>
    </w:p>
    <w:p w14:paraId="2323CC21" w14:textId="77777777" w:rsidR="004A7081" w:rsidRPr="0072455F" w:rsidRDefault="004A7081" w:rsidP="00172925">
      <w:pPr>
        <w:pStyle w:val="Heading1"/>
        <w:rPr>
          <w:lang w:val="es-419"/>
        </w:rPr>
      </w:pPr>
      <w:r w:rsidRPr="0072455F">
        <w:rPr>
          <w:lang w:val="es-419"/>
        </w:rPr>
        <w:t xml:space="preserve">Al 31 de diciembre de 2019, el Comité Ejecutivo había aprobado siete proyectos relacionados con los HFC con cargo a las contribuciones voluntarias adicionales para dos organismos bilaterales (Alemania e Italia) por un valor de 480 000 $EUA (excluidos los gastos de apoyo de los organismos). En el Cuadro 5 se presenta un resumen de la situación de estos proyectos. </w:t>
      </w:r>
    </w:p>
    <w:p w14:paraId="2F5AD82B" w14:textId="77777777" w:rsidR="004A7081" w:rsidRPr="0072455F" w:rsidRDefault="004A7081" w:rsidP="00172925">
      <w:pPr>
        <w:pStyle w:val="Heading1"/>
        <w:numPr>
          <w:ilvl w:val="0"/>
          <w:numId w:val="0"/>
        </w:numPr>
        <w:spacing w:after="0"/>
        <w:rPr>
          <w:b/>
          <w:lang w:val="es-419"/>
        </w:rPr>
      </w:pPr>
      <w:r w:rsidRPr="0072455F">
        <w:rPr>
          <w:b/>
          <w:sz w:val="21"/>
          <w:lang w:val="es-419"/>
        </w:rPr>
        <w:t xml:space="preserve">Cuadro 5. </w:t>
      </w:r>
      <w:r w:rsidRPr="0072455F">
        <w:rPr>
          <w:b/>
          <w:lang w:val="es-419"/>
        </w:rPr>
        <w:t>Situación de los proyectos relacionados con los HFC aprobados a finales de 2019</w:t>
      </w:r>
    </w:p>
    <w:tbl>
      <w:tblPr>
        <w:tblW w:w="9540" w:type="dxa"/>
        <w:tblInd w:w="-5" w:type="dxa"/>
        <w:tblLayout w:type="fixed"/>
        <w:tblLook w:val="04A0" w:firstRow="1" w:lastRow="0" w:firstColumn="1" w:lastColumn="0" w:noHBand="0" w:noVBand="1"/>
      </w:tblPr>
      <w:tblGrid>
        <w:gridCol w:w="1980"/>
        <w:gridCol w:w="990"/>
        <w:gridCol w:w="1080"/>
        <w:gridCol w:w="1195"/>
        <w:gridCol w:w="1030"/>
        <w:gridCol w:w="1030"/>
        <w:gridCol w:w="1030"/>
        <w:gridCol w:w="1205"/>
      </w:tblGrid>
      <w:tr w:rsidR="004A7081" w:rsidRPr="00463B87" w14:paraId="38020AA8" w14:textId="77777777" w:rsidTr="00172925">
        <w:trPr>
          <w:trHeight w:val="8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3BCB7" w14:textId="77777777" w:rsidR="004A7081" w:rsidRPr="00463B87" w:rsidRDefault="004A7081" w:rsidP="00172925">
            <w:pPr>
              <w:jc w:val="left"/>
              <w:rPr>
                <w:b/>
                <w:bCs/>
                <w:sz w:val="21"/>
                <w:szCs w:val="21"/>
              </w:rPr>
            </w:pPr>
            <w:proofErr w:type="spellStart"/>
            <w:r>
              <w:rPr>
                <w:b/>
                <w:sz w:val="21"/>
              </w:rPr>
              <w:t>Tipo</w:t>
            </w:r>
            <w:proofErr w:type="spellEnd"/>
          </w:p>
        </w:tc>
        <w:tc>
          <w:tcPr>
            <w:tcW w:w="3265" w:type="dxa"/>
            <w:gridSpan w:val="3"/>
            <w:tcBorders>
              <w:top w:val="single" w:sz="4" w:space="0" w:color="auto"/>
              <w:left w:val="nil"/>
              <w:bottom w:val="single" w:sz="4" w:space="0" w:color="auto"/>
              <w:right w:val="single" w:sz="4" w:space="0" w:color="auto"/>
            </w:tcBorders>
            <w:shd w:val="clear" w:color="auto" w:fill="auto"/>
            <w:noWrap/>
            <w:hideMark/>
          </w:tcPr>
          <w:p w14:paraId="350BA32E" w14:textId="77777777" w:rsidR="004A7081" w:rsidRPr="00463B87" w:rsidRDefault="004A7081" w:rsidP="00172925">
            <w:pPr>
              <w:jc w:val="center"/>
              <w:rPr>
                <w:b/>
                <w:bCs/>
                <w:sz w:val="21"/>
                <w:szCs w:val="21"/>
              </w:rPr>
            </w:pPr>
            <w:proofErr w:type="spellStart"/>
            <w:r>
              <w:rPr>
                <w:b/>
                <w:sz w:val="21"/>
              </w:rPr>
              <w:t>Cantidad</w:t>
            </w:r>
            <w:proofErr w:type="spellEnd"/>
            <w:r>
              <w:rPr>
                <w:b/>
                <w:sz w:val="21"/>
              </w:rPr>
              <w:t xml:space="preserve"> de </w:t>
            </w:r>
            <w:proofErr w:type="spellStart"/>
            <w:r>
              <w:rPr>
                <w:b/>
                <w:sz w:val="21"/>
              </w:rPr>
              <w:t>proyectos</w:t>
            </w:r>
            <w:proofErr w:type="spellEnd"/>
          </w:p>
        </w:tc>
        <w:tc>
          <w:tcPr>
            <w:tcW w:w="4295" w:type="dxa"/>
            <w:gridSpan w:val="4"/>
            <w:tcBorders>
              <w:top w:val="single" w:sz="4" w:space="0" w:color="auto"/>
              <w:left w:val="nil"/>
              <w:bottom w:val="single" w:sz="4" w:space="0" w:color="auto"/>
              <w:right w:val="single" w:sz="4" w:space="0" w:color="auto"/>
            </w:tcBorders>
            <w:shd w:val="clear" w:color="auto" w:fill="auto"/>
            <w:noWrap/>
            <w:hideMark/>
          </w:tcPr>
          <w:p w14:paraId="1A7FE85D" w14:textId="77777777" w:rsidR="004A7081" w:rsidRPr="00463B87" w:rsidRDefault="004A7081" w:rsidP="00172925">
            <w:pPr>
              <w:jc w:val="center"/>
              <w:rPr>
                <w:b/>
                <w:bCs/>
                <w:sz w:val="21"/>
                <w:szCs w:val="21"/>
              </w:rPr>
            </w:pPr>
            <w:proofErr w:type="spellStart"/>
            <w:r>
              <w:rPr>
                <w:b/>
                <w:sz w:val="21"/>
              </w:rPr>
              <w:t>Financiación</w:t>
            </w:r>
            <w:proofErr w:type="spellEnd"/>
            <w:r>
              <w:rPr>
                <w:b/>
                <w:sz w:val="21"/>
              </w:rPr>
              <w:t xml:space="preserve"> ($EUA)*</w:t>
            </w:r>
          </w:p>
        </w:tc>
      </w:tr>
      <w:tr w:rsidR="004A7081" w:rsidRPr="00463B87" w14:paraId="549EA796" w14:textId="77777777" w:rsidTr="00172925">
        <w:trPr>
          <w:trHeight w:val="368"/>
        </w:trPr>
        <w:tc>
          <w:tcPr>
            <w:tcW w:w="1980" w:type="dxa"/>
            <w:vMerge/>
            <w:tcBorders>
              <w:top w:val="single" w:sz="4" w:space="0" w:color="auto"/>
              <w:left w:val="single" w:sz="4" w:space="0" w:color="auto"/>
              <w:bottom w:val="single" w:sz="4" w:space="0" w:color="auto"/>
              <w:right w:val="single" w:sz="4" w:space="0" w:color="auto"/>
            </w:tcBorders>
            <w:hideMark/>
          </w:tcPr>
          <w:p w14:paraId="415FA4D3" w14:textId="77777777" w:rsidR="004A7081" w:rsidRPr="00463B87" w:rsidRDefault="004A7081" w:rsidP="00172925">
            <w:pPr>
              <w:jc w:val="left"/>
              <w:rPr>
                <w:b/>
                <w:bCs/>
                <w:sz w:val="21"/>
                <w:szCs w:val="21"/>
                <w:lang w:val="en-CA" w:eastAsia="en-CA"/>
              </w:rPr>
            </w:pPr>
          </w:p>
        </w:tc>
        <w:tc>
          <w:tcPr>
            <w:tcW w:w="990" w:type="dxa"/>
            <w:tcBorders>
              <w:top w:val="nil"/>
              <w:left w:val="nil"/>
              <w:bottom w:val="single" w:sz="4" w:space="0" w:color="auto"/>
              <w:right w:val="single" w:sz="4" w:space="0" w:color="auto"/>
            </w:tcBorders>
            <w:shd w:val="clear" w:color="auto" w:fill="auto"/>
            <w:tcMar>
              <w:left w:w="0" w:type="dxa"/>
              <w:right w:w="0" w:type="dxa"/>
            </w:tcMar>
            <w:hideMark/>
          </w:tcPr>
          <w:p w14:paraId="0D430BAC" w14:textId="77777777" w:rsidR="004A7081" w:rsidRPr="00463B87" w:rsidRDefault="004A7081" w:rsidP="00172925">
            <w:pPr>
              <w:ind w:left="-139" w:right="-95"/>
              <w:jc w:val="center"/>
              <w:rPr>
                <w:b/>
                <w:bCs/>
                <w:sz w:val="21"/>
                <w:szCs w:val="21"/>
              </w:rPr>
            </w:pPr>
            <w:proofErr w:type="spellStart"/>
            <w:r>
              <w:rPr>
                <w:b/>
                <w:sz w:val="21"/>
              </w:rPr>
              <w:t>Aprobados</w:t>
            </w:r>
            <w:proofErr w:type="spellEnd"/>
          </w:p>
        </w:tc>
        <w:tc>
          <w:tcPr>
            <w:tcW w:w="1080" w:type="dxa"/>
            <w:tcBorders>
              <w:top w:val="nil"/>
              <w:left w:val="nil"/>
              <w:bottom w:val="single" w:sz="4" w:space="0" w:color="auto"/>
              <w:right w:val="single" w:sz="4" w:space="0" w:color="auto"/>
            </w:tcBorders>
            <w:shd w:val="clear" w:color="auto" w:fill="auto"/>
            <w:tcMar>
              <w:left w:w="0" w:type="dxa"/>
              <w:right w:w="0" w:type="dxa"/>
            </w:tcMar>
            <w:hideMark/>
          </w:tcPr>
          <w:p w14:paraId="602370DE" w14:textId="77777777" w:rsidR="004A7081" w:rsidRPr="00463B87" w:rsidRDefault="004A7081" w:rsidP="00172925">
            <w:pPr>
              <w:ind w:left="-121" w:right="-171"/>
              <w:jc w:val="center"/>
              <w:rPr>
                <w:b/>
                <w:bCs/>
                <w:sz w:val="21"/>
                <w:szCs w:val="21"/>
              </w:rPr>
            </w:pPr>
            <w:proofErr w:type="spellStart"/>
            <w:r>
              <w:rPr>
                <w:b/>
                <w:sz w:val="21"/>
              </w:rPr>
              <w:t>Terminados</w:t>
            </w:r>
            <w:proofErr w:type="spellEnd"/>
          </w:p>
        </w:tc>
        <w:tc>
          <w:tcPr>
            <w:tcW w:w="1195" w:type="dxa"/>
            <w:tcBorders>
              <w:top w:val="nil"/>
              <w:left w:val="nil"/>
              <w:bottom w:val="single" w:sz="4" w:space="0" w:color="auto"/>
              <w:right w:val="single" w:sz="4" w:space="0" w:color="auto"/>
            </w:tcBorders>
            <w:shd w:val="clear" w:color="auto" w:fill="auto"/>
            <w:tcMar>
              <w:left w:w="0" w:type="dxa"/>
              <w:right w:w="0" w:type="dxa"/>
            </w:tcMar>
            <w:hideMark/>
          </w:tcPr>
          <w:p w14:paraId="4AADD502" w14:textId="77777777" w:rsidR="004A7081" w:rsidRPr="00463B87" w:rsidRDefault="004A7081" w:rsidP="00172925">
            <w:pPr>
              <w:ind w:left="-187" w:right="-165"/>
              <w:jc w:val="center"/>
              <w:rPr>
                <w:b/>
                <w:bCs/>
                <w:sz w:val="21"/>
                <w:szCs w:val="21"/>
              </w:rPr>
            </w:pPr>
            <w:r>
              <w:rPr>
                <w:b/>
                <w:sz w:val="21"/>
              </w:rPr>
              <w:t xml:space="preserve">% </w:t>
            </w:r>
            <w:proofErr w:type="spellStart"/>
            <w:r>
              <w:rPr>
                <w:b/>
                <w:sz w:val="21"/>
              </w:rPr>
              <w:t>terminados</w:t>
            </w:r>
            <w:proofErr w:type="spellEnd"/>
          </w:p>
        </w:tc>
        <w:tc>
          <w:tcPr>
            <w:tcW w:w="1030" w:type="dxa"/>
            <w:tcBorders>
              <w:top w:val="nil"/>
              <w:left w:val="nil"/>
              <w:bottom w:val="single" w:sz="4" w:space="0" w:color="auto"/>
              <w:right w:val="single" w:sz="4" w:space="0" w:color="auto"/>
            </w:tcBorders>
            <w:shd w:val="clear" w:color="auto" w:fill="auto"/>
            <w:tcMar>
              <w:left w:w="0" w:type="dxa"/>
              <w:right w:w="0" w:type="dxa"/>
            </w:tcMar>
            <w:hideMark/>
          </w:tcPr>
          <w:p w14:paraId="09D177D6" w14:textId="57068C0E" w:rsidR="004A7081" w:rsidRPr="00463B87" w:rsidRDefault="004A7081" w:rsidP="00172925">
            <w:pPr>
              <w:ind w:left="-210" w:right="-223"/>
              <w:jc w:val="center"/>
              <w:rPr>
                <w:b/>
                <w:bCs/>
                <w:sz w:val="21"/>
                <w:szCs w:val="21"/>
              </w:rPr>
            </w:pPr>
            <w:proofErr w:type="spellStart"/>
            <w:r>
              <w:rPr>
                <w:b/>
                <w:sz w:val="21"/>
              </w:rPr>
              <w:t>Aprobado</w:t>
            </w:r>
            <w:proofErr w:type="spellEnd"/>
          </w:p>
        </w:tc>
        <w:tc>
          <w:tcPr>
            <w:tcW w:w="1030" w:type="dxa"/>
            <w:tcBorders>
              <w:top w:val="nil"/>
              <w:left w:val="nil"/>
              <w:bottom w:val="single" w:sz="4" w:space="0" w:color="auto"/>
              <w:right w:val="single" w:sz="4" w:space="0" w:color="auto"/>
            </w:tcBorders>
            <w:shd w:val="clear" w:color="auto" w:fill="auto"/>
            <w:tcMar>
              <w:left w:w="0" w:type="dxa"/>
              <w:right w:w="0" w:type="dxa"/>
            </w:tcMar>
            <w:hideMark/>
          </w:tcPr>
          <w:p w14:paraId="43EEF282" w14:textId="3137D1D9" w:rsidR="004A7081" w:rsidRPr="00463B87" w:rsidRDefault="004A7081" w:rsidP="00172925">
            <w:pPr>
              <w:jc w:val="center"/>
              <w:rPr>
                <w:b/>
                <w:bCs/>
                <w:sz w:val="21"/>
                <w:szCs w:val="21"/>
              </w:rPr>
            </w:pPr>
            <w:proofErr w:type="spellStart"/>
            <w:r>
              <w:rPr>
                <w:b/>
                <w:sz w:val="21"/>
              </w:rPr>
              <w:t>Desembol</w:t>
            </w:r>
            <w:r w:rsidR="000245C4">
              <w:rPr>
                <w:b/>
                <w:sz w:val="21"/>
              </w:rPr>
              <w:t>-</w:t>
            </w:r>
            <w:r>
              <w:rPr>
                <w:b/>
                <w:sz w:val="21"/>
              </w:rPr>
              <w:t>sado</w:t>
            </w:r>
            <w:proofErr w:type="spellEnd"/>
          </w:p>
        </w:tc>
        <w:tc>
          <w:tcPr>
            <w:tcW w:w="1030" w:type="dxa"/>
            <w:tcBorders>
              <w:top w:val="nil"/>
              <w:left w:val="nil"/>
              <w:bottom w:val="single" w:sz="4" w:space="0" w:color="auto"/>
              <w:right w:val="single" w:sz="4" w:space="0" w:color="auto"/>
            </w:tcBorders>
            <w:shd w:val="clear" w:color="auto" w:fill="auto"/>
            <w:tcMar>
              <w:left w:w="0" w:type="dxa"/>
              <w:right w:w="0" w:type="dxa"/>
            </w:tcMar>
            <w:hideMark/>
          </w:tcPr>
          <w:p w14:paraId="40DA2DAF" w14:textId="77777777" w:rsidR="004A7081" w:rsidRPr="00463B87" w:rsidRDefault="004A7081" w:rsidP="00172925">
            <w:pPr>
              <w:jc w:val="center"/>
              <w:rPr>
                <w:b/>
                <w:bCs/>
                <w:sz w:val="21"/>
                <w:szCs w:val="21"/>
              </w:rPr>
            </w:pPr>
            <w:proofErr w:type="spellStart"/>
            <w:r>
              <w:rPr>
                <w:b/>
                <w:sz w:val="21"/>
              </w:rPr>
              <w:t>Saldo</w:t>
            </w:r>
            <w:proofErr w:type="spellEnd"/>
          </w:p>
        </w:tc>
        <w:tc>
          <w:tcPr>
            <w:tcW w:w="1205" w:type="dxa"/>
            <w:tcBorders>
              <w:top w:val="nil"/>
              <w:left w:val="nil"/>
              <w:bottom w:val="single" w:sz="4" w:space="0" w:color="auto"/>
              <w:right w:val="single" w:sz="4" w:space="0" w:color="auto"/>
            </w:tcBorders>
            <w:shd w:val="clear" w:color="auto" w:fill="auto"/>
            <w:tcMar>
              <w:left w:w="0" w:type="dxa"/>
              <w:right w:w="0" w:type="dxa"/>
            </w:tcMar>
            <w:hideMark/>
          </w:tcPr>
          <w:p w14:paraId="0D175EDB" w14:textId="457A46BA" w:rsidR="004A7081" w:rsidRPr="00463B87" w:rsidRDefault="004A7081" w:rsidP="00172925">
            <w:pPr>
              <w:ind w:left="-132" w:right="-111"/>
              <w:jc w:val="center"/>
              <w:rPr>
                <w:b/>
                <w:bCs/>
                <w:sz w:val="21"/>
                <w:szCs w:val="21"/>
              </w:rPr>
            </w:pPr>
            <w:r>
              <w:rPr>
                <w:b/>
                <w:sz w:val="21"/>
              </w:rPr>
              <w:t xml:space="preserve">% </w:t>
            </w:r>
            <w:proofErr w:type="spellStart"/>
            <w:r>
              <w:rPr>
                <w:b/>
                <w:sz w:val="21"/>
              </w:rPr>
              <w:t>desembol</w:t>
            </w:r>
            <w:r w:rsidR="000245C4">
              <w:rPr>
                <w:b/>
                <w:sz w:val="21"/>
              </w:rPr>
              <w:t>-</w:t>
            </w:r>
            <w:r>
              <w:rPr>
                <w:b/>
                <w:sz w:val="21"/>
              </w:rPr>
              <w:t>sado</w:t>
            </w:r>
            <w:proofErr w:type="spellEnd"/>
          </w:p>
        </w:tc>
      </w:tr>
      <w:tr w:rsidR="004A7081" w:rsidRPr="00463B87" w14:paraId="64C97233" w14:textId="77777777" w:rsidTr="00172925">
        <w:trPr>
          <w:trHeight w:val="291"/>
        </w:trPr>
        <w:tc>
          <w:tcPr>
            <w:tcW w:w="1980" w:type="dxa"/>
            <w:tcBorders>
              <w:top w:val="nil"/>
              <w:left w:val="single" w:sz="4" w:space="0" w:color="auto"/>
              <w:bottom w:val="single" w:sz="4" w:space="0" w:color="auto"/>
              <w:right w:val="single" w:sz="4" w:space="0" w:color="auto"/>
            </w:tcBorders>
            <w:shd w:val="clear" w:color="auto" w:fill="auto"/>
            <w:hideMark/>
          </w:tcPr>
          <w:p w14:paraId="65900FE3" w14:textId="77777777" w:rsidR="004A7081" w:rsidRPr="0072455F" w:rsidRDefault="004A7081" w:rsidP="00172925">
            <w:pPr>
              <w:jc w:val="left"/>
              <w:rPr>
                <w:sz w:val="21"/>
                <w:szCs w:val="21"/>
                <w:lang w:val="es-419"/>
              </w:rPr>
            </w:pPr>
            <w:r w:rsidRPr="0072455F">
              <w:rPr>
                <w:sz w:val="21"/>
                <w:lang w:val="es-419"/>
              </w:rPr>
              <w:t>Asistencia técnica (actividades de apoyo)</w:t>
            </w:r>
          </w:p>
        </w:tc>
        <w:tc>
          <w:tcPr>
            <w:tcW w:w="990" w:type="dxa"/>
            <w:tcBorders>
              <w:top w:val="nil"/>
              <w:left w:val="nil"/>
              <w:bottom w:val="single" w:sz="4" w:space="0" w:color="auto"/>
              <w:right w:val="single" w:sz="4" w:space="0" w:color="auto"/>
            </w:tcBorders>
            <w:shd w:val="clear" w:color="auto" w:fill="auto"/>
            <w:hideMark/>
          </w:tcPr>
          <w:p w14:paraId="62BE74F8" w14:textId="77777777" w:rsidR="004A7081" w:rsidRPr="00463B87" w:rsidRDefault="004A7081" w:rsidP="00172925">
            <w:pPr>
              <w:jc w:val="right"/>
              <w:rPr>
                <w:sz w:val="21"/>
                <w:szCs w:val="21"/>
              </w:rPr>
            </w:pPr>
            <w:r>
              <w:rPr>
                <w:sz w:val="21"/>
              </w:rPr>
              <w:t>7</w:t>
            </w:r>
          </w:p>
        </w:tc>
        <w:tc>
          <w:tcPr>
            <w:tcW w:w="1080" w:type="dxa"/>
            <w:tcBorders>
              <w:top w:val="nil"/>
              <w:left w:val="nil"/>
              <w:bottom w:val="single" w:sz="4" w:space="0" w:color="auto"/>
              <w:right w:val="single" w:sz="4" w:space="0" w:color="auto"/>
            </w:tcBorders>
            <w:shd w:val="clear" w:color="auto" w:fill="auto"/>
            <w:hideMark/>
          </w:tcPr>
          <w:p w14:paraId="3F9A3173" w14:textId="77777777" w:rsidR="004A7081" w:rsidRPr="00463B87" w:rsidRDefault="004A7081" w:rsidP="00172925">
            <w:pPr>
              <w:jc w:val="right"/>
              <w:rPr>
                <w:sz w:val="21"/>
                <w:szCs w:val="21"/>
              </w:rPr>
            </w:pPr>
            <w:r>
              <w:rPr>
                <w:sz w:val="21"/>
              </w:rPr>
              <w:t>1</w:t>
            </w:r>
          </w:p>
        </w:tc>
        <w:tc>
          <w:tcPr>
            <w:tcW w:w="1195" w:type="dxa"/>
            <w:tcBorders>
              <w:top w:val="nil"/>
              <w:left w:val="nil"/>
              <w:bottom w:val="single" w:sz="4" w:space="0" w:color="auto"/>
              <w:right w:val="single" w:sz="4" w:space="0" w:color="auto"/>
            </w:tcBorders>
            <w:shd w:val="clear" w:color="auto" w:fill="auto"/>
            <w:hideMark/>
          </w:tcPr>
          <w:p w14:paraId="1967DD13" w14:textId="77777777" w:rsidR="004A7081" w:rsidRPr="00463B87" w:rsidRDefault="004A7081" w:rsidP="00172925">
            <w:pPr>
              <w:jc w:val="right"/>
              <w:rPr>
                <w:sz w:val="21"/>
                <w:szCs w:val="21"/>
              </w:rPr>
            </w:pPr>
            <w:r>
              <w:rPr>
                <w:sz w:val="21"/>
              </w:rPr>
              <w:t>14</w:t>
            </w:r>
          </w:p>
        </w:tc>
        <w:tc>
          <w:tcPr>
            <w:tcW w:w="1030" w:type="dxa"/>
            <w:tcBorders>
              <w:top w:val="nil"/>
              <w:left w:val="nil"/>
              <w:bottom w:val="single" w:sz="4" w:space="0" w:color="auto"/>
              <w:right w:val="single" w:sz="4" w:space="0" w:color="auto"/>
            </w:tcBorders>
            <w:shd w:val="clear" w:color="auto" w:fill="auto"/>
            <w:hideMark/>
          </w:tcPr>
          <w:p w14:paraId="4098E2A4" w14:textId="77777777" w:rsidR="004A7081" w:rsidRPr="00463B87" w:rsidRDefault="004A7081" w:rsidP="00172925">
            <w:pPr>
              <w:jc w:val="right"/>
              <w:rPr>
                <w:sz w:val="21"/>
                <w:szCs w:val="21"/>
              </w:rPr>
            </w:pPr>
            <w:r>
              <w:rPr>
                <w:sz w:val="21"/>
              </w:rPr>
              <w:t>480.000</w:t>
            </w:r>
          </w:p>
        </w:tc>
        <w:tc>
          <w:tcPr>
            <w:tcW w:w="1030" w:type="dxa"/>
            <w:tcBorders>
              <w:top w:val="nil"/>
              <w:left w:val="nil"/>
              <w:bottom w:val="single" w:sz="4" w:space="0" w:color="auto"/>
              <w:right w:val="single" w:sz="4" w:space="0" w:color="auto"/>
            </w:tcBorders>
            <w:shd w:val="clear" w:color="auto" w:fill="auto"/>
            <w:hideMark/>
          </w:tcPr>
          <w:p w14:paraId="443B8505" w14:textId="77777777" w:rsidR="004A7081" w:rsidRPr="00463B87" w:rsidRDefault="004A7081" w:rsidP="00172925">
            <w:pPr>
              <w:jc w:val="right"/>
              <w:rPr>
                <w:sz w:val="21"/>
                <w:szCs w:val="21"/>
              </w:rPr>
            </w:pPr>
            <w:r>
              <w:rPr>
                <w:sz w:val="21"/>
              </w:rPr>
              <w:t>172.093</w:t>
            </w:r>
          </w:p>
        </w:tc>
        <w:tc>
          <w:tcPr>
            <w:tcW w:w="1030" w:type="dxa"/>
            <w:tcBorders>
              <w:top w:val="nil"/>
              <w:left w:val="nil"/>
              <w:bottom w:val="single" w:sz="4" w:space="0" w:color="auto"/>
              <w:right w:val="single" w:sz="4" w:space="0" w:color="auto"/>
            </w:tcBorders>
            <w:shd w:val="clear" w:color="auto" w:fill="auto"/>
            <w:hideMark/>
          </w:tcPr>
          <w:p w14:paraId="3A6AE9AF" w14:textId="77777777" w:rsidR="004A7081" w:rsidRPr="00463B87" w:rsidRDefault="004A7081" w:rsidP="00172925">
            <w:pPr>
              <w:jc w:val="right"/>
              <w:rPr>
                <w:sz w:val="21"/>
                <w:szCs w:val="21"/>
              </w:rPr>
            </w:pPr>
            <w:r>
              <w:rPr>
                <w:sz w:val="21"/>
              </w:rPr>
              <w:t>307.907</w:t>
            </w:r>
          </w:p>
        </w:tc>
        <w:tc>
          <w:tcPr>
            <w:tcW w:w="1205" w:type="dxa"/>
            <w:tcBorders>
              <w:top w:val="nil"/>
              <w:left w:val="nil"/>
              <w:bottom w:val="single" w:sz="4" w:space="0" w:color="auto"/>
              <w:right w:val="single" w:sz="4" w:space="0" w:color="auto"/>
            </w:tcBorders>
            <w:shd w:val="clear" w:color="auto" w:fill="auto"/>
            <w:hideMark/>
          </w:tcPr>
          <w:p w14:paraId="3293A263" w14:textId="77777777" w:rsidR="004A7081" w:rsidRPr="00463B87" w:rsidRDefault="004A7081" w:rsidP="00172925">
            <w:pPr>
              <w:jc w:val="right"/>
              <w:rPr>
                <w:sz w:val="21"/>
                <w:szCs w:val="21"/>
              </w:rPr>
            </w:pPr>
            <w:r>
              <w:rPr>
                <w:sz w:val="21"/>
              </w:rPr>
              <w:t>36</w:t>
            </w:r>
          </w:p>
        </w:tc>
      </w:tr>
    </w:tbl>
    <w:p w14:paraId="1F2EFE3F" w14:textId="77777777" w:rsidR="004A7081" w:rsidRPr="0072455F" w:rsidRDefault="004A7081" w:rsidP="00172925">
      <w:pPr>
        <w:rPr>
          <w:sz w:val="20"/>
          <w:szCs w:val="20"/>
          <w:lang w:val="es-419"/>
        </w:rPr>
      </w:pPr>
      <w:r w:rsidRPr="0072455F">
        <w:rPr>
          <w:sz w:val="20"/>
          <w:lang w:val="es-419"/>
        </w:rPr>
        <w:t>* Excluidos los gastos de apoyo del organismo.</w:t>
      </w:r>
    </w:p>
    <w:p w14:paraId="68DC8A0E" w14:textId="77777777" w:rsidR="004A7081" w:rsidRPr="0072455F" w:rsidRDefault="004A7081" w:rsidP="00172925">
      <w:pPr>
        <w:rPr>
          <w:lang w:val="es-419"/>
        </w:rPr>
      </w:pPr>
    </w:p>
    <w:p w14:paraId="09D661E9" w14:textId="12FD4772" w:rsidR="0087455A" w:rsidRPr="00DB4664" w:rsidRDefault="004A7081" w:rsidP="00CA2A3B">
      <w:pPr>
        <w:pStyle w:val="Heading1"/>
        <w:rPr>
          <w:b/>
          <w:bCs/>
          <w:lang w:val="es-ES"/>
        </w:rPr>
      </w:pPr>
      <w:r w:rsidRPr="0072455F">
        <w:rPr>
          <w:lang w:val="es-419"/>
        </w:rPr>
        <w:t xml:space="preserve">A finales de 2019, se había terminado una de las siete actividades de apoyo aprobadas. </w:t>
      </w:r>
      <w:proofErr w:type="gramStart"/>
      <w:r w:rsidRPr="0072455F">
        <w:rPr>
          <w:lang w:val="es-419"/>
        </w:rPr>
        <w:t>La prórroga de las fechas de terminación de las restantes seis actividades de apoyo en curso se aprobaron</w:t>
      </w:r>
      <w:proofErr w:type="gramEnd"/>
      <w:r w:rsidRPr="0072455F">
        <w:rPr>
          <w:lang w:val="es-419"/>
        </w:rPr>
        <w:t xml:space="preserve"> en la 83ª reunión (tres proyectos) y en la 84ª reunión (tres proyectos); estas actividades se encuentran en diferentes etapas de ejecución y se prevé que se terminarán en 2020. Del total acumulativo de fondos aprobados, de 480 000 $EUA, se han desembolsado 172 093 $EUA, lo que representa una tasa de desembolso del 36</w:t>
      </w:r>
      <w:r w:rsidR="001C2686">
        <w:rPr>
          <w:lang w:val="es-419"/>
        </w:rPr>
        <w:t xml:space="preserve"> por ciento</w:t>
      </w:r>
      <w:r w:rsidRPr="0072455F">
        <w:rPr>
          <w:lang w:val="es-419"/>
        </w:rPr>
        <w:t>.</w:t>
      </w:r>
      <w:bookmarkStart w:id="0" w:name="_GoBack"/>
      <w:bookmarkEnd w:id="0"/>
      <w:r w:rsidR="00CA2A3B" w:rsidRPr="00DB4664">
        <w:rPr>
          <w:b/>
          <w:bCs/>
          <w:lang w:val="es-ES"/>
        </w:rPr>
        <w:t xml:space="preserve"> </w:t>
      </w:r>
    </w:p>
    <w:sectPr w:rsidR="0087455A" w:rsidRPr="00DB4664" w:rsidSect="00172925">
      <w:headerReference w:type="even" r:id="rId19"/>
      <w:headerReference w:type="default" r:id="rId20"/>
      <w:headerReference w:type="first" r:id="rId21"/>
      <w:pgSz w:w="12240" w:h="15840" w:code="1"/>
      <w:pgMar w:top="720" w:right="1440" w:bottom="864" w:left="1440" w:header="720" w:footer="475"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D8D9" w14:textId="77777777" w:rsidR="000A2458" w:rsidRDefault="000A2458">
      <w:r>
        <w:separator/>
      </w:r>
    </w:p>
  </w:endnote>
  <w:endnote w:type="continuationSeparator" w:id="0">
    <w:p w14:paraId="0456F9E9" w14:textId="77777777" w:rsidR="000A2458" w:rsidRDefault="000A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7C95" w14:textId="23B3C03A" w:rsidR="001C2686" w:rsidRDefault="001C2686">
    <w:pPr>
      <w:jc w:val="center"/>
    </w:pPr>
    <w:r>
      <w:fldChar w:fldCharType="begin"/>
    </w:r>
    <w:r>
      <w:instrText xml:space="preserve"> PAGE </w:instrText>
    </w:r>
    <w:r>
      <w:fldChar w:fldCharType="separate"/>
    </w:r>
    <w:r w:rsidR="00CA2A3B">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EAB4" w14:textId="39BB50AB" w:rsidR="001C2686" w:rsidRDefault="001C2686">
    <w:pPr>
      <w:jc w:val="center"/>
    </w:pPr>
    <w:r>
      <w:fldChar w:fldCharType="begin"/>
    </w:r>
    <w:r>
      <w:instrText xml:space="preserve"> PAGE </w:instrText>
    </w:r>
    <w:r>
      <w:fldChar w:fldCharType="separate"/>
    </w:r>
    <w:r w:rsidR="00CA2A3B">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A983" w14:textId="77777777" w:rsidR="001C2686" w:rsidRDefault="001C2686">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36BC" w14:textId="27536F25" w:rsidR="001C2686" w:rsidRPr="0033525D" w:rsidRDefault="001C2686" w:rsidP="00172925">
    <w:pPr>
      <w:jc w:val="center"/>
    </w:pPr>
    <w:r>
      <w:fldChar w:fldCharType="begin"/>
    </w:r>
    <w:r>
      <w:instrText xml:space="preserve"> PAGE </w:instrText>
    </w:r>
    <w:r>
      <w:fldChar w:fldCharType="separate"/>
    </w:r>
    <w:r w:rsidR="00CA2A3B">
      <w:rPr>
        <w:noProof/>
      </w:rPr>
      <w:t>1</w:t>
    </w:r>
    <w:r>
      <w:fldChar w:fldCharType="end"/>
    </w:r>
  </w:p>
  <w:p w14:paraId="5BCA9CCB" w14:textId="77777777" w:rsidR="001C2686" w:rsidRPr="008E32D7" w:rsidRDefault="001C2686" w:rsidP="00172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8913" w14:textId="77777777" w:rsidR="000A2458" w:rsidRDefault="000A2458">
      <w:r>
        <w:separator/>
      </w:r>
    </w:p>
  </w:footnote>
  <w:footnote w:type="continuationSeparator" w:id="0">
    <w:p w14:paraId="12C614E3" w14:textId="77777777" w:rsidR="000A2458" w:rsidRDefault="000A2458">
      <w:r>
        <w:continuationSeparator/>
      </w:r>
    </w:p>
  </w:footnote>
  <w:footnote w:id="1">
    <w:p w14:paraId="24DE1784" w14:textId="77777777" w:rsidR="001C2686" w:rsidRPr="00463B87" w:rsidRDefault="001C2686" w:rsidP="004A7081">
      <w:pPr>
        <w:pStyle w:val="FootnoteText"/>
      </w:pPr>
      <w:r>
        <w:rPr>
          <w:rStyle w:val="FootnoteReference"/>
        </w:rPr>
        <w:footnoteRef/>
      </w:r>
      <w:r>
        <w:t xml:space="preserve"> Debido al coronavirus (COVID-19).</w:t>
      </w:r>
    </w:p>
  </w:footnote>
  <w:footnote w:id="2">
    <w:p w14:paraId="7738F898" w14:textId="37038FD1" w:rsidR="001C2686" w:rsidRPr="0072455F" w:rsidRDefault="001C2686" w:rsidP="004A7081">
      <w:pPr>
        <w:pStyle w:val="Heading1"/>
        <w:numPr>
          <w:ilvl w:val="0"/>
          <w:numId w:val="0"/>
        </w:numPr>
        <w:spacing w:after="0"/>
        <w:rPr>
          <w:sz w:val="20"/>
          <w:szCs w:val="20"/>
          <w:lang w:val="es-419"/>
        </w:rPr>
      </w:pPr>
      <w:r>
        <w:rPr>
          <w:rStyle w:val="FootnoteReference"/>
          <w:sz w:val="20"/>
          <w:szCs w:val="20"/>
        </w:rPr>
        <w:footnoteRef/>
      </w:r>
      <w:r w:rsidRPr="0072455F">
        <w:rPr>
          <w:lang w:val="es-419"/>
        </w:rPr>
        <w:t xml:space="preserve"> </w:t>
      </w:r>
      <w:r w:rsidRPr="0072455F">
        <w:rPr>
          <w:sz w:val="20"/>
          <w:lang w:val="es-419"/>
        </w:rPr>
        <w:t>Los informes sobre la marcha de las actividades son el único vehículo para indicar el cierre definitivo de todas las cuentas de fondos relacionadas con los proyectos aprobados por el Comité Ejecutivo para cooperación bilateral.</w:t>
      </w:r>
    </w:p>
  </w:footnote>
  <w:footnote w:id="3">
    <w:p w14:paraId="5FA5D0A9" w14:textId="77777777" w:rsidR="001C2686" w:rsidRPr="00463B87" w:rsidRDefault="001C2686" w:rsidP="004A7081">
      <w:pPr>
        <w:pStyle w:val="FootnoteText"/>
      </w:pPr>
      <w:r>
        <w:rPr>
          <w:rStyle w:val="FootnoteReference"/>
        </w:rPr>
        <w:footnoteRef/>
      </w:r>
      <w:r>
        <w:t xml:space="preserve"> UNEP/</w:t>
      </w:r>
      <w:proofErr w:type="spellStart"/>
      <w:r>
        <w:t>OzL.Pro</w:t>
      </w:r>
      <w:proofErr w:type="spellEnd"/>
      <w:r>
        <w:t>/</w:t>
      </w:r>
      <w:proofErr w:type="spellStart"/>
      <w:r>
        <w:t>ExCom</w:t>
      </w:r>
      <w:proofErr w:type="spellEnd"/>
      <w:r>
        <w:t>/86/15.</w:t>
      </w:r>
    </w:p>
  </w:footnote>
  <w:footnote w:id="4">
    <w:p w14:paraId="7742BD88" w14:textId="684E67D6" w:rsidR="001C2686" w:rsidRDefault="001C2686" w:rsidP="004A7081">
      <w:pPr>
        <w:pStyle w:val="Heading1"/>
        <w:numPr>
          <w:ilvl w:val="0"/>
          <w:numId w:val="0"/>
        </w:numPr>
        <w:spacing w:after="0"/>
        <w:rPr>
          <w:sz w:val="20"/>
          <w:lang w:val="es-419"/>
        </w:rPr>
      </w:pPr>
      <w:r>
        <w:rPr>
          <w:rStyle w:val="FootnoteReference"/>
          <w:sz w:val="20"/>
          <w:szCs w:val="20"/>
        </w:rPr>
        <w:footnoteRef/>
      </w:r>
      <w:r w:rsidRPr="0072455F">
        <w:rPr>
          <w:lang w:val="es-419"/>
        </w:rPr>
        <w:t xml:space="preserve"> </w:t>
      </w:r>
      <w:r w:rsidRPr="0072455F">
        <w:rPr>
          <w:sz w:val="20"/>
          <w:lang w:val="es-419"/>
        </w:rPr>
        <w:t>Austria, Bélgica, Dinamarca, Estados Unidos de América, Finlandia, Hungría, Israel, Polonia, Portugal, Reino Unido de Gran Bretaña e Irlanda del Norte, República Checa, República Eslovaca, Singapur, Sudáfrica, Suecia y Suiza.</w:t>
      </w:r>
    </w:p>
    <w:p w14:paraId="22F276A7" w14:textId="13B85F97" w:rsidR="00CA2A3B" w:rsidRDefault="00CA2A3B" w:rsidP="00CA2A3B">
      <w:pPr>
        <w:rPr>
          <w:lang w:val="es-419"/>
        </w:rPr>
      </w:pPr>
    </w:p>
    <w:p w14:paraId="2337F275" w14:textId="77777777" w:rsidR="00CA2A3B" w:rsidRPr="00CA2A3B" w:rsidRDefault="00CA2A3B" w:rsidP="00CA2A3B">
      <w:pPr>
        <w:rPr>
          <w:lang w:val="es-419"/>
        </w:rPr>
      </w:pPr>
    </w:p>
  </w:footnote>
  <w:footnote w:id="5">
    <w:p w14:paraId="566DF7F3" w14:textId="77777777" w:rsidR="001C2686" w:rsidRPr="00463B87" w:rsidRDefault="001C2686" w:rsidP="004A7081">
      <w:pPr>
        <w:pStyle w:val="FootnoteText"/>
      </w:pPr>
      <w:r>
        <w:rPr>
          <w:rStyle w:val="FootnoteReference"/>
        </w:rPr>
        <w:footnoteRef/>
      </w:r>
      <w:r>
        <w:t xml:space="preserve"> De conformidad con la decisión 84/12 a) iv), la medición de los HFC en </w:t>
      </w:r>
      <w:proofErr w:type="spellStart"/>
      <w:r>
        <w:t>tm</w:t>
      </w:r>
      <w:proofErr w:type="spellEnd"/>
      <w:r>
        <w:t xml:space="preserve"> de </w:t>
      </w:r>
      <w:proofErr w:type="spellStart"/>
      <w:r>
        <w:t>eq</w:t>
      </w:r>
      <w:proofErr w:type="spellEnd"/>
      <w:r>
        <w:t>. de CO</w:t>
      </w:r>
      <w:r>
        <w:rPr>
          <w:vertAlign w:val="subscript"/>
        </w:rPr>
        <w:t>2</w:t>
      </w:r>
      <w:r>
        <w:t xml:space="preserve"> se incluiría en los informes sobre la marcha de las actividades presentados a partir de la 88ª reunión. Esta cuestión se trata en el informe refundido sobre la marcha de las actividades (UNEP/</w:t>
      </w:r>
      <w:proofErr w:type="spellStart"/>
      <w:r>
        <w:t>OzL.Pro</w:t>
      </w:r>
      <w:proofErr w:type="spellEnd"/>
      <w:r>
        <w:t>/</w:t>
      </w:r>
      <w:proofErr w:type="spellStart"/>
      <w:r>
        <w:t>ExCom</w:t>
      </w:r>
      <w:proofErr w:type="spellEnd"/>
      <w:r>
        <w:t>/86/15).</w:t>
      </w:r>
    </w:p>
  </w:footnote>
  <w:footnote w:id="6">
    <w:p w14:paraId="53CE14B2" w14:textId="77777777" w:rsidR="001C2686" w:rsidRPr="00463B87" w:rsidRDefault="001C2686" w:rsidP="004A7081">
      <w:pPr>
        <w:pStyle w:val="FootnoteText"/>
      </w:pPr>
      <w:r>
        <w:rPr>
          <w:rStyle w:val="FootnoteReference"/>
          <w:lang w:val="en-GB"/>
        </w:rPr>
        <w:footnoteRef/>
      </w:r>
      <w:r>
        <w:t xml:space="preserve"> Los proyectos en curso son todos los proyectos que estaban en ejecución al 31 de diciembre de 2019. Los indicadores principales del progreso comprenden: porcentaje de fondos desembolsados y porcentaje de proyectos que han comenzado a desembolsar fondos; financiación que se prevé desembolsar para finales de año como porcentaje de la financiación aprobada; duración media de la demora de ejecución prevista; e información proporcionada en la columna de observaciones de la base de datos del informe sobre la marcha de las actividades.</w:t>
      </w:r>
    </w:p>
  </w:footnote>
  <w:footnote w:id="7">
    <w:p w14:paraId="23FCCE54" w14:textId="77777777" w:rsidR="001C2686" w:rsidRPr="00463B87" w:rsidRDefault="001C2686" w:rsidP="004A7081">
      <w:pPr>
        <w:pStyle w:val="FootnoteText"/>
      </w:pPr>
      <w:r>
        <w:rPr>
          <w:rStyle w:val="FootnoteReference"/>
        </w:rPr>
        <w:footnoteRef/>
      </w:r>
      <w:r>
        <w:t xml:space="preserve"> De conformidad con la decisión 84/12 b), se presenta una reseña de los objetivos, la situación de la ejecución, las conclusiones clave y las lecciones aprendidas, las cantidades de HFC eliminadas si procede, el nivel de fondos aprobados y desembolsados y las posibles dificultades para terminar los proyectos y actividades en el informe refundido sobre la marcha de las actividades (UNEP/</w:t>
      </w:r>
      <w:proofErr w:type="spellStart"/>
      <w:r>
        <w:t>OzL.Pro</w:t>
      </w:r>
      <w:proofErr w:type="spellEnd"/>
      <w:r>
        <w:t>/</w:t>
      </w:r>
      <w:proofErr w:type="spellStart"/>
      <w:r>
        <w:t>ExCom</w:t>
      </w:r>
      <w:proofErr w:type="spellEnd"/>
      <w:r>
        <w:t>/86/15).</w:t>
      </w:r>
    </w:p>
  </w:footnote>
  <w:footnote w:id="8">
    <w:p w14:paraId="348421F1" w14:textId="77777777" w:rsidR="001C2686" w:rsidRPr="00463B87" w:rsidRDefault="001C2686" w:rsidP="004A7081">
      <w:pPr>
        <w:pStyle w:val="FootnoteText"/>
      </w:pPr>
      <w:r>
        <w:rPr>
          <w:rStyle w:val="FootnoteReference"/>
        </w:rPr>
        <w:footnoteRef/>
      </w:r>
      <w:r>
        <w:t xml:space="preserve"> La eliminación incluye aprobaciones para proyectos de inversión relacionados con los HFC de 74 </w:t>
      </w:r>
      <w:proofErr w:type="spellStart"/>
      <w:r>
        <w:t>tm</w:t>
      </w:r>
      <w:proofErr w:type="spellEnd"/>
      <w:r>
        <w:t xml:space="preserve"> (105 865 </w:t>
      </w:r>
      <w:proofErr w:type="spellStart"/>
      <w:r>
        <w:t>tm</w:t>
      </w:r>
      <w:proofErr w:type="spellEnd"/>
      <w:r>
        <w:t xml:space="preserve"> de </w:t>
      </w:r>
      <w:proofErr w:type="spellStart"/>
      <w:r>
        <w:t>eq</w:t>
      </w:r>
      <w:proofErr w:type="spellEnd"/>
      <w:r>
        <w:t>. de CO</w:t>
      </w:r>
      <w:r>
        <w:rPr>
          <w:vertAlign w:val="subscript"/>
        </w:rPr>
        <w:t>2</w:t>
      </w:r>
      <w:r>
        <w:t>).</w:t>
      </w:r>
    </w:p>
  </w:footnote>
  <w:footnote w:id="9">
    <w:p w14:paraId="4C16E195" w14:textId="77777777" w:rsidR="001C2686" w:rsidRPr="00463B87" w:rsidRDefault="001C2686" w:rsidP="004A7081">
      <w:pPr>
        <w:pStyle w:val="FootnoteText"/>
      </w:pPr>
      <w:r>
        <w:rPr>
          <w:rStyle w:val="FootnoteReference"/>
          <w:lang w:val="en-CA"/>
        </w:rPr>
        <w:footnoteRef/>
      </w:r>
      <w:r>
        <w:t xml:space="preserve"> Proyectos aprobados más de 18 meses antes con tasas de desembolso inferiores al 1% o los proyectos que no se habían terminado 12 meses después de la fecha de terminación prevista en el informe sobre la marcha de las actividades (decisión 22/61) (dado que los proyectos de demostración, la preparación de proyectos y los proyectos de fortalecimiento institucional no están sujetos a dichos procedimientos). </w:t>
      </w:r>
    </w:p>
  </w:footnote>
  <w:footnote w:id="10">
    <w:p w14:paraId="24D8F276" w14:textId="77777777" w:rsidR="001C2686" w:rsidRPr="00463B87" w:rsidRDefault="001C2686" w:rsidP="004A7081">
      <w:pPr>
        <w:pStyle w:val="FootnoteText"/>
      </w:pPr>
      <w:r>
        <w:rPr>
          <w:rStyle w:val="FootnoteReference"/>
        </w:rPr>
        <w:footnoteRef/>
      </w:r>
      <w:r>
        <w:t xml:space="preserve"> UNEP/</w:t>
      </w:r>
      <w:proofErr w:type="spellStart"/>
      <w:r>
        <w:t>OzL.Pro</w:t>
      </w:r>
      <w:proofErr w:type="spellEnd"/>
      <w:r>
        <w:t>/</w:t>
      </w:r>
      <w:proofErr w:type="spellStart"/>
      <w:r>
        <w:t>ExCom</w:t>
      </w:r>
      <w:proofErr w:type="spellEnd"/>
      <w:r>
        <w:t>/86/41.</w:t>
      </w:r>
    </w:p>
  </w:footnote>
  <w:footnote w:id="11">
    <w:p w14:paraId="31DA70D6" w14:textId="77777777" w:rsidR="001C2686" w:rsidRPr="00463B87" w:rsidRDefault="001C2686" w:rsidP="004A7081">
      <w:pPr>
        <w:pStyle w:val="FootnoteText"/>
      </w:pPr>
      <w:r>
        <w:rPr>
          <w:rStyle w:val="FootnoteReference"/>
        </w:rPr>
        <w:footnoteRef/>
      </w:r>
      <w:r>
        <w:t xml:space="preserve"> UNEP/</w:t>
      </w:r>
      <w:proofErr w:type="spellStart"/>
      <w:r>
        <w:t>OzL.Pro</w:t>
      </w:r>
      <w:proofErr w:type="spellEnd"/>
      <w:r>
        <w:t>/</w:t>
      </w:r>
      <w:proofErr w:type="spellStart"/>
      <w:r>
        <w:t>ExCom</w:t>
      </w:r>
      <w:proofErr w:type="spellEnd"/>
      <w:r>
        <w:t>/86/55.</w:t>
      </w:r>
    </w:p>
  </w:footnote>
  <w:footnote w:id="12">
    <w:p w14:paraId="24277EA9" w14:textId="77777777" w:rsidR="001C2686" w:rsidRPr="00463B87" w:rsidRDefault="001C2686" w:rsidP="004A7081">
      <w:pPr>
        <w:pStyle w:val="FootnoteText"/>
      </w:pPr>
      <w:r>
        <w:rPr>
          <w:rStyle w:val="FootnoteReference"/>
        </w:rPr>
        <w:footnoteRef/>
      </w:r>
      <w:r>
        <w:t xml:space="preserve"> UNEP/</w:t>
      </w:r>
      <w:proofErr w:type="spellStart"/>
      <w:r>
        <w:t>OzL.Pro</w:t>
      </w:r>
      <w:proofErr w:type="spellEnd"/>
      <w:r>
        <w:t>/</w:t>
      </w:r>
      <w:proofErr w:type="spellStart"/>
      <w:r>
        <w:t>ExCom</w:t>
      </w:r>
      <w:proofErr w:type="spellEnd"/>
      <w:r>
        <w:t>/86/57.</w:t>
      </w:r>
    </w:p>
  </w:footnote>
  <w:footnote w:id="13">
    <w:p w14:paraId="1A32E6B9" w14:textId="77777777" w:rsidR="001C2686" w:rsidRPr="00463B87" w:rsidRDefault="001C2686" w:rsidP="004A7081">
      <w:pPr>
        <w:pStyle w:val="FootnoteText"/>
      </w:pPr>
      <w:r>
        <w:rPr>
          <w:rStyle w:val="FootnoteReference"/>
        </w:rPr>
        <w:footnoteRef/>
      </w:r>
      <w:r>
        <w:t xml:space="preserve"> UNEP/</w:t>
      </w:r>
      <w:proofErr w:type="spellStart"/>
      <w:r>
        <w:t>OzL.Pro</w:t>
      </w:r>
      <w:proofErr w:type="spellEnd"/>
      <w:r>
        <w:t>/</w:t>
      </w:r>
      <w:proofErr w:type="spellStart"/>
      <w:r>
        <w:t>ExCom</w:t>
      </w:r>
      <w:proofErr w:type="spellEnd"/>
      <w:r>
        <w:t>/86/60.</w:t>
      </w:r>
    </w:p>
  </w:footnote>
  <w:footnote w:id="14">
    <w:p w14:paraId="2DCA0C11" w14:textId="77777777" w:rsidR="001C2686" w:rsidRPr="00463B87" w:rsidRDefault="001C2686" w:rsidP="004A7081">
      <w:pPr>
        <w:pStyle w:val="FootnoteText"/>
      </w:pPr>
      <w:r>
        <w:rPr>
          <w:rStyle w:val="FootnoteReference"/>
        </w:rPr>
        <w:footnoteRef/>
      </w:r>
      <w:r>
        <w:t xml:space="preserve"> UNEP/</w:t>
      </w:r>
      <w:proofErr w:type="spellStart"/>
      <w:r>
        <w:t>OzL.Pro</w:t>
      </w:r>
      <w:proofErr w:type="spellEnd"/>
      <w:r>
        <w:t>/</w:t>
      </w:r>
      <w:proofErr w:type="spellStart"/>
      <w:r>
        <w:t>ExCom</w:t>
      </w:r>
      <w:proofErr w:type="spellEnd"/>
      <w:r>
        <w:t>/86/82.</w:t>
      </w:r>
    </w:p>
  </w:footnote>
  <w:footnote w:id="15">
    <w:p w14:paraId="3B3DBF3E" w14:textId="77777777" w:rsidR="001C2686" w:rsidRPr="00463B87" w:rsidRDefault="001C2686" w:rsidP="004A7081">
      <w:pPr>
        <w:pStyle w:val="FootnoteText"/>
      </w:pPr>
      <w:r>
        <w:rPr>
          <w:rStyle w:val="FootnoteReference"/>
        </w:rPr>
        <w:footnoteRef/>
      </w:r>
      <w:r>
        <w:t xml:space="preserve"> UNEP/</w:t>
      </w:r>
      <w:proofErr w:type="spellStart"/>
      <w:r>
        <w:t>OzL.Pro</w:t>
      </w:r>
      <w:proofErr w:type="spellEnd"/>
      <w:r>
        <w:t>/</w:t>
      </w:r>
      <w:proofErr w:type="spellStart"/>
      <w:r>
        <w:t>ExCom</w:t>
      </w:r>
      <w:proofErr w:type="spellEnd"/>
      <w:r>
        <w:t>/86/21/Add.1.</w:t>
      </w:r>
    </w:p>
  </w:footnote>
  <w:footnote w:id="16">
    <w:p w14:paraId="4ADE89E9" w14:textId="77777777" w:rsidR="001C2686" w:rsidRPr="00463B87" w:rsidRDefault="001C2686" w:rsidP="004A7081">
      <w:pPr>
        <w:pStyle w:val="FootnoteText"/>
      </w:pPr>
      <w:r>
        <w:rPr>
          <w:rStyle w:val="FootnoteReference"/>
        </w:rPr>
        <w:footnoteRef/>
      </w:r>
      <w:r>
        <w:t xml:space="preserve"> UNEP/</w:t>
      </w:r>
      <w:proofErr w:type="spellStart"/>
      <w:r>
        <w:t>OzL.Pro</w:t>
      </w:r>
      <w:proofErr w:type="spellEnd"/>
      <w:r>
        <w:t>/</w:t>
      </w:r>
      <w:proofErr w:type="spellStart"/>
      <w:r>
        <w:t>ExCom</w:t>
      </w:r>
      <w:proofErr w:type="spellEnd"/>
      <w:r>
        <w:t>/86/21.</w:t>
      </w:r>
    </w:p>
  </w:footnote>
  <w:footnote w:id="17">
    <w:p w14:paraId="565D880F" w14:textId="77777777" w:rsidR="001C2686" w:rsidRPr="00463B87" w:rsidRDefault="001C2686" w:rsidP="004A7081">
      <w:pPr>
        <w:pStyle w:val="FootnoteText"/>
      </w:pPr>
      <w:r>
        <w:rPr>
          <w:rStyle w:val="FootnoteReference"/>
        </w:rPr>
        <w:footnoteRef/>
      </w:r>
      <w:r>
        <w:t xml:space="preserve"> UNEP/</w:t>
      </w:r>
      <w:proofErr w:type="spellStart"/>
      <w:r>
        <w:t>OzL.Pro</w:t>
      </w:r>
      <w:proofErr w:type="spellEnd"/>
      <w:r>
        <w:t>/</w:t>
      </w:r>
      <w:proofErr w:type="spellStart"/>
      <w:r>
        <w:t>ExCom</w:t>
      </w:r>
      <w:proofErr w:type="spellEnd"/>
      <w:r>
        <w:t>/86/24.</w:t>
      </w:r>
    </w:p>
  </w:footnote>
  <w:footnote w:id="18">
    <w:p w14:paraId="0DD35930" w14:textId="77777777" w:rsidR="001C2686" w:rsidRPr="00463B87" w:rsidRDefault="001C2686" w:rsidP="004A7081">
      <w:pPr>
        <w:pStyle w:val="FootnoteText"/>
      </w:pPr>
      <w:r>
        <w:rPr>
          <w:rStyle w:val="FootnoteReference"/>
        </w:rPr>
        <w:footnoteRef/>
      </w:r>
      <w:r>
        <w:t xml:space="preserve"> Los datos se presentan con arreglo al año en que el Comité Ejecutivo aprobó un proyecto. Se tratan equitativamente todas las aprobaciones (proyectos de inversión y ajenos a la inversión); es decir, un proyecto de inversión o un tramo de financiación de un acuerdo plurianual de 1 millón de $EUA se considera como un proyecto, al igual que la preparación de un programas de país, por valor de 30 000 $EUA. Los indicadores importantes del resumen anual son: porcentaje de proyectos terminados, PAO eliminado y porcentaje de fondos desembolsados. Al examinar los datos sobre los fondos desembolsados, cabe señalar que hay tres tipos de desembolsos: durante la ejecución, después de la ejecución y para proyectos financiados en forma retroactiva.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B894" w14:textId="2565FCBE" w:rsidR="001C2686" w:rsidRDefault="000A2458">
    <w:r>
      <w:fldChar w:fldCharType="begin"/>
    </w:r>
    <w:r>
      <w:instrText xml:space="preserve"> DOCPROPERTY "Document number"  \* MERGEFORMAT </w:instrText>
    </w:r>
    <w:r>
      <w:fldChar w:fldCharType="separate"/>
    </w:r>
    <w:r w:rsidR="00CA2A3B">
      <w:t>UNEP/</w:t>
    </w:r>
    <w:proofErr w:type="spellStart"/>
    <w:r w:rsidR="00CA2A3B">
      <w:t>OzL.Pro</w:t>
    </w:r>
    <w:proofErr w:type="spellEnd"/>
    <w:r w:rsidR="00CA2A3B">
      <w:t>/</w:t>
    </w:r>
    <w:proofErr w:type="spellStart"/>
    <w:r w:rsidR="00CA2A3B">
      <w:t>ExCom</w:t>
    </w:r>
    <w:proofErr w:type="spellEnd"/>
    <w:r w:rsidR="00CA2A3B">
      <w:t>/86/16</w:t>
    </w:r>
    <w:r>
      <w:fldChar w:fldCharType="end"/>
    </w:r>
  </w:p>
  <w:p w14:paraId="1BDED56B" w14:textId="77777777" w:rsidR="001C2686" w:rsidRDefault="001C2686"/>
  <w:p w14:paraId="4EAE2091" w14:textId="77777777" w:rsidR="001C2686" w:rsidRDefault="001C268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160D" w14:textId="4D29B53A" w:rsidR="001C2686" w:rsidRDefault="000A2458">
    <w:pPr>
      <w:jc w:val="right"/>
    </w:pPr>
    <w:r>
      <w:fldChar w:fldCharType="begin"/>
    </w:r>
    <w:r>
      <w:instrText xml:space="preserve"> DOCPROPERTY "Document number"  \* MERGEFORMAT </w:instrText>
    </w:r>
    <w:r>
      <w:fldChar w:fldCharType="separate"/>
    </w:r>
    <w:r w:rsidR="001C2686">
      <w:t>UNEP/</w:t>
    </w:r>
    <w:proofErr w:type="spellStart"/>
    <w:r w:rsidR="001C2686">
      <w:t>OzL.Pro</w:t>
    </w:r>
    <w:proofErr w:type="spellEnd"/>
    <w:r w:rsidR="001C2686">
      <w:t>/</w:t>
    </w:r>
    <w:proofErr w:type="spellStart"/>
    <w:r w:rsidR="001C2686">
      <w:t>ExCom</w:t>
    </w:r>
    <w:proofErr w:type="spellEnd"/>
    <w:r w:rsidR="001C2686">
      <w:t>/86/16</w:t>
    </w:r>
    <w:r>
      <w:fldChar w:fldCharType="end"/>
    </w:r>
  </w:p>
  <w:p w14:paraId="50ADCF0F" w14:textId="77777777" w:rsidR="001C2686" w:rsidRDefault="001C2686"/>
  <w:p w14:paraId="36ED403A" w14:textId="77777777" w:rsidR="001C2686" w:rsidRDefault="001C26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960E" w14:textId="77777777" w:rsidR="001C2686" w:rsidRPr="0033525D" w:rsidRDefault="000A2458">
    <w:r>
      <w:fldChar w:fldCharType="begin"/>
    </w:r>
    <w:r>
      <w:instrText xml:space="preserve"> DOCPROPERTY "Document number"  \* MERGEFORMAT </w:instrText>
    </w:r>
    <w:r>
      <w:fldChar w:fldCharType="separate"/>
    </w:r>
    <w:r w:rsidR="001C2686">
      <w:t>UNEP/</w:t>
    </w:r>
    <w:proofErr w:type="spellStart"/>
    <w:r w:rsidR="001C2686">
      <w:t>OzL.Pro</w:t>
    </w:r>
    <w:proofErr w:type="spellEnd"/>
    <w:r w:rsidR="001C2686">
      <w:t>/</w:t>
    </w:r>
    <w:proofErr w:type="spellStart"/>
    <w:r w:rsidR="001C2686">
      <w:t>ExCom</w:t>
    </w:r>
    <w:proofErr w:type="spellEnd"/>
    <w:r w:rsidR="001C2686">
      <w:t>/86/16</w:t>
    </w:r>
    <w:r>
      <w:fldChar w:fldCharType="end"/>
    </w:r>
  </w:p>
  <w:p w14:paraId="17553023" w14:textId="1F1B363B" w:rsidR="001C2686" w:rsidRPr="0033525D" w:rsidRDefault="001C2686">
    <w:proofErr w:type="spellStart"/>
    <w:r>
      <w:t>Anexo</w:t>
    </w:r>
    <w:proofErr w:type="spellEnd"/>
    <w:r>
      <w:t> I</w:t>
    </w:r>
  </w:p>
  <w:p w14:paraId="211700A1" w14:textId="77777777" w:rsidR="001C2686" w:rsidRPr="0033525D" w:rsidRDefault="001C268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5304" w14:textId="01112780" w:rsidR="001C2686" w:rsidRPr="0033525D" w:rsidRDefault="000A2458" w:rsidP="00172925">
    <w:pPr>
      <w:jc w:val="right"/>
    </w:pPr>
    <w:r>
      <w:fldChar w:fldCharType="begin"/>
    </w:r>
    <w:r>
      <w:instrText xml:space="preserve"> DOCPROPERTY "Document number"  \* MERGEFORMAT </w:instrText>
    </w:r>
    <w:r>
      <w:fldChar w:fldCharType="separate"/>
    </w:r>
    <w:r w:rsidR="001C2686">
      <w:t>UNEP/</w:t>
    </w:r>
    <w:proofErr w:type="spellStart"/>
    <w:r w:rsidR="001C2686">
      <w:t>OzL.Pro</w:t>
    </w:r>
    <w:proofErr w:type="spellEnd"/>
    <w:r w:rsidR="001C2686">
      <w:t>/</w:t>
    </w:r>
    <w:proofErr w:type="spellStart"/>
    <w:r w:rsidR="001C2686">
      <w:t>ExCom</w:t>
    </w:r>
    <w:proofErr w:type="spellEnd"/>
    <w:r w:rsidR="001C2686">
      <w:t>/86/16</w:t>
    </w:r>
    <w:r>
      <w:fldChar w:fldCharType="end"/>
    </w:r>
  </w:p>
  <w:p w14:paraId="43FCB1D2" w14:textId="77777777" w:rsidR="001C2686" w:rsidRDefault="001C2686" w:rsidP="00172925">
    <w:pPr>
      <w:pStyle w:val="Header"/>
      <w:jc w:val="right"/>
    </w:pPr>
    <w:proofErr w:type="spellStart"/>
    <w:r>
      <w:t>Anexo</w:t>
    </w:r>
    <w:proofErr w:type="spellEnd"/>
    <w:r>
      <w:t> I</w:t>
    </w:r>
  </w:p>
  <w:p w14:paraId="503E984F" w14:textId="77777777" w:rsidR="001C2686" w:rsidRDefault="001C2686" w:rsidP="00172925">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289B" w14:textId="77777777" w:rsidR="001C2686" w:rsidRPr="0033525D" w:rsidRDefault="000A2458">
    <w:r>
      <w:fldChar w:fldCharType="begin"/>
    </w:r>
    <w:r>
      <w:instrText xml:space="preserve"> DOCPROPERTY "Document number"  \* MERGEFORMAT </w:instrText>
    </w:r>
    <w:r>
      <w:fldChar w:fldCharType="separate"/>
    </w:r>
    <w:r w:rsidR="001C2686">
      <w:t>UNEP/</w:t>
    </w:r>
    <w:proofErr w:type="spellStart"/>
    <w:r w:rsidR="001C2686">
      <w:t>OzL.Pro</w:t>
    </w:r>
    <w:proofErr w:type="spellEnd"/>
    <w:r w:rsidR="001C2686">
      <w:t>/</w:t>
    </w:r>
    <w:proofErr w:type="spellStart"/>
    <w:r w:rsidR="001C2686">
      <w:t>ExCom</w:t>
    </w:r>
    <w:proofErr w:type="spellEnd"/>
    <w:r w:rsidR="001C2686">
      <w:t>/86/16</w:t>
    </w:r>
    <w:r>
      <w:fldChar w:fldCharType="end"/>
    </w:r>
  </w:p>
  <w:p w14:paraId="71AEC4D5" w14:textId="77777777" w:rsidR="001C2686" w:rsidRPr="0033525D" w:rsidRDefault="001C2686">
    <w:proofErr w:type="spellStart"/>
    <w:r>
      <w:t>Anexo</w:t>
    </w:r>
    <w:proofErr w:type="spellEnd"/>
    <w:r>
      <w:t> II</w:t>
    </w:r>
  </w:p>
  <w:p w14:paraId="58C20967" w14:textId="77777777" w:rsidR="001C2686" w:rsidRPr="0033525D" w:rsidRDefault="001C268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CA19" w14:textId="77777777" w:rsidR="001C2686" w:rsidRPr="0033525D" w:rsidRDefault="000A2458">
    <w:pPr>
      <w:jc w:val="right"/>
    </w:pPr>
    <w:r>
      <w:fldChar w:fldCharType="begin"/>
    </w:r>
    <w:r>
      <w:instrText xml:space="preserve"> DOCPROPERTY "Document number"  \* MERGEFORMAT </w:instrText>
    </w:r>
    <w:r>
      <w:fldChar w:fldCharType="separate"/>
    </w:r>
    <w:r w:rsidR="001C2686">
      <w:t>UNEP/</w:t>
    </w:r>
    <w:proofErr w:type="spellStart"/>
    <w:r w:rsidR="001C2686">
      <w:t>OzL.Pro</w:t>
    </w:r>
    <w:proofErr w:type="spellEnd"/>
    <w:r w:rsidR="001C2686">
      <w:t>/</w:t>
    </w:r>
    <w:proofErr w:type="spellStart"/>
    <w:r w:rsidR="001C2686">
      <w:t>ExCom</w:t>
    </w:r>
    <w:proofErr w:type="spellEnd"/>
    <w:r w:rsidR="001C2686">
      <w:t>/86/16</w:t>
    </w:r>
    <w:r>
      <w:fldChar w:fldCharType="end"/>
    </w:r>
  </w:p>
  <w:p w14:paraId="5C7CEF61" w14:textId="77777777" w:rsidR="001C2686" w:rsidRPr="0033525D" w:rsidRDefault="001C2686" w:rsidP="00172925">
    <w:pPr>
      <w:jc w:val="right"/>
    </w:pPr>
    <w:proofErr w:type="spellStart"/>
    <w:r>
      <w:t>Anexo</w:t>
    </w:r>
    <w:proofErr w:type="spellEnd"/>
    <w:r>
      <w:t> II</w:t>
    </w:r>
  </w:p>
  <w:p w14:paraId="3FF85553" w14:textId="77777777" w:rsidR="001C2686" w:rsidRPr="0033525D" w:rsidRDefault="001C268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42FC" w14:textId="6380CF47" w:rsidR="001C2686" w:rsidRPr="0033525D" w:rsidRDefault="000A2458" w:rsidP="00172925">
    <w:pPr>
      <w:jc w:val="right"/>
    </w:pPr>
    <w:r>
      <w:fldChar w:fldCharType="begin"/>
    </w:r>
    <w:r>
      <w:instrText xml:space="preserve"> DOCPROPERTY "Document number"  \* MERGEFORMAT </w:instrText>
    </w:r>
    <w:r>
      <w:fldChar w:fldCharType="separate"/>
    </w:r>
    <w:r w:rsidR="001C2686">
      <w:t>UNEP/</w:t>
    </w:r>
    <w:proofErr w:type="spellStart"/>
    <w:r w:rsidR="001C2686">
      <w:t>OzL.Pro</w:t>
    </w:r>
    <w:proofErr w:type="spellEnd"/>
    <w:r w:rsidR="001C2686">
      <w:t>/</w:t>
    </w:r>
    <w:proofErr w:type="spellStart"/>
    <w:r w:rsidR="001C2686">
      <w:t>ExCom</w:t>
    </w:r>
    <w:proofErr w:type="spellEnd"/>
    <w:r w:rsidR="001C2686">
      <w:t>/86/16</w:t>
    </w:r>
    <w:r>
      <w:fldChar w:fldCharType="end"/>
    </w:r>
  </w:p>
  <w:p w14:paraId="62108E8B" w14:textId="77777777" w:rsidR="001C2686" w:rsidRDefault="001C2686" w:rsidP="00172925">
    <w:pPr>
      <w:pStyle w:val="Header"/>
      <w:jc w:val="right"/>
    </w:pPr>
    <w:proofErr w:type="spellStart"/>
    <w:r>
      <w:t>Anexo</w:t>
    </w:r>
    <w:proofErr w:type="spellEnd"/>
    <w:r>
      <w:t> II</w:t>
    </w:r>
  </w:p>
  <w:p w14:paraId="303951E6" w14:textId="77777777" w:rsidR="001C2686" w:rsidRDefault="001C2686" w:rsidP="0017292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A"/>
    <w:rsid w:val="000245C4"/>
    <w:rsid w:val="000847A2"/>
    <w:rsid w:val="00094813"/>
    <w:rsid w:val="000A2458"/>
    <w:rsid w:val="00106F6E"/>
    <w:rsid w:val="00114CAA"/>
    <w:rsid w:val="00172925"/>
    <w:rsid w:val="001C2686"/>
    <w:rsid w:val="001C2D22"/>
    <w:rsid w:val="001E5549"/>
    <w:rsid w:val="001F4047"/>
    <w:rsid w:val="00230BD4"/>
    <w:rsid w:val="00235D4C"/>
    <w:rsid w:val="0024162E"/>
    <w:rsid w:val="00252231"/>
    <w:rsid w:val="003863A4"/>
    <w:rsid w:val="003B7115"/>
    <w:rsid w:val="00455352"/>
    <w:rsid w:val="004644BF"/>
    <w:rsid w:val="00476E28"/>
    <w:rsid w:val="004A7081"/>
    <w:rsid w:val="004A75D4"/>
    <w:rsid w:val="00502331"/>
    <w:rsid w:val="005A6CB8"/>
    <w:rsid w:val="005F7D4C"/>
    <w:rsid w:val="006805F8"/>
    <w:rsid w:val="006915A5"/>
    <w:rsid w:val="006C4F78"/>
    <w:rsid w:val="006D2410"/>
    <w:rsid w:val="007065F4"/>
    <w:rsid w:val="0072455F"/>
    <w:rsid w:val="007C2755"/>
    <w:rsid w:val="007D5C89"/>
    <w:rsid w:val="00811011"/>
    <w:rsid w:val="00831BC5"/>
    <w:rsid w:val="00872377"/>
    <w:rsid w:val="0087455A"/>
    <w:rsid w:val="009115AE"/>
    <w:rsid w:val="0092685B"/>
    <w:rsid w:val="00987128"/>
    <w:rsid w:val="00A3367B"/>
    <w:rsid w:val="00A77B44"/>
    <w:rsid w:val="00A871C8"/>
    <w:rsid w:val="00AB56E5"/>
    <w:rsid w:val="00AC4195"/>
    <w:rsid w:val="00B631C7"/>
    <w:rsid w:val="00B83FFA"/>
    <w:rsid w:val="00BA7E9F"/>
    <w:rsid w:val="00C14E67"/>
    <w:rsid w:val="00C40E04"/>
    <w:rsid w:val="00C67468"/>
    <w:rsid w:val="00CA2A3B"/>
    <w:rsid w:val="00CB773F"/>
    <w:rsid w:val="00DB4664"/>
    <w:rsid w:val="00DB795B"/>
    <w:rsid w:val="00E17F97"/>
    <w:rsid w:val="00E75656"/>
    <w:rsid w:val="00F10CD9"/>
    <w:rsid w:val="00F25F7C"/>
    <w:rsid w:val="00FB7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F0120"/>
  <w15:docId w15:val="{CC5A966C-C4A3-44F1-AACB-B27D2601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Fußnotentextf, Char1,Geneva 9,Font: Geneva 9,Boston 10,f,-E Fußnotentext,Fußnotentext Ursprung,-E Fußnotentext1,-E Fußnotentext2,-E Fußnotentext3,Fußnotentext Char1,Fußnotentext Char Char,Fußnotentext Char1 Char Char, Char1 Char Char,Char1"/>
    <w:basedOn w:val="Normal"/>
    <w:link w:val="FootnoteTextChar"/>
    <w:unhideWhenUsed/>
    <w:qFormat/>
    <w:rsid w:val="00811011"/>
    <w:rPr>
      <w:sz w:val="20"/>
      <w:szCs w:val="20"/>
      <w:lang w:val="es-ES"/>
    </w:rPr>
  </w:style>
  <w:style w:type="character" w:customStyle="1" w:styleId="FootnoteTextChar">
    <w:name w:val="Footnote Text Char"/>
    <w:aliases w:val="Fußnotentextf Char, Char1 Char,Geneva 9 Char,Font: Geneva 9 Char,Boston 10 Char,f Char,-E Fußnotentext Char,Fußnotentext Ursprung Char,-E Fußnotentext1 Char,-E Fußnotentext2 Char,-E Fußnotentext3 Char,Fußnotentext Char1 Char"/>
    <w:basedOn w:val="DefaultParagraphFont"/>
    <w:link w:val="FootnoteText"/>
    <w:rsid w:val="00811011"/>
    <w:rPr>
      <w:lang w:val="es-ES"/>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nhideWhenUsed/>
    <w:rsid w:val="00811011"/>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locked/>
    <w:rsid w:val="00811011"/>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uiPriority w:val="9"/>
    <w:locked/>
    <w:rsid w:val="00DB4664"/>
    <w:rPr>
      <w:sz w:val="22"/>
      <w:szCs w:val="22"/>
      <w:lang w:val="en-GB"/>
    </w:rPr>
  </w:style>
  <w:style w:type="paragraph" w:styleId="ListParagraph">
    <w:name w:val="List Paragraph"/>
    <w:basedOn w:val="Normal"/>
    <w:uiPriority w:val="34"/>
    <w:qFormat/>
    <w:rsid w:val="00DB4664"/>
    <w:pPr>
      <w:ind w:left="720"/>
      <w:contextualSpacing/>
    </w:pPr>
    <w:rPr>
      <w:lang w:val="es-ES"/>
    </w:rPr>
  </w:style>
  <w:style w:type="paragraph" w:customStyle="1" w:styleId="Heading">
    <w:name w:val="Heading"/>
    <w:basedOn w:val="Header"/>
    <w:next w:val="Header"/>
    <w:uiPriority w:val="99"/>
    <w:rsid w:val="004A7081"/>
    <w:pPr>
      <w:tabs>
        <w:tab w:val="clear" w:pos="4320"/>
        <w:tab w:val="clear" w:pos="8640"/>
      </w:tabs>
    </w:pPr>
    <w:rPr>
      <w:b/>
      <w:bCs/>
      <w:sz w:val="24"/>
      <w:szCs w:val="24"/>
      <w:u w:val="single"/>
      <w:lang w:val="es-ES"/>
    </w:rPr>
  </w:style>
  <w:style w:type="paragraph" w:customStyle="1" w:styleId="a--">
    <w:name w:val="a-(-)"/>
    <w:basedOn w:val="Normal"/>
    <w:rsid w:val="004A7081"/>
    <w:pPr>
      <w:tabs>
        <w:tab w:val="left" w:pos="-720"/>
        <w:tab w:val="left" w:pos="0"/>
        <w:tab w:val="left" w:pos="720"/>
        <w:tab w:val="left" w:pos="1440"/>
        <w:tab w:val="left" w:pos="2160"/>
        <w:tab w:val="left" w:pos="2880"/>
        <w:tab w:val="left" w:pos="3600"/>
      </w:tabs>
      <w:suppressAutoHyphens/>
    </w:pPr>
    <w:rPr>
      <w:b/>
      <w:bCs/>
      <w:sz w:val="24"/>
      <w:szCs w:val="24"/>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UNEP/OzL.Pro/ExCom/86/16</Document_x0020_Number>
    <Posted_x0020_after_x0020_IAP xmlns="4aeb65a0-cd8f-45aa-a04d-ad1384b86dfc">true</Posted_x0020_after_x0020_IAP>
  </documentManagement>
</p:properties>
</file>

<file path=customXml/itemProps1.xml><?xml version="1.0" encoding="utf-8"?>
<ds:datastoreItem xmlns:ds="http://schemas.openxmlformats.org/officeDocument/2006/customXml" ds:itemID="{33C93E99-6C8E-4111-93D3-65F3E2ADB214}"/>
</file>

<file path=customXml/itemProps2.xml><?xml version="1.0" encoding="utf-8"?>
<ds:datastoreItem xmlns:ds="http://schemas.openxmlformats.org/officeDocument/2006/customXml" ds:itemID="{46BB4F80-FA20-4733-A8A9-0FA078118696}"/>
</file>

<file path=customXml/itemProps3.xml><?xml version="1.0" encoding="utf-8"?>
<ds:datastoreItem xmlns:ds="http://schemas.openxmlformats.org/officeDocument/2006/customXml" ds:itemID="{9BD1C648-F2EF-41A7-A620-0E5B9FAB40A8}"/>
</file>

<file path=customXml/itemProps4.xml><?xml version="1.0" encoding="utf-8"?>
<ds:datastoreItem xmlns:ds="http://schemas.openxmlformats.org/officeDocument/2006/customXml" ds:itemID="{DF95FE0C-0159-439E-B590-9CCB4120E4DF}"/>
</file>

<file path=docProps/app.xml><?xml version="1.0" encoding="utf-8"?>
<Properties xmlns="http://schemas.openxmlformats.org/officeDocument/2006/extended-properties" xmlns:vt="http://schemas.openxmlformats.org/officeDocument/2006/docPropsVTypes">
  <Template>Normal</Template>
  <TotalTime>422</TotalTime>
  <Pages>11</Pages>
  <Words>3108</Words>
  <Characters>17721</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sobre la marcha de las actividades de cooperación bilateral al 31 de diciembre de 2019</vt:lpstr>
      <vt:lpstr>Orden del dia provisional</vt:lpstr>
    </vt:vector>
  </TitlesOfParts>
  <Company>UNMFS</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marcha de las actividades de cooperación bilateral al 31 de diciembre de 2019</dc:title>
  <dc:creator/>
  <cp:lastModifiedBy>HB</cp:lastModifiedBy>
  <cp:revision>10</cp:revision>
  <cp:lastPrinted>2001-05-26T16:40:00Z</cp:lastPrinted>
  <dcterms:created xsi:type="dcterms:W3CDTF">2020-11-06T13:25:00Z</dcterms:created>
  <dcterms:modified xsi:type="dcterms:W3CDTF">2020-11-19T20:07:00Z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UNEP/OzL.Pro/ExCom/86/16</vt:lpwstr>
  </property>
  <property fmtid="{D5CDD505-2E9C-101B-9397-08002B2CF9AE}" pid="3" name="Revision date">
    <vt:lpwstr>10/23/2020</vt:lpwstr>
  </property>
  <property fmtid="{D5CDD505-2E9C-101B-9397-08002B2CF9AE}" pid="4" name="ContentTypeId">
    <vt:lpwstr>0x0101009701D9FFF1782646B282AA80F917E68F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