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424"/>
        <w:gridCol w:w="4590"/>
      </w:tblGrid>
      <w:tr w:rsidR="0087455A" w14:paraId="6EB8089A" w14:textId="77777777">
        <w:trPr>
          <w:trHeight w:val="720"/>
        </w:trPr>
        <w:tc>
          <w:tcPr>
            <w:tcW w:w="6494" w:type="dxa"/>
            <w:gridSpan w:val="2"/>
            <w:tcBorders>
              <w:bottom w:val="single" w:sz="18" w:space="0" w:color="auto"/>
            </w:tcBorders>
          </w:tcPr>
          <w:p w14:paraId="222EEA98" w14:textId="77777777" w:rsidR="0087455A" w:rsidRDefault="0024162E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NACIONES</w:t>
            </w:r>
          </w:p>
          <w:p w14:paraId="7CEA915F" w14:textId="77777777" w:rsidR="0087455A" w:rsidRDefault="0024162E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UNIDAS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14:paraId="4DD7E6A4" w14:textId="77777777" w:rsidR="0087455A" w:rsidRDefault="0024162E">
            <w:pPr>
              <w:jc w:val="right"/>
              <w:rPr>
                <w:rFonts w:asciiTheme="minorBidi" w:hAnsiTheme="minorBidi" w:cstheme="minorBidi"/>
                <w:sz w:val="52"/>
                <w:szCs w:val="52"/>
              </w:rPr>
            </w:pPr>
            <w:r>
              <w:rPr>
                <w:rFonts w:asciiTheme="minorBidi" w:hAnsiTheme="minorBidi" w:cstheme="minorBidi"/>
                <w:b/>
                <w:sz w:val="72"/>
              </w:rPr>
              <w:t>EP</w:t>
            </w:r>
          </w:p>
        </w:tc>
      </w:tr>
      <w:tr w:rsidR="0087455A" w:rsidRPr="002068E2" w14:paraId="656E1F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52EF2C9" w14:textId="77777777" w:rsidR="0087455A" w:rsidRDefault="0024162E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CB69188" wp14:editId="5B2C095D">
                  <wp:simplePos x="0" y="0"/>
                  <wp:positionH relativeFrom="column">
                    <wp:posOffset>85610</wp:posOffset>
                  </wp:positionH>
                  <wp:positionV relativeFrom="paragraph">
                    <wp:posOffset>933335</wp:posOffset>
                  </wp:positionV>
                  <wp:extent cx="800100" cy="705485"/>
                  <wp:effectExtent l="1905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0" allowOverlap="1" wp14:anchorId="66A8FD91" wp14:editId="7C149B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524BFCC" w14:textId="77777777" w:rsidR="0087455A" w:rsidRDefault="0087455A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</w:p>
          <w:p w14:paraId="3DDEA01E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Programa de las</w:t>
            </w:r>
          </w:p>
          <w:p w14:paraId="20B182C8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Naciones Unidas</w:t>
            </w:r>
          </w:p>
          <w:p w14:paraId="54F2EB00" w14:textId="77777777" w:rsidR="0087455A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para el Medio Ambiente</w:t>
            </w:r>
          </w:p>
          <w:p w14:paraId="062E4F9F" w14:textId="77777777" w:rsidR="0087455A" w:rsidRDefault="0087455A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 Bold" w:hAnsi="Univers Bold"/>
                <w:b/>
                <w:sz w:val="32"/>
                <w:lang w:val="es-MX"/>
              </w:rPr>
            </w:pPr>
          </w:p>
          <w:p w14:paraId="39B13A77" w14:textId="77777777" w:rsidR="0087455A" w:rsidRDefault="0087455A">
            <w:pPr>
              <w:spacing w:before="720"/>
              <w:ind w:left="158"/>
              <w:rPr>
                <w:lang w:val="es-E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F1CA771" w14:textId="77777777" w:rsidR="0087455A" w:rsidRDefault="0087455A">
            <w:pPr>
              <w:rPr>
                <w:lang w:val="es-ES"/>
              </w:rPr>
            </w:pPr>
          </w:p>
          <w:p w14:paraId="69508D70" w14:textId="77777777" w:rsidR="0087455A" w:rsidRDefault="0024162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Distr</w:t>
            </w:r>
            <w:proofErr w:type="spellEnd"/>
            <w:r>
              <w:rPr>
                <w:lang w:val="es-ES"/>
              </w:rPr>
              <w:t>.</w:t>
            </w:r>
          </w:p>
          <w:p w14:paraId="524EF766" w14:textId="77777777" w:rsidR="0087455A" w:rsidRDefault="0024162E">
            <w:pPr>
              <w:rPr>
                <w:lang w:val="es-ES"/>
              </w:rPr>
            </w:pPr>
            <w:r>
              <w:rPr>
                <w:lang w:val="es-ES"/>
              </w:rPr>
              <w:t>GENERAL</w:t>
            </w:r>
          </w:p>
          <w:p w14:paraId="3A75EB9B" w14:textId="77777777" w:rsidR="0087455A" w:rsidRDefault="0087455A">
            <w:pPr>
              <w:rPr>
                <w:lang w:val="es-ES"/>
              </w:rPr>
            </w:pPr>
          </w:p>
          <w:p w14:paraId="58DC7432" w14:textId="4430022C" w:rsidR="0087455A" w:rsidRPr="006947B7" w:rsidRDefault="0024162E">
            <w:pPr>
              <w:rPr>
                <w:lang w:val="en-US"/>
              </w:rPr>
            </w:pPr>
            <w:r>
              <w:fldChar w:fldCharType="begin"/>
            </w:r>
            <w:r w:rsidRPr="006947B7">
              <w:rPr>
                <w:lang w:val="en-US"/>
              </w:rPr>
              <w:instrText xml:space="preserve"> DOCPROPERTY "Document number"  \* MERGEFORMAT </w:instrText>
            </w:r>
            <w:r>
              <w:fldChar w:fldCharType="separate"/>
            </w:r>
            <w:r w:rsidR="00806025" w:rsidRPr="006947B7">
              <w:rPr>
                <w:lang w:val="en-US"/>
              </w:rPr>
              <w:t>UNEP/</w:t>
            </w:r>
            <w:proofErr w:type="spellStart"/>
            <w:r w:rsidR="00806025" w:rsidRPr="006947B7">
              <w:rPr>
                <w:lang w:val="en-US"/>
              </w:rPr>
              <w:t>OzL.Pro</w:t>
            </w:r>
            <w:proofErr w:type="spellEnd"/>
            <w:r w:rsidR="00806025" w:rsidRPr="006947B7">
              <w:rPr>
                <w:lang w:val="en-US"/>
              </w:rPr>
              <w:t>/</w:t>
            </w:r>
            <w:proofErr w:type="spellStart"/>
            <w:r w:rsidR="00806025" w:rsidRPr="006947B7">
              <w:rPr>
                <w:lang w:val="en-US"/>
              </w:rPr>
              <w:t>ExCom</w:t>
            </w:r>
            <w:proofErr w:type="spellEnd"/>
            <w:r w:rsidR="00806025" w:rsidRPr="006947B7">
              <w:rPr>
                <w:lang w:val="en-US"/>
              </w:rPr>
              <w:t>/86/13/Corr.1</w:t>
            </w:r>
            <w:r>
              <w:fldChar w:fldCharType="end"/>
            </w:r>
          </w:p>
          <w:p w14:paraId="6CCE92C0" w14:textId="57AC3C10" w:rsidR="006947B7" w:rsidRPr="002068E2" w:rsidRDefault="006947B7" w:rsidP="006947B7">
            <w:pPr>
              <w:rPr>
                <w:lang w:val="es-AR"/>
              </w:rPr>
            </w:pPr>
            <w:r>
              <w:fldChar w:fldCharType="begin"/>
            </w:r>
            <w:r w:rsidRPr="002068E2">
              <w:rPr>
                <w:lang w:val="es-A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Pr="002068E2">
              <w:rPr>
                <w:lang w:val="es-AR"/>
              </w:rPr>
              <w:t>14 de mayo de 2021</w:t>
            </w:r>
            <w:r>
              <w:fldChar w:fldCharType="end"/>
            </w:r>
          </w:p>
          <w:p w14:paraId="0B21CE2F" w14:textId="77777777" w:rsidR="00114CAA" w:rsidRDefault="00114CAA">
            <w:pPr>
              <w:rPr>
                <w:caps/>
                <w:lang w:val="es-ES"/>
              </w:rPr>
            </w:pPr>
          </w:p>
          <w:p w14:paraId="2AEF8E2F" w14:textId="77777777" w:rsidR="0087455A" w:rsidRDefault="0024162E">
            <w:pPr>
              <w:rPr>
                <w:lang w:val="es-MX"/>
              </w:rPr>
            </w:pPr>
            <w:r>
              <w:rPr>
                <w:lang w:val="es-MX"/>
              </w:rPr>
              <w:t xml:space="preserve">ESPAÑOL </w:t>
            </w:r>
          </w:p>
          <w:p w14:paraId="432E61E3" w14:textId="77777777" w:rsidR="0087455A" w:rsidRDefault="0024162E">
            <w:pPr>
              <w:rPr>
                <w:lang w:val="es-ES"/>
              </w:rPr>
            </w:pPr>
            <w:r>
              <w:rPr>
                <w:lang w:val="es-ES"/>
              </w:rPr>
              <w:t xml:space="preserve">ORIGINAL: </w:t>
            </w:r>
            <w:r>
              <w:rPr>
                <w:lang w:val="es-MX"/>
              </w:rPr>
              <w:t>INGLÉS</w:t>
            </w:r>
          </w:p>
        </w:tc>
      </w:tr>
    </w:tbl>
    <w:p w14:paraId="4CC9A91E" w14:textId="77777777" w:rsidR="0087455A" w:rsidRDefault="0087455A">
      <w:pPr>
        <w:jc w:val="left"/>
        <w:rPr>
          <w:lang w:val="es-MX"/>
        </w:rPr>
      </w:pPr>
    </w:p>
    <w:p w14:paraId="6F69CE72" w14:textId="77777777" w:rsidR="0087455A" w:rsidRDefault="0024162E">
      <w:pPr>
        <w:jc w:val="left"/>
        <w:rPr>
          <w:lang w:val="es-MX"/>
        </w:rPr>
      </w:pPr>
      <w:r>
        <w:rPr>
          <w:lang w:val="es-MX"/>
        </w:rPr>
        <w:t>COMITÉ EJECUTIVO DEL FONDO MULTILATERAL</w:t>
      </w:r>
      <w:r>
        <w:rPr>
          <w:lang w:val="es-MX"/>
        </w:rPr>
        <w:br/>
        <w:t xml:space="preserve">  PARA LA APLICACIÓN DEL</w:t>
      </w:r>
      <w:r>
        <w:rPr>
          <w:lang w:val="es-MX"/>
        </w:rPr>
        <w:br/>
        <w:t xml:space="preserve">  PROTOCOLO DE MONTREAL</w:t>
      </w:r>
    </w:p>
    <w:p w14:paraId="4921D07E" w14:textId="77777777" w:rsidR="00106F6E" w:rsidRDefault="00106F6E" w:rsidP="001F4047">
      <w:pPr>
        <w:jc w:val="left"/>
        <w:rPr>
          <w:lang w:val="es-ES"/>
        </w:rPr>
      </w:pPr>
      <w:r>
        <w:rPr>
          <w:lang w:val="es-ES"/>
        </w:rPr>
        <w:t xml:space="preserve">Octogésima </w:t>
      </w:r>
      <w:r w:rsidR="006915A5">
        <w:rPr>
          <w:lang w:val="es-ES"/>
        </w:rPr>
        <w:t>sexta</w:t>
      </w:r>
      <w:r w:rsidR="003863A4">
        <w:rPr>
          <w:lang w:val="es-ES"/>
        </w:rPr>
        <w:t xml:space="preserve"> Reunión</w:t>
      </w:r>
      <w:r w:rsidR="003863A4">
        <w:rPr>
          <w:lang w:val="es-ES"/>
        </w:rPr>
        <w:br/>
        <w:t xml:space="preserve">Montreal, </w:t>
      </w:r>
      <w:r w:rsidR="0092685B">
        <w:rPr>
          <w:lang w:val="es-ES"/>
        </w:rPr>
        <w:t>2</w:t>
      </w:r>
      <w:r w:rsidR="003863A4">
        <w:rPr>
          <w:lang w:val="es-ES"/>
        </w:rPr>
        <w:t xml:space="preserve"> </w:t>
      </w:r>
      <w:r>
        <w:rPr>
          <w:lang w:val="es-ES"/>
        </w:rPr>
        <w:t xml:space="preserve">– </w:t>
      </w:r>
      <w:r w:rsidR="00B83FFA">
        <w:rPr>
          <w:lang w:val="es-ES"/>
        </w:rPr>
        <w:t>6</w:t>
      </w:r>
      <w:r>
        <w:rPr>
          <w:lang w:val="es-ES"/>
        </w:rPr>
        <w:t xml:space="preserve"> de </w:t>
      </w:r>
      <w:r w:rsidR="00B83FFA">
        <w:rPr>
          <w:lang w:val="es-ES"/>
        </w:rPr>
        <w:t>noviembre</w:t>
      </w:r>
      <w:r w:rsidR="001C2D22">
        <w:rPr>
          <w:lang w:val="es-ES"/>
        </w:rPr>
        <w:t xml:space="preserve"> de 20</w:t>
      </w:r>
      <w:r w:rsidR="0092685B">
        <w:rPr>
          <w:lang w:val="es-ES"/>
        </w:rPr>
        <w:t>20</w:t>
      </w:r>
    </w:p>
    <w:p w14:paraId="3E818185" w14:textId="77777777" w:rsidR="00806025" w:rsidRPr="006947B7" w:rsidRDefault="00806025" w:rsidP="00806025">
      <w:pPr>
        <w:jc w:val="left"/>
        <w:rPr>
          <w:lang w:val="es-AR"/>
        </w:rPr>
      </w:pPr>
      <w:r w:rsidRPr="006947B7">
        <w:rPr>
          <w:lang w:val="es-AR"/>
        </w:rPr>
        <w:t>Pospuesta: 8 – 12 de marzo de 2021</w:t>
      </w:r>
      <w:r>
        <w:rPr>
          <w:rStyle w:val="FootnoteReference"/>
          <w:lang w:val="en-CA"/>
        </w:rPr>
        <w:footnoteReference w:id="1"/>
      </w:r>
    </w:p>
    <w:p w14:paraId="09529ABE" w14:textId="380EA9A0" w:rsidR="00806025" w:rsidRDefault="00806025" w:rsidP="00806025">
      <w:pPr>
        <w:jc w:val="left"/>
        <w:rPr>
          <w:lang w:val="es-AR"/>
        </w:rPr>
      </w:pPr>
    </w:p>
    <w:p w14:paraId="258E202A" w14:textId="77777777" w:rsidR="002068E2" w:rsidRPr="006947B7" w:rsidRDefault="002068E2" w:rsidP="00806025">
      <w:pPr>
        <w:jc w:val="left"/>
        <w:rPr>
          <w:lang w:val="es-AR"/>
        </w:rPr>
      </w:pPr>
      <w:bookmarkStart w:id="0" w:name="_GoBack"/>
      <w:bookmarkEnd w:id="0"/>
    </w:p>
    <w:p w14:paraId="4B5A2932" w14:textId="77777777" w:rsidR="00806025" w:rsidRPr="006947B7" w:rsidRDefault="00806025" w:rsidP="00806025">
      <w:pPr>
        <w:pStyle w:val="Title1"/>
        <w:rPr>
          <w:lang w:val="es-AR"/>
        </w:rPr>
      </w:pPr>
      <w:proofErr w:type="spellStart"/>
      <w:r w:rsidRPr="006947B7">
        <w:rPr>
          <w:caps w:val="0"/>
          <w:lang w:val="es-AR"/>
        </w:rPr>
        <w:t>Corrigendum</w:t>
      </w:r>
      <w:proofErr w:type="spellEnd"/>
    </w:p>
    <w:p w14:paraId="5CEB4C10" w14:textId="77777777" w:rsidR="00806025" w:rsidRPr="006947B7" w:rsidRDefault="00806025" w:rsidP="00806025">
      <w:pPr>
        <w:pStyle w:val="Title1"/>
        <w:rPr>
          <w:lang w:val="es-AR"/>
        </w:rPr>
      </w:pPr>
    </w:p>
    <w:p w14:paraId="34C83D56" w14:textId="77777777" w:rsidR="002068E2" w:rsidRDefault="00806025" w:rsidP="00806025">
      <w:pPr>
        <w:jc w:val="center"/>
        <w:rPr>
          <w:b/>
          <w:lang w:val="es-AR"/>
        </w:rPr>
      </w:pPr>
      <w:r w:rsidRPr="006947B7">
        <w:rPr>
          <w:b/>
          <w:lang w:val="es-AR"/>
        </w:rPr>
        <w:t xml:space="preserve">ESTUDIO TEÓRICO PARA LA EVALUACIÓN DE LA EFICIENCIA ENERGÉTICA </w:t>
      </w:r>
    </w:p>
    <w:p w14:paraId="49D1E70A" w14:textId="3A74FADA" w:rsidR="00806025" w:rsidRPr="006947B7" w:rsidRDefault="00806025" w:rsidP="00806025">
      <w:pPr>
        <w:jc w:val="center"/>
        <w:rPr>
          <w:b/>
          <w:lang w:val="es-AR"/>
        </w:rPr>
      </w:pPr>
      <w:r w:rsidRPr="006947B7">
        <w:rPr>
          <w:b/>
          <w:lang w:val="es-AR"/>
        </w:rPr>
        <w:t>EN EL SECTOR DE SERVICIO Y MANTENIMIENTO</w:t>
      </w:r>
    </w:p>
    <w:p w14:paraId="149953AF" w14:textId="77777777" w:rsidR="00806025" w:rsidRPr="006947B7" w:rsidRDefault="00806025" w:rsidP="00806025">
      <w:pPr>
        <w:pStyle w:val="StyleHeader4Para4Left0Firstline0"/>
        <w:numPr>
          <w:ilvl w:val="0"/>
          <w:numId w:val="0"/>
        </w:numPr>
        <w:jc w:val="left"/>
        <w:rPr>
          <w:sz w:val="22"/>
          <w:lang w:val="es-AR"/>
        </w:rPr>
      </w:pPr>
    </w:p>
    <w:p w14:paraId="592C2D60" w14:textId="77777777" w:rsidR="00806025" w:rsidRPr="006947B7" w:rsidRDefault="00806025" w:rsidP="00806025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  <w:tab w:val="left" w:pos="720"/>
        </w:tabs>
        <w:rPr>
          <w:sz w:val="22"/>
          <w:lang w:val="es-AR"/>
        </w:rPr>
      </w:pPr>
      <w:r w:rsidRPr="006947B7">
        <w:rPr>
          <w:sz w:val="22"/>
          <w:lang w:val="es-AR"/>
        </w:rPr>
        <w:t>Este documento se expide para:</w:t>
      </w:r>
    </w:p>
    <w:p w14:paraId="0ED59CB0" w14:textId="77777777" w:rsidR="00806025" w:rsidRPr="006947B7" w:rsidRDefault="00806025" w:rsidP="00806025">
      <w:pPr>
        <w:pStyle w:val="StyleHeader4Para4Left0Firstline0"/>
        <w:numPr>
          <w:ilvl w:val="0"/>
          <w:numId w:val="21"/>
        </w:numPr>
        <w:tabs>
          <w:tab w:val="clear" w:pos="2880"/>
          <w:tab w:val="clear" w:pos="5760"/>
        </w:tabs>
        <w:ind w:left="1440" w:hanging="720"/>
        <w:rPr>
          <w:sz w:val="22"/>
          <w:lang w:val="es-AR"/>
        </w:rPr>
      </w:pPr>
      <w:r w:rsidRPr="006947B7">
        <w:rPr>
          <w:b/>
          <w:sz w:val="22"/>
          <w:lang w:val="es-AR"/>
        </w:rPr>
        <w:t>Sustituir</w:t>
      </w:r>
      <w:r w:rsidRPr="006947B7">
        <w:rPr>
          <w:sz w:val="22"/>
          <w:lang w:val="es-AR"/>
        </w:rPr>
        <w:t xml:space="preserve"> el párrafo 62 por el párrafo siguiente:</w:t>
      </w:r>
    </w:p>
    <w:p w14:paraId="33E8B320" w14:textId="77777777" w:rsidR="00806025" w:rsidRPr="00716ADF" w:rsidRDefault="00806025" w:rsidP="00806025">
      <w:pPr>
        <w:pStyle w:val="ListParagraph"/>
        <w:numPr>
          <w:ilvl w:val="0"/>
          <w:numId w:val="22"/>
        </w:numPr>
        <w:tabs>
          <w:tab w:val="left" w:pos="720"/>
        </w:tabs>
        <w:spacing w:before="120" w:after="240"/>
        <w:ind w:left="0" w:firstLine="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Algunos países del artículo 5, haciendo uso de la flexibilidad de sus PGEH, adoptaron programas de capacitación personalizados para los técnicos, dirigidos a la </w:t>
      </w:r>
      <w:proofErr w:type="spellStart"/>
      <w:r>
        <w:rPr>
          <w:color w:val="000000"/>
          <w:sz w:val="22"/>
          <w:shd w:val="clear" w:color="auto" w:fill="FFFFFF"/>
        </w:rPr>
        <w:t>retroadaptación</w:t>
      </w:r>
      <w:proofErr w:type="spellEnd"/>
      <w:r>
        <w:rPr>
          <w:color w:val="000000"/>
          <w:sz w:val="22"/>
          <w:shd w:val="clear" w:color="auto" w:fill="FFFFFF"/>
        </w:rPr>
        <w:t xml:space="preserve"> o conversión de sus equipos de referencia a alternativas de bajo PCA o a la sustitución (mediante incentivos financieros) de los equipos por tecnologías de bajo o nulo PCA. Los HC no se recomiendan en sistemas que no están diseñados para utilizar refrigerantes inflamables. El Comité Ejecutivo adoptó dos decisiones en este sentido aplicables a las propuestas de los PGEH</w:t>
      </w:r>
      <w:r w:rsidRPr="00576EAE">
        <w:rPr>
          <w:color w:val="000000"/>
          <w:sz w:val="22"/>
          <w:szCs w:val="22"/>
          <w:shd w:val="clear" w:color="auto" w:fill="FFFFFF"/>
          <w:vertAlign w:val="superscript"/>
        </w:rPr>
        <w:footnoteReference w:id="2"/>
      </w:r>
      <w:r>
        <w:rPr>
          <w:color w:val="000000"/>
          <w:sz w:val="22"/>
          <w:shd w:val="clear" w:color="auto" w:fill="FFFFFF"/>
        </w:rPr>
        <w:t xml:space="preserve"> que indican que si se consideran los HC para la conversión, deben seguirse estrictamente las normas de seguridad y los códigos de práctica adecuados, y el país asumiría todas las responsabilidades y riesgos que se deriven. </w:t>
      </w:r>
    </w:p>
    <w:p w14:paraId="012CAC65" w14:textId="77777777" w:rsidR="00806025" w:rsidRPr="006947B7" w:rsidRDefault="00806025" w:rsidP="00806025">
      <w:pPr>
        <w:pStyle w:val="StyleHeader4Para4Left0Firstline0"/>
        <w:keepNext/>
        <w:numPr>
          <w:ilvl w:val="0"/>
          <w:numId w:val="21"/>
        </w:numPr>
        <w:tabs>
          <w:tab w:val="clear" w:pos="2880"/>
          <w:tab w:val="clear" w:pos="5760"/>
        </w:tabs>
        <w:ind w:left="1440" w:hanging="720"/>
        <w:rPr>
          <w:sz w:val="22"/>
          <w:lang w:val="es-AR"/>
        </w:rPr>
      </w:pPr>
      <w:r w:rsidRPr="006947B7">
        <w:rPr>
          <w:b/>
          <w:sz w:val="22"/>
          <w:lang w:val="es-AR"/>
        </w:rPr>
        <w:t>Sustituir</w:t>
      </w:r>
      <w:r w:rsidRPr="006947B7">
        <w:rPr>
          <w:sz w:val="22"/>
          <w:lang w:val="es-AR"/>
        </w:rPr>
        <w:t xml:space="preserve"> el párrafo 65 por el párrafo siguiente:</w:t>
      </w:r>
    </w:p>
    <w:p w14:paraId="5791E7A2" w14:textId="12530D0B" w:rsidR="002068E2" w:rsidRDefault="002068E2">
      <w:pPr>
        <w:jc w:val="left"/>
        <w:rPr>
          <w:color w:val="000000"/>
          <w:szCs w:val="24"/>
          <w:shd w:val="clear" w:color="auto" w:fill="FFFFFF"/>
          <w:lang w:val="es-ES"/>
        </w:rPr>
      </w:pPr>
    </w:p>
    <w:p w14:paraId="29DE4309" w14:textId="1EFC7E9C" w:rsidR="00806025" w:rsidRPr="00576EAE" w:rsidRDefault="00806025" w:rsidP="00806025">
      <w:pPr>
        <w:pStyle w:val="ListParagraph"/>
        <w:numPr>
          <w:ilvl w:val="0"/>
          <w:numId w:val="23"/>
        </w:numPr>
        <w:spacing w:before="120" w:after="240"/>
        <w:ind w:left="0" w:firstLine="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lastRenderedPageBreak/>
        <w:t>Es necesario discutir cuidadosamente las implicaciones de la conversión de sistemas de HCFC-22 a refrigerantes inflamables. Hay que evaluar atentamente todos los riesgos y beneficios potenciales. La conversión solo puede llevarse a cabo si se siguen estrictamente las normas de seguridad y los códigos de práctica adecuados.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806025" w:rsidRPr="002068E2" w14:paraId="52EA5E23" w14:textId="77777777" w:rsidTr="00F161A7">
        <w:tc>
          <w:tcPr>
            <w:tcW w:w="1871" w:type="dxa"/>
          </w:tcPr>
          <w:p w14:paraId="4EBE676B" w14:textId="77777777" w:rsidR="00806025" w:rsidRPr="006947B7" w:rsidRDefault="00806025" w:rsidP="00F161A7">
            <w:pPr>
              <w:rPr>
                <w:lang w:val="es-AR"/>
              </w:rPr>
            </w:pPr>
          </w:p>
        </w:tc>
        <w:tc>
          <w:tcPr>
            <w:tcW w:w="1872" w:type="dxa"/>
          </w:tcPr>
          <w:p w14:paraId="79924D38" w14:textId="77777777" w:rsidR="00806025" w:rsidRPr="006947B7" w:rsidRDefault="00806025" w:rsidP="00F161A7">
            <w:pPr>
              <w:rPr>
                <w:lang w:val="es-AR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CA961AA" w14:textId="77777777" w:rsidR="00806025" w:rsidRPr="006947B7" w:rsidRDefault="00806025" w:rsidP="00F161A7">
            <w:pPr>
              <w:rPr>
                <w:lang w:val="es-AR"/>
              </w:rPr>
            </w:pPr>
          </w:p>
        </w:tc>
        <w:tc>
          <w:tcPr>
            <w:tcW w:w="1872" w:type="dxa"/>
          </w:tcPr>
          <w:p w14:paraId="0914AE92" w14:textId="77777777" w:rsidR="00806025" w:rsidRPr="006947B7" w:rsidRDefault="00806025" w:rsidP="00F161A7">
            <w:pPr>
              <w:rPr>
                <w:lang w:val="es-AR"/>
              </w:rPr>
            </w:pPr>
          </w:p>
        </w:tc>
        <w:tc>
          <w:tcPr>
            <w:tcW w:w="1873" w:type="dxa"/>
          </w:tcPr>
          <w:p w14:paraId="7979DB98" w14:textId="77777777" w:rsidR="00806025" w:rsidRPr="006947B7" w:rsidRDefault="00806025" w:rsidP="00F161A7">
            <w:pPr>
              <w:rPr>
                <w:lang w:val="es-AR"/>
              </w:rPr>
            </w:pPr>
          </w:p>
        </w:tc>
      </w:tr>
    </w:tbl>
    <w:p w14:paraId="3857D5EC" w14:textId="77777777" w:rsidR="0087455A" w:rsidRDefault="0087455A" w:rsidP="00806025">
      <w:pPr>
        <w:jc w:val="center"/>
        <w:rPr>
          <w:b/>
          <w:bCs/>
          <w:lang w:val="es-ES"/>
        </w:rPr>
      </w:pPr>
    </w:p>
    <w:sectPr w:rsidR="0087455A">
      <w:headerReference w:type="even" r:id="rId10"/>
      <w:footerReference w:type="even" r:id="rId11"/>
      <w:footerReference w:type="first" r:id="rId12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2AFD" w14:textId="77777777" w:rsidR="00FF4357" w:rsidRDefault="00FF4357">
      <w:r>
        <w:separator/>
      </w:r>
    </w:p>
  </w:endnote>
  <w:endnote w:type="continuationSeparator" w:id="0">
    <w:p w14:paraId="044C8345" w14:textId="77777777" w:rsidR="00FF4357" w:rsidRDefault="00F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15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9DF12" w14:textId="5ABC9F94" w:rsidR="002068E2" w:rsidRDefault="00206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55022" w14:textId="77777777" w:rsidR="002068E2" w:rsidRDefault="0020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909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FD4F0" w14:textId="434EE0AF" w:rsidR="0087455A" w:rsidRDefault="00241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8F8EC" w14:textId="77777777" w:rsidR="0087455A" w:rsidRDefault="0087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D459" w14:textId="77777777" w:rsidR="00FF4357" w:rsidRDefault="00FF4357">
      <w:r>
        <w:separator/>
      </w:r>
    </w:p>
  </w:footnote>
  <w:footnote w:type="continuationSeparator" w:id="0">
    <w:p w14:paraId="0411B127" w14:textId="77777777" w:rsidR="00FF4357" w:rsidRDefault="00FF4357">
      <w:r>
        <w:continuationSeparator/>
      </w:r>
    </w:p>
  </w:footnote>
  <w:footnote w:id="1">
    <w:p w14:paraId="668E7E26" w14:textId="77777777" w:rsidR="00806025" w:rsidRPr="006E126D" w:rsidRDefault="00806025" w:rsidP="00806025">
      <w:pPr>
        <w:pStyle w:val="FootnoteText"/>
      </w:pPr>
      <w:r>
        <w:rPr>
          <w:rStyle w:val="FootnoteReference"/>
        </w:rPr>
        <w:footnoteRef/>
      </w:r>
      <w:r>
        <w:t xml:space="preserve"> Debido al coronavirus (COVID-19).</w:t>
      </w:r>
    </w:p>
  </w:footnote>
  <w:footnote w:id="2">
    <w:p w14:paraId="038A6461" w14:textId="328A2EE1" w:rsidR="00806025" w:rsidRDefault="00806025" w:rsidP="002068E2">
      <w:pPr>
        <w:rPr>
          <w:sz w:val="18"/>
          <w:lang w:val="es-AR"/>
        </w:rPr>
      </w:pPr>
      <w:r>
        <w:rPr>
          <w:rStyle w:val="FootnoteReference"/>
          <w:rFonts w:eastAsiaTheme="majorEastAsia"/>
          <w:sz w:val="20"/>
          <w:szCs w:val="20"/>
        </w:rPr>
        <w:footnoteRef/>
      </w:r>
      <w:r w:rsidRPr="006947B7">
        <w:rPr>
          <w:sz w:val="20"/>
          <w:lang w:val="es-AR"/>
        </w:rPr>
        <w:t xml:space="preserve"> Decisión 72/17: “… si el país lleva a cabo operaciones de retroadaptación de equipos de refrigeración y climatización dotados con refrigerantes formulados con HCFC para que pasen a funcionar con refrigerantes tóxicos o inflamables, con las actividades de servicio y mantenimiento que ello conlleva, lo harán dándose por entendido que asumen todas las responsabilidades y riesgos que de todo ello se deriven”; y la decisión 73/34: “… si un país, después de tener en cuenta la decisión 72/17, fuese a adoptar una decisión sobre la reconversión basada en sustancias inflamables en un equipo diseñado originalmente para sustancias no inflamables, debería hacerlo solamente de conformidad con los protocolos y estándares pertinentes”.</w:t>
      </w:r>
      <w:r w:rsidRPr="006947B7">
        <w:rPr>
          <w:sz w:val="18"/>
          <w:lang w:val="es-AR"/>
        </w:rPr>
        <w:t xml:space="preserve"> </w:t>
      </w:r>
    </w:p>
    <w:p w14:paraId="7A354B65" w14:textId="699A63D7" w:rsidR="002068E2" w:rsidRDefault="002068E2" w:rsidP="002068E2">
      <w:pPr>
        <w:rPr>
          <w:sz w:val="18"/>
          <w:lang w:val="es-AR"/>
        </w:rPr>
      </w:pPr>
    </w:p>
    <w:p w14:paraId="62F51C93" w14:textId="77777777" w:rsidR="002068E2" w:rsidRPr="006947B7" w:rsidRDefault="002068E2" w:rsidP="002068E2">
      <w:pPr>
        <w:rPr>
          <w:sz w:val="18"/>
          <w:szCs w:val="18"/>
          <w:lang w:val="es-A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24DC" w14:textId="77777777" w:rsidR="002068E2" w:rsidRPr="006947B7" w:rsidRDefault="002068E2" w:rsidP="002068E2">
    <w:pPr>
      <w:jc w:val="right"/>
      <w:rPr>
        <w:lang w:val="en-US"/>
      </w:rPr>
    </w:pPr>
    <w:r>
      <w:fldChar w:fldCharType="begin"/>
    </w:r>
    <w:r w:rsidRPr="006947B7">
      <w:rPr>
        <w:lang w:val="en-US"/>
      </w:rPr>
      <w:instrText xml:space="preserve"> DOCPROPERTY "Document number"  \* MERGEFORMAT </w:instrText>
    </w:r>
    <w:r>
      <w:fldChar w:fldCharType="separate"/>
    </w:r>
    <w:r w:rsidRPr="006947B7">
      <w:rPr>
        <w:lang w:val="en-US"/>
      </w:rPr>
      <w:t>UNEP/</w:t>
    </w:r>
    <w:proofErr w:type="spellStart"/>
    <w:r w:rsidRPr="006947B7">
      <w:rPr>
        <w:lang w:val="en-US"/>
      </w:rPr>
      <w:t>OzL.Pro</w:t>
    </w:r>
    <w:proofErr w:type="spellEnd"/>
    <w:r w:rsidRPr="006947B7">
      <w:rPr>
        <w:lang w:val="en-US"/>
      </w:rPr>
      <w:t>/</w:t>
    </w:r>
    <w:proofErr w:type="spellStart"/>
    <w:r w:rsidRPr="006947B7">
      <w:rPr>
        <w:lang w:val="en-US"/>
      </w:rPr>
      <w:t>ExCom</w:t>
    </w:r>
    <w:proofErr w:type="spellEnd"/>
    <w:r w:rsidRPr="006947B7">
      <w:rPr>
        <w:lang w:val="en-US"/>
      </w:rPr>
      <w:t>/86/13/Corr.1</w:t>
    </w:r>
    <w:r>
      <w:fldChar w:fldCharType="end"/>
    </w:r>
  </w:p>
  <w:p w14:paraId="7751D95A" w14:textId="2CFC234C" w:rsidR="002068E2" w:rsidRDefault="002068E2">
    <w:pPr>
      <w:pStyle w:val="Header"/>
      <w:rPr>
        <w:lang w:val="en-US"/>
      </w:rPr>
    </w:pPr>
  </w:p>
  <w:p w14:paraId="5FE2F007" w14:textId="77777777" w:rsidR="002068E2" w:rsidRPr="002068E2" w:rsidRDefault="002068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D5E549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3CE83ED3"/>
    <w:multiLevelType w:val="hybridMultilevel"/>
    <w:tmpl w:val="EAF69056"/>
    <w:lvl w:ilvl="0" w:tplc="046ACB36">
      <w:start w:val="6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27AF"/>
    <w:multiLevelType w:val="hybridMultilevel"/>
    <w:tmpl w:val="33A0F520"/>
    <w:lvl w:ilvl="0" w:tplc="F2A690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1CF7128"/>
    <w:multiLevelType w:val="hybridMultilevel"/>
    <w:tmpl w:val="4BF8BC2A"/>
    <w:lvl w:ilvl="0" w:tplc="E0C459A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15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A"/>
    <w:rsid w:val="00106F6E"/>
    <w:rsid w:val="00114CAA"/>
    <w:rsid w:val="001C2D22"/>
    <w:rsid w:val="001F4047"/>
    <w:rsid w:val="002068E2"/>
    <w:rsid w:val="00235D4C"/>
    <w:rsid w:val="0024162E"/>
    <w:rsid w:val="003863A4"/>
    <w:rsid w:val="003B7115"/>
    <w:rsid w:val="00437ADE"/>
    <w:rsid w:val="00455352"/>
    <w:rsid w:val="00476E28"/>
    <w:rsid w:val="005A6CB8"/>
    <w:rsid w:val="005B48C1"/>
    <w:rsid w:val="006915A5"/>
    <w:rsid w:val="006947B7"/>
    <w:rsid w:val="006C6EDA"/>
    <w:rsid w:val="00806025"/>
    <w:rsid w:val="00831BC5"/>
    <w:rsid w:val="0087455A"/>
    <w:rsid w:val="0092685B"/>
    <w:rsid w:val="00AB56E5"/>
    <w:rsid w:val="00AC4195"/>
    <w:rsid w:val="00B83FFA"/>
    <w:rsid w:val="00C14E67"/>
    <w:rsid w:val="00C40E04"/>
    <w:rsid w:val="00DB795B"/>
    <w:rsid w:val="00E17F97"/>
    <w:rsid w:val="00F10CD9"/>
    <w:rsid w:val="00F25F7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30429"/>
  <w15:docId w15:val="{2E86D738-2473-4F9D-938B-99323D1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semiHidden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025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025"/>
    <w:rPr>
      <w:lang w:val="es-ES"/>
    </w:rPr>
  </w:style>
  <w:style w:type="character" w:styleId="FootnoteReference">
    <w:name w:val="footnote reference"/>
    <w:aliases w:val="-E Fußnotenzeichen,16 Point,Superscript 6 Point,Footnote text,Footnote Text1,Footnote Text2,number,Footnote reference number,Footnote symbol,note TESI,SUPERS,stylish,ftref,Footnote Reference Superscript,-E Fuﬂnotenzeichen,fr,BVI fnr"/>
    <w:basedOn w:val="DefaultParagraphFont"/>
    <w:link w:val="CharCharCharCharCarChar"/>
    <w:uiPriority w:val="99"/>
    <w:unhideWhenUsed/>
    <w:qFormat/>
    <w:rsid w:val="00806025"/>
    <w:rPr>
      <w:vertAlign w:val="superscript"/>
    </w:rPr>
  </w:style>
  <w:style w:type="paragraph" w:styleId="ListParagraph">
    <w:name w:val="List Paragraph"/>
    <w:aliases w:val="List Paragraph (numbered (a)) Char,List Paragraph Char Char Char,List Paragraph (numbered (a)),Use Case List Paragraph,List Paragraph2,Numbered List Paragraph,Main numbered paragraph,Bullet paras,ANNEX,(i) Indent 2"/>
    <w:basedOn w:val="Normal"/>
    <w:link w:val="ListParagraphChar"/>
    <w:uiPriority w:val="34"/>
    <w:qFormat/>
    <w:rsid w:val="00806025"/>
    <w:pPr>
      <w:ind w:left="720"/>
      <w:contextualSpacing/>
      <w:jc w:val="left"/>
    </w:pPr>
    <w:rPr>
      <w:sz w:val="24"/>
      <w:szCs w:val="24"/>
      <w:lang w:val="es-ES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806025"/>
    <w:pPr>
      <w:spacing w:after="160" w:line="240" w:lineRule="exact"/>
    </w:pPr>
    <w:rPr>
      <w:sz w:val="20"/>
      <w:szCs w:val="20"/>
      <w:vertAlign w:val="superscript"/>
      <w:lang w:val="en-US"/>
    </w:rPr>
  </w:style>
  <w:style w:type="character" w:customStyle="1" w:styleId="ListParagraphChar">
    <w:name w:val="List Paragraph Char"/>
    <w:aliases w:val="List Paragraph (numbered (a)) Char Char,List Paragraph Char Char Char Char,List Paragraph (numbered (a)) Char1,Use Case List Paragraph Char,List Paragraph2 Char,Numbered List Paragraph Char,Main numbered paragraph Char,ANNEX Char"/>
    <w:basedOn w:val="DefaultParagraphFont"/>
    <w:link w:val="ListParagraph"/>
    <w:uiPriority w:val="34"/>
    <w:rsid w:val="00806025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D9FFF1782646B282AA80F917E68F" ma:contentTypeVersion="2" ma:contentTypeDescription="Create a new document." ma:contentTypeScope="" ma:versionID="73e2836fba3984591bfc1c5ece2a15e6">
  <xsd:schema xmlns:xsd="http://www.w3.org/2001/XMLSchema" xmlns:p="http://schemas.microsoft.com/office/2006/metadata/properties" xmlns:ns2="e6e1f9e0-8f48-4721-871b-80b3d7694360" xmlns:ns3="4aeb65a0-cd8f-45aa-a04d-ad1384b86dfc" targetNamespace="http://schemas.microsoft.com/office/2006/metadata/properties" ma:root="true" ma:fieldsID="30d109d6ea97c92d85c847e665efde67" ns2:_="" ns3:_="">
    <xsd:import namespace="e6e1f9e0-8f48-4721-871b-80b3d7694360"/>
    <xsd:import namespace="4aeb65a0-cd8f-45aa-a04d-ad1384b86dfc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aeb65a0-cd8f-45aa-a04d-ad1384b86dfc" elementFormDefault="qualified">
    <xsd:import namespace="http://schemas.microsoft.com/office/2006/documentManagement/types"/>
    <xsd:element name="Posted_x0020_after_x0020_IAP" ma:index="9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UNEP/OzL.Pro/ExCom/86/13/Corr.1</Document_x0020_Number>
    <Posted_x0020_after_x0020_IAP xmlns="4aeb65a0-cd8f-45aa-a04d-ad1384b86dfc">true</Posted_x0020_after_x0020_IAP>
  </documentManagement>
</p:properties>
</file>

<file path=customXml/itemProps1.xml><?xml version="1.0" encoding="utf-8"?>
<ds:datastoreItem xmlns:ds="http://schemas.openxmlformats.org/officeDocument/2006/customXml" ds:itemID="{BE1C9E80-D5EB-4AA9-A69A-B7D66636394F}"/>
</file>

<file path=customXml/itemProps2.xml><?xml version="1.0" encoding="utf-8"?>
<ds:datastoreItem xmlns:ds="http://schemas.openxmlformats.org/officeDocument/2006/customXml" ds:itemID="{0C6CBEAD-812E-4C42-8211-D99EA98807A2}"/>
</file>

<file path=customXml/itemProps3.xml><?xml version="1.0" encoding="utf-8"?>
<ds:datastoreItem xmlns:ds="http://schemas.openxmlformats.org/officeDocument/2006/customXml" ds:itemID="{1E0FF783-56FB-42A3-A9C4-CD6AAEFA5952}"/>
</file>

<file path=customXml/itemProps4.xml><?xml version="1.0" encoding="utf-8"?>
<ds:datastoreItem xmlns:ds="http://schemas.openxmlformats.org/officeDocument/2006/customXml" ds:itemID="{EAEFAFA9-2B4E-43DA-ACEC-B5F309F05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Estudio teórico para la evaluación de la eficiencia energética en el sector de servicio y mantenimiento - Corrigendum</vt:lpstr>
      <vt:lpstr>Orden del dia provisional</vt:lpstr>
    </vt:vector>
  </TitlesOfParts>
  <Company>UNMFS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teórico para la evaluación de la eficiencia energética en el sector de servicio y mantenimiento - Corrigendum</dc:title>
  <dc:creator>Maria Adela Troitino</dc:creator>
  <cp:lastModifiedBy>HB</cp:lastModifiedBy>
  <cp:revision>4</cp:revision>
  <cp:lastPrinted>2001-05-26T16:40:00Z</cp:lastPrinted>
  <dcterms:created xsi:type="dcterms:W3CDTF">2021-05-18T21:47:00Z</dcterms:created>
  <dcterms:modified xsi:type="dcterms:W3CDTF">2021-05-31T22:19:00Z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UNEP/OzL.Pro/ExCom/86/13/Corr.1</vt:lpwstr>
  </property>
  <property fmtid="{D5CDD505-2E9C-101B-9397-08002B2CF9AE}" pid="3" name="Revision date">
    <vt:lpwstr>5/14/2021</vt:lpwstr>
  </property>
  <property fmtid="{D5CDD505-2E9C-101B-9397-08002B2CF9AE}" pid="4" name="ContentTypeId">
    <vt:lpwstr>0x0101009701D9FFF1782646B282AA80F917E68F</vt:lpwstr>
  </property>
</Properties>
</file>