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Ind w:w="-432" w:type="dxa"/>
        <w:tblLayout w:type="fixed"/>
        <w:tblLook w:val="0000" w:firstRow="0" w:lastRow="0" w:firstColumn="0" w:lastColumn="0" w:noHBand="0" w:noVBand="0"/>
      </w:tblPr>
      <w:tblGrid>
        <w:gridCol w:w="1942"/>
        <w:gridCol w:w="4150"/>
        <w:gridCol w:w="4306"/>
      </w:tblGrid>
      <w:tr w:rsidR="0087455A" w:rsidRPr="00A2315B" w14:paraId="1B86E21E" w14:textId="77777777" w:rsidTr="00F6690D">
        <w:trPr>
          <w:trHeight w:val="742"/>
        </w:trPr>
        <w:tc>
          <w:tcPr>
            <w:tcW w:w="6092" w:type="dxa"/>
            <w:gridSpan w:val="2"/>
            <w:tcBorders>
              <w:bottom w:val="single" w:sz="18" w:space="0" w:color="auto"/>
            </w:tcBorders>
          </w:tcPr>
          <w:p w14:paraId="752731C0" w14:textId="77777777" w:rsidR="0087455A" w:rsidRPr="00A2315B" w:rsidRDefault="0024162E">
            <w:pPr>
              <w:rPr>
                <w:rFonts w:ascii="Univers" w:hAnsi="Univers"/>
                <w:b/>
                <w:sz w:val="28"/>
                <w:szCs w:val="28"/>
                <w:lang w:val="es-ES_tradnl"/>
              </w:rPr>
            </w:pPr>
            <w:bookmarkStart w:id="0" w:name="_Hlk56174958"/>
            <w:r w:rsidRPr="00A2315B">
              <w:rPr>
                <w:rFonts w:ascii="Univers" w:hAnsi="Univers"/>
                <w:b/>
                <w:sz w:val="28"/>
                <w:szCs w:val="28"/>
                <w:lang w:val="es-ES_tradnl"/>
              </w:rPr>
              <w:t>NACIONES</w:t>
            </w:r>
          </w:p>
          <w:p w14:paraId="7BAC9067" w14:textId="77777777" w:rsidR="0087455A" w:rsidRPr="00A2315B" w:rsidRDefault="0024162E">
            <w:pPr>
              <w:rPr>
                <w:rFonts w:ascii="Univers" w:hAnsi="Univers"/>
                <w:b/>
                <w:sz w:val="28"/>
                <w:szCs w:val="28"/>
                <w:lang w:val="es-ES_tradnl"/>
              </w:rPr>
            </w:pPr>
            <w:r w:rsidRPr="00A2315B">
              <w:rPr>
                <w:rFonts w:ascii="Univers" w:hAnsi="Univers"/>
                <w:b/>
                <w:sz w:val="28"/>
                <w:szCs w:val="28"/>
                <w:lang w:val="es-ES_tradnl"/>
              </w:rPr>
              <w:t>UNIDAS</w:t>
            </w:r>
          </w:p>
        </w:tc>
        <w:tc>
          <w:tcPr>
            <w:tcW w:w="4306" w:type="dxa"/>
            <w:tcBorders>
              <w:bottom w:val="single" w:sz="18" w:space="0" w:color="auto"/>
            </w:tcBorders>
          </w:tcPr>
          <w:p w14:paraId="262CB0C9" w14:textId="77777777" w:rsidR="0087455A" w:rsidRPr="00A2315B" w:rsidRDefault="0024162E">
            <w:pPr>
              <w:jc w:val="right"/>
              <w:rPr>
                <w:rFonts w:asciiTheme="minorBidi" w:hAnsiTheme="minorBidi" w:cstheme="minorBidi"/>
                <w:sz w:val="52"/>
                <w:szCs w:val="52"/>
                <w:lang w:val="es-ES_tradnl"/>
              </w:rPr>
            </w:pPr>
            <w:r w:rsidRPr="00A2315B">
              <w:rPr>
                <w:rFonts w:asciiTheme="minorBidi" w:hAnsiTheme="minorBidi" w:cstheme="minorBidi"/>
                <w:b/>
                <w:sz w:val="72"/>
                <w:lang w:val="es-ES_tradnl"/>
              </w:rPr>
              <w:t>EP</w:t>
            </w:r>
          </w:p>
        </w:tc>
      </w:tr>
      <w:tr w:rsidR="0087455A" w:rsidRPr="00A2315B" w14:paraId="4298F207" w14:textId="77777777" w:rsidTr="00F66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1"/>
        </w:trPr>
        <w:tc>
          <w:tcPr>
            <w:tcW w:w="1942" w:type="dxa"/>
            <w:tcBorders>
              <w:top w:val="nil"/>
              <w:left w:val="nil"/>
              <w:bottom w:val="single" w:sz="36" w:space="0" w:color="auto"/>
              <w:right w:val="nil"/>
            </w:tcBorders>
          </w:tcPr>
          <w:p w14:paraId="209D5D3C" w14:textId="77777777" w:rsidR="0087455A" w:rsidRPr="00A2315B" w:rsidRDefault="0024162E">
            <w:pPr>
              <w:spacing w:before="120"/>
              <w:rPr>
                <w:lang w:val="es-ES_tradnl"/>
              </w:rPr>
            </w:pPr>
            <w:r w:rsidRPr="00A2315B">
              <w:rPr>
                <w:noProof/>
                <w:lang w:val="en-US"/>
              </w:rPr>
              <w:drawing>
                <wp:anchor distT="0" distB="0" distL="114300" distR="114300" simplePos="0" relativeHeight="251656192" behindDoc="0" locked="0" layoutInCell="1" allowOverlap="1" wp14:anchorId="0C485A8B" wp14:editId="394D5E68">
                  <wp:simplePos x="0" y="0"/>
                  <wp:positionH relativeFrom="column">
                    <wp:posOffset>24493</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A2315B">
              <w:rPr>
                <w:noProof/>
                <w:lang w:val="en-US"/>
              </w:rPr>
              <w:drawing>
                <wp:anchor distT="0" distB="0" distL="114300" distR="114300" simplePos="0" relativeHeight="251657216" behindDoc="1" locked="0" layoutInCell="0" allowOverlap="1" wp14:anchorId="23A84E48" wp14:editId="0ACFDBF4">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150" w:type="dxa"/>
            <w:tcBorders>
              <w:top w:val="nil"/>
              <w:left w:val="nil"/>
              <w:bottom w:val="single" w:sz="36" w:space="0" w:color="auto"/>
              <w:right w:val="nil"/>
            </w:tcBorders>
          </w:tcPr>
          <w:p w14:paraId="500E9373" w14:textId="77777777" w:rsidR="0087455A" w:rsidRPr="00A2315B"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5A3B75A6" w14:textId="77777777" w:rsidR="0087455A" w:rsidRPr="00A2315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A2315B">
              <w:rPr>
                <w:rFonts w:ascii="Univers" w:hAnsi="Univers"/>
                <w:b/>
                <w:sz w:val="32"/>
                <w:lang w:val="es-ES_tradnl"/>
              </w:rPr>
              <w:t>Programa de las</w:t>
            </w:r>
          </w:p>
          <w:p w14:paraId="361D3719" w14:textId="77777777" w:rsidR="0087455A" w:rsidRPr="00A2315B"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A2315B">
              <w:rPr>
                <w:rFonts w:ascii="Univers" w:hAnsi="Univers"/>
                <w:b/>
                <w:sz w:val="32"/>
                <w:lang w:val="es-ES_tradnl"/>
              </w:rPr>
              <w:t>Naciones Unidas</w:t>
            </w:r>
          </w:p>
          <w:p w14:paraId="045A6061" w14:textId="2952D132" w:rsidR="0087455A" w:rsidRPr="00A2315B" w:rsidRDefault="0024162E" w:rsidP="00F6690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A2315B">
              <w:rPr>
                <w:rFonts w:ascii="Univers" w:hAnsi="Univers"/>
                <w:b/>
                <w:sz w:val="32"/>
                <w:lang w:val="es-ES_tradnl"/>
              </w:rPr>
              <w:t>para el Medio Ambient</w:t>
            </w:r>
            <w:r w:rsidR="00FD1EE3" w:rsidRPr="00A2315B">
              <w:rPr>
                <w:rFonts w:ascii="Univers" w:hAnsi="Univers"/>
                <w:b/>
                <w:sz w:val="32"/>
                <w:lang w:val="es-ES_tradnl"/>
              </w:rPr>
              <w:t>e</w:t>
            </w:r>
          </w:p>
        </w:tc>
        <w:tc>
          <w:tcPr>
            <w:tcW w:w="4306" w:type="dxa"/>
            <w:tcBorders>
              <w:top w:val="nil"/>
              <w:left w:val="nil"/>
              <w:bottom w:val="single" w:sz="36" w:space="0" w:color="auto"/>
              <w:right w:val="nil"/>
            </w:tcBorders>
          </w:tcPr>
          <w:p w14:paraId="1A300D22" w14:textId="77777777" w:rsidR="0087455A" w:rsidRPr="00A2315B" w:rsidRDefault="0087455A">
            <w:pPr>
              <w:rPr>
                <w:lang w:val="es-ES_tradnl"/>
              </w:rPr>
            </w:pPr>
          </w:p>
          <w:p w14:paraId="4074850D" w14:textId="77777777" w:rsidR="0087455A" w:rsidRPr="00A2315B" w:rsidRDefault="0024162E">
            <w:pPr>
              <w:rPr>
                <w:lang w:val="es-ES_tradnl"/>
              </w:rPr>
            </w:pPr>
            <w:r w:rsidRPr="00A2315B">
              <w:rPr>
                <w:lang w:val="es-ES_tradnl"/>
              </w:rPr>
              <w:t>Distr.</w:t>
            </w:r>
          </w:p>
          <w:p w14:paraId="51212A4C" w14:textId="77777777" w:rsidR="0087455A" w:rsidRPr="00A2315B" w:rsidRDefault="0024162E">
            <w:pPr>
              <w:rPr>
                <w:lang w:val="es-ES_tradnl"/>
              </w:rPr>
            </w:pPr>
            <w:r w:rsidRPr="00A2315B">
              <w:rPr>
                <w:lang w:val="es-ES_tradnl"/>
              </w:rPr>
              <w:t>GENERAL</w:t>
            </w:r>
          </w:p>
          <w:p w14:paraId="00609901" w14:textId="77777777" w:rsidR="0087455A" w:rsidRPr="00A2315B" w:rsidRDefault="0087455A">
            <w:pPr>
              <w:rPr>
                <w:lang w:val="es-ES_tradnl"/>
              </w:rPr>
            </w:pPr>
          </w:p>
          <w:p w14:paraId="14DA645A" w14:textId="3F6971B8" w:rsidR="0087455A" w:rsidRPr="00A2315B" w:rsidRDefault="0024162E">
            <w:pPr>
              <w:rPr>
                <w:lang w:val="es-ES_tradnl"/>
              </w:rPr>
            </w:pPr>
            <w:r w:rsidRPr="00A2315B">
              <w:rPr>
                <w:lang w:val="es-ES_tradnl"/>
              </w:rPr>
              <w:fldChar w:fldCharType="begin"/>
            </w:r>
            <w:r w:rsidRPr="00A2315B">
              <w:rPr>
                <w:lang w:val="es-ES_tradnl"/>
              </w:rPr>
              <w:instrText xml:space="preserve"> DOCPROPERTY "Document number"  \* MERGEFORMAT </w:instrText>
            </w:r>
            <w:r w:rsidRPr="00A2315B">
              <w:rPr>
                <w:lang w:val="es-ES_tradnl"/>
              </w:rPr>
              <w:fldChar w:fldCharType="separate"/>
            </w:r>
            <w:r w:rsidR="009C5A1B">
              <w:rPr>
                <w:lang w:val="es-ES_tradnl"/>
              </w:rPr>
              <w:t>UNEP/</w:t>
            </w:r>
            <w:proofErr w:type="spellStart"/>
            <w:r w:rsidR="009C5A1B">
              <w:rPr>
                <w:lang w:val="es-ES_tradnl"/>
              </w:rPr>
              <w:t>OzL.Pro</w:t>
            </w:r>
            <w:proofErr w:type="spellEnd"/>
            <w:r w:rsidR="009C5A1B">
              <w:rPr>
                <w:lang w:val="es-ES_tradnl"/>
              </w:rPr>
              <w:t>/</w:t>
            </w:r>
            <w:proofErr w:type="spellStart"/>
            <w:r w:rsidR="009C5A1B">
              <w:rPr>
                <w:lang w:val="es-ES_tradnl"/>
              </w:rPr>
              <w:t>ExCom</w:t>
            </w:r>
            <w:proofErr w:type="spellEnd"/>
            <w:r w:rsidR="009C5A1B">
              <w:rPr>
                <w:lang w:val="es-ES_tradnl"/>
              </w:rPr>
              <w:t>/86/3</w:t>
            </w:r>
            <w:r w:rsidRPr="00A2315B">
              <w:rPr>
                <w:lang w:val="es-ES_tradnl"/>
              </w:rPr>
              <w:fldChar w:fldCharType="end"/>
            </w:r>
          </w:p>
          <w:p w14:paraId="194891E3" w14:textId="2C1CCFEA" w:rsidR="0087455A" w:rsidRPr="00A2315B" w:rsidRDefault="00F6690D" w:rsidP="00F10CD9">
            <w:pPr>
              <w:rPr>
                <w:caps/>
                <w:lang w:val="es-ES_tradnl"/>
              </w:rPr>
            </w:pPr>
            <w:r w:rsidRPr="00A2315B">
              <w:rPr>
                <w:caps/>
                <w:lang w:val="es-ES_tradnl"/>
              </w:rPr>
              <w:t xml:space="preserve">6 </w:t>
            </w:r>
            <w:r w:rsidR="00114CAA" w:rsidRPr="00A2315B">
              <w:rPr>
                <w:lang w:val="es-ES_tradnl"/>
              </w:rPr>
              <w:t xml:space="preserve">de </w:t>
            </w:r>
            <w:r w:rsidRPr="00A2315B">
              <w:rPr>
                <w:lang w:val="es-ES_tradnl"/>
              </w:rPr>
              <w:t xml:space="preserve">noviembre </w:t>
            </w:r>
            <w:r w:rsidR="00114CAA" w:rsidRPr="00A2315B">
              <w:rPr>
                <w:lang w:val="es-ES_tradnl"/>
              </w:rPr>
              <w:t xml:space="preserve">de </w:t>
            </w:r>
            <w:r w:rsidR="001C2D22" w:rsidRPr="00A2315B">
              <w:rPr>
                <w:caps/>
                <w:lang w:val="es-ES_tradnl"/>
              </w:rPr>
              <w:t>20</w:t>
            </w:r>
            <w:r w:rsidR="00C40E04" w:rsidRPr="00A2315B">
              <w:rPr>
                <w:caps/>
                <w:lang w:val="es-ES_tradnl"/>
              </w:rPr>
              <w:t>20</w:t>
            </w:r>
          </w:p>
          <w:p w14:paraId="1011745C" w14:textId="77777777" w:rsidR="00114CAA" w:rsidRPr="00A2315B" w:rsidRDefault="00114CAA">
            <w:pPr>
              <w:rPr>
                <w:caps/>
                <w:lang w:val="es-ES_tradnl"/>
              </w:rPr>
            </w:pPr>
          </w:p>
          <w:p w14:paraId="08A9B09E" w14:textId="77777777" w:rsidR="0087455A" w:rsidRPr="00A2315B" w:rsidRDefault="0024162E">
            <w:pPr>
              <w:rPr>
                <w:lang w:val="es-ES_tradnl"/>
              </w:rPr>
            </w:pPr>
            <w:r w:rsidRPr="00A2315B">
              <w:rPr>
                <w:lang w:val="es-ES_tradnl"/>
              </w:rPr>
              <w:t xml:space="preserve">ESPAÑOL </w:t>
            </w:r>
          </w:p>
          <w:p w14:paraId="70E95619" w14:textId="77777777" w:rsidR="0087455A" w:rsidRPr="00A2315B" w:rsidRDefault="0024162E">
            <w:pPr>
              <w:rPr>
                <w:lang w:val="es-ES_tradnl"/>
              </w:rPr>
            </w:pPr>
            <w:r w:rsidRPr="00A2315B">
              <w:rPr>
                <w:lang w:val="es-ES_tradnl"/>
              </w:rPr>
              <w:t>ORIGINAL: INGLÉS</w:t>
            </w:r>
          </w:p>
        </w:tc>
      </w:tr>
    </w:tbl>
    <w:p w14:paraId="40966216" w14:textId="77777777" w:rsidR="0087455A" w:rsidRPr="00A2315B" w:rsidRDefault="0024162E">
      <w:pPr>
        <w:jc w:val="left"/>
        <w:rPr>
          <w:lang w:val="es-ES_tradnl"/>
        </w:rPr>
      </w:pPr>
      <w:r w:rsidRPr="00A2315B">
        <w:rPr>
          <w:lang w:val="es-ES_tradnl"/>
        </w:rPr>
        <w:t>COMITÉ EJECUTIVO DEL FONDO MULTILATERAL</w:t>
      </w:r>
      <w:r w:rsidRPr="00A2315B">
        <w:rPr>
          <w:lang w:val="es-ES_tradnl"/>
        </w:rPr>
        <w:br/>
        <w:t xml:space="preserve">  PARA LA APLICACIÓN DEL</w:t>
      </w:r>
      <w:r w:rsidRPr="00A2315B">
        <w:rPr>
          <w:lang w:val="es-ES_tradnl"/>
        </w:rPr>
        <w:br/>
        <w:t xml:space="preserve">  PROTOCOLO DE MONTREAL</w:t>
      </w:r>
    </w:p>
    <w:p w14:paraId="643DBE08" w14:textId="77777777" w:rsidR="00106F6E" w:rsidRPr="00A2315B" w:rsidRDefault="00106F6E" w:rsidP="001F4047">
      <w:pPr>
        <w:jc w:val="left"/>
        <w:rPr>
          <w:lang w:val="es-ES_tradnl"/>
        </w:rPr>
      </w:pPr>
      <w:r w:rsidRPr="00A2315B">
        <w:rPr>
          <w:lang w:val="es-ES_tradnl"/>
        </w:rPr>
        <w:t xml:space="preserve">Octogésima </w:t>
      </w:r>
      <w:r w:rsidR="006915A5" w:rsidRPr="00A2315B">
        <w:rPr>
          <w:lang w:val="es-ES_tradnl"/>
        </w:rPr>
        <w:t>sexta</w:t>
      </w:r>
      <w:r w:rsidR="003863A4" w:rsidRPr="00A2315B">
        <w:rPr>
          <w:lang w:val="es-ES_tradnl"/>
        </w:rPr>
        <w:t xml:space="preserve"> Reunión</w:t>
      </w:r>
      <w:r w:rsidR="003863A4" w:rsidRPr="00A2315B">
        <w:rPr>
          <w:lang w:val="es-ES_tradnl"/>
        </w:rPr>
        <w:br/>
        <w:t xml:space="preserve">Montreal, </w:t>
      </w:r>
      <w:r w:rsidR="0092685B" w:rsidRPr="00A2315B">
        <w:rPr>
          <w:lang w:val="es-ES_tradnl"/>
        </w:rPr>
        <w:t>2</w:t>
      </w:r>
      <w:r w:rsidR="003863A4" w:rsidRPr="00A2315B">
        <w:rPr>
          <w:lang w:val="es-ES_tradnl"/>
        </w:rPr>
        <w:t xml:space="preserve"> </w:t>
      </w:r>
      <w:r w:rsidRPr="00A2315B">
        <w:rPr>
          <w:lang w:val="es-ES_tradnl"/>
        </w:rPr>
        <w:t xml:space="preserve">– </w:t>
      </w:r>
      <w:r w:rsidR="00B83FFA" w:rsidRPr="00A2315B">
        <w:rPr>
          <w:lang w:val="es-ES_tradnl"/>
        </w:rPr>
        <w:t>6</w:t>
      </w:r>
      <w:r w:rsidRPr="00A2315B">
        <w:rPr>
          <w:lang w:val="es-ES_tradnl"/>
        </w:rPr>
        <w:t xml:space="preserve"> de </w:t>
      </w:r>
      <w:r w:rsidR="00B83FFA" w:rsidRPr="00A2315B">
        <w:rPr>
          <w:lang w:val="es-ES_tradnl"/>
        </w:rPr>
        <w:t>noviembre</w:t>
      </w:r>
      <w:r w:rsidR="001C2D22" w:rsidRPr="00A2315B">
        <w:rPr>
          <w:lang w:val="es-ES_tradnl"/>
        </w:rPr>
        <w:t xml:space="preserve"> de 20</w:t>
      </w:r>
      <w:r w:rsidR="0092685B" w:rsidRPr="00A2315B">
        <w:rPr>
          <w:lang w:val="es-ES_tradnl"/>
        </w:rPr>
        <w:t>20</w:t>
      </w:r>
    </w:p>
    <w:p w14:paraId="1D04FD42" w14:textId="77777777" w:rsidR="00F6690D" w:rsidRPr="00A2315B" w:rsidRDefault="00C40E04" w:rsidP="00F6690D">
      <w:pPr>
        <w:jc w:val="left"/>
        <w:rPr>
          <w:lang w:val="es-ES_tradnl"/>
        </w:rPr>
      </w:pPr>
      <w:r w:rsidRPr="00A2315B">
        <w:rPr>
          <w:lang w:val="es-ES_tradnl"/>
        </w:rPr>
        <w:t xml:space="preserve">Pospuesta: </w:t>
      </w:r>
      <w:r w:rsidR="00B83FFA" w:rsidRPr="00A2315B">
        <w:rPr>
          <w:lang w:val="es-ES_tradnl"/>
        </w:rPr>
        <w:t>8</w:t>
      </w:r>
      <w:r w:rsidRPr="00A2315B">
        <w:rPr>
          <w:lang w:val="es-ES_tradnl"/>
        </w:rPr>
        <w:t xml:space="preserve"> – </w:t>
      </w:r>
      <w:r w:rsidR="00B83FFA" w:rsidRPr="00A2315B">
        <w:rPr>
          <w:lang w:val="es-ES_tradnl"/>
        </w:rPr>
        <w:t>1</w:t>
      </w:r>
      <w:r w:rsidRPr="00A2315B">
        <w:rPr>
          <w:lang w:val="es-ES_tradnl"/>
        </w:rPr>
        <w:t xml:space="preserve">2 de </w:t>
      </w:r>
      <w:r w:rsidR="00B83FFA" w:rsidRPr="00A2315B">
        <w:rPr>
          <w:lang w:val="es-ES_tradnl"/>
        </w:rPr>
        <w:t>marzo</w:t>
      </w:r>
      <w:r w:rsidRPr="00A2315B">
        <w:rPr>
          <w:lang w:val="es-ES_tradnl"/>
        </w:rPr>
        <w:t xml:space="preserve"> de 202</w:t>
      </w:r>
      <w:r w:rsidR="00B83FFA" w:rsidRPr="00A2315B">
        <w:rPr>
          <w:lang w:val="es-ES_tradnl"/>
        </w:rPr>
        <w:t>1</w:t>
      </w:r>
      <w:r w:rsidR="00F6690D" w:rsidRPr="00A2315B">
        <w:rPr>
          <w:rStyle w:val="FootnoteReference"/>
          <w:lang w:val="es-ES_tradnl"/>
        </w:rPr>
        <w:footnoteReference w:id="1"/>
      </w:r>
    </w:p>
    <w:p w14:paraId="14F94AF4" w14:textId="3F08EC86" w:rsidR="00106F6E" w:rsidRPr="00A2315B" w:rsidRDefault="00106F6E" w:rsidP="00106F6E">
      <w:pPr>
        <w:jc w:val="left"/>
        <w:rPr>
          <w:lang w:val="es-ES_tradnl"/>
        </w:rPr>
      </w:pPr>
    </w:p>
    <w:p w14:paraId="546694F0" w14:textId="77777777" w:rsidR="00B72790" w:rsidRPr="00A2315B" w:rsidRDefault="00B72790" w:rsidP="00106F6E">
      <w:pPr>
        <w:jc w:val="left"/>
        <w:rPr>
          <w:lang w:val="es-ES_tradnl"/>
        </w:rPr>
      </w:pPr>
    </w:p>
    <w:p w14:paraId="754EA5A3" w14:textId="77777777" w:rsidR="00B72790" w:rsidRPr="00A2315B" w:rsidRDefault="00B72790" w:rsidP="00106F6E">
      <w:pPr>
        <w:jc w:val="left"/>
        <w:rPr>
          <w:lang w:val="es-ES_tradnl"/>
        </w:rPr>
      </w:pPr>
    </w:p>
    <w:p w14:paraId="730D68D2" w14:textId="0BCAFEE7" w:rsidR="00F6690D" w:rsidRPr="00A2315B" w:rsidRDefault="00384548" w:rsidP="00F6690D">
      <w:pPr>
        <w:pStyle w:val="0Heading0"/>
        <w:jc w:val="center"/>
        <w:rPr>
          <w:b/>
          <w:bCs/>
          <w:lang w:val="es-ES_tradnl"/>
        </w:rPr>
      </w:pPr>
      <w:r w:rsidRPr="00A2315B">
        <w:rPr>
          <w:b/>
          <w:bCs/>
          <w:lang w:val="es-ES_tradnl"/>
        </w:rPr>
        <w:t>SITUACIÓN DE LAS CONTRIBUCIONES Y LOS DESEMBOLSOS</w:t>
      </w:r>
    </w:p>
    <w:p w14:paraId="647B4390" w14:textId="56187C76" w:rsidR="00F6690D" w:rsidRPr="00A2315B" w:rsidRDefault="00AF47D6" w:rsidP="00AF47D6">
      <w:pPr>
        <w:pStyle w:val="0Heading0"/>
        <w:spacing w:line="360" w:lineRule="auto"/>
        <w:jc w:val="center"/>
        <w:rPr>
          <w:b/>
          <w:bCs/>
          <w:lang w:val="es-ES_tradnl"/>
        </w:rPr>
      </w:pPr>
      <w:r w:rsidRPr="00A2315B">
        <w:rPr>
          <w:b/>
          <w:bCs/>
          <w:lang w:val="es-ES_tradnl"/>
        </w:rPr>
        <w:t>Informe del Tesorero</w:t>
      </w:r>
    </w:p>
    <w:p w14:paraId="67DBCE24" w14:textId="77777777" w:rsidR="00F6690D" w:rsidRPr="00A2315B" w:rsidRDefault="00F6690D" w:rsidP="00F6690D">
      <w:pPr>
        <w:pStyle w:val="0Heading0"/>
        <w:jc w:val="center"/>
        <w:rPr>
          <w:b/>
          <w:bCs/>
          <w:lang w:val="es-ES_tradnl"/>
        </w:rPr>
      </w:pPr>
    </w:p>
    <w:p w14:paraId="76802B51" w14:textId="6B7E6614" w:rsidR="00F6690D" w:rsidRPr="00A2315B" w:rsidRDefault="00A517BA" w:rsidP="00A517BA">
      <w:pPr>
        <w:pStyle w:val="0Heading0"/>
        <w:numPr>
          <w:ilvl w:val="0"/>
          <w:numId w:val="22"/>
        </w:numPr>
        <w:tabs>
          <w:tab w:val="left" w:pos="0"/>
        </w:tabs>
        <w:spacing w:after="240"/>
        <w:ind w:left="0" w:firstLine="0"/>
        <w:jc w:val="both"/>
        <w:rPr>
          <w:lang w:val="es-ES_tradnl"/>
        </w:rPr>
      </w:pPr>
      <w:r w:rsidRPr="00A2315B">
        <w:rPr>
          <w:lang w:val="es-ES_tradnl"/>
        </w:rPr>
        <w:t>El presente documento proporciona información sobre la situación del Fondo Multilateral</w:t>
      </w:r>
      <w:r w:rsidRPr="00A2315B">
        <w:rPr>
          <w:rStyle w:val="FootnoteReference"/>
          <w:lang w:val="es-ES_tradnl"/>
        </w:rPr>
        <w:footnoteReference w:id="2"/>
      </w:r>
      <w:r w:rsidRPr="00A2315B">
        <w:rPr>
          <w:lang w:val="es-ES_tradnl"/>
        </w:rPr>
        <w:t xml:space="preserve"> según lo registrado en el PNUMA al 30 de octubre de 2020. El Anexo I del presente documento contiene los siguientes cuadros</w:t>
      </w:r>
      <w:r w:rsidR="00F6690D" w:rsidRPr="00A2315B">
        <w:rPr>
          <w:lang w:val="es-ES_tradnl"/>
        </w:rPr>
        <w:t>:</w:t>
      </w:r>
    </w:p>
    <w:p w14:paraId="2E0AC660" w14:textId="53CBD6AF" w:rsidR="00F6690D" w:rsidRPr="00A2315B" w:rsidRDefault="00AF47D6" w:rsidP="00F6690D">
      <w:pPr>
        <w:pStyle w:val="0Heading0"/>
        <w:numPr>
          <w:ilvl w:val="0"/>
          <w:numId w:val="21"/>
        </w:numPr>
        <w:tabs>
          <w:tab w:val="clear" w:pos="2500"/>
          <w:tab w:val="left" w:pos="2520"/>
        </w:tabs>
        <w:ind w:left="1440" w:hanging="720"/>
        <w:rPr>
          <w:lang w:val="es-ES_tradnl"/>
        </w:rPr>
      </w:pPr>
      <w:r w:rsidRPr="00A2315B">
        <w:rPr>
          <w:lang w:val="es-ES_tradnl"/>
        </w:rPr>
        <w:t>Cuadro</w:t>
      </w:r>
      <w:r w:rsidR="00F6690D" w:rsidRPr="00A2315B">
        <w:rPr>
          <w:lang w:val="es-ES_tradnl"/>
        </w:rPr>
        <w:t xml:space="preserve"> 1:</w:t>
      </w:r>
      <w:r w:rsidR="00F6690D" w:rsidRPr="00A2315B">
        <w:rPr>
          <w:lang w:val="es-ES_tradnl"/>
        </w:rPr>
        <w:tab/>
      </w:r>
      <w:r w:rsidRPr="00A2315B">
        <w:rPr>
          <w:lang w:val="es-ES_tradnl"/>
        </w:rPr>
        <w:t>Situación del Fondo entre 1991 y 2020</w:t>
      </w:r>
    </w:p>
    <w:p w14:paraId="6E6925C4" w14:textId="614660A9"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2:</w:t>
      </w:r>
      <w:r w:rsidR="00F6690D" w:rsidRPr="00A2315B">
        <w:rPr>
          <w:lang w:val="es-ES_tradnl"/>
        </w:rPr>
        <w:tab/>
      </w:r>
      <w:r w:rsidRPr="00A2315B">
        <w:rPr>
          <w:lang w:val="es-ES_tradnl"/>
        </w:rPr>
        <w:t>Resumen de la situación de las contribuciones y otros ingresos, 1991 – 2020</w:t>
      </w:r>
    </w:p>
    <w:p w14:paraId="52DAC8B0" w14:textId="677DC80C" w:rsidR="00F6690D" w:rsidRPr="00A2315B" w:rsidRDefault="00AF47D6" w:rsidP="00F6690D">
      <w:pPr>
        <w:pStyle w:val="0Heading0"/>
        <w:numPr>
          <w:ilvl w:val="0"/>
          <w:numId w:val="21"/>
        </w:numPr>
        <w:tabs>
          <w:tab w:val="clear" w:pos="2500"/>
          <w:tab w:val="left" w:pos="2520"/>
        </w:tabs>
        <w:ind w:left="1440" w:hanging="720"/>
        <w:rPr>
          <w:lang w:val="es-ES_tradnl"/>
        </w:rPr>
      </w:pPr>
      <w:r w:rsidRPr="00A2315B">
        <w:rPr>
          <w:lang w:val="es-ES_tradnl"/>
        </w:rPr>
        <w:t>Cuadro</w:t>
      </w:r>
      <w:r w:rsidR="00F6690D" w:rsidRPr="00A2315B">
        <w:rPr>
          <w:lang w:val="es-ES_tradnl"/>
        </w:rPr>
        <w:t xml:space="preserve"> 3:</w:t>
      </w:r>
      <w:r w:rsidR="00F6690D" w:rsidRPr="00A2315B">
        <w:rPr>
          <w:lang w:val="es-ES_tradnl"/>
        </w:rPr>
        <w:tab/>
      </w:r>
      <w:r w:rsidRPr="00A2315B">
        <w:rPr>
          <w:lang w:val="es-ES_tradnl"/>
        </w:rPr>
        <w:t xml:space="preserve">Resumen de la situación de las contribuciones, 1991 – 2020  </w:t>
      </w:r>
    </w:p>
    <w:p w14:paraId="2E51E4C6" w14:textId="245BB804"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4:</w:t>
      </w:r>
      <w:r w:rsidR="00F6690D" w:rsidRPr="00A2315B">
        <w:rPr>
          <w:lang w:val="es-ES_tradnl"/>
        </w:rPr>
        <w:tab/>
      </w:r>
      <w:r w:rsidRPr="00A2315B">
        <w:rPr>
          <w:lang w:val="es-ES_tradnl"/>
        </w:rPr>
        <w:t>Situación de las Contribuciones para</w:t>
      </w:r>
      <w:r w:rsidR="00F6690D" w:rsidRPr="00A2315B">
        <w:rPr>
          <w:lang w:val="es-ES_tradnl"/>
        </w:rPr>
        <w:t xml:space="preserve"> 2018 - 2020</w:t>
      </w:r>
    </w:p>
    <w:p w14:paraId="16C25BCB" w14:textId="7392EB58"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5:</w:t>
      </w:r>
      <w:r w:rsidR="00F6690D" w:rsidRPr="00A2315B">
        <w:rPr>
          <w:lang w:val="es-ES_tradnl"/>
        </w:rPr>
        <w:tab/>
      </w:r>
      <w:r w:rsidRPr="00A2315B">
        <w:rPr>
          <w:lang w:val="es-ES_tradnl"/>
        </w:rPr>
        <w:t>Situación de las Contribuciones para</w:t>
      </w:r>
      <w:r w:rsidR="00F6690D" w:rsidRPr="00A2315B">
        <w:rPr>
          <w:lang w:val="es-ES_tradnl"/>
        </w:rPr>
        <w:t xml:space="preserve"> 2020</w:t>
      </w:r>
    </w:p>
    <w:p w14:paraId="394848BF" w14:textId="61A75BB2"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6:</w:t>
      </w:r>
      <w:r w:rsidR="00F6690D" w:rsidRPr="00A2315B">
        <w:rPr>
          <w:lang w:val="es-ES_tradnl"/>
        </w:rPr>
        <w:tab/>
      </w:r>
      <w:r w:rsidRPr="00A2315B">
        <w:rPr>
          <w:lang w:val="es-ES_tradnl"/>
        </w:rPr>
        <w:t>Situación de las Contribuciones para</w:t>
      </w:r>
      <w:r w:rsidR="00F6690D" w:rsidRPr="00A2315B">
        <w:rPr>
          <w:lang w:val="es-ES_tradnl"/>
        </w:rPr>
        <w:t xml:space="preserve"> 2019</w:t>
      </w:r>
    </w:p>
    <w:p w14:paraId="251BA499" w14:textId="77BE52F8"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7:</w:t>
      </w:r>
      <w:r w:rsidR="00F6690D" w:rsidRPr="00A2315B">
        <w:rPr>
          <w:lang w:val="es-ES_tradnl"/>
        </w:rPr>
        <w:tab/>
      </w:r>
      <w:r w:rsidRPr="00A2315B">
        <w:rPr>
          <w:lang w:val="es-ES_tradnl"/>
        </w:rPr>
        <w:t>Situación de las Contribuciones para</w:t>
      </w:r>
      <w:r w:rsidR="00F6690D" w:rsidRPr="00A2315B">
        <w:rPr>
          <w:lang w:val="es-ES_tradnl"/>
        </w:rPr>
        <w:t xml:space="preserve"> 2018</w:t>
      </w:r>
    </w:p>
    <w:p w14:paraId="308659EC" w14:textId="23019F4F"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8:</w:t>
      </w:r>
      <w:r w:rsidR="00F6690D" w:rsidRPr="00A2315B">
        <w:rPr>
          <w:lang w:val="es-ES_tradnl"/>
        </w:rPr>
        <w:tab/>
      </w:r>
      <w:r w:rsidRPr="00A2315B">
        <w:rPr>
          <w:lang w:val="es-ES_tradnl"/>
        </w:rPr>
        <w:t>Situación de las Contribuciones para</w:t>
      </w:r>
      <w:r w:rsidR="00F6690D" w:rsidRPr="00A2315B">
        <w:rPr>
          <w:lang w:val="es-ES_tradnl"/>
        </w:rPr>
        <w:t xml:space="preserve"> 2015 – 2017</w:t>
      </w:r>
    </w:p>
    <w:p w14:paraId="2D34927F" w14:textId="67C661A5"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9:</w:t>
      </w:r>
      <w:r w:rsidR="00F6690D" w:rsidRPr="00A2315B">
        <w:rPr>
          <w:lang w:val="es-ES_tradnl"/>
        </w:rPr>
        <w:tab/>
      </w:r>
      <w:r w:rsidRPr="00A2315B">
        <w:rPr>
          <w:lang w:val="es-ES_tradnl"/>
        </w:rPr>
        <w:t>Situación de las Contribuciones para</w:t>
      </w:r>
      <w:r w:rsidR="00F6690D" w:rsidRPr="00A2315B">
        <w:rPr>
          <w:lang w:val="es-ES_tradnl"/>
        </w:rPr>
        <w:t xml:space="preserve"> 2017</w:t>
      </w:r>
    </w:p>
    <w:p w14:paraId="54E4CADB" w14:textId="5FFBC109"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10:</w:t>
      </w:r>
      <w:r w:rsidR="00F6690D" w:rsidRPr="00A2315B">
        <w:rPr>
          <w:lang w:val="es-ES_tradnl"/>
        </w:rPr>
        <w:tab/>
      </w:r>
      <w:r w:rsidRPr="00A2315B">
        <w:rPr>
          <w:lang w:val="es-ES_tradnl"/>
        </w:rPr>
        <w:t>Situación de las Contribuciones para</w:t>
      </w:r>
      <w:r w:rsidR="00F6690D" w:rsidRPr="00A2315B">
        <w:rPr>
          <w:lang w:val="es-ES_tradnl"/>
        </w:rPr>
        <w:t xml:space="preserve"> 2016</w:t>
      </w:r>
    </w:p>
    <w:p w14:paraId="684720A7" w14:textId="46405955"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11:</w:t>
      </w:r>
      <w:r w:rsidR="00F6690D" w:rsidRPr="00A2315B">
        <w:rPr>
          <w:lang w:val="es-ES_tradnl"/>
        </w:rPr>
        <w:tab/>
      </w:r>
      <w:r w:rsidRPr="00A2315B">
        <w:rPr>
          <w:lang w:val="es-ES_tradnl"/>
        </w:rPr>
        <w:t>Situación de las Contribuciones para</w:t>
      </w:r>
      <w:r w:rsidR="00F6690D" w:rsidRPr="00A2315B">
        <w:rPr>
          <w:lang w:val="es-ES_tradnl"/>
        </w:rPr>
        <w:t xml:space="preserve"> 2015</w:t>
      </w:r>
    </w:p>
    <w:p w14:paraId="0BBC927E" w14:textId="07D64A31"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12:</w:t>
      </w:r>
      <w:r w:rsidR="00F6690D" w:rsidRPr="00A2315B">
        <w:rPr>
          <w:lang w:val="es-ES_tradnl"/>
        </w:rPr>
        <w:tab/>
      </w:r>
      <w:r w:rsidRPr="00A2315B">
        <w:rPr>
          <w:lang w:val="es-ES_tradnl"/>
        </w:rPr>
        <w:t xml:space="preserve">Resumen de la situación de las contribuciones para </w:t>
      </w:r>
      <w:r w:rsidR="00F6690D" w:rsidRPr="00A2315B">
        <w:rPr>
          <w:lang w:val="es-ES_tradnl"/>
        </w:rPr>
        <w:t>2012 – 2014</w:t>
      </w:r>
    </w:p>
    <w:p w14:paraId="5C4CADDC" w14:textId="50C1E5B7" w:rsidR="00F6690D" w:rsidRPr="00A2315B" w:rsidRDefault="00AF47D6" w:rsidP="00F6690D">
      <w:pPr>
        <w:pStyle w:val="0Heading0"/>
        <w:numPr>
          <w:ilvl w:val="0"/>
          <w:numId w:val="21"/>
        </w:numPr>
        <w:tabs>
          <w:tab w:val="clear" w:pos="2500"/>
          <w:tab w:val="left" w:pos="2520"/>
        </w:tabs>
        <w:ind w:left="1440" w:hanging="720"/>
        <w:jc w:val="both"/>
        <w:rPr>
          <w:lang w:val="es-ES_tradnl"/>
        </w:rPr>
      </w:pPr>
      <w:r w:rsidRPr="00A2315B">
        <w:rPr>
          <w:lang w:val="es-ES_tradnl"/>
        </w:rPr>
        <w:t>Cuadro</w:t>
      </w:r>
      <w:r w:rsidR="00F6690D" w:rsidRPr="00A2315B">
        <w:rPr>
          <w:lang w:val="es-ES_tradnl"/>
        </w:rPr>
        <w:t xml:space="preserve"> 13:</w:t>
      </w:r>
      <w:r w:rsidR="00F6690D" w:rsidRPr="00A2315B">
        <w:rPr>
          <w:lang w:val="es-ES_tradnl"/>
        </w:rPr>
        <w:tab/>
      </w:r>
      <w:r w:rsidRPr="00A2315B">
        <w:rPr>
          <w:lang w:val="es-ES_tradnl"/>
        </w:rPr>
        <w:t>Situación de las Contribuciones para</w:t>
      </w:r>
      <w:r w:rsidR="00F6690D" w:rsidRPr="00A2315B">
        <w:rPr>
          <w:lang w:val="es-ES_tradnl"/>
        </w:rPr>
        <w:t xml:space="preserve"> 2014</w:t>
      </w:r>
    </w:p>
    <w:p w14:paraId="04B6B2B5" w14:textId="77777777" w:rsidR="00F6690D" w:rsidRPr="00A2315B" w:rsidRDefault="00F6690D" w:rsidP="00F6690D">
      <w:pPr>
        <w:pStyle w:val="0Heading0"/>
        <w:tabs>
          <w:tab w:val="left" w:pos="2520"/>
        </w:tabs>
        <w:ind w:left="1440"/>
        <w:jc w:val="both"/>
        <w:rPr>
          <w:lang w:val="es-ES_tradnl"/>
        </w:rPr>
      </w:pPr>
    </w:p>
    <w:p w14:paraId="6FF27ECD" w14:textId="5676B991" w:rsidR="00F6690D" w:rsidRPr="00A2315B" w:rsidRDefault="00A47DF0" w:rsidP="00F6690D">
      <w:pPr>
        <w:pStyle w:val="0Heading0"/>
        <w:numPr>
          <w:ilvl w:val="0"/>
          <w:numId w:val="22"/>
        </w:numPr>
        <w:tabs>
          <w:tab w:val="left" w:pos="0"/>
        </w:tabs>
        <w:spacing w:after="240"/>
        <w:ind w:left="0" w:firstLine="0"/>
        <w:jc w:val="both"/>
        <w:rPr>
          <w:lang w:val="es-ES_tradnl"/>
        </w:rPr>
      </w:pPr>
      <w:r w:rsidRPr="00A2315B">
        <w:rPr>
          <w:lang w:val="es-ES_tradnl"/>
        </w:rPr>
        <w:lastRenderedPageBreak/>
        <w:t>Al 30 de octubre de 20</w:t>
      </w:r>
      <w:r w:rsidR="00B72790" w:rsidRPr="00A2315B">
        <w:rPr>
          <w:lang w:val="es-ES_tradnl"/>
        </w:rPr>
        <w:t>20</w:t>
      </w:r>
      <w:r w:rsidRPr="00A2315B">
        <w:rPr>
          <w:lang w:val="es-ES_tradnl"/>
        </w:rPr>
        <w:t>, el saldo de fondos asciende a 324 044 205 $EUA en efectivo tras tener en cuenta todos los fondos aprobados por el Comité Ejecutivo hasta la 85ª reunión inclusive.</w:t>
      </w:r>
    </w:p>
    <w:p w14:paraId="44F76F64" w14:textId="1E4DC221" w:rsidR="00F6690D" w:rsidRPr="00A2315B" w:rsidRDefault="00A47DF0" w:rsidP="00F6690D">
      <w:pPr>
        <w:pStyle w:val="0Heading0"/>
        <w:numPr>
          <w:ilvl w:val="0"/>
          <w:numId w:val="22"/>
        </w:numPr>
        <w:spacing w:after="240"/>
        <w:ind w:left="0" w:firstLine="0"/>
        <w:jc w:val="both"/>
        <w:rPr>
          <w:lang w:val="es-ES_tradnl"/>
        </w:rPr>
      </w:pPr>
      <w:r w:rsidRPr="00A2315B">
        <w:rPr>
          <w:lang w:val="es-ES_tradnl"/>
        </w:rPr>
        <w:t>Cuarenta Partes han abonado total o parcialmente sus contribuciones de 2020, lo que representa el 96,2 </w:t>
      </w:r>
      <w:r w:rsidR="00384548">
        <w:rPr>
          <w:lang w:val="es-ES_tradnl"/>
        </w:rPr>
        <w:t>por ciento</w:t>
      </w:r>
      <w:r w:rsidRPr="00A2315B">
        <w:rPr>
          <w:lang w:val="es-ES_tradnl"/>
        </w:rPr>
        <w:t xml:space="preserve"> de pagos con respecto a todas las promesas de 2020, y el 97,2 </w:t>
      </w:r>
      <w:r w:rsidR="00384548">
        <w:rPr>
          <w:lang w:val="es-ES_tradnl"/>
        </w:rPr>
        <w:t>por ciento</w:t>
      </w:r>
      <w:r w:rsidRPr="00A2315B">
        <w:rPr>
          <w:lang w:val="es-ES_tradnl"/>
        </w:rPr>
        <w:t xml:space="preserve"> de las promesas del trienio</w:t>
      </w:r>
      <w:r w:rsidR="00F6690D" w:rsidRPr="00A2315B">
        <w:rPr>
          <w:rStyle w:val="FootnoteReference"/>
          <w:lang w:val="es-ES_tradnl"/>
        </w:rPr>
        <w:footnoteReference w:id="3"/>
      </w:r>
      <w:r w:rsidRPr="00A2315B">
        <w:rPr>
          <w:lang w:val="es-ES_tradnl"/>
        </w:rPr>
        <w:t>.</w:t>
      </w:r>
    </w:p>
    <w:p w14:paraId="286B0FE7" w14:textId="0C42A2F9" w:rsidR="00A47DF0" w:rsidRPr="00A2315B" w:rsidRDefault="00B72790" w:rsidP="00F8004F">
      <w:pPr>
        <w:pStyle w:val="0Heading0"/>
        <w:numPr>
          <w:ilvl w:val="0"/>
          <w:numId w:val="22"/>
        </w:numPr>
        <w:tabs>
          <w:tab w:val="left" w:pos="709"/>
        </w:tabs>
        <w:spacing w:after="240"/>
        <w:ind w:left="0" w:firstLine="0"/>
        <w:jc w:val="both"/>
        <w:rPr>
          <w:lang w:val="es-ES_tradnl"/>
        </w:rPr>
      </w:pPr>
      <w:r w:rsidRPr="00A2315B">
        <w:rPr>
          <w:lang w:val="es-ES_tradnl"/>
        </w:rPr>
        <w:t>La i</w:t>
      </w:r>
      <w:r w:rsidR="00A47DF0" w:rsidRPr="00A2315B">
        <w:rPr>
          <w:lang w:val="es-ES_tradnl"/>
        </w:rPr>
        <w:t xml:space="preserve">nformación sobre el mecanismo de tipos de cambio fijos </w:t>
      </w:r>
      <w:r w:rsidR="00F6690D" w:rsidRPr="00A2315B">
        <w:rPr>
          <w:lang w:val="es-ES_tradnl" w:bidi="hi-IN"/>
        </w:rPr>
        <w:t>(FERM)</w:t>
      </w:r>
      <w:r w:rsidR="00F6690D" w:rsidRPr="00A2315B">
        <w:rPr>
          <w:rStyle w:val="FootnoteReference"/>
          <w:lang w:val="es-ES_tradnl" w:bidi="hi-IN"/>
        </w:rPr>
        <w:footnoteReference w:id="4"/>
      </w:r>
      <w:r w:rsidR="00A47DF0" w:rsidRPr="00A2315B">
        <w:rPr>
          <w:lang w:val="es-ES_tradnl" w:bidi="hi-IN"/>
        </w:rPr>
        <w:t xml:space="preserve"> </w:t>
      </w:r>
      <w:r w:rsidR="00A47DF0" w:rsidRPr="00A2315B">
        <w:rPr>
          <w:lang w:val="es-ES_tradnl"/>
        </w:rPr>
        <w:t xml:space="preserve">se ha actualizado y refleja una pérdida debida al FERM de </w:t>
      </w:r>
      <w:r w:rsidR="00A47DF0" w:rsidRPr="00A2315B">
        <w:rPr>
          <w:bCs/>
          <w:lang w:val="es-ES_tradnl"/>
        </w:rPr>
        <w:t xml:space="preserve">30 221 227 </w:t>
      </w:r>
      <w:r w:rsidR="00A47DF0" w:rsidRPr="00A2315B">
        <w:rPr>
          <w:lang w:val="es-ES_tradnl"/>
        </w:rPr>
        <w:t xml:space="preserve">$EUA desde sus inicios, que es inferior a los </w:t>
      </w:r>
      <w:r w:rsidR="00A47DF0" w:rsidRPr="00A2315B">
        <w:rPr>
          <w:bCs/>
          <w:lang w:val="es-ES_tradnl"/>
        </w:rPr>
        <w:t xml:space="preserve">32 842 029 </w:t>
      </w:r>
      <w:r w:rsidR="00A47DF0" w:rsidRPr="00A2315B">
        <w:rPr>
          <w:lang w:val="es-ES_tradnl"/>
        </w:rPr>
        <w:t>$EUA que se comunicaron en la 85ª reunión.</w:t>
      </w:r>
    </w:p>
    <w:p w14:paraId="1E528E96" w14:textId="15E0B34A" w:rsidR="00F6690D" w:rsidRPr="00A2315B" w:rsidRDefault="00092E17" w:rsidP="00F6690D">
      <w:pPr>
        <w:autoSpaceDE w:val="0"/>
        <w:autoSpaceDN w:val="0"/>
        <w:adjustRightInd w:val="0"/>
        <w:rPr>
          <w:b/>
          <w:bCs/>
          <w:lang w:val="es-ES_tradnl" w:bidi="hi-IN"/>
        </w:rPr>
      </w:pPr>
      <w:r w:rsidRPr="00A2315B">
        <w:rPr>
          <w:b/>
          <w:bCs/>
          <w:lang w:val="es-ES_tradnl" w:bidi="hi-IN"/>
        </w:rPr>
        <w:t>Medidas sobre contribuciones pendientes</w:t>
      </w:r>
    </w:p>
    <w:p w14:paraId="6034C41E" w14:textId="77777777" w:rsidR="00F6690D" w:rsidRPr="00A2315B" w:rsidRDefault="00F6690D" w:rsidP="00F6690D">
      <w:pPr>
        <w:autoSpaceDE w:val="0"/>
        <w:autoSpaceDN w:val="0"/>
        <w:adjustRightInd w:val="0"/>
        <w:rPr>
          <w:b/>
          <w:bCs/>
          <w:lang w:val="es-ES_tradnl" w:bidi="hi-IN"/>
        </w:rPr>
      </w:pPr>
    </w:p>
    <w:p w14:paraId="6354A982" w14:textId="43755CD8" w:rsidR="00F6690D" w:rsidRPr="00A2315B" w:rsidRDefault="00F8004F" w:rsidP="00F6690D">
      <w:pPr>
        <w:pStyle w:val="ListParagraph"/>
        <w:numPr>
          <w:ilvl w:val="0"/>
          <w:numId w:val="22"/>
        </w:numPr>
        <w:autoSpaceDE w:val="0"/>
        <w:autoSpaceDN w:val="0"/>
        <w:adjustRightInd w:val="0"/>
        <w:spacing w:after="240"/>
        <w:ind w:left="0" w:firstLine="0"/>
        <w:rPr>
          <w:lang w:val="es-ES_tradnl" w:bidi="hi-IN"/>
        </w:rPr>
      </w:pPr>
      <w:r w:rsidRPr="00A2315B">
        <w:rPr>
          <w:lang w:val="es-ES_tradnl"/>
        </w:rPr>
        <w:t>En enero y a finales de octubre de 2020, el Tesorero envió facturas a todas las Partes que no operan al amparo del Artículo 5 para sus contribuciones de 2020 al Fondo, así como recordatorios a las partes con promesas pendientes</w:t>
      </w:r>
      <w:r w:rsidR="00F6690D" w:rsidRPr="00A2315B">
        <w:rPr>
          <w:rStyle w:val="FootnoteReference"/>
          <w:lang w:val="es-ES_tradnl"/>
        </w:rPr>
        <w:footnoteReference w:id="5"/>
      </w:r>
      <w:r w:rsidRPr="00A2315B">
        <w:rPr>
          <w:lang w:val="es-ES_tradnl"/>
        </w:rPr>
        <w:t>, cuando proceda</w:t>
      </w:r>
      <w:r w:rsidR="00F6690D" w:rsidRPr="00A2315B">
        <w:rPr>
          <w:lang w:val="es-ES_tradnl"/>
        </w:rPr>
        <w:t>.</w:t>
      </w:r>
      <w:r w:rsidRPr="00A2315B">
        <w:rPr>
          <w:lang w:val="es-ES_tradnl"/>
        </w:rPr>
        <w:t xml:space="preserve"> </w:t>
      </w:r>
    </w:p>
    <w:p w14:paraId="41F7CEAC" w14:textId="4DC1220B" w:rsidR="00F6690D" w:rsidRPr="00A2315B" w:rsidRDefault="00F8004F" w:rsidP="00F6690D">
      <w:pPr>
        <w:pStyle w:val="Heading1"/>
        <w:numPr>
          <w:ilvl w:val="0"/>
          <w:numId w:val="22"/>
        </w:numPr>
        <w:ind w:left="0" w:firstLine="0"/>
        <w:rPr>
          <w:lang w:val="es-ES_tradnl" w:bidi="hi-IN"/>
        </w:rPr>
      </w:pPr>
      <w:r w:rsidRPr="00A2315B">
        <w:rPr>
          <w:lang w:val="es-ES_tradnl"/>
        </w:rPr>
        <w:t xml:space="preserve">Como seguimiento al párrafo </w:t>
      </w:r>
      <w:r w:rsidR="00F6690D" w:rsidRPr="00A2315B">
        <w:rPr>
          <w:lang w:val="es-ES_tradnl" w:bidi="hi-IN"/>
        </w:rPr>
        <w:t>6</w:t>
      </w:r>
      <w:r w:rsidRPr="00A2315B">
        <w:rPr>
          <w:lang w:val="es-ES_tradnl" w:bidi="hi-IN"/>
        </w:rPr>
        <w:t> </w:t>
      </w:r>
      <w:r w:rsidR="00F6690D" w:rsidRPr="00A2315B">
        <w:rPr>
          <w:lang w:val="es-ES_tradnl" w:bidi="hi-IN"/>
        </w:rPr>
        <w:t xml:space="preserve">c) </w:t>
      </w:r>
      <w:r w:rsidRPr="00A2315B">
        <w:rPr>
          <w:lang w:val="es-ES_tradnl" w:bidi="hi-IN"/>
        </w:rPr>
        <w:t xml:space="preserve">del documento </w:t>
      </w:r>
      <w:r w:rsidR="00F6690D" w:rsidRPr="00A2315B">
        <w:rPr>
          <w:lang w:val="es-ES_tradnl" w:bidi="hi-IN"/>
        </w:rPr>
        <w:t>UNEP/OzL.Pro/ExCom/85/3</w:t>
      </w:r>
      <w:r w:rsidR="00F6690D" w:rsidRPr="00A2315B">
        <w:rPr>
          <w:rStyle w:val="FootnoteReference"/>
          <w:lang w:val="es-ES_tradnl" w:bidi="hi-IN"/>
        </w:rPr>
        <w:footnoteReference w:id="6"/>
      </w:r>
      <w:r w:rsidRPr="00A2315B">
        <w:rPr>
          <w:lang w:val="es-ES_tradnl" w:bidi="hi-IN"/>
        </w:rPr>
        <w:t xml:space="preserve">, el Director celebró una reunión virtual con el Gobierno de Israel para seguir examinando sus contribuciones pendientes y explicar la opción de cooperación bilateral </w:t>
      </w:r>
      <w:r w:rsidR="00B72790" w:rsidRPr="00A2315B">
        <w:rPr>
          <w:lang w:val="es-ES_tradnl" w:bidi="hi-IN"/>
        </w:rPr>
        <w:t xml:space="preserve">a disposición, </w:t>
      </w:r>
      <w:r w:rsidRPr="00A2315B">
        <w:rPr>
          <w:lang w:val="es-ES_tradnl" w:bidi="hi-IN"/>
        </w:rPr>
        <w:t>en virtud del Fondo</w:t>
      </w:r>
      <w:r w:rsidR="00B72790" w:rsidRPr="00A2315B">
        <w:rPr>
          <w:lang w:val="es-ES_tradnl" w:bidi="hi-IN"/>
        </w:rPr>
        <w:t xml:space="preserve">, de </w:t>
      </w:r>
      <w:r w:rsidRPr="00A2315B">
        <w:rPr>
          <w:lang w:val="es-ES_tradnl" w:bidi="hi-IN"/>
        </w:rPr>
        <w:t xml:space="preserve">las Partes contribuyentes para </w:t>
      </w:r>
      <w:r w:rsidR="00FA1CB9" w:rsidRPr="00A2315B">
        <w:rPr>
          <w:lang w:val="es-ES_tradnl" w:bidi="hi-IN"/>
        </w:rPr>
        <w:t>abonar sus contribuciones</w:t>
      </w:r>
      <w:r w:rsidR="00F6690D" w:rsidRPr="00A2315B">
        <w:rPr>
          <w:lang w:val="es-ES_tradnl" w:bidi="hi-IN"/>
        </w:rPr>
        <w:t xml:space="preserve">. </w:t>
      </w:r>
      <w:r w:rsidR="00FA1CB9" w:rsidRPr="00A2315B">
        <w:rPr>
          <w:lang w:val="es-ES_tradnl" w:bidi="hi-IN"/>
        </w:rPr>
        <w:t xml:space="preserve">La Secretaría ofreció una sesión de seguimiento para explicar la metodología y los supuestos utilizados por el Tesorero para </w:t>
      </w:r>
      <w:r w:rsidR="0059480F" w:rsidRPr="00A2315B">
        <w:rPr>
          <w:lang w:val="es-ES_tradnl" w:bidi="hi-IN"/>
        </w:rPr>
        <w:t xml:space="preserve">registrar </w:t>
      </w:r>
      <w:r w:rsidR="00FA1CB9" w:rsidRPr="00A2315B">
        <w:rPr>
          <w:lang w:val="es-ES_tradnl" w:bidi="hi-IN"/>
        </w:rPr>
        <w:t>las contribuciones evaluadas y bilaterales</w:t>
      </w:r>
      <w:r w:rsidR="00F6690D" w:rsidRPr="00A2315B">
        <w:rPr>
          <w:lang w:val="es-ES_tradnl" w:bidi="hi-IN"/>
        </w:rPr>
        <w:t xml:space="preserve">. </w:t>
      </w:r>
    </w:p>
    <w:p w14:paraId="5AC06C48" w14:textId="06D60131" w:rsidR="00F6690D" w:rsidRPr="00A2315B" w:rsidRDefault="00092E17" w:rsidP="00F6690D">
      <w:pPr>
        <w:pStyle w:val="0Heading0"/>
        <w:spacing w:after="240"/>
        <w:jc w:val="both"/>
        <w:rPr>
          <w:b/>
          <w:lang w:val="es-ES_tradnl"/>
        </w:rPr>
      </w:pPr>
      <w:r w:rsidRPr="00A2315B">
        <w:rPr>
          <w:b/>
          <w:lang w:val="es-ES_tradnl"/>
        </w:rPr>
        <w:t xml:space="preserve">Reconciliación de los registros de contribución bilaterales </w:t>
      </w:r>
    </w:p>
    <w:p w14:paraId="2306F128" w14:textId="207B04D5" w:rsidR="00F6690D" w:rsidRPr="00A2315B" w:rsidRDefault="0059480F" w:rsidP="00F6690D">
      <w:pPr>
        <w:pStyle w:val="0Heading0"/>
        <w:numPr>
          <w:ilvl w:val="0"/>
          <w:numId w:val="22"/>
        </w:numPr>
        <w:autoSpaceDE w:val="0"/>
        <w:autoSpaceDN w:val="0"/>
        <w:adjustRightInd w:val="0"/>
        <w:spacing w:after="240"/>
        <w:ind w:left="0" w:firstLine="0"/>
        <w:jc w:val="both"/>
        <w:rPr>
          <w:b/>
          <w:bCs/>
          <w:lang w:val="es-ES_tradnl" w:bidi="hi-IN"/>
        </w:rPr>
      </w:pPr>
      <w:r w:rsidRPr="00A2315B">
        <w:rPr>
          <w:lang w:val="es-ES_tradnl"/>
        </w:rPr>
        <w:t>El Tesorero y la Secretaría están examinando los montos de financiación de las contribuciones bilaterales registradas en el estado del Fondo con las del inventario de la Secretaría de los proyectos aprobados</w:t>
      </w:r>
      <w:r w:rsidR="00F6690D" w:rsidRPr="00A2315B">
        <w:rPr>
          <w:lang w:val="es-ES_tradnl"/>
        </w:rPr>
        <w:t xml:space="preserve">, </w:t>
      </w:r>
      <w:r w:rsidRPr="00A2315B">
        <w:rPr>
          <w:lang w:val="es-ES_tradnl"/>
        </w:rPr>
        <w:t>dado que los saldos de los proyectos terminados y cancelados en el marco de la cooperación bilateral se devolvieron años después de que el proyecto había sido aprobado</w:t>
      </w:r>
      <w:r w:rsidR="00F6690D" w:rsidRPr="00A2315B">
        <w:rPr>
          <w:lang w:val="es-ES_tradnl"/>
        </w:rPr>
        <w:t xml:space="preserve">. </w:t>
      </w:r>
      <w:r w:rsidRPr="00A2315B">
        <w:rPr>
          <w:lang w:val="es-ES_tradnl"/>
        </w:rPr>
        <w:t>Durante dicho proceso, el Tesorero examinó detenidamente las facturas enviadas a las Partes contribuyentes bilaterales, las cantidades reales abonadas (en efectivo) al Fondo</w:t>
      </w:r>
      <w:r w:rsidR="00F6690D" w:rsidRPr="00A2315B">
        <w:rPr>
          <w:lang w:val="es-ES_tradnl"/>
        </w:rPr>
        <w:t xml:space="preserve">, </w:t>
      </w:r>
      <w:r w:rsidRPr="00A2315B">
        <w:rPr>
          <w:lang w:val="es-ES_tradnl"/>
        </w:rPr>
        <w:t>y la cantidad real neta abonada como contribución bilateral (después de examinar los saldos devueltos</w:t>
      </w:r>
      <w:r w:rsidR="00F6690D" w:rsidRPr="00A2315B">
        <w:rPr>
          <w:lang w:val="es-ES_tradnl"/>
        </w:rPr>
        <w:t xml:space="preserve">). </w:t>
      </w:r>
      <w:r w:rsidR="00B72790" w:rsidRPr="00A2315B">
        <w:rPr>
          <w:lang w:val="es-ES_tradnl"/>
        </w:rPr>
        <w:t>Por este motivo</w:t>
      </w:r>
      <w:r w:rsidRPr="00A2315B">
        <w:rPr>
          <w:lang w:val="es-ES_tradnl"/>
        </w:rPr>
        <w:t xml:space="preserve">, se han hecho ajustes al estado de las contribuciones y desembolsos que constan en el presente documento para </w:t>
      </w:r>
      <w:r w:rsidR="00B72790" w:rsidRPr="00A2315B">
        <w:rPr>
          <w:lang w:val="es-ES_tradnl"/>
        </w:rPr>
        <w:t>alguno</w:t>
      </w:r>
      <w:r w:rsidRPr="00A2315B">
        <w:rPr>
          <w:lang w:val="es-ES_tradnl"/>
        </w:rPr>
        <w:t xml:space="preserve">s países que no operan al amparo del </w:t>
      </w:r>
      <w:r w:rsidR="00535204" w:rsidRPr="00A2315B">
        <w:rPr>
          <w:lang w:val="es-ES_tradnl"/>
        </w:rPr>
        <w:t>a</w:t>
      </w:r>
      <w:r w:rsidRPr="00A2315B">
        <w:rPr>
          <w:lang w:val="es-ES_tradnl"/>
        </w:rPr>
        <w:t>rtículo 5</w:t>
      </w:r>
      <w:r w:rsidR="00F6690D" w:rsidRPr="00A2315B">
        <w:rPr>
          <w:rStyle w:val="FootnoteReference"/>
          <w:lang w:val="es-ES_tradnl"/>
        </w:rPr>
        <w:footnoteReference w:id="7"/>
      </w:r>
      <w:r w:rsidR="00F6690D" w:rsidRPr="00A2315B">
        <w:rPr>
          <w:lang w:val="es-ES_tradnl"/>
        </w:rPr>
        <w:t xml:space="preserve"> </w:t>
      </w:r>
      <w:r w:rsidRPr="00A2315B">
        <w:rPr>
          <w:lang w:val="es-ES_tradnl"/>
        </w:rPr>
        <w:t>que tradicionalmente abonan su pago en forma íntegra al Fondo y posteriormente solicitan los servicios del Tesorero para hacer una transferencia en efe</w:t>
      </w:r>
      <w:r w:rsidR="00535204" w:rsidRPr="00A2315B">
        <w:rPr>
          <w:lang w:val="es-ES_tradnl"/>
        </w:rPr>
        <w:t>ctivo por la cantidad de su contribución bilateral a uno de los organismos de ejecución que llevará a cabo el proyecto en su nombre</w:t>
      </w:r>
      <w:r w:rsidR="00F6690D" w:rsidRPr="00A2315B">
        <w:rPr>
          <w:lang w:val="es-ES_tradnl"/>
        </w:rPr>
        <w:t xml:space="preserve">. </w:t>
      </w:r>
      <w:r w:rsidR="00535204" w:rsidRPr="00A2315B">
        <w:rPr>
          <w:lang w:val="es-ES_tradnl"/>
        </w:rPr>
        <w:t>El ajuste realizado por el Tesorero no afect</w:t>
      </w:r>
      <w:r w:rsidR="00B72790" w:rsidRPr="00A2315B">
        <w:rPr>
          <w:lang w:val="es-ES_tradnl"/>
        </w:rPr>
        <w:t>ó</w:t>
      </w:r>
      <w:r w:rsidR="00535204" w:rsidRPr="00A2315B">
        <w:rPr>
          <w:lang w:val="es-ES_tradnl"/>
        </w:rPr>
        <w:t xml:space="preserve"> a la contribución neta de los países que no operan al amparo del artículo 5 pertinentes</w:t>
      </w:r>
      <w:r w:rsidR="00F6690D" w:rsidRPr="00A2315B">
        <w:rPr>
          <w:lang w:val="es-ES_tradnl"/>
        </w:rPr>
        <w:t xml:space="preserve">; </w:t>
      </w:r>
      <w:r w:rsidR="00535204" w:rsidRPr="00A2315B">
        <w:rPr>
          <w:lang w:val="es-ES_tradnl"/>
        </w:rPr>
        <w:t xml:space="preserve">sin embargo, </w:t>
      </w:r>
      <w:r w:rsidR="00B72790" w:rsidRPr="00A2315B">
        <w:rPr>
          <w:lang w:val="es-ES_tradnl"/>
        </w:rPr>
        <w:t xml:space="preserve">dio lugar a una </w:t>
      </w:r>
      <w:r w:rsidR="00535204" w:rsidRPr="00A2315B">
        <w:rPr>
          <w:lang w:val="es-ES_tradnl"/>
        </w:rPr>
        <w:t xml:space="preserve">contribución adicional en efectivo al Fondo y </w:t>
      </w:r>
      <w:r w:rsidR="00B72790" w:rsidRPr="00A2315B">
        <w:rPr>
          <w:lang w:val="es-ES_tradnl"/>
        </w:rPr>
        <w:t xml:space="preserve">a </w:t>
      </w:r>
      <w:r w:rsidR="00535204" w:rsidRPr="00A2315B">
        <w:rPr>
          <w:lang w:val="es-ES_tradnl"/>
        </w:rPr>
        <w:t>una reducción (en la misma cantidad) de las contribuciones bilaterales</w:t>
      </w:r>
      <w:r w:rsidR="00F6690D" w:rsidRPr="00A2315B">
        <w:rPr>
          <w:lang w:val="es-ES_tradnl"/>
        </w:rPr>
        <w:t xml:space="preserve">. </w:t>
      </w:r>
      <w:r w:rsidR="00B72790" w:rsidRPr="00A2315B">
        <w:rPr>
          <w:lang w:val="es-ES_tradnl"/>
        </w:rPr>
        <w:t xml:space="preserve">A </w:t>
      </w:r>
      <w:r w:rsidR="00535204" w:rsidRPr="00A2315B">
        <w:rPr>
          <w:lang w:val="es-ES_tradnl"/>
        </w:rPr>
        <w:t xml:space="preserve">la fecha de publicación del presente documento, no se pudo </w:t>
      </w:r>
      <w:r w:rsidR="00535204" w:rsidRPr="00A2315B">
        <w:rPr>
          <w:lang w:val="es-ES_tradnl"/>
        </w:rPr>
        <w:lastRenderedPageBreak/>
        <w:t>concluir el examen de otras Partes</w:t>
      </w:r>
      <w:r w:rsidR="00F6690D" w:rsidRPr="00A2315B">
        <w:rPr>
          <w:rStyle w:val="FootnoteReference"/>
          <w:lang w:val="es-ES_tradnl"/>
        </w:rPr>
        <w:footnoteReference w:id="8"/>
      </w:r>
      <w:r w:rsidR="00F6690D" w:rsidRPr="00A2315B">
        <w:rPr>
          <w:lang w:val="es-ES_tradnl"/>
        </w:rPr>
        <w:t xml:space="preserve">. </w:t>
      </w:r>
      <w:r w:rsidR="00535204" w:rsidRPr="00A2315B">
        <w:rPr>
          <w:lang w:val="es-ES_tradnl"/>
        </w:rPr>
        <w:t>Por tanto, el Tesorero informará al Comité Ejecutivo los resultados del examen cuando este se concluya</w:t>
      </w:r>
      <w:r w:rsidR="00F6690D" w:rsidRPr="00A2315B">
        <w:rPr>
          <w:lang w:val="es-ES_tradnl"/>
        </w:rPr>
        <w:t xml:space="preserve">. </w:t>
      </w:r>
    </w:p>
    <w:p w14:paraId="44F25AA7" w14:textId="1B6E74E6" w:rsidR="00F6690D" w:rsidRPr="00A2315B" w:rsidRDefault="00F6690D" w:rsidP="00F6690D">
      <w:pPr>
        <w:pStyle w:val="0Heading0"/>
        <w:autoSpaceDE w:val="0"/>
        <w:autoSpaceDN w:val="0"/>
        <w:adjustRightInd w:val="0"/>
        <w:spacing w:after="240"/>
        <w:jc w:val="both"/>
        <w:rPr>
          <w:b/>
          <w:bCs/>
          <w:lang w:val="es-ES_tradnl" w:bidi="hi-IN"/>
        </w:rPr>
      </w:pPr>
      <w:r w:rsidRPr="00A2315B">
        <w:rPr>
          <w:b/>
          <w:bCs/>
          <w:lang w:val="es-ES_tradnl" w:bidi="hi-IN"/>
        </w:rPr>
        <w:t>Recom</w:t>
      </w:r>
      <w:r w:rsidR="00AF47D6" w:rsidRPr="00A2315B">
        <w:rPr>
          <w:b/>
          <w:bCs/>
          <w:lang w:val="es-ES_tradnl" w:bidi="hi-IN"/>
        </w:rPr>
        <w:t>endaciones</w:t>
      </w:r>
    </w:p>
    <w:p w14:paraId="208C9791" w14:textId="4417563A" w:rsidR="00F6690D" w:rsidRPr="00A2315B" w:rsidRDefault="00A517BA" w:rsidP="00F6690D">
      <w:pPr>
        <w:pStyle w:val="ListParagraph"/>
        <w:numPr>
          <w:ilvl w:val="0"/>
          <w:numId w:val="22"/>
        </w:numPr>
        <w:autoSpaceDE w:val="0"/>
        <w:autoSpaceDN w:val="0"/>
        <w:adjustRightInd w:val="0"/>
        <w:ind w:left="0" w:firstLine="0"/>
        <w:rPr>
          <w:sz w:val="20"/>
          <w:szCs w:val="20"/>
          <w:lang w:val="es-ES_tradnl" w:bidi="hi-IN"/>
        </w:rPr>
      </w:pPr>
      <w:r w:rsidRPr="00A2315B">
        <w:rPr>
          <w:lang w:val="es-ES_tradnl"/>
        </w:rPr>
        <w:t>El Comité Ejecutivo puede estimar oportuno</w:t>
      </w:r>
      <w:r w:rsidR="00F6690D" w:rsidRPr="00A2315B">
        <w:rPr>
          <w:lang w:val="es-ES_tradnl" w:bidi="hi-IN"/>
        </w:rPr>
        <w:t>:</w:t>
      </w:r>
    </w:p>
    <w:p w14:paraId="4C9F5E35" w14:textId="77777777" w:rsidR="00F6690D" w:rsidRPr="00A2315B" w:rsidRDefault="00F6690D" w:rsidP="00F6690D">
      <w:pPr>
        <w:autoSpaceDE w:val="0"/>
        <w:autoSpaceDN w:val="0"/>
        <w:adjustRightInd w:val="0"/>
        <w:rPr>
          <w:lang w:val="es-ES_tradnl" w:bidi="hi-IN"/>
        </w:rPr>
      </w:pPr>
    </w:p>
    <w:p w14:paraId="18EDEA80" w14:textId="1C2B6B9F" w:rsidR="00F6690D" w:rsidRPr="00A2315B" w:rsidRDefault="00A517BA" w:rsidP="00F6690D">
      <w:pPr>
        <w:pStyle w:val="ListParagraph"/>
        <w:numPr>
          <w:ilvl w:val="0"/>
          <w:numId w:val="23"/>
        </w:numPr>
        <w:autoSpaceDE w:val="0"/>
        <w:autoSpaceDN w:val="0"/>
        <w:adjustRightInd w:val="0"/>
        <w:ind w:left="1418" w:hanging="698"/>
        <w:rPr>
          <w:lang w:val="es-ES_tradnl" w:bidi="hi-IN"/>
        </w:rPr>
      </w:pPr>
      <w:r w:rsidRPr="00A2315B">
        <w:rPr>
          <w:lang w:val="es-ES_tradnl"/>
        </w:rPr>
        <w:t>Tomar nota del informe del Tesorero sobre la situación de las contribuciones y los desembolsos, según figura en el Anexo I del presente documento</w:t>
      </w:r>
      <w:r w:rsidR="00F6690D" w:rsidRPr="00A2315B">
        <w:rPr>
          <w:lang w:val="es-ES_tradnl" w:bidi="hi-IN"/>
        </w:rPr>
        <w:t>;</w:t>
      </w:r>
    </w:p>
    <w:p w14:paraId="7A4A02C5" w14:textId="77777777" w:rsidR="00F6690D" w:rsidRPr="00A2315B" w:rsidRDefault="00F6690D" w:rsidP="00F6690D">
      <w:pPr>
        <w:pStyle w:val="ListParagraph"/>
        <w:autoSpaceDE w:val="0"/>
        <w:autoSpaceDN w:val="0"/>
        <w:adjustRightInd w:val="0"/>
        <w:ind w:left="1418"/>
        <w:rPr>
          <w:lang w:val="es-ES_tradnl" w:bidi="hi-IN"/>
        </w:rPr>
      </w:pPr>
    </w:p>
    <w:p w14:paraId="04592A58" w14:textId="725ECA2B" w:rsidR="00F6690D" w:rsidRPr="00A2315B" w:rsidRDefault="00A517BA" w:rsidP="00F6690D">
      <w:pPr>
        <w:pStyle w:val="ListParagraph"/>
        <w:numPr>
          <w:ilvl w:val="0"/>
          <w:numId w:val="23"/>
        </w:numPr>
        <w:autoSpaceDE w:val="0"/>
        <w:autoSpaceDN w:val="0"/>
        <w:adjustRightInd w:val="0"/>
        <w:ind w:left="1418" w:hanging="709"/>
        <w:rPr>
          <w:lang w:val="es-ES_tradnl" w:bidi="hi-IN"/>
        </w:rPr>
      </w:pPr>
      <w:r w:rsidRPr="00A2315B">
        <w:rPr>
          <w:lang w:val="es-ES_tradnl"/>
        </w:rPr>
        <w:t>Instar a todas las Partes a pagar sus contribuciones al Fondo Multilateral íntegramente y lo antes posible</w:t>
      </w:r>
      <w:r w:rsidR="00F6690D" w:rsidRPr="00A2315B">
        <w:rPr>
          <w:lang w:val="es-ES_tradnl" w:bidi="hi-IN"/>
        </w:rPr>
        <w:t>;</w:t>
      </w:r>
    </w:p>
    <w:p w14:paraId="6BBA1F4C" w14:textId="77777777" w:rsidR="00F6690D" w:rsidRPr="00A2315B" w:rsidRDefault="00F6690D" w:rsidP="00F6690D">
      <w:pPr>
        <w:autoSpaceDE w:val="0"/>
        <w:autoSpaceDN w:val="0"/>
        <w:adjustRightInd w:val="0"/>
        <w:ind w:left="720" w:firstLine="720"/>
        <w:rPr>
          <w:lang w:val="es-ES_tradnl" w:bidi="hi-IN"/>
        </w:rPr>
      </w:pPr>
    </w:p>
    <w:p w14:paraId="5E4FA2B0" w14:textId="50E42425" w:rsidR="00F6690D" w:rsidRPr="00A2315B" w:rsidRDefault="00D568B9" w:rsidP="00F6690D">
      <w:pPr>
        <w:pStyle w:val="ListParagraph"/>
        <w:numPr>
          <w:ilvl w:val="0"/>
          <w:numId w:val="23"/>
        </w:numPr>
        <w:autoSpaceDE w:val="0"/>
        <w:autoSpaceDN w:val="0"/>
        <w:adjustRightInd w:val="0"/>
        <w:ind w:left="1418" w:hanging="709"/>
        <w:rPr>
          <w:lang w:val="es-ES_tradnl" w:bidi="hi-IN"/>
        </w:rPr>
      </w:pPr>
      <w:r w:rsidRPr="00A2315B">
        <w:rPr>
          <w:lang w:val="es-ES_tradnl"/>
        </w:rPr>
        <w:t>Pedir al Director y al Tesorero que sigan en contacto con las Partes que tengan contribuciones pendientes de un trienio o más e informen al respecto en la 87ª reunión</w:t>
      </w:r>
      <w:r w:rsidR="00F6690D" w:rsidRPr="00A2315B">
        <w:rPr>
          <w:lang w:val="es-ES_tradnl" w:bidi="hi-IN"/>
        </w:rPr>
        <w:t>;</w:t>
      </w:r>
    </w:p>
    <w:p w14:paraId="30213259" w14:textId="77777777" w:rsidR="00F6690D" w:rsidRPr="00A2315B" w:rsidRDefault="00F6690D" w:rsidP="00F6690D">
      <w:pPr>
        <w:pStyle w:val="ListParagraph"/>
        <w:autoSpaceDE w:val="0"/>
        <w:autoSpaceDN w:val="0"/>
        <w:adjustRightInd w:val="0"/>
        <w:ind w:left="1418"/>
        <w:rPr>
          <w:lang w:val="es-ES_tradnl" w:bidi="hi-IN"/>
        </w:rPr>
      </w:pPr>
    </w:p>
    <w:p w14:paraId="04955634" w14:textId="62399C1D" w:rsidR="00F6690D" w:rsidRPr="00A2315B" w:rsidRDefault="00F6690D" w:rsidP="00F6690D">
      <w:pPr>
        <w:pStyle w:val="ListParagraph"/>
        <w:numPr>
          <w:ilvl w:val="0"/>
          <w:numId w:val="23"/>
        </w:numPr>
        <w:autoSpaceDE w:val="0"/>
        <w:autoSpaceDN w:val="0"/>
        <w:adjustRightInd w:val="0"/>
        <w:ind w:left="1418" w:hanging="698"/>
        <w:rPr>
          <w:lang w:val="es-ES_tradnl" w:bidi="hi-IN"/>
        </w:rPr>
      </w:pPr>
      <w:r w:rsidRPr="00A2315B">
        <w:rPr>
          <w:lang w:val="es-ES_tradnl" w:bidi="hi-IN"/>
        </w:rPr>
        <w:t>To</w:t>
      </w:r>
      <w:r w:rsidR="00D568B9" w:rsidRPr="00A2315B">
        <w:rPr>
          <w:lang w:val="es-ES_tradnl" w:bidi="hi-IN"/>
        </w:rPr>
        <w:t>mar nota de los ajustes a la contribución bilateral de Alemania, Japón, la República Checa y Suecia</w:t>
      </w:r>
      <w:r w:rsidRPr="00A2315B">
        <w:rPr>
          <w:lang w:val="es-ES_tradnl" w:bidi="hi-IN"/>
        </w:rPr>
        <w:t xml:space="preserve">, </w:t>
      </w:r>
      <w:r w:rsidR="00B72790" w:rsidRPr="00A2315B">
        <w:rPr>
          <w:lang w:val="es-ES_tradnl" w:bidi="hi-IN"/>
        </w:rPr>
        <w:t xml:space="preserve">como </w:t>
      </w:r>
      <w:r w:rsidR="00D568B9" w:rsidRPr="00A2315B">
        <w:rPr>
          <w:lang w:val="es-ES_tradnl" w:bidi="hi-IN"/>
        </w:rPr>
        <w:t>resultado de un ejercicio de reconciliación entre facturas, pagos y el inventario de la Secretaría de los proyectos aprobados</w:t>
      </w:r>
      <w:r w:rsidRPr="00A2315B">
        <w:rPr>
          <w:lang w:val="es-ES_tradnl" w:bidi="hi-IN"/>
        </w:rPr>
        <w:t xml:space="preserve">, </w:t>
      </w:r>
      <w:r w:rsidR="00D568B9" w:rsidRPr="00A2315B">
        <w:rPr>
          <w:lang w:val="es-ES_tradnl" w:bidi="hi-IN"/>
        </w:rPr>
        <w:t>incluido en el Anexo I del presente documento</w:t>
      </w:r>
      <w:r w:rsidRPr="00A2315B">
        <w:rPr>
          <w:lang w:val="es-ES_tradnl" w:bidi="hi-IN"/>
        </w:rPr>
        <w:t xml:space="preserve">; </w:t>
      </w:r>
      <w:r w:rsidR="00D568B9" w:rsidRPr="00A2315B">
        <w:rPr>
          <w:lang w:val="es-ES_tradnl" w:bidi="hi-IN"/>
        </w:rPr>
        <w:t>y</w:t>
      </w:r>
    </w:p>
    <w:p w14:paraId="7018C282" w14:textId="77777777" w:rsidR="00F6690D" w:rsidRPr="00A2315B" w:rsidRDefault="00F6690D" w:rsidP="00F6690D">
      <w:pPr>
        <w:pStyle w:val="ListParagraph"/>
        <w:ind w:left="1418"/>
        <w:rPr>
          <w:lang w:val="es-ES_tradnl" w:bidi="hi-IN"/>
        </w:rPr>
      </w:pPr>
    </w:p>
    <w:p w14:paraId="4F01C3B6" w14:textId="0EA0E6F1" w:rsidR="00F6690D" w:rsidRPr="00A2315B" w:rsidRDefault="00D568B9" w:rsidP="00D568B9">
      <w:pPr>
        <w:pStyle w:val="ListParagraph"/>
        <w:numPr>
          <w:ilvl w:val="0"/>
          <w:numId w:val="23"/>
        </w:numPr>
        <w:autoSpaceDE w:val="0"/>
        <w:autoSpaceDN w:val="0"/>
        <w:adjustRightInd w:val="0"/>
        <w:ind w:left="1440" w:hanging="731"/>
        <w:rPr>
          <w:lang w:val="es-ES_tradnl" w:bidi="hi-IN"/>
        </w:rPr>
      </w:pPr>
      <w:r w:rsidRPr="00A2315B">
        <w:rPr>
          <w:lang w:val="es-ES_tradnl" w:bidi="hi-IN"/>
        </w:rPr>
        <w:t>Solicitar al Tesorero</w:t>
      </w:r>
      <w:r w:rsidR="00B72790" w:rsidRPr="00A2315B">
        <w:rPr>
          <w:lang w:val="es-ES_tradnl" w:bidi="hi-IN"/>
        </w:rPr>
        <w:t xml:space="preserve"> que</w:t>
      </w:r>
      <w:r w:rsidRPr="00A2315B">
        <w:rPr>
          <w:lang w:val="es-ES_tradnl" w:bidi="hi-IN"/>
        </w:rPr>
        <w:t xml:space="preserve">, en cooperación con la Secretaría, </w:t>
      </w:r>
      <w:r w:rsidR="00B72790" w:rsidRPr="00A2315B">
        <w:rPr>
          <w:lang w:val="es-ES_tradnl" w:bidi="hi-IN"/>
        </w:rPr>
        <w:t>finalice</w:t>
      </w:r>
      <w:r w:rsidRPr="00A2315B">
        <w:rPr>
          <w:lang w:val="es-ES_tradnl" w:bidi="hi-IN"/>
        </w:rPr>
        <w:t xml:space="preserve"> el examen de los montos de la</w:t>
      </w:r>
      <w:r w:rsidR="00B72790" w:rsidRPr="00A2315B">
        <w:rPr>
          <w:lang w:val="es-ES_tradnl" w:bidi="hi-IN"/>
        </w:rPr>
        <w:t>s</w:t>
      </w:r>
      <w:r w:rsidRPr="00A2315B">
        <w:rPr>
          <w:lang w:val="es-ES_tradnl" w:bidi="hi-IN"/>
        </w:rPr>
        <w:t xml:space="preserve"> contribuci</w:t>
      </w:r>
      <w:r w:rsidR="00B72790" w:rsidRPr="00A2315B">
        <w:rPr>
          <w:lang w:val="es-ES_tradnl" w:bidi="hi-IN"/>
        </w:rPr>
        <w:t>ones</w:t>
      </w:r>
      <w:r w:rsidRPr="00A2315B">
        <w:rPr>
          <w:lang w:val="es-ES_tradnl" w:bidi="hi-IN"/>
        </w:rPr>
        <w:t xml:space="preserve"> bilateral</w:t>
      </w:r>
      <w:r w:rsidR="00B72790" w:rsidRPr="00A2315B">
        <w:rPr>
          <w:lang w:val="es-ES_tradnl" w:bidi="hi-IN"/>
        </w:rPr>
        <w:t>es</w:t>
      </w:r>
      <w:r w:rsidRPr="00A2315B">
        <w:rPr>
          <w:lang w:val="es-ES_tradnl" w:bidi="hi-IN"/>
        </w:rPr>
        <w:t xml:space="preserve"> de Canadá, España, Finlandia, Francia y Portugal registradas en el Fondo, e informar al respecto a la 87ª reunión</w:t>
      </w:r>
      <w:r w:rsidR="00F6690D" w:rsidRPr="00A2315B">
        <w:rPr>
          <w:lang w:val="es-ES_tradnl" w:bidi="hi-IN"/>
        </w:rPr>
        <w:t>.</w:t>
      </w:r>
      <w:bookmarkEnd w:id="0"/>
    </w:p>
    <w:sectPr w:rsidR="00F6690D" w:rsidRPr="00A2315B" w:rsidSect="00C5230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3EC4B" w14:textId="77777777" w:rsidR="00596554" w:rsidRDefault="00596554">
      <w:r>
        <w:separator/>
      </w:r>
    </w:p>
  </w:endnote>
  <w:endnote w:type="continuationSeparator" w:id="0">
    <w:p w14:paraId="55F7DA64" w14:textId="77777777" w:rsidR="00596554" w:rsidRDefault="0059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25632"/>
      <w:docPartObj>
        <w:docPartGallery w:val="Page Numbers (Bottom of Page)"/>
        <w:docPartUnique/>
      </w:docPartObj>
    </w:sdtPr>
    <w:sdtEndPr>
      <w:rPr>
        <w:noProof/>
      </w:rPr>
    </w:sdtEndPr>
    <w:sdtContent>
      <w:p w14:paraId="52FA395B" w14:textId="2507534C" w:rsidR="009C5A1B" w:rsidRDefault="009C5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E0669" w14:textId="77777777" w:rsidR="00C5230C" w:rsidRPr="00C5230C" w:rsidRDefault="00C5230C" w:rsidP="00C5230C">
    <w:pPr>
      <w:pStyle w:val="Footer"/>
      <w:jc w:val="center"/>
      <w:rPr>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2103759308"/>
      <w:docPartObj>
        <w:docPartGallery w:val="Page Numbers (Bottom of Page)"/>
        <w:docPartUnique/>
      </w:docPartObj>
    </w:sdtPr>
    <w:sdtEndPr>
      <w:rPr>
        <w:noProof/>
      </w:rPr>
    </w:sdtEndPr>
    <w:sdtContent>
      <w:p w14:paraId="50E52CBF" w14:textId="21061D20" w:rsidR="009C5A1B" w:rsidRDefault="009C5A1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095DC22" w14:textId="77777777" w:rsidR="009C5A1B" w:rsidRDefault="009C5A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sdt>
        <w:sdtPr>
          <w:id w:val="-743173660"/>
          <w:docPartObj>
            <w:docPartGallery w:val="Page Numbers (Bottom of Page)"/>
            <w:docPartUnique/>
          </w:docPartObj>
        </w:sdtPr>
        <w:sdtEndPr>
          <w:rPr>
            <w:noProof/>
          </w:rPr>
        </w:sdtEndPr>
        <w:sdtContent>
          <w:p w14:paraId="5CFF5F9E" w14:textId="1ECD028A" w:rsidR="0087455A" w:rsidRPr="00384548" w:rsidRDefault="00C5230C" w:rsidP="00384548">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DAF9" w14:textId="77777777" w:rsidR="00596554" w:rsidRDefault="00596554">
      <w:r>
        <w:separator/>
      </w:r>
    </w:p>
  </w:footnote>
  <w:footnote w:type="continuationSeparator" w:id="0">
    <w:p w14:paraId="30B373A6" w14:textId="77777777" w:rsidR="00596554" w:rsidRDefault="00596554">
      <w:r>
        <w:continuationSeparator/>
      </w:r>
    </w:p>
  </w:footnote>
  <w:footnote w:id="1">
    <w:p w14:paraId="0B8CC47C" w14:textId="4FD5F762" w:rsidR="00F6690D" w:rsidRPr="00535204" w:rsidRDefault="00F6690D" w:rsidP="00F6690D">
      <w:pPr>
        <w:pStyle w:val="FootnoteText"/>
        <w:rPr>
          <w:lang w:val="es-ES_tradnl"/>
        </w:rPr>
      </w:pPr>
      <w:r>
        <w:rPr>
          <w:rStyle w:val="FootnoteReference"/>
        </w:rPr>
        <w:footnoteRef/>
      </w:r>
      <w:r w:rsidRPr="009C5A1B">
        <w:rPr>
          <w:lang w:val="es-AR"/>
        </w:rPr>
        <w:t xml:space="preserve"> </w:t>
      </w:r>
      <w:r w:rsidRPr="00535204">
        <w:rPr>
          <w:lang w:val="es-ES_tradnl"/>
        </w:rPr>
        <w:t>Debido al coronavirus (COVID-19)</w:t>
      </w:r>
    </w:p>
  </w:footnote>
  <w:footnote w:id="2">
    <w:p w14:paraId="2746E430" w14:textId="4B3C7CAE" w:rsidR="00A517BA" w:rsidRDefault="00A517BA" w:rsidP="00A517BA">
      <w:pPr>
        <w:pStyle w:val="FootnoteText"/>
        <w:rPr>
          <w:rtl/>
          <w:lang w:val="es-ES_tradnl"/>
        </w:rPr>
      </w:pPr>
      <w:r w:rsidRPr="00535204">
        <w:rPr>
          <w:rStyle w:val="FootnoteReference"/>
          <w:lang w:val="es-ES_tradnl"/>
        </w:rPr>
        <w:footnoteRef/>
      </w:r>
      <w:r w:rsidRPr="00535204">
        <w:rPr>
          <w:lang w:val="es-ES_tradnl"/>
        </w:rPr>
        <w:t xml:space="preserve"> El Comité Ejecutivo pidió que la explicación de la metodología y los supuestos utilizados por el Tesorero estén disponibles en la intranet (decisión 40/2 b) i)). Este registro de los supuestos y de la metodología publicados por primera vez en el documento del informe del Tesorero UNEP/OzL.Pro/ExCom/39/3/Rev.1 todavía está disponible para consulta de los miembros del Comité Ejecutivo en el área restringida del sitio web del Fondo Multilateral.</w:t>
      </w:r>
    </w:p>
    <w:p w14:paraId="6A87FB12" w14:textId="77777777" w:rsidR="009C5A1B" w:rsidRPr="00384548" w:rsidRDefault="009C5A1B" w:rsidP="00A517BA">
      <w:pPr>
        <w:pStyle w:val="FootnoteText"/>
        <w:rPr>
          <w:lang w:val="es-ES_tradnl"/>
        </w:rPr>
      </w:pPr>
    </w:p>
  </w:footnote>
  <w:footnote w:id="3">
    <w:p w14:paraId="5C075D81" w14:textId="12CD4DF0" w:rsidR="00F6690D" w:rsidRPr="00535204" w:rsidRDefault="00F6690D" w:rsidP="00F6690D">
      <w:pPr>
        <w:pStyle w:val="FootnoteText"/>
        <w:rPr>
          <w:lang w:val="es-ES_tradnl"/>
        </w:rPr>
      </w:pPr>
      <w:r w:rsidRPr="00535204">
        <w:rPr>
          <w:rStyle w:val="FootnoteReference"/>
          <w:lang w:val="es-ES_tradnl"/>
        </w:rPr>
        <w:footnoteRef/>
      </w:r>
      <w:r w:rsidRPr="00535204">
        <w:rPr>
          <w:lang w:val="es-ES_tradnl"/>
        </w:rPr>
        <w:t xml:space="preserve"> </w:t>
      </w:r>
      <w:r w:rsidR="00092E17" w:rsidRPr="00535204">
        <w:rPr>
          <w:lang w:val="es-ES_tradnl"/>
        </w:rPr>
        <w:t>En respuesta a la decisión 41/2, se podrá disponer de la lista de contribuciones pendientes para ciertos países con economías en transición si se solicita.</w:t>
      </w:r>
    </w:p>
  </w:footnote>
  <w:footnote w:id="4">
    <w:p w14:paraId="219B05DE" w14:textId="149D51FB" w:rsidR="00F6690D" w:rsidRPr="00535204" w:rsidRDefault="00F6690D" w:rsidP="00F6690D">
      <w:pPr>
        <w:pStyle w:val="FootnoteText"/>
        <w:rPr>
          <w:lang w:val="es-ES_tradnl"/>
        </w:rPr>
      </w:pPr>
      <w:r w:rsidRPr="00535204">
        <w:rPr>
          <w:rStyle w:val="FootnoteReference"/>
          <w:lang w:val="es-ES_tradnl"/>
        </w:rPr>
        <w:footnoteRef/>
      </w:r>
      <w:r w:rsidRPr="00535204">
        <w:rPr>
          <w:lang w:val="es-ES_tradnl"/>
        </w:rPr>
        <w:t xml:space="preserve"> </w:t>
      </w:r>
      <w:r w:rsidR="00D568B9" w:rsidRPr="00535204">
        <w:rPr>
          <w:lang w:val="es-ES_tradnl"/>
        </w:rPr>
        <w:t>Un total de 14 Partes optaron por utilizar el FERM para el trienio 2018-2020, de conformidad con la decisión 81/1</w:t>
      </w:r>
      <w:r w:rsidR="00B72790">
        <w:rPr>
          <w:lang w:val="es-ES_tradnl"/>
        </w:rPr>
        <w:t> </w:t>
      </w:r>
      <w:r w:rsidR="00D568B9" w:rsidRPr="00535204">
        <w:rPr>
          <w:lang w:val="es-ES_tradnl"/>
        </w:rPr>
        <w:t>b).</w:t>
      </w:r>
    </w:p>
  </w:footnote>
  <w:footnote w:id="5">
    <w:p w14:paraId="5C5E4DB1" w14:textId="56A9EE36" w:rsidR="00F6690D" w:rsidRPr="00535204" w:rsidRDefault="00F6690D" w:rsidP="00F6690D">
      <w:pPr>
        <w:pStyle w:val="FootnoteText"/>
        <w:rPr>
          <w:lang w:val="es-ES_tradnl"/>
        </w:rPr>
      </w:pPr>
      <w:r w:rsidRPr="00535204">
        <w:rPr>
          <w:rStyle w:val="FootnoteReference"/>
          <w:lang w:val="es-ES_tradnl"/>
        </w:rPr>
        <w:footnoteRef/>
      </w:r>
      <w:r w:rsidRPr="00535204">
        <w:rPr>
          <w:lang w:val="es-ES_tradnl"/>
        </w:rPr>
        <w:t xml:space="preserve"> </w:t>
      </w:r>
      <w:r w:rsidR="00D568B9" w:rsidRPr="00535204">
        <w:rPr>
          <w:lang w:val="es-ES_tradnl"/>
        </w:rPr>
        <w:t>En respuesta a la decisión XI/6, párrafo 7 (en la que se instaba a las Partes a procurar pagar sus contribuciones lo antes posible del año civil); a la decisión XVII/41, párrafo 5 (en la que se instaba a las Partes a que paguen sus contribuciones al Fondo íntegramente y lo antes posible), y a la decisión XVI/37 (en la que se instaba a determinadas Partes que nunca han pagado sus contribuciones al Fondo o lo han hecho por un importe inferior a su contribución, a hacerlo lo antes posible).</w:t>
      </w:r>
    </w:p>
  </w:footnote>
  <w:footnote w:id="6">
    <w:p w14:paraId="28D7680D" w14:textId="6DF88AB9" w:rsidR="00F6690D" w:rsidRPr="00535204" w:rsidRDefault="00F6690D" w:rsidP="00F6690D">
      <w:pPr>
        <w:pStyle w:val="FootnoteText"/>
        <w:rPr>
          <w:lang w:val="es-ES_tradnl"/>
        </w:rPr>
      </w:pPr>
      <w:r w:rsidRPr="00535204">
        <w:rPr>
          <w:rStyle w:val="FootnoteReference"/>
          <w:lang w:val="es-ES_tradnl"/>
        </w:rPr>
        <w:footnoteRef/>
      </w:r>
      <w:r w:rsidRPr="00535204">
        <w:rPr>
          <w:lang w:val="es-ES_tradnl"/>
        </w:rPr>
        <w:t xml:space="preserve"> </w:t>
      </w:r>
      <w:r w:rsidR="00092E17" w:rsidRPr="00535204">
        <w:rPr>
          <w:lang w:val="es-ES_tradnl"/>
        </w:rPr>
        <w:t>Se pidió al Director y al Tesorero que continúen con el seguimiento de los países que tenían contribuciones pendientes de un trienio o más y que informen al respecto en la 86ª reunión.</w:t>
      </w:r>
    </w:p>
  </w:footnote>
  <w:footnote w:id="7">
    <w:p w14:paraId="6ABF9203" w14:textId="3A6BBAF9" w:rsidR="00F6690D" w:rsidRPr="00535204" w:rsidRDefault="00F6690D" w:rsidP="00F6690D">
      <w:pPr>
        <w:pStyle w:val="FootnoteText"/>
        <w:rPr>
          <w:lang w:val="es-ES_tradnl"/>
        </w:rPr>
      </w:pPr>
      <w:r w:rsidRPr="00535204">
        <w:rPr>
          <w:rStyle w:val="FootnoteReference"/>
          <w:lang w:val="es-ES_tradnl"/>
        </w:rPr>
        <w:footnoteRef/>
      </w:r>
      <w:r w:rsidRPr="00535204">
        <w:rPr>
          <w:lang w:val="es-ES_tradnl"/>
        </w:rPr>
        <w:t xml:space="preserve"> </w:t>
      </w:r>
      <w:r w:rsidR="00092E17" w:rsidRPr="00535204">
        <w:rPr>
          <w:lang w:val="es-ES_tradnl"/>
        </w:rPr>
        <w:t>República Checa</w:t>
      </w:r>
      <w:r w:rsidRPr="00535204">
        <w:rPr>
          <w:lang w:val="es-ES_tradnl" w:bidi="hi-IN"/>
        </w:rPr>
        <w:t xml:space="preserve"> (10</w:t>
      </w:r>
      <w:r w:rsidR="00092E17" w:rsidRPr="00535204">
        <w:rPr>
          <w:lang w:val="es-ES_tradnl" w:bidi="hi-IN"/>
        </w:rPr>
        <w:t> </w:t>
      </w:r>
      <w:r w:rsidRPr="00535204">
        <w:rPr>
          <w:lang w:val="es-ES_tradnl" w:bidi="hi-IN"/>
        </w:rPr>
        <w:t>637</w:t>
      </w:r>
      <w:r w:rsidR="00092E17" w:rsidRPr="00535204">
        <w:rPr>
          <w:lang w:val="es-ES_tradnl" w:bidi="hi-IN"/>
        </w:rPr>
        <w:t> $EUA</w:t>
      </w:r>
      <w:r w:rsidRPr="00535204">
        <w:rPr>
          <w:lang w:val="es-ES_tradnl" w:bidi="hi-IN"/>
        </w:rPr>
        <w:t xml:space="preserve">), </w:t>
      </w:r>
      <w:r w:rsidR="00092E17" w:rsidRPr="00535204">
        <w:rPr>
          <w:lang w:val="es-ES_tradnl" w:bidi="hi-IN"/>
        </w:rPr>
        <w:t>Alemania</w:t>
      </w:r>
      <w:r w:rsidRPr="00535204">
        <w:rPr>
          <w:lang w:val="es-ES_tradnl" w:bidi="hi-IN"/>
        </w:rPr>
        <w:t xml:space="preserve"> (10</w:t>
      </w:r>
      <w:r w:rsidR="00092E17" w:rsidRPr="00535204">
        <w:rPr>
          <w:lang w:val="es-ES_tradnl" w:bidi="hi-IN"/>
        </w:rPr>
        <w:t> </w:t>
      </w:r>
      <w:r w:rsidRPr="00535204">
        <w:rPr>
          <w:lang w:val="es-ES_tradnl" w:bidi="hi-IN"/>
        </w:rPr>
        <w:t>099</w:t>
      </w:r>
      <w:r w:rsidR="00092E17" w:rsidRPr="00535204">
        <w:rPr>
          <w:lang w:val="es-ES_tradnl" w:bidi="hi-IN"/>
        </w:rPr>
        <w:t> $EUA</w:t>
      </w:r>
      <w:r w:rsidRPr="00535204">
        <w:rPr>
          <w:lang w:val="es-ES_tradnl" w:bidi="hi-IN"/>
        </w:rPr>
        <w:t>), Jap</w:t>
      </w:r>
      <w:r w:rsidR="00092E17" w:rsidRPr="00535204">
        <w:rPr>
          <w:lang w:val="es-ES_tradnl" w:bidi="hi-IN"/>
        </w:rPr>
        <w:t>ó</w:t>
      </w:r>
      <w:r w:rsidRPr="00535204">
        <w:rPr>
          <w:lang w:val="es-ES_tradnl" w:bidi="hi-IN"/>
        </w:rPr>
        <w:t>n (582</w:t>
      </w:r>
      <w:r w:rsidR="00092E17" w:rsidRPr="00535204">
        <w:rPr>
          <w:lang w:val="es-ES_tradnl" w:bidi="hi-IN"/>
        </w:rPr>
        <w:t> </w:t>
      </w:r>
      <w:r w:rsidRPr="00535204">
        <w:rPr>
          <w:lang w:val="es-ES_tradnl" w:bidi="hi-IN"/>
        </w:rPr>
        <w:t>046</w:t>
      </w:r>
      <w:r w:rsidR="00092E17" w:rsidRPr="00535204">
        <w:rPr>
          <w:lang w:val="es-ES_tradnl" w:bidi="hi-IN"/>
        </w:rPr>
        <w:t> $EUA</w:t>
      </w:r>
      <w:r w:rsidRPr="00535204">
        <w:rPr>
          <w:lang w:val="es-ES_tradnl" w:bidi="hi-IN"/>
        </w:rPr>
        <w:t xml:space="preserve">) </w:t>
      </w:r>
      <w:r w:rsidR="00092E17" w:rsidRPr="00535204">
        <w:rPr>
          <w:lang w:val="es-ES_tradnl" w:bidi="hi-IN"/>
        </w:rPr>
        <w:t>y Suecia</w:t>
      </w:r>
      <w:r w:rsidRPr="00535204">
        <w:rPr>
          <w:lang w:val="es-ES_tradnl" w:bidi="hi-IN"/>
        </w:rPr>
        <w:t xml:space="preserve"> (25</w:t>
      </w:r>
      <w:r w:rsidR="00092E17" w:rsidRPr="00535204">
        <w:rPr>
          <w:lang w:val="es-ES_tradnl" w:bidi="hi-IN"/>
        </w:rPr>
        <w:t> $EUA</w:t>
      </w:r>
      <w:r w:rsidRPr="00535204">
        <w:rPr>
          <w:lang w:val="es-ES_tradnl" w:bidi="hi-IN"/>
        </w:rPr>
        <w:t>)</w:t>
      </w:r>
    </w:p>
  </w:footnote>
  <w:footnote w:id="8">
    <w:p w14:paraId="52516E61" w14:textId="1C935336" w:rsidR="00F6690D" w:rsidRPr="00535204" w:rsidRDefault="00F6690D" w:rsidP="00F6690D">
      <w:pPr>
        <w:pStyle w:val="FootnoteText"/>
        <w:rPr>
          <w:lang w:val="es-ES_tradnl"/>
        </w:rPr>
      </w:pPr>
      <w:r w:rsidRPr="00535204">
        <w:rPr>
          <w:rStyle w:val="FootnoteReference"/>
          <w:lang w:val="es-ES_tradnl"/>
        </w:rPr>
        <w:footnoteRef/>
      </w:r>
      <w:r w:rsidRPr="00535204">
        <w:rPr>
          <w:lang w:val="es-ES_tradnl"/>
        </w:rPr>
        <w:t xml:space="preserve"> </w:t>
      </w:r>
      <w:r w:rsidRPr="00535204">
        <w:rPr>
          <w:lang w:val="es-ES_tradnl" w:bidi="hi-IN"/>
        </w:rPr>
        <w:t>Canad</w:t>
      </w:r>
      <w:r w:rsidR="00092E17" w:rsidRPr="00535204">
        <w:rPr>
          <w:lang w:val="es-ES_tradnl" w:bidi="hi-IN"/>
        </w:rPr>
        <w:t>á</w:t>
      </w:r>
      <w:r w:rsidRPr="00535204">
        <w:rPr>
          <w:lang w:val="es-ES_tradnl" w:bidi="hi-IN"/>
        </w:rPr>
        <w:t>, Finland</w:t>
      </w:r>
      <w:r w:rsidR="00092E17" w:rsidRPr="00535204">
        <w:rPr>
          <w:lang w:val="es-ES_tradnl" w:bidi="hi-IN"/>
        </w:rPr>
        <w:t>ia</w:t>
      </w:r>
      <w:r w:rsidRPr="00535204">
        <w:rPr>
          <w:lang w:val="es-ES_tradnl" w:bidi="hi-IN"/>
        </w:rPr>
        <w:t>, Franc</w:t>
      </w:r>
      <w:r w:rsidR="00092E17" w:rsidRPr="00535204">
        <w:rPr>
          <w:lang w:val="es-ES_tradnl" w:bidi="hi-IN"/>
        </w:rPr>
        <w:t>ia</w:t>
      </w:r>
      <w:r w:rsidRPr="00535204">
        <w:rPr>
          <w:lang w:val="es-ES_tradnl" w:bidi="hi-IN"/>
        </w:rPr>
        <w:t xml:space="preserve">, Portugal </w:t>
      </w:r>
      <w:r w:rsidR="00092E17" w:rsidRPr="00535204">
        <w:rPr>
          <w:lang w:val="es-ES_tradnl" w:bidi="hi-IN"/>
        </w:rPr>
        <w:t>y España</w:t>
      </w:r>
      <w:r w:rsidRPr="00535204">
        <w:rPr>
          <w:lang w:val="es-ES_tradnl" w:bidi="hi-I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D000" w14:textId="0FA38C6B" w:rsidR="00F6690D" w:rsidRDefault="00F6690D" w:rsidP="00F6690D">
    <w:pPr>
      <w:rPr>
        <w:lang w:val="es-ES"/>
      </w:rPr>
    </w:pPr>
    <w:r>
      <w:fldChar w:fldCharType="begin"/>
    </w:r>
    <w:r>
      <w:rPr>
        <w:lang w:val="es-ES"/>
      </w:rPr>
      <w:instrText xml:space="preserve"> DOCPROPERTY "Document number"  \* MERGEFORMAT </w:instrText>
    </w:r>
    <w:r>
      <w:fldChar w:fldCharType="separate"/>
    </w:r>
    <w:r w:rsidR="00384548">
      <w:rPr>
        <w:lang w:val="es-ES"/>
      </w:rPr>
      <w:t>UNEP/</w:t>
    </w:r>
    <w:proofErr w:type="spellStart"/>
    <w:r w:rsidR="00384548">
      <w:rPr>
        <w:lang w:val="es-ES"/>
      </w:rPr>
      <w:t>OzL.Pro</w:t>
    </w:r>
    <w:proofErr w:type="spellEnd"/>
    <w:r w:rsidR="00384548">
      <w:rPr>
        <w:lang w:val="es-ES"/>
      </w:rPr>
      <w:t>/</w:t>
    </w:r>
    <w:proofErr w:type="spellStart"/>
    <w:r w:rsidR="00384548">
      <w:rPr>
        <w:lang w:val="es-ES"/>
      </w:rPr>
      <w:t>ExCom</w:t>
    </w:r>
    <w:proofErr w:type="spellEnd"/>
    <w:r w:rsidR="00384548">
      <w:rPr>
        <w:lang w:val="es-ES"/>
      </w:rPr>
      <w:t>/86/3</w:t>
    </w:r>
    <w:r>
      <w:fldChar w:fldCharType="end"/>
    </w:r>
  </w:p>
  <w:p w14:paraId="727B081F" w14:textId="337D59E2" w:rsidR="00F6690D" w:rsidRDefault="00F6690D">
    <w:pPr>
      <w:pStyle w:val="Header"/>
    </w:pPr>
  </w:p>
  <w:p w14:paraId="6AEE0153" w14:textId="77777777" w:rsidR="00F6690D" w:rsidRDefault="00F669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1309" w14:textId="6450A0F4" w:rsidR="003E51AF" w:rsidRDefault="003E51AF" w:rsidP="003E51AF">
    <w:pPr>
      <w:jc w:val="right"/>
      <w:rPr>
        <w:lang w:val="es-ES"/>
      </w:rPr>
    </w:pPr>
    <w:r>
      <w:fldChar w:fldCharType="begin"/>
    </w:r>
    <w:r>
      <w:rPr>
        <w:lang w:val="es-ES"/>
      </w:rPr>
      <w:instrText xml:space="preserve"> DOCPROPERTY "Document number"  \* MERGEFORMAT </w:instrText>
    </w:r>
    <w:r>
      <w:fldChar w:fldCharType="separate"/>
    </w:r>
    <w:r w:rsidR="00384548">
      <w:rPr>
        <w:lang w:val="es-ES"/>
      </w:rPr>
      <w:t>UNEP/</w:t>
    </w:r>
    <w:proofErr w:type="spellStart"/>
    <w:r w:rsidR="00384548">
      <w:rPr>
        <w:lang w:val="es-ES"/>
      </w:rPr>
      <w:t>OzL.Pro</w:t>
    </w:r>
    <w:proofErr w:type="spellEnd"/>
    <w:r w:rsidR="00384548">
      <w:rPr>
        <w:lang w:val="es-ES"/>
      </w:rPr>
      <w:t>/</w:t>
    </w:r>
    <w:proofErr w:type="spellStart"/>
    <w:r w:rsidR="00384548">
      <w:rPr>
        <w:lang w:val="es-ES"/>
      </w:rPr>
      <w:t>ExCom</w:t>
    </w:r>
    <w:proofErr w:type="spellEnd"/>
    <w:r w:rsidR="00384548">
      <w:rPr>
        <w:lang w:val="es-ES"/>
      </w:rPr>
      <w:t>/86/3</w:t>
    </w:r>
    <w:r>
      <w:fldChar w:fldCharType="end"/>
    </w:r>
  </w:p>
  <w:p w14:paraId="77600B51" w14:textId="30B1AC44" w:rsidR="003E51AF" w:rsidRDefault="003E51AF" w:rsidP="003E51AF">
    <w:pPr>
      <w:pStyle w:val="Header"/>
      <w:jc w:val="right"/>
    </w:pPr>
  </w:p>
  <w:p w14:paraId="2B2A7203" w14:textId="77777777" w:rsidR="003E51AF" w:rsidRDefault="003E51AF" w:rsidP="003E51A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9446" w14:textId="77777777" w:rsidR="009C5A1B" w:rsidRDefault="009C5A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2E108D"/>
    <w:multiLevelType w:val="hybridMultilevel"/>
    <w:tmpl w:val="363E7604"/>
    <w:lvl w:ilvl="0" w:tplc="08090017">
      <w:start w:val="1"/>
      <w:numFmt w:val="lowerLetter"/>
      <w:lvlText w:val="%1)"/>
      <w:lvlJc w:val="left"/>
      <w:pPr>
        <w:ind w:left="1080" w:hanging="360"/>
      </w:pPr>
      <w:rPr>
        <w:rFonts w:hint="default"/>
        <w:lang w:val="es-E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9C4769"/>
    <w:multiLevelType w:val="hybridMultilevel"/>
    <w:tmpl w:val="D37E07A8"/>
    <w:lvl w:ilvl="0" w:tplc="10090001">
      <w:start w:val="1"/>
      <w:numFmt w:val="bullet"/>
      <w:lvlText w:val=""/>
      <w:lvlJc w:val="left"/>
      <w:pPr>
        <w:tabs>
          <w:tab w:val="num" w:pos="2500"/>
        </w:tabs>
        <w:ind w:left="2500" w:hanging="900"/>
      </w:pPr>
      <w:rPr>
        <w:rFonts w:ascii="Symbol" w:hAnsi="Symbol"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5E807F6"/>
    <w:multiLevelType w:val="hybridMultilevel"/>
    <w:tmpl w:val="ECF87AFC"/>
    <w:lvl w:ilvl="0" w:tplc="744E3FF0">
      <w:start w:val="1"/>
      <w:numFmt w:val="decimal"/>
      <w:lvlText w:val="%1."/>
      <w:lvlJc w:val="left"/>
      <w:pPr>
        <w:ind w:left="786"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6"/>
  </w:num>
  <w:num w:numId="19">
    <w:abstractNumId w:val="18"/>
  </w:num>
  <w:num w:numId="20">
    <w:abstractNumId w:val="13"/>
  </w:num>
  <w:num w:numId="21">
    <w:abstractNumId w:val="15"/>
  </w:num>
  <w:num w:numId="22">
    <w:abstractNumId w:val="17"/>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0D"/>
    <w:rsid w:val="00074790"/>
    <w:rsid w:val="00092E17"/>
    <w:rsid w:val="00106F6E"/>
    <w:rsid w:val="001143E9"/>
    <w:rsid w:val="00114CAA"/>
    <w:rsid w:val="00163CAA"/>
    <w:rsid w:val="001C2D22"/>
    <w:rsid w:val="001F4047"/>
    <w:rsid w:val="00235D4C"/>
    <w:rsid w:val="0024162E"/>
    <w:rsid w:val="00384548"/>
    <w:rsid w:val="003863A4"/>
    <w:rsid w:val="003B7115"/>
    <w:rsid w:val="003E51AF"/>
    <w:rsid w:val="00455352"/>
    <w:rsid w:val="00476E28"/>
    <w:rsid w:val="00535204"/>
    <w:rsid w:val="00545389"/>
    <w:rsid w:val="0059480F"/>
    <w:rsid w:val="00596554"/>
    <w:rsid w:val="005A6CB8"/>
    <w:rsid w:val="006915A5"/>
    <w:rsid w:val="00831BC5"/>
    <w:rsid w:val="0087455A"/>
    <w:rsid w:val="0092685B"/>
    <w:rsid w:val="009C5A1B"/>
    <w:rsid w:val="00A2315B"/>
    <w:rsid w:val="00A47DF0"/>
    <w:rsid w:val="00A517BA"/>
    <w:rsid w:val="00A840BA"/>
    <w:rsid w:val="00AB56E5"/>
    <w:rsid w:val="00AC4195"/>
    <w:rsid w:val="00AF47D6"/>
    <w:rsid w:val="00B72790"/>
    <w:rsid w:val="00B83FFA"/>
    <w:rsid w:val="00C14E67"/>
    <w:rsid w:val="00C40E04"/>
    <w:rsid w:val="00C5230C"/>
    <w:rsid w:val="00D568B9"/>
    <w:rsid w:val="00DB795B"/>
    <w:rsid w:val="00E17F97"/>
    <w:rsid w:val="00E860EA"/>
    <w:rsid w:val="00F10CD9"/>
    <w:rsid w:val="00F25F7C"/>
    <w:rsid w:val="00F6690D"/>
    <w:rsid w:val="00F8004F"/>
    <w:rsid w:val="00FA1CB9"/>
    <w:rsid w:val="00FD1E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EE47"/>
  <w15:docId w15:val="{CFBB2915-06F6-495C-8689-7D0C7E5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
    <w:basedOn w:val="Normal"/>
    <w:link w:val="FootnoteTextChar"/>
    <w:uiPriority w:val="99"/>
    <w:unhideWhenUsed/>
    <w:qFormat/>
    <w:rsid w:val="00F6690D"/>
    <w:rPr>
      <w:sz w:val="20"/>
      <w:szCs w:val="20"/>
    </w:rPr>
  </w:style>
  <w:style w:type="character" w:customStyle="1" w:styleId="FootnoteTextChar">
    <w:name w:val="Footnote Text Char"/>
    <w:aliases w:val=" Char1 Char, Char1 Char Char Char,Fußnotentextf Char"/>
    <w:basedOn w:val="DefaultParagraphFont"/>
    <w:link w:val="FootnoteText"/>
    <w:uiPriority w:val="99"/>
    <w:rsid w:val="00F6690D"/>
    <w:rPr>
      <w:lang w:val="en-GB"/>
    </w:rPr>
  </w:style>
  <w:style w:type="character" w:styleId="FootnoteReference">
    <w:name w:val="footnote reference"/>
    <w:aliases w:val="16 Point,Superscript 6 Point,Footnote text,Footnote Text1,Footnote Text2"/>
    <w:basedOn w:val="DefaultParagraphFont"/>
    <w:uiPriority w:val="99"/>
    <w:unhideWhenUsed/>
    <w:rsid w:val="00F6690D"/>
    <w:rPr>
      <w:vertAlign w:val="superscript"/>
    </w:rPr>
  </w:style>
  <w:style w:type="paragraph" w:styleId="ListParagraph">
    <w:name w:val="List Paragraph"/>
    <w:basedOn w:val="Normal"/>
    <w:uiPriority w:val="34"/>
    <w:qFormat/>
    <w:rsid w:val="00F6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1\Documents\UNMFS\S86-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e6e1f9e0-8f48-4721-871b-80b3d7694360">UNEP/OzL.Pro/ExCom/86/3</Document_x0020_Number>
    <Posted_x0020_after_x0020_IAP xmlns="4aeb65a0-cd8f-45aa-a04d-ad1384b86dfc">true</Posted_x0020_after_x0020_IA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5985-087D-4A67-A74F-C923495A9C40}"/>
</file>

<file path=customXml/itemProps2.xml><?xml version="1.0" encoding="utf-8"?>
<ds:datastoreItem xmlns:ds="http://schemas.openxmlformats.org/officeDocument/2006/customXml" ds:itemID="{262DD5DB-DB46-4BDF-99DA-C549E8C8959E}"/>
</file>

<file path=customXml/itemProps3.xml><?xml version="1.0" encoding="utf-8"?>
<ds:datastoreItem xmlns:ds="http://schemas.openxmlformats.org/officeDocument/2006/customXml" ds:itemID="{2940B891-FA2F-462C-8E82-740E21FA95AE}"/>
</file>

<file path=customXml/itemProps4.xml><?xml version="1.0" encoding="utf-8"?>
<ds:datastoreItem xmlns:ds="http://schemas.openxmlformats.org/officeDocument/2006/customXml" ds:itemID="{6F87D4B9-BA02-4938-935F-98E7837E191C}"/>
</file>

<file path=docProps/app.xml><?xml version="1.0" encoding="utf-8"?>
<Properties xmlns="http://schemas.openxmlformats.org/officeDocument/2006/extended-properties" xmlns:vt="http://schemas.openxmlformats.org/officeDocument/2006/docPropsVTypes">
  <Template>S86-template (2)</Template>
  <TotalTime>245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Situación de las contribuciones y los desembolsos</vt:lpstr>
    </vt:vector>
  </TitlesOfParts>
  <Company>UNMFS</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las contribuciones y los desembolsos</dc:title>
  <dc:creator/>
  <cp:lastModifiedBy>HB</cp:lastModifiedBy>
  <cp:revision>12</cp:revision>
  <cp:lastPrinted>2020-11-13T18:26:00Z</cp:lastPrinted>
  <dcterms:created xsi:type="dcterms:W3CDTF">2020-11-13T15:30:00Z</dcterms:created>
  <dcterms:modified xsi:type="dcterms:W3CDTF">2020-12-01T14:44:00Z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vt:lpwstr>
  </property>
  <property fmtid="{D5CDD505-2E9C-101B-9397-08002B2CF9AE}" pid="3" name="Revision date">
    <vt:lpwstr>11/6/2020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