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tblInd w:w="-432" w:type="dxa"/>
        <w:tblLayout w:type="fixed"/>
        <w:tblLook w:val="0000" w:firstRow="0" w:lastRow="0" w:firstColumn="0" w:lastColumn="0" w:noHBand="0" w:noVBand="0"/>
      </w:tblPr>
      <w:tblGrid>
        <w:gridCol w:w="2070"/>
        <w:gridCol w:w="3582"/>
        <w:gridCol w:w="4590"/>
      </w:tblGrid>
      <w:tr w:rsidR="00C15867" w14:paraId="0F1C6BFF" w14:textId="77777777" w:rsidTr="007C1FA2">
        <w:trPr>
          <w:trHeight w:val="720"/>
        </w:trPr>
        <w:tc>
          <w:tcPr>
            <w:tcW w:w="5652" w:type="dxa"/>
            <w:gridSpan w:val="2"/>
            <w:tcBorders>
              <w:bottom w:val="single" w:sz="18" w:space="0" w:color="auto"/>
            </w:tcBorders>
          </w:tcPr>
          <w:p w14:paraId="09088548" w14:textId="12D6CABD" w:rsidR="00C15867" w:rsidRPr="0000434E" w:rsidRDefault="004A4631" w:rsidP="00D444B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NATIONS</w:t>
            </w:r>
            <w:r>
              <w:rPr>
                <w:rFonts w:ascii="Univers" w:hAnsi="Univers"/>
                <w:b/>
                <w:sz w:val="28"/>
                <w:szCs w:val="28"/>
              </w:rPr>
              <w:br/>
              <w:t>UNIES</w:t>
            </w:r>
          </w:p>
        </w:tc>
        <w:tc>
          <w:tcPr>
            <w:tcW w:w="4590" w:type="dxa"/>
            <w:tcBorders>
              <w:bottom w:val="single" w:sz="18" w:space="0" w:color="auto"/>
            </w:tcBorders>
          </w:tcPr>
          <w:p w14:paraId="26EDE2A4" w14:textId="77777777" w:rsidR="00C15867" w:rsidRPr="00493D40" w:rsidRDefault="00C15867" w:rsidP="00D444BF">
            <w:pPr>
              <w:jc w:val="right"/>
              <w:rPr>
                <w:sz w:val="52"/>
                <w:szCs w:val="52"/>
              </w:rPr>
            </w:pPr>
            <w:r>
              <w:rPr>
                <w:rFonts w:ascii="Univers Bold" w:hAnsi="Univers Bold"/>
                <w:b/>
                <w:sz w:val="72"/>
              </w:rPr>
              <w:t>EP</w:t>
            </w:r>
          </w:p>
        </w:tc>
      </w:tr>
      <w:tr w:rsidR="00C15867" w14:paraId="0574379A" w14:textId="77777777" w:rsidTr="007C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067D4E0" w14:textId="77777777" w:rsidR="00C15867" w:rsidRDefault="00E52838" w:rsidP="00D444BF">
            <w:pPr>
              <w:spacing w:before="120"/>
            </w:pPr>
            <w:r>
              <w:rPr>
                <w:noProof/>
                <w:lang w:val="en-US"/>
              </w:rPr>
              <mc:AlternateContent>
                <mc:Choice Requires="wpg">
                  <w:drawing>
                    <wp:anchor distT="0" distB="0" distL="114300" distR="114300" simplePos="0" relativeHeight="251660288" behindDoc="0" locked="0" layoutInCell="1" allowOverlap="1" wp14:anchorId="2BA4D39F" wp14:editId="6D5751FA">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0E5F201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582" w:type="dxa"/>
            <w:tcBorders>
              <w:top w:val="nil"/>
              <w:left w:val="nil"/>
              <w:bottom w:val="single" w:sz="36" w:space="0" w:color="auto"/>
              <w:right w:val="nil"/>
            </w:tcBorders>
          </w:tcPr>
          <w:p w14:paraId="03CD34A4" w14:textId="77777777" w:rsidR="007C1FA2" w:rsidRDefault="007C1FA2" w:rsidP="004A463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tl/>
                <w:lang w:val="fr-CA"/>
              </w:rPr>
            </w:pPr>
          </w:p>
          <w:p w14:paraId="5388CDC7" w14:textId="0CC88619" w:rsidR="004A4631" w:rsidRPr="004231C4" w:rsidRDefault="004A4631" w:rsidP="004A463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Pr>
                <w:rFonts w:ascii="Univers" w:hAnsi="Univers"/>
                <w:b/>
                <w:sz w:val="32"/>
                <w:lang w:val="fr-CA"/>
              </w:rPr>
              <w:t xml:space="preserve">Programme des Nations Unies </w:t>
            </w:r>
            <w:r>
              <w:rPr>
                <w:rFonts w:ascii="Univers" w:hAnsi="Univers"/>
                <w:b/>
                <w:sz w:val="32"/>
                <w:lang w:val="fr-CA"/>
              </w:rPr>
              <w:br/>
              <w:t>pour l’environnement</w:t>
            </w:r>
          </w:p>
          <w:p w14:paraId="01BE3F4F" w14:textId="77777777" w:rsidR="00C15867" w:rsidRPr="004A4631" w:rsidRDefault="00C15867" w:rsidP="00D444BF">
            <w:pPr>
              <w:spacing w:before="720"/>
              <w:ind w:left="158"/>
              <w:rPr>
                <w:lang w:val="fr-CA"/>
              </w:rPr>
            </w:pPr>
          </w:p>
        </w:tc>
        <w:tc>
          <w:tcPr>
            <w:tcW w:w="4590" w:type="dxa"/>
            <w:tcBorders>
              <w:top w:val="nil"/>
              <w:left w:val="nil"/>
              <w:bottom w:val="single" w:sz="36" w:space="0" w:color="auto"/>
              <w:right w:val="nil"/>
            </w:tcBorders>
          </w:tcPr>
          <w:p w14:paraId="2BAC1865" w14:textId="77777777" w:rsidR="007C1FA2" w:rsidRDefault="007C1FA2" w:rsidP="00D444BF">
            <w:pPr>
              <w:rPr>
                <w:rtl/>
                <w:lang w:val="fr-CA"/>
              </w:rPr>
            </w:pPr>
          </w:p>
          <w:p w14:paraId="7A8F7929" w14:textId="029866CB" w:rsidR="00C15867" w:rsidRPr="004A4631" w:rsidRDefault="00C15867" w:rsidP="00D444BF">
            <w:pPr>
              <w:rPr>
                <w:lang w:val="fr-CA"/>
              </w:rPr>
            </w:pPr>
            <w:proofErr w:type="spellStart"/>
            <w:r w:rsidRPr="004A4631">
              <w:rPr>
                <w:lang w:val="fr-CA"/>
              </w:rPr>
              <w:t>Distr</w:t>
            </w:r>
            <w:proofErr w:type="spellEnd"/>
            <w:r w:rsidRPr="004A4631">
              <w:rPr>
                <w:lang w:val="fr-CA"/>
              </w:rPr>
              <w:t>.</w:t>
            </w:r>
          </w:p>
          <w:p w14:paraId="6D281454" w14:textId="5E958DD9" w:rsidR="00923540" w:rsidRPr="004A4631" w:rsidRDefault="004A4631" w:rsidP="00923540">
            <w:pPr>
              <w:rPr>
                <w:lang w:val="fr-CA"/>
              </w:rPr>
            </w:pPr>
            <w:r w:rsidRPr="004A4631">
              <w:rPr>
                <w:lang w:val="fr-CA"/>
              </w:rPr>
              <w:t>GÉNÉRALE</w:t>
            </w:r>
          </w:p>
          <w:p w14:paraId="35A0C3CA" w14:textId="77777777" w:rsidR="00C15867" w:rsidRPr="004A4631" w:rsidRDefault="00C15867" w:rsidP="00D444BF">
            <w:pPr>
              <w:rPr>
                <w:lang w:val="fr-CA"/>
              </w:rPr>
            </w:pPr>
          </w:p>
          <w:bookmarkStart w:id="0" w:name="_GoBack"/>
          <w:p w14:paraId="29BA6CAC" w14:textId="2F8BB259" w:rsidR="00C15867" w:rsidRPr="004A4631" w:rsidRDefault="004B2C2A" w:rsidP="00D444BF">
            <w:pPr>
              <w:rPr>
                <w:lang w:val="fr-CA"/>
              </w:rPr>
            </w:pPr>
            <w:r>
              <w:fldChar w:fldCharType="begin"/>
            </w:r>
            <w:r w:rsidRPr="004A4631">
              <w:rPr>
                <w:lang w:val="fr-CA"/>
              </w:rPr>
              <w:instrText xml:space="preserve"> DOCPROPERTY "Document number"  \* MERGEFORMAT </w:instrText>
            </w:r>
            <w:r>
              <w:fldChar w:fldCharType="separate"/>
            </w:r>
            <w:r w:rsidR="00DA7D0A">
              <w:rPr>
                <w:lang w:val="fr-CA"/>
              </w:rPr>
              <w:t>UNEP/</w:t>
            </w:r>
            <w:proofErr w:type="spellStart"/>
            <w:r w:rsidR="00DA7D0A">
              <w:rPr>
                <w:lang w:val="fr-CA"/>
              </w:rPr>
              <w:t>OzL.Pro</w:t>
            </w:r>
            <w:proofErr w:type="spellEnd"/>
            <w:r w:rsidR="00DA7D0A">
              <w:rPr>
                <w:lang w:val="fr-CA"/>
              </w:rPr>
              <w:t>/</w:t>
            </w:r>
            <w:proofErr w:type="spellStart"/>
            <w:r w:rsidR="00DA7D0A">
              <w:rPr>
                <w:lang w:val="fr-CA"/>
              </w:rPr>
              <w:t>ExCom</w:t>
            </w:r>
            <w:proofErr w:type="spellEnd"/>
            <w:r w:rsidR="00DA7D0A">
              <w:rPr>
                <w:lang w:val="fr-CA"/>
              </w:rPr>
              <w:t>/86/35</w:t>
            </w:r>
            <w:r>
              <w:fldChar w:fldCharType="end"/>
            </w:r>
          </w:p>
          <w:p w14:paraId="6FE7CD09" w14:textId="638A3F4E" w:rsidR="00C15867" w:rsidRPr="004A4631" w:rsidRDefault="0059716A" w:rsidP="00D444BF">
            <w:pPr>
              <w:rPr>
                <w:lang w:val="fr-CA"/>
              </w:rPr>
            </w:pPr>
            <w:r>
              <w:fldChar w:fldCharType="begin"/>
            </w:r>
            <w:r w:rsidRPr="004A4631">
              <w:rPr>
                <w:lang w:val="fr-CA"/>
              </w:rPr>
              <w:instrText xml:space="preserve"> DOCPROPERTY "Revision date" \@ "d MMMM YYYY"  \* MERGEFORMAT </w:instrText>
            </w:r>
            <w:r>
              <w:fldChar w:fldCharType="separate"/>
            </w:r>
            <w:r w:rsidR="00DA7D0A">
              <w:rPr>
                <w:lang w:val="fr-CA"/>
              </w:rPr>
              <w:t>2 novembre 2020</w:t>
            </w:r>
            <w:r>
              <w:fldChar w:fldCharType="end"/>
            </w:r>
            <w:bookmarkEnd w:id="0"/>
          </w:p>
          <w:p w14:paraId="2AB1C835" w14:textId="77777777" w:rsidR="00C15867" w:rsidRPr="004A4631" w:rsidRDefault="00C15867" w:rsidP="00D444BF">
            <w:pPr>
              <w:rPr>
                <w:caps/>
                <w:lang w:val="fr-CA"/>
              </w:rPr>
            </w:pPr>
          </w:p>
          <w:p w14:paraId="73E5124D" w14:textId="77777777" w:rsidR="004A4631" w:rsidRDefault="004A4631" w:rsidP="00D444BF">
            <w:pPr>
              <w:rPr>
                <w:lang w:val="fr-CA"/>
              </w:rPr>
            </w:pPr>
            <w:r>
              <w:rPr>
                <w:lang w:val="fr-CA"/>
              </w:rPr>
              <w:t>FRANÇAIS</w:t>
            </w:r>
          </w:p>
          <w:p w14:paraId="015A6F80" w14:textId="3F67A8F5" w:rsidR="00C15867" w:rsidRDefault="00C15867" w:rsidP="004A4631">
            <w:r w:rsidRPr="0033525D">
              <w:t>ORIGINAL</w:t>
            </w:r>
            <w:r w:rsidR="004A4631">
              <w:t xml:space="preserve"> </w:t>
            </w:r>
            <w:r w:rsidRPr="0033525D">
              <w:t xml:space="preserve">: </w:t>
            </w:r>
            <w:r w:rsidR="004A4631">
              <w:t>ANGLAIS</w:t>
            </w:r>
          </w:p>
        </w:tc>
      </w:tr>
    </w:tbl>
    <w:p w14:paraId="33011383" w14:textId="706931DC" w:rsidR="004A4631" w:rsidRPr="004231C4" w:rsidRDefault="004A4631" w:rsidP="004A4631">
      <w:pPr>
        <w:jc w:val="left"/>
        <w:rPr>
          <w:lang w:val="fr-CA"/>
        </w:rPr>
      </w:pPr>
      <w:r w:rsidRPr="004231C4">
        <w:rPr>
          <w:lang w:val="fr-CA"/>
        </w:rPr>
        <w:t xml:space="preserve">COMITÉ EXÉCUTIF </w:t>
      </w:r>
      <w:r w:rsidRPr="004231C4">
        <w:rPr>
          <w:lang w:val="fr-CA"/>
        </w:rPr>
        <w:br/>
        <w:t xml:space="preserve"> DU FONDS MULTILATÉRAL AUX FINS </w:t>
      </w:r>
      <w:r w:rsidRPr="004231C4">
        <w:rPr>
          <w:lang w:val="fr-CA"/>
        </w:rPr>
        <w:br/>
        <w:t xml:space="preserve"> D’APPLICATION DU PROTOCOLE DE MONTRÉAL</w:t>
      </w:r>
      <w:r w:rsidRPr="004231C4">
        <w:rPr>
          <w:lang w:val="fr-CA"/>
        </w:rPr>
        <w:br/>
        <w:t>Quatre-vingt-sixième réunion</w:t>
      </w:r>
    </w:p>
    <w:p w14:paraId="4B5660DB" w14:textId="77777777" w:rsidR="004A4631" w:rsidRPr="004231C4" w:rsidRDefault="004A4631" w:rsidP="004A4631">
      <w:pPr>
        <w:jc w:val="left"/>
        <w:rPr>
          <w:lang w:val="fr-CA"/>
        </w:rPr>
      </w:pPr>
      <w:r w:rsidRPr="004231C4">
        <w:rPr>
          <w:lang w:val="fr-CA"/>
        </w:rPr>
        <w:t>Montréal, 2 – 6 novembre 2020</w:t>
      </w:r>
    </w:p>
    <w:p w14:paraId="4BCE8A59" w14:textId="48AF6A7E" w:rsidR="004A4631" w:rsidRPr="004231C4" w:rsidRDefault="004A4631" w:rsidP="004A4631">
      <w:pPr>
        <w:jc w:val="left"/>
        <w:rPr>
          <w:lang w:val="fr-CA"/>
        </w:rPr>
      </w:pPr>
      <w:r w:rsidRPr="004231C4">
        <w:rPr>
          <w:lang w:val="fr-CA"/>
        </w:rPr>
        <w:t>Reportée</w:t>
      </w:r>
      <w:r w:rsidR="000524FE">
        <w:rPr>
          <w:lang w:val="fr-CA"/>
        </w:rPr>
        <w:t> </w:t>
      </w:r>
      <w:r w:rsidRPr="004231C4">
        <w:rPr>
          <w:lang w:val="fr-CA"/>
        </w:rPr>
        <w:t>: 8 – 12 mars 2021</w:t>
      </w:r>
      <w:r w:rsidRPr="004231C4">
        <w:rPr>
          <w:rStyle w:val="FootnoteReference"/>
          <w:lang w:val="fr-CA"/>
        </w:rPr>
        <w:footnoteReference w:id="1"/>
      </w:r>
    </w:p>
    <w:p w14:paraId="62169445" w14:textId="77777777" w:rsidR="005220ED" w:rsidRPr="004A4631" w:rsidRDefault="005220ED" w:rsidP="005220ED">
      <w:pPr>
        <w:jc w:val="left"/>
        <w:rPr>
          <w:lang w:val="fr-CA"/>
        </w:rPr>
      </w:pPr>
    </w:p>
    <w:p w14:paraId="17431162" w14:textId="77777777" w:rsidR="00857077" w:rsidRPr="004A4631" w:rsidRDefault="00857077" w:rsidP="00704CE9">
      <w:pPr>
        <w:jc w:val="left"/>
        <w:rPr>
          <w:lang w:val="fr-CA"/>
        </w:rPr>
      </w:pPr>
    </w:p>
    <w:p w14:paraId="02FE88D0" w14:textId="77777777" w:rsidR="00C15867" w:rsidRPr="004A4631" w:rsidRDefault="00C15867" w:rsidP="00857077">
      <w:pPr>
        <w:jc w:val="left"/>
        <w:rPr>
          <w:lang w:val="fr-CA"/>
        </w:rPr>
      </w:pPr>
    </w:p>
    <w:p w14:paraId="3A505130" w14:textId="77777777" w:rsidR="00CF1B88" w:rsidRDefault="00CF1B88" w:rsidP="00CF1B88">
      <w:pPr>
        <w:pStyle w:val="StyleHeader4Para4Left0Firstline0"/>
        <w:numPr>
          <w:ilvl w:val="0"/>
          <w:numId w:val="0"/>
        </w:numPr>
        <w:jc w:val="center"/>
        <w:rPr>
          <w:b/>
          <w:sz w:val="22"/>
          <w:lang w:val="fr-CA"/>
        </w:rPr>
      </w:pPr>
    </w:p>
    <w:p w14:paraId="73466F50" w14:textId="77777777" w:rsidR="00331B67" w:rsidRPr="004A4631" w:rsidRDefault="00331B67" w:rsidP="00CF1B88">
      <w:pPr>
        <w:pStyle w:val="StyleHeader4Para4Left0Firstline0"/>
        <w:numPr>
          <w:ilvl w:val="0"/>
          <w:numId w:val="0"/>
        </w:numPr>
        <w:jc w:val="center"/>
        <w:rPr>
          <w:b/>
          <w:sz w:val="22"/>
          <w:lang w:val="fr-CA"/>
        </w:rPr>
      </w:pPr>
    </w:p>
    <w:p w14:paraId="3CD36604" w14:textId="77777777" w:rsidR="00331B67" w:rsidRDefault="0021139E" w:rsidP="005C22AA">
      <w:pPr>
        <w:pStyle w:val="StyleHeader4Para4Left0Firstline0"/>
        <w:numPr>
          <w:ilvl w:val="0"/>
          <w:numId w:val="0"/>
        </w:numPr>
        <w:jc w:val="center"/>
        <w:rPr>
          <w:b/>
          <w:sz w:val="22"/>
          <w:lang w:val="fr-CA"/>
        </w:rPr>
      </w:pPr>
      <w:r w:rsidRPr="004A4631">
        <w:rPr>
          <w:b/>
          <w:sz w:val="22"/>
          <w:lang w:val="fr-CA"/>
        </w:rPr>
        <w:t xml:space="preserve">AMENDEMENTS AU PROGRAMME DE TRAVAIL DE L’ONUDI </w:t>
      </w:r>
    </w:p>
    <w:p w14:paraId="36475F67" w14:textId="0FC96925" w:rsidR="005C22AA" w:rsidRPr="004A4631" w:rsidRDefault="0021139E" w:rsidP="005C22AA">
      <w:pPr>
        <w:pStyle w:val="StyleHeader4Para4Left0Firstline0"/>
        <w:numPr>
          <w:ilvl w:val="0"/>
          <w:numId w:val="0"/>
        </w:numPr>
        <w:jc w:val="center"/>
        <w:rPr>
          <w:b/>
          <w:sz w:val="22"/>
          <w:lang w:val="fr-CA"/>
        </w:rPr>
      </w:pPr>
      <w:r w:rsidRPr="004A4631">
        <w:rPr>
          <w:b/>
          <w:sz w:val="22"/>
          <w:lang w:val="fr-CA"/>
        </w:rPr>
        <w:t>POUR L’ANNÉE 2020</w:t>
      </w:r>
    </w:p>
    <w:p w14:paraId="6B23B866" w14:textId="77777777" w:rsidR="00CF1B88" w:rsidRPr="004A4631" w:rsidRDefault="00CF1B88" w:rsidP="00CF1B88">
      <w:pPr>
        <w:pStyle w:val="StyleHeader4Para4Left0Firstline0"/>
        <w:numPr>
          <w:ilvl w:val="0"/>
          <w:numId w:val="0"/>
        </w:numPr>
        <w:jc w:val="center"/>
        <w:rPr>
          <w:b/>
          <w:sz w:val="22"/>
          <w:lang w:val="fr-CA"/>
        </w:rPr>
      </w:pPr>
    </w:p>
    <w:p w14:paraId="546613EB" w14:textId="77777777" w:rsidR="00081985" w:rsidRPr="004A4631" w:rsidRDefault="00081985" w:rsidP="00081985">
      <w:pPr>
        <w:pStyle w:val="StyleHeader4Para4Left0Firstline0"/>
        <w:numPr>
          <w:ilvl w:val="0"/>
          <w:numId w:val="0"/>
        </w:numPr>
        <w:jc w:val="center"/>
        <w:rPr>
          <w:b/>
          <w:sz w:val="22"/>
          <w:lang w:val="fr-CA"/>
        </w:rPr>
      </w:pPr>
    </w:p>
    <w:p w14:paraId="6B1709BE" w14:textId="77777777" w:rsidR="00081985" w:rsidRPr="004A4631" w:rsidRDefault="00081985" w:rsidP="00081985">
      <w:pPr>
        <w:pStyle w:val="StyleHeader4Para4Left0Firstline0"/>
        <w:numPr>
          <w:ilvl w:val="0"/>
          <w:numId w:val="0"/>
        </w:numPr>
        <w:rPr>
          <w:lang w:val="fr-CA"/>
        </w:rPr>
      </w:pPr>
    </w:p>
    <w:p w14:paraId="6DDDA306" w14:textId="77777777" w:rsidR="00081985" w:rsidRPr="004A4631" w:rsidRDefault="00081985" w:rsidP="00081985">
      <w:pPr>
        <w:pStyle w:val="StyleHeader4Para4Left0Firstline0"/>
        <w:numPr>
          <w:ilvl w:val="0"/>
          <w:numId w:val="0"/>
        </w:numPr>
        <w:rPr>
          <w:lang w:val="fr-CA"/>
        </w:rPr>
      </w:pPr>
    </w:p>
    <w:p w14:paraId="6AC417AF" w14:textId="77777777" w:rsidR="00081985" w:rsidRPr="004A4631" w:rsidRDefault="00081985" w:rsidP="00081985">
      <w:pPr>
        <w:pStyle w:val="StyleHeader4Para4Left0Firstline0"/>
        <w:numPr>
          <w:ilvl w:val="0"/>
          <w:numId w:val="0"/>
        </w:numPr>
        <w:rPr>
          <w:lang w:val="fr-CA"/>
        </w:rPr>
      </w:pPr>
    </w:p>
    <w:p w14:paraId="7FCD942C" w14:textId="77777777" w:rsidR="008C5738" w:rsidRPr="004A4631" w:rsidRDefault="008C5738" w:rsidP="00BB2764">
      <w:pPr>
        <w:pStyle w:val="StyleHeader4Para4Left0Firstline0"/>
        <w:numPr>
          <w:ilvl w:val="0"/>
          <w:numId w:val="0"/>
        </w:numPr>
        <w:jc w:val="left"/>
        <w:rPr>
          <w:sz w:val="22"/>
          <w:lang w:val="fr-CA"/>
        </w:rPr>
      </w:pPr>
    </w:p>
    <w:p w14:paraId="0CBA6901" w14:textId="77777777" w:rsidR="00BB2764" w:rsidRPr="004A4631" w:rsidRDefault="00BB2764" w:rsidP="00BB2764">
      <w:pPr>
        <w:rPr>
          <w:lang w:val="fr-CA"/>
        </w:rPr>
      </w:pPr>
    </w:p>
    <w:p w14:paraId="665AF924" w14:textId="77777777" w:rsidR="008C5738" w:rsidRPr="004A4631" w:rsidRDefault="004E7F9C" w:rsidP="00BB2764">
      <w:pPr>
        <w:pStyle w:val="StyleHeader4Para4Left0Firstline0"/>
        <w:numPr>
          <w:ilvl w:val="0"/>
          <w:numId w:val="0"/>
        </w:numPr>
        <w:tabs>
          <w:tab w:val="clear" w:pos="2880"/>
          <w:tab w:val="clear" w:pos="5760"/>
        </w:tabs>
        <w:jc w:val="center"/>
        <w:rPr>
          <w:b/>
          <w:sz w:val="22"/>
          <w:lang w:val="fr-CA"/>
        </w:rPr>
      </w:pPr>
      <w:r w:rsidRPr="004A4631">
        <w:rPr>
          <w:b/>
          <w:sz w:val="22"/>
          <w:lang w:val="fr-CA"/>
        </w:rPr>
        <w:br w:type="page"/>
      </w:r>
    </w:p>
    <w:p w14:paraId="4B14D99B" w14:textId="2ED4B6EE" w:rsidR="005C22AA" w:rsidRPr="004A4631" w:rsidRDefault="002D1994" w:rsidP="005C22AA">
      <w:pPr>
        <w:spacing w:after="240"/>
        <w:jc w:val="center"/>
        <w:rPr>
          <w:b/>
          <w:color w:val="000000" w:themeColor="text1"/>
          <w:lang w:val="fr-CA"/>
        </w:rPr>
      </w:pPr>
      <w:r>
        <w:rPr>
          <w:b/>
          <w:color w:val="000000" w:themeColor="text1"/>
          <w:lang w:val="fr-CA"/>
        </w:rPr>
        <w:lastRenderedPageBreak/>
        <w:t>OBSERVATIONS ET RECOMMANDATION</w:t>
      </w:r>
      <w:r w:rsidR="00595C77">
        <w:rPr>
          <w:b/>
          <w:color w:val="000000" w:themeColor="text1"/>
          <w:lang w:val="fr-CA"/>
        </w:rPr>
        <w:t>S</w:t>
      </w:r>
      <w:r>
        <w:rPr>
          <w:b/>
          <w:color w:val="000000" w:themeColor="text1"/>
          <w:lang w:val="fr-CA"/>
        </w:rPr>
        <w:t xml:space="preserve"> DU SECRÉTARIAT DU FONDS</w:t>
      </w:r>
    </w:p>
    <w:p w14:paraId="79ECEEFD" w14:textId="12DBEB81" w:rsidR="005C22AA" w:rsidRPr="00E92B7D" w:rsidRDefault="002D1994" w:rsidP="006E7122">
      <w:pPr>
        <w:pStyle w:val="Heading1"/>
        <w:rPr>
          <w:lang w:val="fr-CA"/>
        </w:rPr>
      </w:pPr>
      <w:r w:rsidRPr="002D1994">
        <w:rPr>
          <w:lang w:val="fr-CA"/>
        </w:rPr>
        <w:t>L’ONUDI demande au C</w:t>
      </w:r>
      <w:r w:rsidR="00E92B7D">
        <w:rPr>
          <w:lang w:val="fr-CA"/>
        </w:rPr>
        <w:t>o</w:t>
      </w:r>
      <w:r w:rsidRPr="002D1994">
        <w:rPr>
          <w:lang w:val="fr-CA"/>
        </w:rPr>
        <w:t>mité ex</w:t>
      </w:r>
      <w:r>
        <w:rPr>
          <w:lang w:val="fr-CA"/>
        </w:rPr>
        <w:t>écutif d’app</w:t>
      </w:r>
      <w:r w:rsidR="00E92B7D">
        <w:rPr>
          <w:lang w:val="fr-CA"/>
        </w:rPr>
        <w:t>r</w:t>
      </w:r>
      <w:r>
        <w:rPr>
          <w:lang w:val="fr-CA"/>
        </w:rPr>
        <w:t xml:space="preserve">ouver la somme de 2 141 711 $US plus les coûts d’appui </w:t>
      </w:r>
      <w:r w:rsidR="00E92B7D">
        <w:rPr>
          <w:lang w:val="fr-CA"/>
        </w:rPr>
        <w:t>à</w:t>
      </w:r>
      <w:r>
        <w:rPr>
          <w:lang w:val="fr-CA"/>
        </w:rPr>
        <w:t xml:space="preserve"> l’agence de 151 120 $</w:t>
      </w:r>
      <w:r w:rsidRPr="00E92B7D">
        <w:rPr>
          <w:lang w:val="fr-CA"/>
        </w:rPr>
        <w:t>US</w:t>
      </w:r>
      <w:r w:rsidR="00E92B7D" w:rsidRPr="00E92B7D">
        <w:rPr>
          <w:lang w:val="fr-CA"/>
        </w:rPr>
        <w:t xml:space="preserve"> pour les amendements à son programme de travail </w:t>
      </w:r>
      <w:r w:rsidR="004A233E">
        <w:rPr>
          <w:lang w:val="fr-CA"/>
        </w:rPr>
        <w:t>pour</w:t>
      </w:r>
      <w:r w:rsidR="00E92B7D" w:rsidRPr="00E92B7D">
        <w:rPr>
          <w:lang w:val="fr-CA"/>
        </w:rPr>
        <w:t xml:space="preserve"> l’année 2020</w:t>
      </w:r>
      <w:r w:rsidR="00595C77">
        <w:rPr>
          <w:lang w:val="fr-CA"/>
        </w:rPr>
        <w:t>,</w:t>
      </w:r>
      <w:r w:rsidR="00E92B7D" w:rsidRPr="00E92B7D">
        <w:rPr>
          <w:lang w:val="fr-CA"/>
        </w:rPr>
        <w:t xml:space="preserve"> indiqués dans le tableau 1</w:t>
      </w:r>
      <w:r w:rsidR="00C232AC" w:rsidRPr="00E92B7D">
        <w:rPr>
          <w:lang w:val="fr-CA"/>
        </w:rPr>
        <w:t>.</w:t>
      </w:r>
      <w:r w:rsidR="00900C6C" w:rsidRPr="00E92B7D">
        <w:rPr>
          <w:rStyle w:val="FootnoteReference"/>
          <w:lang w:val="fr-CA"/>
        </w:rPr>
        <w:footnoteReference w:id="2"/>
      </w:r>
      <w:r w:rsidR="00900C6C" w:rsidRPr="00E92B7D">
        <w:rPr>
          <w:lang w:val="fr-CA"/>
        </w:rPr>
        <w:t xml:space="preserve"> </w:t>
      </w:r>
      <w:r w:rsidR="00E92B7D" w:rsidRPr="00E92B7D">
        <w:rPr>
          <w:lang w:val="fr-CA"/>
        </w:rPr>
        <w:t xml:space="preserve">La proposition est jointe au </w:t>
      </w:r>
      <w:r w:rsidR="00E92B7D">
        <w:rPr>
          <w:lang w:val="fr-CA"/>
        </w:rPr>
        <w:t>pré</w:t>
      </w:r>
      <w:r w:rsidR="00E92B7D" w:rsidRPr="00E92B7D">
        <w:rPr>
          <w:lang w:val="fr-CA"/>
        </w:rPr>
        <w:t>sent document</w:t>
      </w:r>
      <w:r w:rsidR="005C22AA" w:rsidRPr="00E92B7D">
        <w:rPr>
          <w:lang w:val="fr-CA"/>
        </w:rPr>
        <w:t>.</w:t>
      </w:r>
    </w:p>
    <w:p w14:paraId="11995E64" w14:textId="0C953B98" w:rsidR="005C22AA" w:rsidRPr="00E92B7D" w:rsidRDefault="005C22AA" w:rsidP="005C22AA">
      <w:pPr>
        <w:pStyle w:val="Heading1"/>
        <w:numPr>
          <w:ilvl w:val="0"/>
          <w:numId w:val="0"/>
        </w:numPr>
        <w:spacing w:after="0"/>
        <w:rPr>
          <w:b/>
          <w:highlight w:val="yellow"/>
          <w:lang w:val="fr-CA"/>
        </w:rPr>
      </w:pPr>
      <w:r w:rsidRPr="00E92B7D">
        <w:rPr>
          <w:b/>
          <w:lang w:val="fr-CA"/>
        </w:rPr>
        <w:t>Table</w:t>
      </w:r>
      <w:r w:rsidR="00E92B7D" w:rsidRPr="00E92B7D">
        <w:rPr>
          <w:b/>
          <w:lang w:val="fr-CA"/>
        </w:rPr>
        <w:t>au</w:t>
      </w:r>
      <w:r w:rsidRPr="00E92B7D">
        <w:rPr>
          <w:b/>
          <w:lang w:val="fr-CA"/>
        </w:rPr>
        <w:t xml:space="preserve"> 1</w:t>
      </w:r>
      <w:r w:rsidR="000524FE">
        <w:rPr>
          <w:b/>
          <w:lang w:val="fr-CA"/>
        </w:rPr>
        <w:t> </w:t>
      </w:r>
      <w:r w:rsidRPr="00E92B7D">
        <w:rPr>
          <w:b/>
          <w:lang w:val="fr-CA"/>
        </w:rPr>
        <w:t xml:space="preserve">: </w:t>
      </w:r>
      <w:r w:rsidR="00E92B7D" w:rsidRPr="00E92B7D">
        <w:rPr>
          <w:b/>
          <w:lang w:val="fr-CA"/>
        </w:rPr>
        <w:t>A</w:t>
      </w:r>
      <w:r w:rsidR="00E92B7D">
        <w:rPr>
          <w:b/>
          <w:lang w:val="fr-CA"/>
        </w:rPr>
        <w:t>mendements au pro</w:t>
      </w:r>
      <w:r w:rsidR="00E92B7D" w:rsidRPr="00E92B7D">
        <w:rPr>
          <w:b/>
          <w:lang w:val="fr-CA"/>
        </w:rPr>
        <w:t xml:space="preserve">gramme de travail de </w:t>
      </w:r>
      <w:r w:rsidR="00E92B7D">
        <w:rPr>
          <w:b/>
          <w:lang w:val="fr-CA"/>
        </w:rPr>
        <w:t>l’ONUDI</w:t>
      </w:r>
      <w:r w:rsidR="00E92B7D" w:rsidRPr="00E92B7D">
        <w:rPr>
          <w:b/>
          <w:lang w:val="fr-CA"/>
        </w:rPr>
        <w:t xml:space="preserve"> pour l’année 2020</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4870"/>
        <w:gridCol w:w="1160"/>
        <w:gridCol w:w="1619"/>
      </w:tblGrid>
      <w:tr w:rsidR="005C22AA" w:rsidRPr="00E92B7D" w14:paraId="7A753900" w14:textId="77777777" w:rsidTr="001B5926">
        <w:trPr>
          <w:trHeight w:val="690"/>
          <w:tblHeader/>
        </w:trPr>
        <w:tc>
          <w:tcPr>
            <w:tcW w:w="951" w:type="pct"/>
          </w:tcPr>
          <w:p w14:paraId="43C6ED2E" w14:textId="53D70D1E" w:rsidR="005C22AA" w:rsidRPr="00E92B7D" w:rsidRDefault="00E92B7D" w:rsidP="00D444BF">
            <w:pPr>
              <w:jc w:val="center"/>
              <w:rPr>
                <w:b/>
                <w:color w:val="000000" w:themeColor="text1"/>
                <w:sz w:val="20"/>
                <w:szCs w:val="20"/>
                <w:lang w:val="fr-CA"/>
              </w:rPr>
            </w:pPr>
            <w:r>
              <w:rPr>
                <w:b/>
                <w:color w:val="000000" w:themeColor="text1"/>
                <w:sz w:val="20"/>
                <w:szCs w:val="20"/>
                <w:lang w:val="fr-CA"/>
              </w:rPr>
              <w:t>Pays</w:t>
            </w:r>
          </w:p>
        </w:tc>
        <w:tc>
          <w:tcPr>
            <w:tcW w:w="2578" w:type="pct"/>
          </w:tcPr>
          <w:p w14:paraId="4185E929" w14:textId="68295844" w:rsidR="005C22AA" w:rsidRPr="00E92B7D" w:rsidRDefault="00E92B7D" w:rsidP="00D444BF">
            <w:pPr>
              <w:jc w:val="center"/>
              <w:rPr>
                <w:b/>
                <w:color w:val="000000" w:themeColor="text1"/>
                <w:sz w:val="20"/>
                <w:szCs w:val="20"/>
                <w:lang w:val="fr-CA"/>
              </w:rPr>
            </w:pPr>
            <w:r>
              <w:rPr>
                <w:b/>
                <w:color w:val="000000" w:themeColor="text1"/>
                <w:sz w:val="20"/>
                <w:szCs w:val="20"/>
                <w:lang w:val="fr-CA"/>
              </w:rPr>
              <w:t>Activité/projet</w:t>
            </w:r>
          </w:p>
        </w:tc>
        <w:tc>
          <w:tcPr>
            <w:tcW w:w="614" w:type="pct"/>
          </w:tcPr>
          <w:p w14:paraId="494E8F81" w14:textId="1F102E6B" w:rsidR="005C22AA" w:rsidRPr="00E92B7D" w:rsidRDefault="00E92B7D" w:rsidP="00D444BF">
            <w:pPr>
              <w:jc w:val="center"/>
              <w:rPr>
                <w:b/>
                <w:color w:val="000000" w:themeColor="text1"/>
                <w:sz w:val="20"/>
                <w:szCs w:val="20"/>
                <w:lang w:val="fr-CA"/>
              </w:rPr>
            </w:pPr>
            <w:r>
              <w:rPr>
                <w:b/>
                <w:color w:val="000000" w:themeColor="text1"/>
                <w:sz w:val="20"/>
                <w:szCs w:val="20"/>
                <w:lang w:val="fr-CA"/>
              </w:rPr>
              <w:t>Somme demandée ($US)</w:t>
            </w:r>
          </w:p>
        </w:tc>
        <w:tc>
          <w:tcPr>
            <w:tcW w:w="857" w:type="pct"/>
          </w:tcPr>
          <w:p w14:paraId="65E417E2" w14:textId="2374A5AA" w:rsidR="005C22AA" w:rsidRPr="00E92B7D" w:rsidRDefault="00E92B7D" w:rsidP="00D444BF">
            <w:pPr>
              <w:jc w:val="center"/>
              <w:rPr>
                <w:b/>
                <w:color w:val="000000" w:themeColor="text1"/>
                <w:sz w:val="20"/>
                <w:szCs w:val="20"/>
                <w:lang w:val="fr-CA"/>
              </w:rPr>
            </w:pPr>
            <w:r>
              <w:rPr>
                <w:b/>
                <w:color w:val="000000" w:themeColor="text1"/>
                <w:sz w:val="20"/>
                <w:szCs w:val="20"/>
                <w:lang w:val="fr-CA"/>
              </w:rPr>
              <w:t>Somme recommandée ($US)</w:t>
            </w:r>
          </w:p>
        </w:tc>
      </w:tr>
      <w:tr w:rsidR="005C22AA" w:rsidRPr="007C1FA2" w14:paraId="154579B5" w14:textId="77777777" w:rsidTr="004B4D67">
        <w:trPr>
          <w:trHeight w:val="219"/>
        </w:trPr>
        <w:tc>
          <w:tcPr>
            <w:tcW w:w="5000" w:type="pct"/>
            <w:gridSpan w:val="4"/>
          </w:tcPr>
          <w:p w14:paraId="7E18B786" w14:textId="4D34AB18" w:rsidR="005C22AA" w:rsidRPr="00E92B7D" w:rsidRDefault="00E92B7D" w:rsidP="00E92B7D">
            <w:pPr>
              <w:widowControl w:val="0"/>
              <w:rPr>
                <w:color w:val="000000" w:themeColor="text1"/>
                <w:sz w:val="20"/>
                <w:szCs w:val="20"/>
                <w:lang w:val="fr-CA"/>
              </w:rPr>
            </w:pPr>
            <w:r w:rsidRPr="00E92B7D">
              <w:rPr>
                <w:b/>
                <w:color w:val="000000" w:themeColor="text1"/>
                <w:sz w:val="20"/>
                <w:szCs w:val="20"/>
                <w:lang w:val="fr-CA"/>
              </w:rPr>
              <w:t>PARTIE</w:t>
            </w:r>
            <w:r w:rsidR="005C22AA" w:rsidRPr="00E92B7D">
              <w:rPr>
                <w:b/>
                <w:color w:val="000000" w:themeColor="text1"/>
                <w:sz w:val="20"/>
                <w:szCs w:val="20"/>
                <w:lang w:val="fr-CA"/>
              </w:rPr>
              <w:t xml:space="preserve"> A</w:t>
            </w:r>
            <w:r w:rsidR="000524FE">
              <w:rPr>
                <w:b/>
                <w:color w:val="000000" w:themeColor="text1"/>
                <w:sz w:val="20"/>
                <w:szCs w:val="20"/>
                <w:lang w:val="fr-CA"/>
              </w:rPr>
              <w:t> </w:t>
            </w:r>
            <w:r w:rsidR="005C22AA" w:rsidRPr="00E92B7D">
              <w:rPr>
                <w:b/>
                <w:color w:val="000000" w:themeColor="text1"/>
                <w:sz w:val="20"/>
                <w:szCs w:val="20"/>
                <w:lang w:val="fr-CA"/>
              </w:rPr>
              <w:t xml:space="preserve">: </w:t>
            </w:r>
            <w:r w:rsidRPr="00E92B7D">
              <w:rPr>
                <w:b/>
                <w:color w:val="000000" w:themeColor="text1"/>
                <w:sz w:val="20"/>
                <w:szCs w:val="20"/>
                <w:lang w:val="fr-CA"/>
              </w:rPr>
              <w:t>ACTIVITÉS RECOMMANDÉES POUR APPROBATION GÉNÉRALE</w:t>
            </w:r>
          </w:p>
        </w:tc>
      </w:tr>
      <w:tr w:rsidR="005C22AA" w:rsidRPr="007C1FA2" w14:paraId="26E2CF8E" w14:textId="77777777" w:rsidTr="004B4D67">
        <w:trPr>
          <w:trHeight w:val="235"/>
        </w:trPr>
        <w:tc>
          <w:tcPr>
            <w:tcW w:w="5000" w:type="pct"/>
            <w:gridSpan w:val="4"/>
          </w:tcPr>
          <w:p w14:paraId="255AC921" w14:textId="791F0FE8" w:rsidR="005C22AA" w:rsidRPr="00E92B7D" w:rsidRDefault="005C22AA" w:rsidP="00E92B7D">
            <w:pPr>
              <w:rPr>
                <w:b/>
                <w:bCs/>
                <w:color w:val="000000" w:themeColor="text1"/>
                <w:sz w:val="20"/>
                <w:szCs w:val="20"/>
                <w:lang w:val="fr-CA"/>
              </w:rPr>
            </w:pPr>
            <w:r w:rsidRPr="00E92B7D">
              <w:rPr>
                <w:b/>
                <w:bCs/>
                <w:color w:val="000000" w:themeColor="text1"/>
                <w:sz w:val="20"/>
                <w:szCs w:val="20"/>
                <w:lang w:val="fr-CA"/>
              </w:rPr>
              <w:t>A1</w:t>
            </w:r>
            <w:r w:rsidR="000524FE">
              <w:rPr>
                <w:b/>
                <w:bCs/>
                <w:color w:val="000000" w:themeColor="text1"/>
                <w:sz w:val="20"/>
                <w:szCs w:val="20"/>
                <w:lang w:val="fr-CA"/>
              </w:rPr>
              <w:t> </w:t>
            </w:r>
            <w:r w:rsidRPr="00E92B7D">
              <w:rPr>
                <w:b/>
                <w:bCs/>
                <w:color w:val="000000" w:themeColor="text1"/>
                <w:sz w:val="20"/>
                <w:szCs w:val="20"/>
                <w:lang w:val="fr-CA"/>
              </w:rPr>
              <w:t xml:space="preserve">: </w:t>
            </w:r>
            <w:r w:rsidR="00E92B7D" w:rsidRPr="00E92B7D">
              <w:rPr>
                <w:b/>
                <w:bCs/>
                <w:color w:val="000000" w:themeColor="text1"/>
                <w:sz w:val="20"/>
                <w:szCs w:val="20"/>
                <w:lang w:val="fr-CA"/>
              </w:rPr>
              <w:t>Renouvellement des projets de renforcement des institutions</w:t>
            </w:r>
          </w:p>
        </w:tc>
      </w:tr>
      <w:tr w:rsidR="006A10A4" w:rsidRPr="00E92B7D" w14:paraId="640367BB" w14:textId="77777777" w:rsidTr="001B5926">
        <w:trPr>
          <w:trHeight w:val="219"/>
        </w:trPr>
        <w:tc>
          <w:tcPr>
            <w:tcW w:w="951" w:type="pct"/>
            <w:shd w:val="clear" w:color="auto" w:fill="auto"/>
            <w:vAlign w:val="bottom"/>
          </w:tcPr>
          <w:p w14:paraId="664148E2" w14:textId="2F92F6EF" w:rsidR="006A10A4" w:rsidRPr="00E92B7D" w:rsidRDefault="00E92B7D" w:rsidP="006A10A4">
            <w:pPr>
              <w:jc w:val="left"/>
              <w:rPr>
                <w:color w:val="000000"/>
                <w:sz w:val="20"/>
                <w:szCs w:val="20"/>
                <w:lang w:val="fr-CA"/>
              </w:rPr>
            </w:pPr>
            <w:r>
              <w:rPr>
                <w:color w:val="000000"/>
                <w:sz w:val="20"/>
                <w:szCs w:val="20"/>
                <w:lang w:val="fr-CA"/>
              </w:rPr>
              <w:t>Arménie</w:t>
            </w:r>
          </w:p>
        </w:tc>
        <w:tc>
          <w:tcPr>
            <w:tcW w:w="2578" w:type="pct"/>
            <w:shd w:val="clear" w:color="auto" w:fill="auto"/>
            <w:vAlign w:val="center"/>
          </w:tcPr>
          <w:p w14:paraId="7195FF2F" w14:textId="091D8697" w:rsidR="006A10A4" w:rsidRPr="00E92B7D" w:rsidRDefault="00E92B7D" w:rsidP="006A10A4">
            <w:pPr>
              <w:snapToGrid w:val="0"/>
              <w:rPr>
                <w:sz w:val="20"/>
                <w:szCs w:val="20"/>
                <w:lang w:val="fr-CA"/>
              </w:rPr>
            </w:pPr>
            <w:r>
              <w:rPr>
                <w:sz w:val="20"/>
                <w:szCs w:val="20"/>
                <w:lang w:val="fr-CA"/>
              </w:rPr>
              <w:t>Renouvellement du projet de renforcement des institutions</w:t>
            </w:r>
            <w:r w:rsidR="006A10A4" w:rsidRPr="00E92B7D">
              <w:rPr>
                <w:sz w:val="20"/>
                <w:szCs w:val="20"/>
                <w:lang w:val="fr-CA"/>
              </w:rPr>
              <w:t xml:space="preserve"> (phase VII)</w:t>
            </w:r>
          </w:p>
        </w:tc>
        <w:tc>
          <w:tcPr>
            <w:tcW w:w="614" w:type="pct"/>
            <w:shd w:val="clear" w:color="auto" w:fill="auto"/>
          </w:tcPr>
          <w:p w14:paraId="226B9C4C" w14:textId="52DE94EC" w:rsidR="006A10A4" w:rsidRPr="00E92B7D" w:rsidRDefault="006A10A4" w:rsidP="006A10A4">
            <w:pPr>
              <w:snapToGrid w:val="0"/>
              <w:jc w:val="right"/>
              <w:rPr>
                <w:color w:val="000000"/>
                <w:sz w:val="20"/>
                <w:szCs w:val="20"/>
                <w:lang w:val="fr-CA"/>
              </w:rPr>
            </w:pPr>
            <w:r w:rsidRPr="00E92B7D">
              <w:rPr>
                <w:color w:val="000000"/>
                <w:sz w:val="20"/>
                <w:szCs w:val="20"/>
                <w:lang w:val="fr-CA"/>
              </w:rPr>
              <w:t>153</w:t>
            </w:r>
            <w:r w:rsidR="00E422D4">
              <w:rPr>
                <w:color w:val="000000"/>
                <w:sz w:val="20"/>
                <w:szCs w:val="20"/>
                <w:lang w:val="fr-CA"/>
              </w:rPr>
              <w:t xml:space="preserve"> </w:t>
            </w:r>
            <w:r w:rsidRPr="00E92B7D">
              <w:rPr>
                <w:color w:val="000000"/>
                <w:sz w:val="20"/>
                <w:szCs w:val="20"/>
                <w:lang w:val="fr-CA"/>
              </w:rPr>
              <w:t>600</w:t>
            </w:r>
          </w:p>
        </w:tc>
        <w:tc>
          <w:tcPr>
            <w:tcW w:w="857" w:type="pct"/>
            <w:shd w:val="clear" w:color="auto" w:fill="auto"/>
          </w:tcPr>
          <w:p w14:paraId="1557CA95" w14:textId="0E2577DA" w:rsidR="006A10A4" w:rsidRPr="00E92B7D" w:rsidRDefault="006A10A4" w:rsidP="006A10A4">
            <w:pPr>
              <w:snapToGrid w:val="0"/>
              <w:jc w:val="right"/>
              <w:rPr>
                <w:color w:val="000000"/>
                <w:sz w:val="20"/>
                <w:szCs w:val="20"/>
                <w:lang w:val="fr-CA"/>
              </w:rPr>
            </w:pPr>
            <w:r w:rsidRPr="00E92B7D">
              <w:rPr>
                <w:color w:val="000000"/>
                <w:sz w:val="20"/>
                <w:szCs w:val="20"/>
                <w:lang w:val="fr-CA"/>
              </w:rPr>
              <w:t>153</w:t>
            </w:r>
            <w:r w:rsidR="00E422D4">
              <w:rPr>
                <w:color w:val="000000"/>
                <w:sz w:val="20"/>
                <w:szCs w:val="20"/>
                <w:lang w:val="fr-CA"/>
              </w:rPr>
              <w:t xml:space="preserve"> </w:t>
            </w:r>
            <w:r w:rsidRPr="00E92B7D">
              <w:rPr>
                <w:color w:val="000000"/>
                <w:sz w:val="20"/>
                <w:szCs w:val="20"/>
                <w:lang w:val="fr-CA"/>
              </w:rPr>
              <w:t>600</w:t>
            </w:r>
          </w:p>
        </w:tc>
      </w:tr>
      <w:tr w:rsidR="006A10A4" w:rsidRPr="00E92B7D" w14:paraId="0672E4CA" w14:textId="77777777" w:rsidTr="001B5926">
        <w:trPr>
          <w:trHeight w:val="219"/>
        </w:trPr>
        <w:tc>
          <w:tcPr>
            <w:tcW w:w="951" w:type="pct"/>
            <w:shd w:val="clear" w:color="auto" w:fill="auto"/>
            <w:vAlign w:val="bottom"/>
          </w:tcPr>
          <w:p w14:paraId="71AF5436" w14:textId="28B2D1EC" w:rsidR="006A10A4" w:rsidRPr="00E92B7D" w:rsidRDefault="00E92B7D" w:rsidP="006A10A4">
            <w:pPr>
              <w:rPr>
                <w:color w:val="000000"/>
                <w:sz w:val="20"/>
                <w:szCs w:val="20"/>
                <w:lang w:val="fr-CA"/>
              </w:rPr>
            </w:pPr>
            <w:r>
              <w:rPr>
                <w:color w:val="000000"/>
                <w:sz w:val="20"/>
                <w:szCs w:val="20"/>
                <w:lang w:val="fr-CA"/>
              </w:rPr>
              <w:t>Égypte</w:t>
            </w:r>
          </w:p>
        </w:tc>
        <w:tc>
          <w:tcPr>
            <w:tcW w:w="2578" w:type="pct"/>
            <w:shd w:val="clear" w:color="auto" w:fill="auto"/>
            <w:vAlign w:val="center"/>
          </w:tcPr>
          <w:p w14:paraId="6E3E8F4E" w14:textId="5ABE8D22" w:rsidR="006A10A4" w:rsidRPr="00E92B7D" w:rsidRDefault="00964702" w:rsidP="006A10A4">
            <w:pPr>
              <w:snapToGrid w:val="0"/>
              <w:rPr>
                <w:sz w:val="20"/>
                <w:szCs w:val="20"/>
                <w:lang w:val="fr-CA"/>
              </w:rPr>
            </w:pPr>
            <w:r>
              <w:rPr>
                <w:sz w:val="20"/>
                <w:szCs w:val="20"/>
                <w:lang w:val="fr-CA"/>
              </w:rPr>
              <w:t>Renouvellement du projet de renforcement des institutions</w:t>
            </w:r>
            <w:r w:rsidRPr="00E92B7D">
              <w:rPr>
                <w:sz w:val="20"/>
                <w:szCs w:val="20"/>
                <w:lang w:val="fr-CA"/>
              </w:rPr>
              <w:t xml:space="preserve"> </w:t>
            </w:r>
            <w:r w:rsidR="006A10A4" w:rsidRPr="00E92B7D">
              <w:rPr>
                <w:sz w:val="20"/>
                <w:szCs w:val="20"/>
                <w:lang w:val="fr-CA"/>
              </w:rPr>
              <w:t>(phase XII</w:t>
            </w:r>
            <w:r w:rsidR="00ED3202" w:rsidRPr="00E92B7D">
              <w:rPr>
                <w:sz w:val="20"/>
                <w:szCs w:val="20"/>
                <w:lang w:val="fr-CA"/>
              </w:rPr>
              <w:t>I</w:t>
            </w:r>
            <w:r w:rsidR="006A10A4" w:rsidRPr="00E92B7D">
              <w:rPr>
                <w:sz w:val="20"/>
                <w:szCs w:val="20"/>
                <w:lang w:val="fr-CA"/>
              </w:rPr>
              <w:t>)</w:t>
            </w:r>
          </w:p>
        </w:tc>
        <w:tc>
          <w:tcPr>
            <w:tcW w:w="614" w:type="pct"/>
            <w:shd w:val="clear" w:color="auto" w:fill="auto"/>
          </w:tcPr>
          <w:p w14:paraId="710C8E8E" w14:textId="7416453A" w:rsidR="006A10A4" w:rsidRPr="00E92B7D" w:rsidRDefault="006A10A4" w:rsidP="006A10A4">
            <w:pPr>
              <w:snapToGrid w:val="0"/>
              <w:jc w:val="right"/>
              <w:rPr>
                <w:color w:val="000000"/>
                <w:sz w:val="20"/>
                <w:szCs w:val="20"/>
                <w:lang w:val="fr-CA"/>
              </w:rPr>
            </w:pPr>
            <w:r w:rsidRPr="00E92B7D">
              <w:rPr>
                <w:color w:val="000000"/>
                <w:sz w:val="20"/>
                <w:szCs w:val="20"/>
                <w:lang w:val="fr-CA"/>
              </w:rPr>
              <w:t>292</w:t>
            </w:r>
            <w:r w:rsidR="00E422D4">
              <w:rPr>
                <w:color w:val="000000"/>
                <w:sz w:val="20"/>
                <w:szCs w:val="20"/>
                <w:lang w:val="fr-CA"/>
              </w:rPr>
              <w:t xml:space="preserve"> </w:t>
            </w:r>
            <w:r w:rsidRPr="00E92B7D">
              <w:rPr>
                <w:color w:val="000000"/>
                <w:sz w:val="20"/>
                <w:szCs w:val="20"/>
                <w:lang w:val="fr-CA"/>
              </w:rPr>
              <w:t>253</w:t>
            </w:r>
          </w:p>
        </w:tc>
        <w:tc>
          <w:tcPr>
            <w:tcW w:w="857" w:type="pct"/>
            <w:shd w:val="clear" w:color="auto" w:fill="auto"/>
          </w:tcPr>
          <w:p w14:paraId="09C5DB18" w14:textId="473F461A" w:rsidR="006A10A4" w:rsidRPr="00E92B7D" w:rsidRDefault="006A10A4" w:rsidP="006A10A4">
            <w:pPr>
              <w:snapToGrid w:val="0"/>
              <w:jc w:val="right"/>
              <w:rPr>
                <w:color w:val="000000"/>
                <w:sz w:val="20"/>
                <w:szCs w:val="20"/>
                <w:lang w:val="fr-CA"/>
              </w:rPr>
            </w:pPr>
            <w:r w:rsidRPr="00E92B7D">
              <w:rPr>
                <w:color w:val="000000"/>
                <w:sz w:val="20"/>
                <w:szCs w:val="20"/>
                <w:lang w:val="fr-CA"/>
              </w:rPr>
              <w:t>292</w:t>
            </w:r>
            <w:r w:rsidR="00E422D4">
              <w:rPr>
                <w:color w:val="000000"/>
                <w:sz w:val="20"/>
                <w:szCs w:val="20"/>
                <w:lang w:val="fr-CA"/>
              </w:rPr>
              <w:t xml:space="preserve"> </w:t>
            </w:r>
            <w:r w:rsidRPr="00E92B7D">
              <w:rPr>
                <w:color w:val="000000"/>
                <w:sz w:val="20"/>
                <w:szCs w:val="20"/>
                <w:lang w:val="fr-CA"/>
              </w:rPr>
              <w:t>253</w:t>
            </w:r>
          </w:p>
        </w:tc>
      </w:tr>
      <w:tr w:rsidR="006A10A4" w:rsidRPr="00E92B7D" w14:paraId="117EDA89" w14:textId="77777777" w:rsidTr="001B5926">
        <w:trPr>
          <w:trHeight w:val="219"/>
        </w:trPr>
        <w:tc>
          <w:tcPr>
            <w:tcW w:w="951" w:type="pct"/>
            <w:shd w:val="clear" w:color="auto" w:fill="auto"/>
            <w:vAlign w:val="bottom"/>
          </w:tcPr>
          <w:p w14:paraId="00BFCE49" w14:textId="0B393071" w:rsidR="006A10A4" w:rsidRPr="00E92B7D" w:rsidRDefault="00E92B7D" w:rsidP="006A10A4">
            <w:pPr>
              <w:rPr>
                <w:color w:val="000000"/>
                <w:sz w:val="20"/>
                <w:szCs w:val="20"/>
                <w:lang w:val="fr-CA"/>
              </w:rPr>
            </w:pPr>
            <w:r>
              <w:rPr>
                <w:color w:val="000000"/>
                <w:sz w:val="20"/>
                <w:szCs w:val="20"/>
                <w:lang w:val="fr-CA"/>
              </w:rPr>
              <w:t>Mexique</w:t>
            </w:r>
          </w:p>
        </w:tc>
        <w:tc>
          <w:tcPr>
            <w:tcW w:w="2578" w:type="pct"/>
            <w:shd w:val="clear" w:color="auto" w:fill="auto"/>
            <w:vAlign w:val="center"/>
          </w:tcPr>
          <w:p w14:paraId="59598323" w14:textId="3F84D712" w:rsidR="006A10A4" w:rsidRPr="00E92B7D" w:rsidRDefault="00964702" w:rsidP="006A10A4">
            <w:pPr>
              <w:snapToGrid w:val="0"/>
              <w:rPr>
                <w:sz w:val="20"/>
                <w:szCs w:val="20"/>
                <w:lang w:val="fr-CA"/>
              </w:rPr>
            </w:pPr>
            <w:r>
              <w:rPr>
                <w:sz w:val="20"/>
                <w:szCs w:val="20"/>
                <w:lang w:val="fr-CA"/>
              </w:rPr>
              <w:t>Renouvellement du projet de renforcement des institutions</w:t>
            </w:r>
            <w:r w:rsidRPr="00E92B7D">
              <w:rPr>
                <w:sz w:val="20"/>
                <w:szCs w:val="20"/>
                <w:lang w:val="fr-CA"/>
              </w:rPr>
              <w:t xml:space="preserve"> </w:t>
            </w:r>
            <w:r w:rsidR="006A10A4" w:rsidRPr="00E92B7D">
              <w:rPr>
                <w:sz w:val="20"/>
                <w:szCs w:val="20"/>
                <w:lang w:val="fr-CA"/>
              </w:rPr>
              <w:t>(phase XV)</w:t>
            </w:r>
          </w:p>
        </w:tc>
        <w:tc>
          <w:tcPr>
            <w:tcW w:w="614" w:type="pct"/>
            <w:shd w:val="clear" w:color="auto" w:fill="auto"/>
          </w:tcPr>
          <w:p w14:paraId="5A08AD88" w14:textId="3983E202" w:rsidR="006A10A4" w:rsidRPr="00E92B7D" w:rsidRDefault="006A10A4" w:rsidP="006A10A4">
            <w:pPr>
              <w:snapToGrid w:val="0"/>
              <w:jc w:val="right"/>
              <w:rPr>
                <w:color w:val="000000"/>
                <w:sz w:val="20"/>
                <w:szCs w:val="20"/>
                <w:lang w:val="fr-CA"/>
              </w:rPr>
            </w:pPr>
            <w:r w:rsidRPr="00E92B7D">
              <w:rPr>
                <w:color w:val="000000"/>
                <w:sz w:val="20"/>
                <w:szCs w:val="20"/>
                <w:lang w:val="fr-CA"/>
              </w:rPr>
              <w:t>316</w:t>
            </w:r>
            <w:r w:rsidR="00E422D4">
              <w:rPr>
                <w:color w:val="000000"/>
                <w:sz w:val="20"/>
                <w:szCs w:val="20"/>
                <w:lang w:val="fr-CA"/>
              </w:rPr>
              <w:t xml:space="preserve"> </w:t>
            </w:r>
            <w:r w:rsidRPr="00E92B7D">
              <w:rPr>
                <w:color w:val="000000"/>
                <w:sz w:val="20"/>
                <w:szCs w:val="20"/>
                <w:lang w:val="fr-CA"/>
              </w:rPr>
              <w:t>160</w:t>
            </w:r>
          </w:p>
        </w:tc>
        <w:tc>
          <w:tcPr>
            <w:tcW w:w="857" w:type="pct"/>
            <w:shd w:val="clear" w:color="auto" w:fill="auto"/>
          </w:tcPr>
          <w:p w14:paraId="19F61B37" w14:textId="4B483932" w:rsidR="006A10A4" w:rsidRPr="00E92B7D" w:rsidRDefault="006A10A4" w:rsidP="006A10A4">
            <w:pPr>
              <w:snapToGrid w:val="0"/>
              <w:jc w:val="right"/>
              <w:rPr>
                <w:color w:val="000000"/>
                <w:sz w:val="20"/>
                <w:szCs w:val="20"/>
                <w:lang w:val="fr-CA"/>
              </w:rPr>
            </w:pPr>
            <w:r w:rsidRPr="00E92B7D">
              <w:rPr>
                <w:color w:val="000000"/>
                <w:sz w:val="20"/>
                <w:szCs w:val="20"/>
                <w:lang w:val="fr-CA"/>
              </w:rPr>
              <w:t>316</w:t>
            </w:r>
            <w:r w:rsidR="00E422D4">
              <w:rPr>
                <w:color w:val="000000"/>
                <w:sz w:val="20"/>
                <w:szCs w:val="20"/>
                <w:lang w:val="fr-CA"/>
              </w:rPr>
              <w:t xml:space="preserve"> </w:t>
            </w:r>
            <w:r w:rsidRPr="00E92B7D">
              <w:rPr>
                <w:color w:val="000000"/>
                <w:sz w:val="20"/>
                <w:szCs w:val="20"/>
                <w:lang w:val="fr-CA"/>
              </w:rPr>
              <w:t>160</w:t>
            </w:r>
          </w:p>
        </w:tc>
      </w:tr>
      <w:tr w:rsidR="006A10A4" w:rsidRPr="00E92B7D" w14:paraId="149300C4" w14:textId="77777777" w:rsidTr="001B5926">
        <w:trPr>
          <w:trHeight w:val="219"/>
        </w:trPr>
        <w:tc>
          <w:tcPr>
            <w:tcW w:w="951" w:type="pct"/>
            <w:shd w:val="clear" w:color="auto" w:fill="auto"/>
            <w:vAlign w:val="bottom"/>
          </w:tcPr>
          <w:p w14:paraId="4A926D2C" w14:textId="77777777" w:rsidR="006A10A4" w:rsidRPr="00E92B7D" w:rsidRDefault="006A10A4" w:rsidP="006A10A4">
            <w:pPr>
              <w:rPr>
                <w:color w:val="000000"/>
                <w:sz w:val="20"/>
                <w:szCs w:val="20"/>
                <w:lang w:val="fr-CA"/>
              </w:rPr>
            </w:pPr>
            <w:r w:rsidRPr="00E92B7D">
              <w:rPr>
                <w:color w:val="000000"/>
                <w:sz w:val="20"/>
                <w:szCs w:val="20"/>
                <w:lang w:val="fr-CA"/>
              </w:rPr>
              <w:t>Oman</w:t>
            </w:r>
          </w:p>
        </w:tc>
        <w:tc>
          <w:tcPr>
            <w:tcW w:w="2578" w:type="pct"/>
            <w:shd w:val="clear" w:color="auto" w:fill="auto"/>
            <w:vAlign w:val="center"/>
          </w:tcPr>
          <w:p w14:paraId="6E72FBAF" w14:textId="194C0904" w:rsidR="006A10A4" w:rsidRPr="00E92B7D" w:rsidRDefault="00964702" w:rsidP="006A10A4">
            <w:pPr>
              <w:snapToGrid w:val="0"/>
              <w:rPr>
                <w:sz w:val="20"/>
                <w:szCs w:val="20"/>
                <w:lang w:val="fr-CA"/>
              </w:rPr>
            </w:pPr>
            <w:r>
              <w:rPr>
                <w:sz w:val="20"/>
                <w:szCs w:val="20"/>
                <w:lang w:val="fr-CA"/>
              </w:rPr>
              <w:t>Renouvellement du projet de renforcement des institutions</w:t>
            </w:r>
            <w:r w:rsidRPr="00E92B7D">
              <w:rPr>
                <w:sz w:val="20"/>
                <w:szCs w:val="20"/>
                <w:lang w:val="fr-CA"/>
              </w:rPr>
              <w:t xml:space="preserve"> </w:t>
            </w:r>
            <w:r w:rsidR="006A10A4" w:rsidRPr="00E92B7D">
              <w:rPr>
                <w:sz w:val="20"/>
                <w:szCs w:val="20"/>
                <w:lang w:val="fr-CA"/>
              </w:rPr>
              <w:t>(phase VIII)</w:t>
            </w:r>
          </w:p>
        </w:tc>
        <w:tc>
          <w:tcPr>
            <w:tcW w:w="614" w:type="pct"/>
            <w:shd w:val="clear" w:color="auto" w:fill="auto"/>
          </w:tcPr>
          <w:p w14:paraId="4C2E6C73" w14:textId="05C5F9EE" w:rsidR="006A10A4" w:rsidRPr="00E92B7D" w:rsidRDefault="006A10A4" w:rsidP="006A10A4">
            <w:pPr>
              <w:snapToGrid w:val="0"/>
              <w:jc w:val="right"/>
              <w:rPr>
                <w:color w:val="000000"/>
                <w:sz w:val="20"/>
                <w:szCs w:val="20"/>
                <w:lang w:val="fr-CA"/>
              </w:rPr>
            </w:pPr>
            <w:r w:rsidRPr="00E92B7D">
              <w:rPr>
                <w:color w:val="000000"/>
                <w:sz w:val="20"/>
                <w:szCs w:val="20"/>
                <w:lang w:val="fr-CA"/>
              </w:rPr>
              <w:t>87</w:t>
            </w:r>
            <w:r w:rsidR="00E422D4">
              <w:rPr>
                <w:color w:val="000000"/>
                <w:sz w:val="20"/>
                <w:szCs w:val="20"/>
                <w:lang w:val="fr-CA"/>
              </w:rPr>
              <w:t xml:space="preserve"> </w:t>
            </w:r>
            <w:r w:rsidRPr="00E92B7D">
              <w:rPr>
                <w:color w:val="000000"/>
                <w:sz w:val="20"/>
                <w:szCs w:val="20"/>
                <w:lang w:val="fr-CA"/>
              </w:rPr>
              <w:t>638</w:t>
            </w:r>
          </w:p>
        </w:tc>
        <w:tc>
          <w:tcPr>
            <w:tcW w:w="857" w:type="pct"/>
            <w:shd w:val="clear" w:color="auto" w:fill="auto"/>
          </w:tcPr>
          <w:p w14:paraId="2C0345A1" w14:textId="6AC676FB" w:rsidR="006A10A4" w:rsidRPr="00E92B7D" w:rsidRDefault="006A10A4" w:rsidP="006A10A4">
            <w:pPr>
              <w:snapToGrid w:val="0"/>
              <w:jc w:val="right"/>
              <w:rPr>
                <w:color w:val="000000"/>
                <w:sz w:val="20"/>
                <w:szCs w:val="20"/>
                <w:lang w:val="fr-CA"/>
              </w:rPr>
            </w:pPr>
            <w:r w:rsidRPr="00E92B7D">
              <w:rPr>
                <w:color w:val="000000"/>
                <w:sz w:val="20"/>
                <w:szCs w:val="20"/>
                <w:lang w:val="fr-CA"/>
              </w:rPr>
              <w:t>87</w:t>
            </w:r>
            <w:r w:rsidR="00E422D4">
              <w:rPr>
                <w:color w:val="000000"/>
                <w:sz w:val="20"/>
                <w:szCs w:val="20"/>
                <w:lang w:val="fr-CA"/>
              </w:rPr>
              <w:t xml:space="preserve"> </w:t>
            </w:r>
            <w:r w:rsidRPr="00E92B7D">
              <w:rPr>
                <w:color w:val="000000"/>
                <w:sz w:val="20"/>
                <w:szCs w:val="20"/>
                <w:lang w:val="fr-CA"/>
              </w:rPr>
              <w:t>638</w:t>
            </w:r>
          </w:p>
        </w:tc>
      </w:tr>
      <w:tr w:rsidR="006A10A4" w:rsidRPr="00E92B7D" w14:paraId="0C9447F7" w14:textId="77777777" w:rsidTr="001B5926">
        <w:trPr>
          <w:trHeight w:val="219"/>
        </w:trPr>
        <w:tc>
          <w:tcPr>
            <w:tcW w:w="951" w:type="pct"/>
            <w:shd w:val="clear" w:color="auto" w:fill="auto"/>
            <w:vAlign w:val="bottom"/>
          </w:tcPr>
          <w:p w14:paraId="6691196C" w14:textId="3205A533" w:rsidR="006A10A4" w:rsidRPr="00E92B7D" w:rsidRDefault="00E92B7D" w:rsidP="006A10A4">
            <w:pPr>
              <w:rPr>
                <w:color w:val="000000"/>
                <w:sz w:val="20"/>
                <w:szCs w:val="20"/>
                <w:lang w:val="fr-CA"/>
              </w:rPr>
            </w:pPr>
            <w:r>
              <w:rPr>
                <w:color w:val="000000"/>
                <w:sz w:val="20"/>
                <w:szCs w:val="20"/>
                <w:lang w:val="fr-CA"/>
              </w:rPr>
              <w:t>Turkmé</w:t>
            </w:r>
            <w:r w:rsidR="006A10A4" w:rsidRPr="00E92B7D">
              <w:rPr>
                <w:color w:val="000000"/>
                <w:sz w:val="20"/>
                <w:szCs w:val="20"/>
                <w:lang w:val="fr-CA"/>
              </w:rPr>
              <w:t>nistan</w:t>
            </w:r>
          </w:p>
        </w:tc>
        <w:tc>
          <w:tcPr>
            <w:tcW w:w="2578" w:type="pct"/>
            <w:shd w:val="clear" w:color="auto" w:fill="auto"/>
            <w:vAlign w:val="center"/>
          </w:tcPr>
          <w:p w14:paraId="6789233E" w14:textId="21E6C3A1" w:rsidR="006A10A4" w:rsidRPr="00E92B7D" w:rsidRDefault="00964702" w:rsidP="006A10A4">
            <w:pPr>
              <w:snapToGrid w:val="0"/>
              <w:rPr>
                <w:sz w:val="20"/>
                <w:szCs w:val="20"/>
                <w:lang w:val="fr-CA"/>
              </w:rPr>
            </w:pPr>
            <w:r>
              <w:rPr>
                <w:sz w:val="20"/>
                <w:szCs w:val="20"/>
                <w:lang w:val="fr-CA"/>
              </w:rPr>
              <w:t>Renouvellement du projet de renforcement des institutions</w:t>
            </w:r>
            <w:r w:rsidRPr="00E92B7D">
              <w:rPr>
                <w:sz w:val="20"/>
                <w:szCs w:val="20"/>
                <w:lang w:val="fr-CA"/>
              </w:rPr>
              <w:t xml:space="preserve"> </w:t>
            </w:r>
            <w:r w:rsidR="006A10A4" w:rsidRPr="00E92B7D">
              <w:rPr>
                <w:sz w:val="20"/>
                <w:szCs w:val="20"/>
                <w:lang w:val="fr-CA"/>
              </w:rPr>
              <w:t>(phase V)</w:t>
            </w:r>
          </w:p>
        </w:tc>
        <w:tc>
          <w:tcPr>
            <w:tcW w:w="614" w:type="pct"/>
            <w:shd w:val="clear" w:color="auto" w:fill="auto"/>
          </w:tcPr>
          <w:p w14:paraId="1319E7A7" w14:textId="235FE125" w:rsidR="006A10A4" w:rsidRPr="00E92B7D" w:rsidRDefault="006A10A4" w:rsidP="006A10A4">
            <w:pPr>
              <w:snapToGrid w:val="0"/>
              <w:jc w:val="right"/>
              <w:rPr>
                <w:color w:val="000000"/>
                <w:sz w:val="20"/>
                <w:szCs w:val="20"/>
                <w:lang w:val="fr-CA"/>
              </w:rPr>
            </w:pPr>
            <w:r w:rsidRPr="00E92B7D">
              <w:rPr>
                <w:color w:val="000000"/>
                <w:sz w:val="20"/>
                <w:szCs w:val="20"/>
                <w:lang w:val="fr-CA"/>
              </w:rPr>
              <w:t>98</w:t>
            </w:r>
            <w:r w:rsidR="00E422D4">
              <w:rPr>
                <w:color w:val="000000"/>
                <w:sz w:val="20"/>
                <w:szCs w:val="20"/>
                <w:lang w:val="fr-CA"/>
              </w:rPr>
              <w:t xml:space="preserve"> </w:t>
            </w:r>
            <w:r w:rsidRPr="00E92B7D">
              <w:rPr>
                <w:color w:val="000000"/>
                <w:sz w:val="20"/>
                <w:szCs w:val="20"/>
                <w:lang w:val="fr-CA"/>
              </w:rPr>
              <w:t>560</w:t>
            </w:r>
          </w:p>
        </w:tc>
        <w:tc>
          <w:tcPr>
            <w:tcW w:w="857" w:type="pct"/>
            <w:shd w:val="clear" w:color="auto" w:fill="auto"/>
          </w:tcPr>
          <w:p w14:paraId="63D8BB3F" w14:textId="6455DB5E" w:rsidR="006A10A4" w:rsidRPr="00E92B7D" w:rsidRDefault="006A10A4" w:rsidP="006A10A4">
            <w:pPr>
              <w:snapToGrid w:val="0"/>
              <w:jc w:val="right"/>
              <w:rPr>
                <w:color w:val="000000"/>
                <w:sz w:val="20"/>
                <w:szCs w:val="20"/>
                <w:lang w:val="fr-CA"/>
              </w:rPr>
            </w:pPr>
            <w:r w:rsidRPr="00E92B7D">
              <w:rPr>
                <w:color w:val="000000"/>
                <w:sz w:val="20"/>
                <w:szCs w:val="20"/>
                <w:lang w:val="fr-CA"/>
              </w:rPr>
              <w:t>98</w:t>
            </w:r>
            <w:r w:rsidR="00E422D4">
              <w:rPr>
                <w:color w:val="000000"/>
                <w:sz w:val="20"/>
                <w:szCs w:val="20"/>
                <w:lang w:val="fr-CA"/>
              </w:rPr>
              <w:t xml:space="preserve"> </w:t>
            </w:r>
            <w:r w:rsidRPr="00E92B7D">
              <w:rPr>
                <w:color w:val="000000"/>
                <w:sz w:val="20"/>
                <w:szCs w:val="20"/>
                <w:lang w:val="fr-CA"/>
              </w:rPr>
              <w:t>560</w:t>
            </w:r>
          </w:p>
        </w:tc>
      </w:tr>
      <w:tr w:rsidR="008042A6" w:rsidRPr="00E92B7D" w14:paraId="2ED34A88" w14:textId="77777777" w:rsidTr="001B5926">
        <w:trPr>
          <w:trHeight w:val="219"/>
        </w:trPr>
        <w:tc>
          <w:tcPr>
            <w:tcW w:w="3529" w:type="pct"/>
            <w:gridSpan w:val="2"/>
            <w:shd w:val="clear" w:color="auto" w:fill="auto"/>
          </w:tcPr>
          <w:p w14:paraId="3A31EA06" w14:textId="2D2FFF9E" w:rsidR="008042A6" w:rsidRPr="00E92B7D" w:rsidRDefault="00964702" w:rsidP="00964702">
            <w:pPr>
              <w:snapToGrid w:val="0"/>
              <w:jc w:val="right"/>
              <w:rPr>
                <w:sz w:val="20"/>
                <w:szCs w:val="20"/>
                <w:lang w:val="fr-CA"/>
              </w:rPr>
            </w:pPr>
            <w:r>
              <w:rPr>
                <w:color w:val="000000" w:themeColor="text1"/>
                <w:sz w:val="20"/>
                <w:szCs w:val="20"/>
                <w:lang w:val="fr-CA"/>
              </w:rPr>
              <w:t>Total partiel d’</w:t>
            </w:r>
            <w:r w:rsidR="008042A6" w:rsidRPr="00E92B7D">
              <w:rPr>
                <w:color w:val="000000" w:themeColor="text1"/>
                <w:sz w:val="20"/>
                <w:szCs w:val="20"/>
                <w:lang w:val="fr-CA"/>
              </w:rPr>
              <w:t>A1</w:t>
            </w:r>
          </w:p>
        </w:tc>
        <w:tc>
          <w:tcPr>
            <w:tcW w:w="614" w:type="pct"/>
            <w:shd w:val="clear" w:color="auto" w:fill="auto"/>
            <w:vAlign w:val="bottom"/>
          </w:tcPr>
          <w:p w14:paraId="27EBB68E" w14:textId="0DB1C6F4" w:rsidR="008042A6" w:rsidRPr="00E92B7D" w:rsidRDefault="008042A6" w:rsidP="008042A6">
            <w:pPr>
              <w:snapToGrid w:val="0"/>
              <w:jc w:val="right"/>
              <w:rPr>
                <w:color w:val="000000"/>
                <w:sz w:val="20"/>
                <w:szCs w:val="20"/>
                <w:lang w:val="fr-CA"/>
              </w:rPr>
            </w:pPr>
            <w:r w:rsidRPr="00E92B7D">
              <w:rPr>
                <w:color w:val="000000"/>
                <w:sz w:val="20"/>
                <w:szCs w:val="20"/>
                <w:lang w:val="fr-CA"/>
              </w:rPr>
              <w:t>948,211</w:t>
            </w:r>
          </w:p>
        </w:tc>
        <w:tc>
          <w:tcPr>
            <w:tcW w:w="857" w:type="pct"/>
            <w:shd w:val="clear" w:color="auto" w:fill="auto"/>
            <w:vAlign w:val="bottom"/>
          </w:tcPr>
          <w:p w14:paraId="18C73F47" w14:textId="15F8C612" w:rsidR="008042A6" w:rsidRPr="00E92B7D" w:rsidRDefault="008042A6" w:rsidP="008042A6">
            <w:pPr>
              <w:snapToGrid w:val="0"/>
              <w:jc w:val="right"/>
              <w:rPr>
                <w:color w:val="000000"/>
                <w:sz w:val="20"/>
                <w:szCs w:val="20"/>
                <w:lang w:val="fr-CA"/>
              </w:rPr>
            </w:pPr>
            <w:r w:rsidRPr="00E92B7D">
              <w:rPr>
                <w:color w:val="000000"/>
                <w:sz w:val="20"/>
                <w:szCs w:val="20"/>
                <w:lang w:val="fr-CA"/>
              </w:rPr>
              <w:t>948</w:t>
            </w:r>
            <w:r w:rsidR="00E422D4">
              <w:rPr>
                <w:color w:val="000000"/>
                <w:sz w:val="20"/>
                <w:szCs w:val="20"/>
                <w:lang w:val="fr-CA"/>
              </w:rPr>
              <w:t xml:space="preserve"> </w:t>
            </w:r>
            <w:r w:rsidRPr="00E92B7D">
              <w:rPr>
                <w:color w:val="000000"/>
                <w:sz w:val="20"/>
                <w:szCs w:val="20"/>
                <w:lang w:val="fr-CA"/>
              </w:rPr>
              <w:t>211</w:t>
            </w:r>
          </w:p>
        </w:tc>
      </w:tr>
      <w:tr w:rsidR="008042A6" w:rsidRPr="00E92B7D" w14:paraId="0896E5D5" w14:textId="77777777" w:rsidTr="001B5926">
        <w:trPr>
          <w:trHeight w:val="219"/>
        </w:trPr>
        <w:tc>
          <w:tcPr>
            <w:tcW w:w="3529" w:type="pct"/>
            <w:gridSpan w:val="2"/>
            <w:shd w:val="clear" w:color="auto" w:fill="auto"/>
          </w:tcPr>
          <w:p w14:paraId="2610ACC9" w14:textId="5769F7FA" w:rsidR="008042A6" w:rsidRPr="00E92B7D" w:rsidRDefault="00964702" w:rsidP="008042A6">
            <w:pPr>
              <w:snapToGrid w:val="0"/>
              <w:jc w:val="right"/>
              <w:rPr>
                <w:sz w:val="20"/>
                <w:szCs w:val="20"/>
                <w:lang w:val="fr-CA"/>
              </w:rPr>
            </w:pPr>
            <w:r>
              <w:rPr>
                <w:color w:val="000000" w:themeColor="text1"/>
                <w:sz w:val="20"/>
                <w:szCs w:val="20"/>
                <w:lang w:val="fr-CA"/>
              </w:rPr>
              <w:t>Coûts d’appui à l’agence</w:t>
            </w:r>
          </w:p>
        </w:tc>
        <w:tc>
          <w:tcPr>
            <w:tcW w:w="614" w:type="pct"/>
            <w:shd w:val="clear" w:color="auto" w:fill="auto"/>
          </w:tcPr>
          <w:p w14:paraId="68C174B5" w14:textId="54640EC5" w:rsidR="008042A6" w:rsidRPr="00E92B7D" w:rsidRDefault="008042A6" w:rsidP="008042A6">
            <w:pPr>
              <w:snapToGrid w:val="0"/>
              <w:jc w:val="right"/>
              <w:rPr>
                <w:color w:val="000000"/>
                <w:sz w:val="20"/>
                <w:szCs w:val="20"/>
                <w:lang w:val="fr-CA"/>
              </w:rPr>
            </w:pPr>
            <w:r w:rsidRPr="00E92B7D">
              <w:rPr>
                <w:color w:val="000000"/>
                <w:sz w:val="20"/>
                <w:szCs w:val="20"/>
                <w:lang w:val="fr-CA"/>
              </w:rPr>
              <w:t>66,375</w:t>
            </w:r>
          </w:p>
        </w:tc>
        <w:tc>
          <w:tcPr>
            <w:tcW w:w="857" w:type="pct"/>
            <w:shd w:val="clear" w:color="auto" w:fill="auto"/>
          </w:tcPr>
          <w:p w14:paraId="60A72DDA" w14:textId="5D9E4B5F" w:rsidR="008042A6" w:rsidRPr="00E92B7D" w:rsidRDefault="008042A6" w:rsidP="008042A6">
            <w:pPr>
              <w:snapToGrid w:val="0"/>
              <w:jc w:val="right"/>
              <w:rPr>
                <w:color w:val="000000"/>
                <w:sz w:val="20"/>
                <w:szCs w:val="20"/>
                <w:lang w:val="fr-CA"/>
              </w:rPr>
            </w:pPr>
            <w:r w:rsidRPr="00E92B7D">
              <w:rPr>
                <w:color w:val="000000"/>
                <w:sz w:val="20"/>
                <w:szCs w:val="20"/>
                <w:lang w:val="fr-CA"/>
              </w:rPr>
              <w:t>66</w:t>
            </w:r>
            <w:r w:rsidR="00E422D4">
              <w:rPr>
                <w:color w:val="000000"/>
                <w:sz w:val="20"/>
                <w:szCs w:val="20"/>
                <w:lang w:val="fr-CA"/>
              </w:rPr>
              <w:t xml:space="preserve"> </w:t>
            </w:r>
            <w:r w:rsidRPr="00E92B7D">
              <w:rPr>
                <w:color w:val="000000"/>
                <w:sz w:val="20"/>
                <w:szCs w:val="20"/>
                <w:lang w:val="fr-CA"/>
              </w:rPr>
              <w:t>375</w:t>
            </w:r>
          </w:p>
        </w:tc>
      </w:tr>
      <w:tr w:rsidR="008042A6" w:rsidRPr="00E92B7D" w14:paraId="6475FD64" w14:textId="77777777" w:rsidTr="001B5926">
        <w:trPr>
          <w:trHeight w:val="219"/>
        </w:trPr>
        <w:tc>
          <w:tcPr>
            <w:tcW w:w="3529" w:type="pct"/>
            <w:gridSpan w:val="2"/>
            <w:shd w:val="clear" w:color="auto" w:fill="auto"/>
          </w:tcPr>
          <w:p w14:paraId="66581A1D" w14:textId="02CA6837" w:rsidR="008042A6" w:rsidRPr="00E92B7D" w:rsidRDefault="008042A6" w:rsidP="00964702">
            <w:pPr>
              <w:snapToGrid w:val="0"/>
              <w:jc w:val="right"/>
              <w:rPr>
                <w:sz w:val="20"/>
                <w:szCs w:val="20"/>
                <w:lang w:val="fr-CA"/>
              </w:rPr>
            </w:pPr>
            <w:r w:rsidRPr="00E92B7D">
              <w:rPr>
                <w:color w:val="000000" w:themeColor="text1"/>
                <w:sz w:val="20"/>
                <w:szCs w:val="20"/>
                <w:lang w:val="fr-CA"/>
              </w:rPr>
              <w:t xml:space="preserve">Total </w:t>
            </w:r>
            <w:r w:rsidR="00964702">
              <w:rPr>
                <w:color w:val="000000" w:themeColor="text1"/>
                <w:sz w:val="20"/>
                <w:szCs w:val="20"/>
                <w:lang w:val="fr-CA"/>
              </w:rPr>
              <w:t>d’</w:t>
            </w:r>
            <w:r w:rsidRPr="00E92B7D">
              <w:rPr>
                <w:color w:val="000000" w:themeColor="text1"/>
                <w:sz w:val="20"/>
                <w:szCs w:val="20"/>
                <w:lang w:val="fr-CA"/>
              </w:rPr>
              <w:t>A1</w:t>
            </w:r>
          </w:p>
        </w:tc>
        <w:tc>
          <w:tcPr>
            <w:tcW w:w="614" w:type="pct"/>
            <w:shd w:val="clear" w:color="auto" w:fill="auto"/>
            <w:vAlign w:val="center"/>
          </w:tcPr>
          <w:p w14:paraId="5CEEAA71" w14:textId="50DBC0BF" w:rsidR="008042A6" w:rsidRPr="00E92B7D" w:rsidRDefault="008042A6" w:rsidP="008042A6">
            <w:pPr>
              <w:snapToGrid w:val="0"/>
              <w:jc w:val="right"/>
              <w:rPr>
                <w:color w:val="000000"/>
                <w:sz w:val="20"/>
                <w:szCs w:val="20"/>
                <w:lang w:val="fr-CA"/>
              </w:rPr>
            </w:pPr>
            <w:r w:rsidRPr="00E92B7D">
              <w:rPr>
                <w:color w:val="000000"/>
                <w:sz w:val="20"/>
                <w:szCs w:val="20"/>
                <w:lang w:val="fr-CA"/>
              </w:rPr>
              <w:t>1</w:t>
            </w:r>
            <w:r w:rsidR="00E422D4">
              <w:rPr>
                <w:color w:val="000000"/>
                <w:sz w:val="20"/>
                <w:szCs w:val="20"/>
                <w:lang w:val="fr-CA"/>
              </w:rPr>
              <w:t xml:space="preserve"> 014 </w:t>
            </w:r>
            <w:r w:rsidRPr="00E92B7D">
              <w:rPr>
                <w:color w:val="000000"/>
                <w:sz w:val="20"/>
                <w:szCs w:val="20"/>
                <w:lang w:val="fr-CA"/>
              </w:rPr>
              <w:t>586</w:t>
            </w:r>
          </w:p>
        </w:tc>
        <w:tc>
          <w:tcPr>
            <w:tcW w:w="857" w:type="pct"/>
            <w:shd w:val="clear" w:color="auto" w:fill="auto"/>
            <w:vAlign w:val="center"/>
          </w:tcPr>
          <w:p w14:paraId="4B0D9E12" w14:textId="6C0140FE" w:rsidR="008042A6" w:rsidRPr="00E92B7D" w:rsidRDefault="008042A6" w:rsidP="008042A6">
            <w:pPr>
              <w:snapToGrid w:val="0"/>
              <w:jc w:val="right"/>
              <w:rPr>
                <w:color w:val="000000"/>
                <w:sz w:val="20"/>
                <w:szCs w:val="20"/>
                <w:lang w:val="fr-CA"/>
              </w:rPr>
            </w:pPr>
            <w:r w:rsidRPr="00E92B7D">
              <w:rPr>
                <w:color w:val="000000"/>
                <w:sz w:val="20"/>
                <w:szCs w:val="20"/>
                <w:lang w:val="fr-CA"/>
              </w:rPr>
              <w:t>1</w:t>
            </w:r>
            <w:r w:rsidR="00E422D4">
              <w:rPr>
                <w:color w:val="000000"/>
                <w:sz w:val="20"/>
                <w:szCs w:val="20"/>
                <w:lang w:val="fr-CA"/>
              </w:rPr>
              <w:t xml:space="preserve"> </w:t>
            </w:r>
            <w:r w:rsidRPr="00E92B7D">
              <w:rPr>
                <w:color w:val="000000"/>
                <w:sz w:val="20"/>
                <w:szCs w:val="20"/>
                <w:lang w:val="fr-CA"/>
              </w:rPr>
              <w:t>014</w:t>
            </w:r>
            <w:r w:rsidR="00E422D4">
              <w:rPr>
                <w:color w:val="000000"/>
                <w:sz w:val="20"/>
                <w:szCs w:val="20"/>
                <w:lang w:val="fr-CA"/>
              </w:rPr>
              <w:t xml:space="preserve"> </w:t>
            </w:r>
            <w:r w:rsidRPr="00E92B7D">
              <w:rPr>
                <w:color w:val="000000"/>
                <w:sz w:val="20"/>
                <w:szCs w:val="20"/>
                <w:lang w:val="fr-CA"/>
              </w:rPr>
              <w:t>586</w:t>
            </w:r>
          </w:p>
        </w:tc>
      </w:tr>
      <w:tr w:rsidR="008042A6" w:rsidRPr="007C1FA2" w14:paraId="6E33000D" w14:textId="77777777" w:rsidTr="004B4D67">
        <w:trPr>
          <w:trHeight w:val="219"/>
        </w:trPr>
        <w:tc>
          <w:tcPr>
            <w:tcW w:w="5000" w:type="pct"/>
            <w:gridSpan w:val="4"/>
            <w:shd w:val="clear" w:color="auto" w:fill="auto"/>
            <w:vAlign w:val="bottom"/>
          </w:tcPr>
          <w:p w14:paraId="7C1FE221" w14:textId="4BD6587B" w:rsidR="008042A6" w:rsidRPr="00964702" w:rsidRDefault="008042A6" w:rsidP="00964702">
            <w:pPr>
              <w:snapToGrid w:val="0"/>
              <w:jc w:val="left"/>
              <w:rPr>
                <w:color w:val="000000"/>
                <w:sz w:val="20"/>
                <w:szCs w:val="20"/>
                <w:lang w:val="fr-CA"/>
              </w:rPr>
            </w:pPr>
            <w:r w:rsidRPr="00964702">
              <w:rPr>
                <w:b/>
                <w:color w:val="000000" w:themeColor="text1"/>
                <w:sz w:val="20"/>
                <w:szCs w:val="20"/>
                <w:lang w:val="fr-CA"/>
              </w:rPr>
              <w:t>A2</w:t>
            </w:r>
            <w:r w:rsidR="000524FE">
              <w:rPr>
                <w:b/>
                <w:color w:val="000000" w:themeColor="text1"/>
                <w:sz w:val="20"/>
                <w:szCs w:val="20"/>
                <w:lang w:val="fr-CA"/>
              </w:rPr>
              <w:t> </w:t>
            </w:r>
            <w:r w:rsidRPr="00964702">
              <w:rPr>
                <w:b/>
                <w:color w:val="000000" w:themeColor="text1"/>
                <w:sz w:val="20"/>
                <w:szCs w:val="20"/>
                <w:lang w:val="fr-CA"/>
              </w:rPr>
              <w:t xml:space="preserve">: </w:t>
            </w:r>
            <w:r w:rsidR="00964702" w:rsidRPr="00964702">
              <w:rPr>
                <w:b/>
                <w:color w:val="000000" w:themeColor="text1"/>
                <w:sz w:val="20"/>
                <w:szCs w:val="20"/>
                <w:lang w:val="fr-CA"/>
              </w:rPr>
              <w:t xml:space="preserve">Assistance technique pour </w:t>
            </w:r>
            <w:r w:rsidR="00964702">
              <w:rPr>
                <w:b/>
                <w:color w:val="000000" w:themeColor="text1"/>
                <w:sz w:val="20"/>
                <w:szCs w:val="20"/>
                <w:lang w:val="fr-CA"/>
              </w:rPr>
              <w:t>la préparati</w:t>
            </w:r>
            <w:r w:rsidR="00964702" w:rsidRPr="00964702">
              <w:rPr>
                <w:b/>
                <w:color w:val="000000" w:themeColor="text1"/>
                <w:sz w:val="20"/>
                <w:szCs w:val="20"/>
                <w:lang w:val="fr-CA"/>
              </w:rPr>
              <w:t xml:space="preserve">on des rapports de </w:t>
            </w:r>
            <w:r w:rsidR="00964702">
              <w:rPr>
                <w:b/>
                <w:color w:val="000000" w:themeColor="text1"/>
                <w:sz w:val="20"/>
                <w:szCs w:val="20"/>
                <w:lang w:val="fr-CA"/>
              </w:rPr>
              <w:t>vé</w:t>
            </w:r>
            <w:r w:rsidR="00964702" w:rsidRPr="00964702">
              <w:rPr>
                <w:b/>
                <w:color w:val="000000" w:themeColor="text1"/>
                <w:sz w:val="20"/>
                <w:szCs w:val="20"/>
                <w:lang w:val="fr-CA"/>
              </w:rPr>
              <w:t>rification de la cons</w:t>
            </w:r>
            <w:r w:rsidR="00964702">
              <w:rPr>
                <w:b/>
                <w:color w:val="000000" w:themeColor="text1"/>
                <w:sz w:val="20"/>
                <w:szCs w:val="20"/>
                <w:lang w:val="fr-CA"/>
              </w:rPr>
              <w:t>o</w:t>
            </w:r>
            <w:r w:rsidR="00964702" w:rsidRPr="00964702">
              <w:rPr>
                <w:b/>
                <w:color w:val="000000" w:themeColor="text1"/>
                <w:sz w:val="20"/>
                <w:szCs w:val="20"/>
                <w:lang w:val="fr-CA"/>
              </w:rPr>
              <w:t>mmation de HCFC</w:t>
            </w:r>
          </w:p>
        </w:tc>
      </w:tr>
      <w:tr w:rsidR="008042A6" w:rsidRPr="00E92B7D" w14:paraId="69125A7F" w14:textId="77777777" w:rsidTr="001B5926">
        <w:trPr>
          <w:trHeight w:val="219"/>
        </w:trPr>
        <w:tc>
          <w:tcPr>
            <w:tcW w:w="951" w:type="pct"/>
            <w:shd w:val="clear" w:color="auto" w:fill="auto"/>
          </w:tcPr>
          <w:p w14:paraId="067DEB09" w14:textId="2E4A1ACD" w:rsidR="008042A6" w:rsidRPr="00E92B7D" w:rsidRDefault="00964702" w:rsidP="008042A6">
            <w:pPr>
              <w:jc w:val="left"/>
              <w:rPr>
                <w:color w:val="000000"/>
                <w:sz w:val="20"/>
                <w:szCs w:val="20"/>
                <w:lang w:val="fr-CA"/>
              </w:rPr>
            </w:pPr>
            <w:r>
              <w:rPr>
                <w:color w:val="000000" w:themeColor="text1"/>
                <w:sz w:val="20"/>
                <w:szCs w:val="20"/>
                <w:lang w:val="fr-CA"/>
              </w:rPr>
              <w:t>Bosnie-Herzégovine</w:t>
            </w:r>
          </w:p>
        </w:tc>
        <w:tc>
          <w:tcPr>
            <w:tcW w:w="2578" w:type="pct"/>
            <w:shd w:val="clear" w:color="auto" w:fill="auto"/>
          </w:tcPr>
          <w:p w14:paraId="27AE703E" w14:textId="7B2F61C6" w:rsidR="008042A6" w:rsidRPr="00595C77" w:rsidRDefault="00964702" w:rsidP="000524FE">
            <w:pPr>
              <w:snapToGrid w:val="0"/>
              <w:jc w:val="left"/>
              <w:rPr>
                <w:sz w:val="20"/>
                <w:szCs w:val="20"/>
                <w:lang w:val="fr-CA"/>
              </w:rPr>
            </w:pPr>
            <w:r w:rsidRPr="00595C77">
              <w:rPr>
                <w:sz w:val="20"/>
                <w:szCs w:val="20"/>
                <w:lang w:val="fr-CA"/>
              </w:rPr>
              <w:t>Rapport de vérification de la phase I du plan de gestion de l</w:t>
            </w:r>
            <w:r w:rsidR="000524FE">
              <w:rPr>
                <w:sz w:val="20"/>
                <w:szCs w:val="20"/>
                <w:lang w:val="fr-CA"/>
              </w:rPr>
              <w:t>’</w:t>
            </w:r>
            <w:r w:rsidRPr="00595C77">
              <w:rPr>
                <w:sz w:val="20"/>
                <w:szCs w:val="20"/>
                <w:lang w:val="fr-CA"/>
              </w:rPr>
              <w:t>élimination des HCFC</w:t>
            </w:r>
          </w:p>
        </w:tc>
        <w:tc>
          <w:tcPr>
            <w:tcW w:w="614" w:type="pct"/>
            <w:shd w:val="clear" w:color="auto" w:fill="auto"/>
          </w:tcPr>
          <w:p w14:paraId="6A14C84C" w14:textId="07F9E4A8" w:rsidR="008042A6" w:rsidRPr="00E92B7D" w:rsidRDefault="008042A6" w:rsidP="008042A6">
            <w:pPr>
              <w:snapToGrid w:val="0"/>
              <w:jc w:val="right"/>
              <w:rPr>
                <w:color w:val="000000"/>
                <w:sz w:val="20"/>
                <w:szCs w:val="20"/>
                <w:lang w:val="fr-CA"/>
              </w:rPr>
            </w:pPr>
            <w:r w:rsidRPr="00E92B7D">
              <w:rPr>
                <w:color w:val="000000" w:themeColor="text1"/>
                <w:sz w:val="20"/>
                <w:szCs w:val="20"/>
                <w:lang w:val="fr-CA"/>
              </w:rPr>
              <w:t>30</w:t>
            </w:r>
            <w:r w:rsidR="00E422D4">
              <w:rPr>
                <w:color w:val="000000" w:themeColor="text1"/>
                <w:sz w:val="20"/>
                <w:szCs w:val="20"/>
                <w:lang w:val="fr-CA"/>
              </w:rPr>
              <w:t xml:space="preserve"> </w:t>
            </w:r>
            <w:r w:rsidRPr="00E92B7D">
              <w:rPr>
                <w:color w:val="000000" w:themeColor="text1"/>
                <w:sz w:val="20"/>
                <w:szCs w:val="20"/>
                <w:lang w:val="fr-CA"/>
              </w:rPr>
              <w:t>000</w:t>
            </w:r>
          </w:p>
        </w:tc>
        <w:tc>
          <w:tcPr>
            <w:tcW w:w="857" w:type="pct"/>
            <w:shd w:val="clear" w:color="auto" w:fill="auto"/>
          </w:tcPr>
          <w:p w14:paraId="3A54FA47" w14:textId="1B29AEF3" w:rsidR="008042A6" w:rsidRPr="00E92B7D" w:rsidRDefault="00E422D4" w:rsidP="008042A6">
            <w:pPr>
              <w:snapToGrid w:val="0"/>
              <w:jc w:val="right"/>
              <w:rPr>
                <w:color w:val="000000"/>
                <w:sz w:val="20"/>
                <w:szCs w:val="20"/>
                <w:lang w:val="fr-CA"/>
              </w:rPr>
            </w:pPr>
            <w:r>
              <w:rPr>
                <w:color w:val="000000" w:themeColor="text1"/>
                <w:sz w:val="20"/>
                <w:szCs w:val="20"/>
                <w:lang w:val="fr-CA"/>
              </w:rPr>
              <w:t xml:space="preserve">30 </w:t>
            </w:r>
            <w:r w:rsidR="008042A6" w:rsidRPr="00E92B7D">
              <w:rPr>
                <w:color w:val="000000" w:themeColor="text1"/>
                <w:sz w:val="20"/>
                <w:szCs w:val="20"/>
                <w:lang w:val="fr-CA"/>
              </w:rPr>
              <w:t>000</w:t>
            </w:r>
          </w:p>
        </w:tc>
      </w:tr>
      <w:tr w:rsidR="008042A6" w:rsidRPr="00E92B7D" w14:paraId="20C7509F" w14:textId="77777777" w:rsidTr="001B5926">
        <w:trPr>
          <w:trHeight w:val="219"/>
        </w:trPr>
        <w:tc>
          <w:tcPr>
            <w:tcW w:w="951" w:type="pct"/>
            <w:shd w:val="clear" w:color="auto" w:fill="auto"/>
          </w:tcPr>
          <w:p w14:paraId="53CA1F7B" w14:textId="13290804" w:rsidR="008042A6" w:rsidRPr="00E92B7D" w:rsidRDefault="00964702" w:rsidP="008042A6">
            <w:pPr>
              <w:jc w:val="left"/>
              <w:rPr>
                <w:color w:val="000000"/>
                <w:sz w:val="20"/>
                <w:szCs w:val="20"/>
                <w:lang w:val="fr-CA"/>
              </w:rPr>
            </w:pPr>
            <w:r>
              <w:rPr>
                <w:color w:val="000000" w:themeColor="text1"/>
                <w:sz w:val="20"/>
                <w:szCs w:val="20"/>
                <w:lang w:val="fr-CA"/>
              </w:rPr>
              <w:t>Macédoine du Nord</w:t>
            </w:r>
          </w:p>
        </w:tc>
        <w:tc>
          <w:tcPr>
            <w:tcW w:w="2578" w:type="pct"/>
            <w:shd w:val="clear" w:color="auto" w:fill="auto"/>
          </w:tcPr>
          <w:p w14:paraId="0C26853C" w14:textId="1F77B167" w:rsidR="008042A6" w:rsidRPr="00595C77" w:rsidRDefault="00964702" w:rsidP="000524FE">
            <w:pPr>
              <w:snapToGrid w:val="0"/>
              <w:jc w:val="left"/>
              <w:rPr>
                <w:sz w:val="20"/>
                <w:szCs w:val="20"/>
                <w:lang w:val="fr-CA"/>
              </w:rPr>
            </w:pPr>
            <w:r w:rsidRPr="00595C77">
              <w:rPr>
                <w:sz w:val="20"/>
                <w:szCs w:val="20"/>
                <w:lang w:val="fr-CA"/>
              </w:rPr>
              <w:t>Rapport de vérification de la phase I du plan de gestion de l</w:t>
            </w:r>
            <w:r w:rsidR="000524FE">
              <w:rPr>
                <w:sz w:val="20"/>
                <w:szCs w:val="20"/>
                <w:lang w:val="fr-CA"/>
              </w:rPr>
              <w:t>’</w:t>
            </w:r>
            <w:r w:rsidRPr="00595C77">
              <w:rPr>
                <w:sz w:val="20"/>
                <w:szCs w:val="20"/>
                <w:lang w:val="fr-CA"/>
              </w:rPr>
              <w:t>élimination des HCFC</w:t>
            </w:r>
          </w:p>
        </w:tc>
        <w:tc>
          <w:tcPr>
            <w:tcW w:w="614" w:type="pct"/>
            <w:shd w:val="clear" w:color="auto" w:fill="auto"/>
          </w:tcPr>
          <w:p w14:paraId="3CD20738" w14:textId="75CFB832" w:rsidR="008042A6" w:rsidRPr="00E92B7D" w:rsidRDefault="008042A6" w:rsidP="008042A6">
            <w:pPr>
              <w:snapToGrid w:val="0"/>
              <w:jc w:val="right"/>
              <w:rPr>
                <w:color w:val="000000"/>
                <w:sz w:val="20"/>
                <w:szCs w:val="20"/>
                <w:lang w:val="fr-CA"/>
              </w:rPr>
            </w:pPr>
            <w:r w:rsidRPr="00E92B7D">
              <w:rPr>
                <w:color w:val="000000" w:themeColor="text1"/>
                <w:sz w:val="20"/>
                <w:szCs w:val="20"/>
                <w:lang w:val="fr-CA"/>
              </w:rPr>
              <w:t>30</w:t>
            </w:r>
            <w:r w:rsidR="00E422D4">
              <w:rPr>
                <w:color w:val="000000" w:themeColor="text1"/>
                <w:sz w:val="20"/>
                <w:szCs w:val="20"/>
                <w:lang w:val="fr-CA"/>
              </w:rPr>
              <w:t xml:space="preserve"> </w:t>
            </w:r>
            <w:r w:rsidRPr="00E92B7D">
              <w:rPr>
                <w:color w:val="000000" w:themeColor="text1"/>
                <w:sz w:val="20"/>
                <w:szCs w:val="20"/>
                <w:lang w:val="fr-CA"/>
              </w:rPr>
              <w:t>000</w:t>
            </w:r>
          </w:p>
        </w:tc>
        <w:tc>
          <w:tcPr>
            <w:tcW w:w="857" w:type="pct"/>
            <w:shd w:val="clear" w:color="auto" w:fill="auto"/>
          </w:tcPr>
          <w:p w14:paraId="606BC090" w14:textId="356CF786" w:rsidR="008042A6" w:rsidRPr="00E92B7D" w:rsidRDefault="00E422D4" w:rsidP="008042A6">
            <w:pPr>
              <w:snapToGrid w:val="0"/>
              <w:jc w:val="right"/>
              <w:rPr>
                <w:color w:val="000000"/>
                <w:sz w:val="20"/>
                <w:szCs w:val="20"/>
                <w:lang w:val="fr-CA"/>
              </w:rPr>
            </w:pPr>
            <w:r>
              <w:rPr>
                <w:color w:val="000000" w:themeColor="text1"/>
                <w:sz w:val="20"/>
                <w:szCs w:val="20"/>
                <w:lang w:val="fr-CA"/>
              </w:rPr>
              <w:t xml:space="preserve">30 </w:t>
            </w:r>
            <w:r w:rsidR="008042A6" w:rsidRPr="00E92B7D">
              <w:rPr>
                <w:color w:val="000000" w:themeColor="text1"/>
                <w:sz w:val="20"/>
                <w:szCs w:val="20"/>
                <w:lang w:val="fr-CA"/>
              </w:rPr>
              <w:t>000</w:t>
            </w:r>
          </w:p>
        </w:tc>
      </w:tr>
      <w:tr w:rsidR="008042A6" w:rsidRPr="00E92B7D" w14:paraId="0125C01C" w14:textId="77777777" w:rsidTr="001B5926">
        <w:trPr>
          <w:trHeight w:val="219"/>
        </w:trPr>
        <w:tc>
          <w:tcPr>
            <w:tcW w:w="3529" w:type="pct"/>
            <w:gridSpan w:val="2"/>
            <w:shd w:val="clear" w:color="auto" w:fill="auto"/>
          </w:tcPr>
          <w:p w14:paraId="325D8207" w14:textId="15D2B24A" w:rsidR="008042A6" w:rsidRPr="00595C77" w:rsidRDefault="00964702" w:rsidP="00964702">
            <w:pPr>
              <w:snapToGrid w:val="0"/>
              <w:jc w:val="right"/>
              <w:rPr>
                <w:sz w:val="20"/>
                <w:szCs w:val="20"/>
                <w:lang w:val="fr-CA"/>
              </w:rPr>
            </w:pPr>
            <w:r w:rsidRPr="00595C77">
              <w:rPr>
                <w:color w:val="000000" w:themeColor="text1"/>
                <w:sz w:val="20"/>
                <w:szCs w:val="20"/>
                <w:lang w:val="fr-CA"/>
              </w:rPr>
              <w:t>Total partiel d’</w:t>
            </w:r>
            <w:r w:rsidR="008042A6" w:rsidRPr="00595C77">
              <w:rPr>
                <w:color w:val="000000" w:themeColor="text1"/>
                <w:sz w:val="20"/>
                <w:szCs w:val="20"/>
                <w:lang w:val="fr-CA"/>
              </w:rPr>
              <w:t>A2</w:t>
            </w:r>
          </w:p>
        </w:tc>
        <w:tc>
          <w:tcPr>
            <w:tcW w:w="614" w:type="pct"/>
            <w:shd w:val="clear" w:color="auto" w:fill="auto"/>
          </w:tcPr>
          <w:p w14:paraId="48520BA0" w14:textId="03D34D58" w:rsidR="008042A6" w:rsidRPr="00E92B7D" w:rsidRDefault="008042A6" w:rsidP="008042A6">
            <w:pPr>
              <w:snapToGrid w:val="0"/>
              <w:jc w:val="right"/>
              <w:rPr>
                <w:color w:val="000000"/>
                <w:sz w:val="20"/>
                <w:szCs w:val="20"/>
                <w:lang w:val="fr-CA"/>
              </w:rPr>
            </w:pPr>
            <w:r w:rsidRPr="00E92B7D">
              <w:rPr>
                <w:color w:val="000000" w:themeColor="text1"/>
                <w:sz w:val="20"/>
                <w:szCs w:val="20"/>
                <w:lang w:val="fr-CA"/>
              </w:rPr>
              <w:t>6</w:t>
            </w:r>
            <w:r w:rsidR="00E422D4">
              <w:rPr>
                <w:color w:val="000000" w:themeColor="text1"/>
                <w:sz w:val="20"/>
                <w:szCs w:val="20"/>
                <w:lang w:val="fr-CA"/>
              </w:rPr>
              <w:t xml:space="preserve">0 </w:t>
            </w:r>
            <w:r w:rsidRPr="00E92B7D">
              <w:rPr>
                <w:color w:val="000000" w:themeColor="text1"/>
                <w:sz w:val="20"/>
                <w:szCs w:val="20"/>
                <w:lang w:val="fr-CA"/>
              </w:rPr>
              <w:t>000</w:t>
            </w:r>
          </w:p>
        </w:tc>
        <w:tc>
          <w:tcPr>
            <w:tcW w:w="857" w:type="pct"/>
            <w:shd w:val="clear" w:color="auto" w:fill="auto"/>
          </w:tcPr>
          <w:p w14:paraId="0E94E51A" w14:textId="1C2528DF" w:rsidR="008042A6" w:rsidRPr="00E92B7D" w:rsidRDefault="008042A6" w:rsidP="008042A6">
            <w:pPr>
              <w:snapToGrid w:val="0"/>
              <w:jc w:val="right"/>
              <w:rPr>
                <w:color w:val="000000"/>
                <w:sz w:val="20"/>
                <w:szCs w:val="20"/>
                <w:lang w:val="fr-CA"/>
              </w:rPr>
            </w:pPr>
            <w:r w:rsidRPr="00E92B7D">
              <w:rPr>
                <w:color w:val="000000" w:themeColor="text1"/>
                <w:sz w:val="20"/>
                <w:szCs w:val="20"/>
                <w:lang w:val="fr-CA"/>
              </w:rPr>
              <w:t>60</w:t>
            </w:r>
            <w:r w:rsidR="00E422D4">
              <w:rPr>
                <w:color w:val="000000" w:themeColor="text1"/>
                <w:sz w:val="20"/>
                <w:szCs w:val="20"/>
                <w:lang w:val="fr-CA"/>
              </w:rPr>
              <w:t xml:space="preserve"> </w:t>
            </w:r>
            <w:r w:rsidRPr="00E92B7D">
              <w:rPr>
                <w:color w:val="000000" w:themeColor="text1"/>
                <w:sz w:val="20"/>
                <w:szCs w:val="20"/>
                <w:lang w:val="fr-CA"/>
              </w:rPr>
              <w:t>000</w:t>
            </w:r>
          </w:p>
        </w:tc>
      </w:tr>
      <w:tr w:rsidR="008042A6" w:rsidRPr="00E92B7D" w14:paraId="41608B86" w14:textId="77777777" w:rsidTr="001B5926">
        <w:trPr>
          <w:trHeight w:val="219"/>
        </w:trPr>
        <w:tc>
          <w:tcPr>
            <w:tcW w:w="3529" w:type="pct"/>
            <w:gridSpan w:val="2"/>
            <w:shd w:val="clear" w:color="auto" w:fill="auto"/>
          </w:tcPr>
          <w:p w14:paraId="054D435F" w14:textId="2A8D65BD" w:rsidR="008042A6" w:rsidRPr="00595C77" w:rsidRDefault="00964702" w:rsidP="008042A6">
            <w:pPr>
              <w:snapToGrid w:val="0"/>
              <w:jc w:val="right"/>
              <w:rPr>
                <w:sz w:val="20"/>
                <w:szCs w:val="20"/>
                <w:lang w:val="fr-CA"/>
              </w:rPr>
            </w:pPr>
            <w:r w:rsidRPr="00595C77">
              <w:rPr>
                <w:color w:val="000000" w:themeColor="text1"/>
                <w:sz w:val="20"/>
                <w:szCs w:val="20"/>
                <w:lang w:val="fr-CA"/>
              </w:rPr>
              <w:t>Coûts d’appui à l’agence</w:t>
            </w:r>
          </w:p>
        </w:tc>
        <w:tc>
          <w:tcPr>
            <w:tcW w:w="614" w:type="pct"/>
            <w:shd w:val="clear" w:color="auto" w:fill="auto"/>
          </w:tcPr>
          <w:p w14:paraId="001E4BC9" w14:textId="3C1DB3EF" w:rsidR="008042A6" w:rsidRPr="00E92B7D" w:rsidRDefault="00E422D4" w:rsidP="008042A6">
            <w:pPr>
              <w:snapToGrid w:val="0"/>
              <w:jc w:val="right"/>
              <w:rPr>
                <w:color w:val="000000"/>
                <w:sz w:val="20"/>
                <w:szCs w:val="20"/>
                <w:lang w:val="fr-CA"/>
              </w:rPr>
            </w:pPr>
            <w:r>
              <w:rPr>
                <w:color w:val="000000" w:themeColor="text1"/>
                <w:sz w:val="20"/>
                <w:szCs w:val="20"/>
                <w:lang w:val="fr-CA"/>
              </w:rPr>
              <w:t xml:space="preserve">5 </w:t>
            </w:r>
            <w:r w:rsidR="008042A6" w:rsidRPr="00E92B7D">
              <w:rPr>
                <w:color w:val="000000" w:themeColor="text1"/>
                <w:sz w:val="20"/>
                <w:szCs w:val="20"/>
                <w:lang w:val="fr-CA"/>
              </w:rPr>
              <w:t>400</w:t>
            </w:r>
          </w:p>
        </w:tc>
        <w:tc>
          <w:tcPr>
            <w:tcW w:w="857" w:type="pct"/>
            <w:shd w:val="clear" w:color="auto" w:fill="auto"/>
          </w:tcPr>
          <w:p w14:paraId="254E214F" w14:textId="339B747D" w:rsidR="008042A6" w:rsidRPr="00E92B7D" w:rsidRDefault="008042A6" w:rsidP="008042A6">
            <w:pPr>
              <w:snapToGrid w:val="0"/>
              <w:jc w:val="right"/>
              <w:rPr>
                <w:color w:val="000000"/>
                <w:sz w:val="20"/>
                <w:szCs w:val="20"/>
                <w:lang w:val="fr-CA"/>
              </w:rPr>
            </w:pPr>
            <w:r w:rsidRPr="00E92B7D">
              <w:rPr>
                <w:color w:val="000000" w:themeColor="text1"/>
                <w:sz w:val="20"/>
                <w:szCs w:val="20"/>
                <w:lang w:val="fr-CA"/>
              </w:rPr>
              <w:t>5</w:t>
            </w:r>
            <w:r w:rsidR="00E422D4">
              <w:rPr>
                <w:color w:val="000000" w:themeColor="text1"/>
                <w:sz w:val="20"/>
                <w:szCs w:val="20"/>
                <w:lang w:val="fr-CA"/>
              </w:rPr>
              <w:t xml:space="preserve"> </w:t>
            </w:r>
            <w:r w:rsidRPr="00E92B7D">
              <w:rPr>
                <w:color w:val="000000" w:themeColor="text1"/>
                <w:sz w:val="20"/>
                <w:szCs w:val="20"/>
                <w:lang w:val="fr-CA"/>
              </w:rPr>
              <w:t>400</w:t>
            </w:r>
          </w:p>
        </w:tc>
      </w:tr>
      <w:tr w:rsidR="008042A6" w:rsidRPr="00E92B7D" w14:paraId="32D106A5" w14:textId="77777777" w:rsidTr="001B5926">
        <w:trPr>
          <w:trHeight w:val="219"/>
        </w:trPr>
        <w:tc>
          <w:tcPr>
            <w:tcW w:w="3529" w:type="pct"/>
            <w:gridSpan w:val="2"/>
            <w:shd w:val="clear" w:color="auto" w:fill="auto"/>
          </w:tcPr>
          <w:p w14:paraId="1E9EA128" w14:textId="4A40A70F" w:rsidR="008042A6" w:rsidRPr="00595C77" w:rsidRDefault="008042A6" w:rsidP="00964702">
            <w:pPr>
              <w:snapToGrid w:val="0"/>
              <w:jc w:val="right"/>
              <w:rPr>
                <w:sz w:val="20"/>
                <w:szCs w:val="20"/>
                <w:lang w:val="fr-CA"/>
              </w:rPr>
            </w:pPr>
            <w:r w:rsidRPr="00595C77">
              <w:rPr>
                <w:color w:val="000000" w:themeColor="text1"/>
                <w:sz w:val="20"/>
                <w:szCs w:val="20"/>
                <w:lang w:val="fr-CA"/>
              </w:rPr>
              <w:t xml:space="preserve">Total </w:t>
            </w:r>
            <w:r w:rsidR="00964702" w:rsidRPr="00595C77">
              <w:rPr>
                <w:color w:val="000000" w:themeColor="text1"/>
                <w:sz w:val="20"/>
                <w:szCs w:val="20"/>
                <w:lang w:val="fr-CA"/>
              </w:rPr>
              <w:t>d’</w:t>
            </w:r>
            <w:r w:rsidRPr="00595C77">
              <w:rPr>
                <w:color w:val="000000" w:themeColor="text1"/>
                <w:sz w:val="20"/>
                <w:szCs w:val="20"/>
                <w:lang w:val="fr-CA"/>
              </w:rPr>
              <w:t>A2</w:t>
            </w:r>
          </w:p>
        </w:tc>
        <w:tc>
          <w:tcPr>
            <w:tcW w:w="614" w:type="pct"/>
            <w:shd w:val="clear" w:color="auto" w:fill="auto"/>
          </w:tcPr>
          <w:p w14:paraId="4699457C" w14:textId="641B0652" w:rsidR="008042A6" w:rsidRPr="00E92B7D" w:rsidRDefault="008042A6" w:rsidP="008042A6">
            <w:pPr>
              <w:snapToGrid w:val="0"/>
              <w:jc w:val="right"/>
              <w:rPr>
                <w:color w:val="000000"/>
                <w:sz w:val="20"/>
                <w:szCs w:val="20"/>
                <w:lang w:val="fr-CA"/>
              </w:rPr>
            </w:pPr>
            <w:r w:rsidRPr="00E92B7D">
              <w:rPr>
                <w:color w:val="000000" w:themeColor="text1"/>
                <w:sz w:val="20"/>
                <w:szCs w:val="20"/>
                <w:lang w:val="fr-CA"/>
              </w:rPr>
              <w:t>6</w:t>
            </w:r>
            <w:r w:rsidR="00E422D4">
              <w:rPr>
                <w:color w:val="000000" w:themeColor="text1"/>
                <w:sz w:val="20"/>
                <w:szCs w:val="20"/>
                <w:lang w:val="fr-CA"/>
              </w:rPr>
              <w:t xml:space="preserve">5 </w:t>
            </w:r>
            <w:r w:rsidRPr="00E92B7D">
              <w:rPr>
                <w:color w:val="000000" w:themeColor="text1"/>
                <w:sz w:val="20"/>
                <w:szCs w:val="20"/>
                <w:lang w:val="fr-CA"/>
              </w:rPr>
              <w:t>400</w:t>
            </w:r>
          </w:p>
        </w:tc>
        <w:tc>
          <w:tcPr>
            <w:tcW w:w="857" w:type="pct"/>
            <w:shd w:val="clear" w:color="auto" w:fill="auto"/>
          </w:tcPr>
          <w:p w14:paraId="010B8A9B" w14:textId="788E1E61" w:rsidR="008042A6" w:rsidRPr="00E92B7D" w:rsidRDefault="008042A6" w:rsidP="008042A6">
            <w:pPr>
              <w:snapToGrid w:val="0"/>
              <w:jc w:val="right"/>
              <w:rPr>
                <w:color w:val="000000"/>
                <w:sz w:val="20"/>
                <w:szCs w:val="20"/>
                <w:lang w:val="fr-CA"/>
              </w:rPr>
            </w:pPr>
            <w:r w:rsidRPr="00E92B7D">
              <w:rPr>
                <w:color w:val="000000" w:themeColor="text1"/>
                <w:sz w:val="20"/>
                <w:szCs w:val="20"/>
                <w:lang w:val="fr-CA"/>
              </w:rPr>
              <w:t>65</w:t>
            </w:r>
            <w:r w:rsidR="00E422D4">
              <w:rPr>
                <w:color w:val="000000" w:themeColor="text1"/>
                <w:sz w:val="20"/>
                <w:szCs w:val="20"/>
                <w:lang w:val="fr-CA"/>
              </w:rPr>
              <w:t xml:space="preserve"> </w:t>
            </w:r>
            <w:r w:rsidRPr="00E92B7D">
              <w:rPr>
                <w:color w:val="000000" w:themeColor="text1"/>
                <w:sz w:val="20"/>
                <w:szCs w:val="20"/>
                <w:lang w:val="fr-CA"/>
              </w:rPr>
              <w:t>400</w:t>
            </w:r>
          </w:p>
        </w:tc>
      </w:tr>
      <w:tr w:rsidR="008042A6" w:rsidRPr="007C1FA2" w14:paraId="76B7C500" w14:textId="77777777" w:rsidTr="001B5926">
        <w:trPr>
          <w:trHeight w:val="235"/>
        </w:trPr>
        <w:tc>
          <w:tcPr>
            <w:tcW w:w="3529" w:type="pct"/>
            <w:gridSpan w:val="2"/>
          </w:tcPr>
          <w:p w14:paraId="7F56702F" w14:textId="2FAF310C" w:rsidR="008042A6" w:rsidRPr="00595C77" w:rsidRDefault="008042A6" w:rsidP="00964702">
            <w:pPr>
              <w:jc w:val="left"/>
              <w:rPr>
                <w:b/>
                <w:color w:val="000000" w:themeColor="text1"/>
                <w:sz w:val="20"/>
                <w:szCs w:val="20"/>
                <w:lang w:val="fr-CA"/>
              </w:rPr>
            </w:pPr>
            <w:r w:rsidRPr="00595C77">
              <w:rPr>
                <w:b/>
                <w:color w:val="000000" w:themeColor="text1"/>
                <w:sz w:val="20"/>
                <w:szCs w:val="20"/>
                <w:lang w:val="fr-CA"/>
              </w:rPr>
              <w:t>A3</w:t>
            </w:r>
            <w:r w:rsidR="000524FE">
              <w:rPr>
                <w:b/>
                <w:color w:val="000000" w:themeColor="text1"/>
                <w:sz w:val="20"/>
                <w:szCs w:val="20"/>
                <w:lang w:val="fr-CA"/>
              </w:rPr>
              <w:t> </w:t>
            </w:r>
            <w:r w:rsidRPr="00595C77">
              <w:rPr>
                <w:b/>
                <w:color w:val="000000" w:themeColor="text1"/>
                <w:sz w:val="20"/>
                <w:szCs w:val="20"/>
                <w:lang w:val="fr-CA"/>
              </w:rPr>
              <w:t xml:space="preserve">: </w:t>
            </w:r>
            <w:r w:rsidR="00964702" w:rsidRPr="00595C77">
              <w:rPr>
                <w:b/>
                <w:color w:val="000000" w:themeColor="text1"/>
                <w:sz w:val="20"/>
                <w:szCs w:val="20"/>
                <w:lang w:val="fr-CA"/>
              </w:rPr>
              <w:t>Préparation de projet pour le</w:t>
            </w:r>
            <w:r w:rsidR="00595C77">
              <w:rPr>
                <w:b/>
                <w:color w:val="000000" w:themeColor="text1"/>
                <w:sz w:val="20"/>
                <w:szCs w:val="20"/>
                <w:lang w:val="fr-CA"/>
              </w:rPr>
              <w:t>s</w:t>
            </w:r>
            <w:r w:rsidR="00964702" w:rsidRPr="00595C77">
              <w:rPr>
                <w:b/>
                <w:color w:val="000000" w:themeColor="text1"/>
                <w:sz w:val="20"/>
                <w:szCs w:val="20"/>
                <w:lang w:val="fr-CA"/>
              </w:rPr>
              <w:t xml:space="preserve"> plan</w:t>
            </w:r>
            <w:r w:rsidR="00595C77">
              <w:rPr>
                <w:b/>
                <w:color w:val="000000" w:themeColor="text1"/>
                <w:sz w:val="20"/>
                <w:szCs w:val="20"/>
                <w:lang w:val="fr-CA"/>
              </w:rPr>
              <w:t>s</w:t>
            </w:r>
            <w:r w:rsidR="00964702" w:rsidRPr="00595C77">
              <w:rPr>
                <w:b/>
                <w:color w:val="000000" w:themeColor="text1"/>
                <w:sz w:val="20"/>
                <w:szCs w:val="20"/>
                <w:lang w:val="fr-CA"/>
              </w:rPr>
              <w:t xml:space="preserve"> de gestion de l</w:t>
            </w:r>
            <w:r w:rsidR="000524FE">
              <w:rPr>
                <w:b/>
                <w:color w:val="000000" w:themeColor="text1"/>
                <w:sz w:val="20"/>
                <w:szCs w:val="20"/>
                <w:lang w:val="fr-CA"/>
              </w:rPr>
              <w:t>’</w:t>
            </w:r>
            <w:r w:rsidR="00964702" w:rsidRPr="00595C77">
              <w:rPr>
                <w:b/>
                <w:color w:val="000000" w:themeColor="text1"/>
                <w:sz w:val="20"/>
                <w:szCs w:val="20"/>
                <w:lang w:val="fr-CA"/>
              </w:rPr>
              <w:t>élimination des HCFC (PGEH)</w:t>
            </w:r>
          </w:p>
        </w:tc>
        <w:tc>
          <w:tcPr>
            <w:tcW w:w="614" w:type="pct"/>
          </w:tcPr>
          <w:p w14:paraId="321AAA92" w14:textId="77777777" w:rsidR="008042A6" w:rsidRPr="00964702" w:rsidRDefault="008042A6" w:rsidP="008042A6">
            <w:pPr>
              <w:jc w:val="right"/>
              <w:rPr>
                <w:color w:val="000000" w:themeColor="text1"/>
                <w:sz w:val="20"/>
                <w:szCs w:val="20"/>
                <w:highlight w:val="yellow"/>
                <w:lang w:val="fr-CA"/>
              </w:rPr>
            </w:pPr>
          </w:p>
        </w:tc>
        <w:tc>
          <w:tcPr>
            <w:tcW w:w="857" w:type="pct"/>
          </w:tcPr>
          <w:p w14:paraId="440E614E" w14:textId="77777777" w:rsidR="008042A6" w:rsidRPr="00964702" w:rsidRDefault="008042A6" w:rsidP="008042A6">
            <w:pPr>
              <w:jc w:val="right"/>
              <w:rPr>
                <w:color w:val="000000" w:themeColor="text1"/>
                <w:sz w:val="20"/>
                <w:szCs w:val="20"/>
                <w:highlight w:val="yellow"/>
                <w:lang w:val="fr-CA"/>
              </w:rPr>
            </w:pPr>
          </w:p>
        </w:tc>
      </w:tr>
      <w:tr w:rsidR="008042A6" w:rsidRPr="00E92B7D" w14:paraId="5C8399E0" w14:textId="77777777" w:rsidTr="001B5926">
        <w:trPr>
          <w:trHeight w:val="235"/>
        </w:trPr>
        <w:tc>
          <w:tcPr>
            <w:tcW w:w="951" w:type="pct"/>
            <w:vAlign w:val="center"/>
          </w:tcPr>
          <w:p w14:paraId="030D7EC6" w14:textId="176E8C33" w:rsidR="008042A6" w:rsidRPr="00E92B7D" w:rsidRDefault="00C95FA5" w:rsidP="008042A6">
            <w:pPr>
              <w:snapToGrid w:val="0"/>
              <w:rPr>
                <w:sz w:val="20"/>
                <w:szCs w:val="20"/>
                <w:lang w:val="fr-CA"/>
              </w:rPr>
            </w:pPr>
            <w:r>
              <w:rPr>
                <w:bCs/>
                <w:color w:val="000000"/>
                <w:sz w:val="20"/>
                <w:szCs w:val="20"/>
                <w:lang w:val="fr-CA"/>
              </w:rPr>
              <w:t>Chili</w:t>
            </w:r>
            <w:r w:rsidR="008042A6" w:rsidRPr="00E92B7D">
              <w:rPr>
                <w:bCs/>
                <w:color w:val="000000"/>
                <w:sz w:val="20"/>
                <w:szCs w:val="20"/>
                <w:lang w:val="fr-CA"/>
              </w:rPr>
              <w:t>*</w:t>
            </w:r>
          </w:p>
        </w:tc>
        <w:tc>
          <w:tcPr>
            <w:tcW w:w="2578" w:type="pct"/>
            <w:vAlign w:val="center"/>
          </w:tcPr>
          <w:p w14:paraId="37C52974" w14:textId="71DAC1BA" w:rsidR="008042A6" w:rsidRPr="00595C77" w:rsidRDefault="00C95FA5" w:rsidP="00C95FA5">
            <w:pPr>
              <w:snapToGrid w:val="0"/>
              <w:rPr>
                <w:lang w:val="fr-CA"/>
              </w:rPr>
            </w:pPr>
            <w:r w:rsidRPr="00595C77">
              <w:rPr>
                <w:color w:val="000000" w:themeColor="text1"/>
                <w:sz w:val="20"/>
                <w:szCs w:val="20"/>
                <w:lang w:val="fr-CA"/>
              </w:rPr>
              <w:t>Préparation du PGEH</w:t>
            </w:r>
            <w:r w:rsidR="008042A6" w:rsidRPr="00595C77">
              <w:rPr>
                <w:color w:val="000000" w:themeColor="text1"/>
                <w:sz w:val="20"/>
                <w:szCs w:val="20"/>
                <w:lang w:val="fr-CA"/>
              </w:rPr>
              <w:t xml:space="preserve"> (</w:t>
            </w:r>
            <w:r w:rsidRPr="00595C77">
              <w:rPr>
                <w:color w:val="000000" w:themeColor="text1"/>
                <w:sz w:val="20"/>
                <w:szCs w:val="20"/>
                <w:lang w:val="fr-CA"/>
              </w:rPr>
              <w:t>3</w:t>
            </w:r>
            <w:r w:rsidRPr="00595C77">
              <w:rPr>
                <w:color w:val="000000" w:themeColor="text1"/>
                <w:sz w:val="20"/>
                <w:szCs w:val="20"/>
                <w:vertAlign w:val="superscript"/>
                <w:lang w:val="fr-CA"/>
              </w:rPr>
              <w:t>e</w:t>
            </w:r>
            <w:r w:rsidRPr="00595C77">
              <w:rPr>
                <w:color w:val="000000" w:themeColor="text1"/>
                <w:sz w:val="20"/>
                <w:szCs w:val="20"/>
                <w:lang w:val="fr-CA"/>
              </w:rPr>
              <w:t xml:space="preserve"> étape</w:t>
            </w:r>
            <w:r w:rsidR="008042A6" w:rsidRPr="00595C77">
              <w:rPr>
                <w:color w:val="000000" w:themeColor="text1"/>
                <w:sz w:val="20"/>
                <w:szCs w:val="20"/>
                <w:lang w:val="fr-CA"/>
              </w:rPr>
              <w:t>)</w:t>
            </w:r>
          </w:p>
        </w:tc>
        <w:tc>
          <w:tcPr>
            <w:tcW w:w="614" w:type="pct"/>
          </w:tcPr>
          <w:p w14:paraId="21D41179" w14:textId="7FEB16E6" w:rsidR="008042A6" w:rsidRPr="00E92B7D" w:rsidRDefault="008042A6" w:rsidP="008042A6">
            <w:pPr>
              <w:jc w:val="right"/>
              <w:rPr>
                <w:sz w:val="20"/>
                <w:szCs w:val="20"/>
                <w:lang w:val="fr-CA"/>
              </w:rPr>
            </w:pPr>
            <w:r w:rsidRPr="00E92B7D">
              <w:rPr>
                <w:bCs/>
                <w:sz w:val="20"/>
                <w:szCs w:val="20"/>
                <w:lang w:val="fr-CA"/>
              </w:rPr>
              <w:t>45</w:t>
            </w:r>
            <w:r w:rsidR="00E422D4">
              <w:rPr>
                <w:bCs/>
                <w:sz w:val="20"/>
                <w:szCs w:val="20"/>
                <w:lang w:val="fr-CA"/>
              </w:rPr>
              <w:t xml:space="preserve"> </w:t>
            </w:r>
            <w:r w:rsidRPr="00E92B7D">
              <w:rPr>
                <w:bCs/>
                <w:sz w:val="20"/>
                <w:szCs w:val="20"/>
                <w:lang w:val="fr-CA"/>
              </w:rPr>
              <w:t>000</w:t>
            </w:r>
          </w:p>
        </w:tc>
        <w:tc>
          <w:tcPr>
            <w:tcW w:w="857" w:type="pct"/>
          </w:tcPr>
          <w:p w14:paraId="5FAF20A1" w14:textId="3A93604F" w:rsidR="008042A6" w:rsidRPr="00E92B7D" w:rsidRDefault="00E422D4" w:rsidP="008042A6">
            <w:pPr>
              <w:jc w:val="right"/>
              <w:rPr>
                <w:sz w:val="20"/>
                <w:szCs w:val="20"/>
                <w:lang w:val="fr-CA"/>
              </w:rPr>
            </w:pPr>
            <w:r>
              <w:rPr>
                <w:bCs/>
                <w:sz w:val="20"/>
                <w:szCs w:val="20"/>
                <w:lang w:val="fr-CA"/>
              </w:rPr>
              <w:t xml:space="preserve">45 </w:t>
            </w:r>
            <w:r w:rsidR="008042A6" w:rsidRPr="00E92B7D">
              <w:rPr>
                <w:bCs/>
                <w:sz w:val="20"/>
                <w:szCs w:val="20"/>
                <w:lang w:val="fr-CA"/>
              </w:rPr>
              <w:t>000</w:t>
            </w:r>
          </w:p>
        </w:tc>
      </w:tr>
      <w:tr w:rsidR="008042A6" w:rsidRPr="00E92B7D" w14:paraId="2F39F355" w14:textId="77777777" w:rsidTr="001B5926">
        <w:trPr>
          <w:trHeight w:val="235"/>
        </w:trPr>
        <w:tc>
          <w:tcPr>
            <w:tcW w:w="951" w:type="pct"/>
            <w:vAlign w:val="center"/>
          </w:tcPr>
          <w:p w14:paraId="3FB31AF7" w14:textId="7099FA26" w:rsidR="008042A6" w:rsidRPr="00E92B7D" w:rsidRDefault="00C95FA5" w:rsidP="008042A6">
            <w:pPr>
              <w:snapToGrid w:val="0"/>
              <w:rPr>
                <w:sz w:val="20"/>
                <w:szCs w:val="20"/>
                <w:lang w:val="fr-CA"/>
              </w:rPr>
            </w:pPr>
            <w:r>
              <w:rPr>
                <w:bCs/>
                <w:color w:val="000000"/>
                <w:sz w:val="20"/>
                <w:szCs w:val="20"/>
                <w:lang w:val="fr-CA"/>
              </w:rPr>
              <w:t>Guinée</w:t>
            </w:r>
            <w:r w:rsidR="008042A6" w:rsidRPr="00E92B7D">
              <w:rPr>
                <w:bCs/>
                <w:color w:val="000000"/>
                <w:sz w:val="20"/>
                <w:szCs w:val="20"/>
                <w:lang w:val="fr-CA"/>
              </w:rPr>
              <w:t>**</w:t>
            </w:r>
          </w:p>
        </w:tc>
        <w:tc>
          <w:tcPr>
            <w:tcW w:w="2578" w:type="pct"/>
          </w:tcPr>
          <w:p w14:paraId="551E417B" w14:textId="0AABFCA3" w:rsidR="008042A6" w:rsidRPr="00595C77" w:rsidRDefault="00C95FA5" w:rsidP="00C95FA5">
            <w:pPr>
              <w:snapToGrid w:val="0"/>
              <w:rPr>
                <w:lang w:val="fr-CA"/>
              </w:rPr>
            </w:pPr>
            <w:r w:rsidRPr="00595C77">
              <w:rPr>
                <w:color w:val="000000" w:themeColor="text1"/>
                <w:sz w:val="20"/>
                <w:szCs w:val="20"/>
                <w:lang w:val="fr-CA"/>
              </w:rPr>
              <w:t xml:space="preserve">Préparation du PGEH </w:t>
            </w:r>
            <w:r w:rsidR="008042A6" w:rsidRPr="00595C77">
              <w:rPr>
                <w:color w:val="000000" w:themeColor="text1"/>
                <w:sz w:val="20"/>
                <w:szCs w:val="20"/>
                <w:lang w:val="fr-CA"/>
              </w:rPr>
              <w:t>(</w:t>
            </w:r>
            <w:r w:rsidRPr="00595C77">
              <w:rPr>
                <w:color w:val="000000" w:themeColor="text1"/>
                <w:sz w:val="20"/>
                <w:szCs w:val="20"/>
                <w:lang w:val="fr-CA"/>
              </w:rPr>
              <w:t>2</w:t>
            </w:r>
            <w:r w:rsidRPr="00595C77">
              <w:rPr>
                <w:color w:val="000000" w:themeColor="text1"/>
                <w:sz w:val="20"/>
                <w:szCs w:val="20"/>
                <w:vertAlign w:val="superscript"/>
                <w:lang w:val="fr-CA"/>
              </w:rPr>
              <w:t>e</w:t>
            </w:r>
            <w:r w:rsidRPr="00595C77">
              <w:rPr>
                <w:color w:val="000000" w:themeColor="text1"/>
                <w:sz w:val="20"/>
                <w:szCs w:val="20"/>
                <w:lang w:val="fr-CA"/>
              </w:rPr>
              <w:t xml:space="preserve"> étape</w:t>
            </w:r>
            <w:r w:rsidR="008042A6" w:rsidRPr="00595C77">
              <w:rPr>
                <w:color w:val="000000" w:themeColor="text1"/>
                <w:sz w:val="20"/>
                <w:szCs w:val="20"/>
                <w:lang w:val="fr-CA"/>
              </w:rPr>
              <w:t>)</w:t>
            </w:r>
          </w:p>
        </w:tc>
        <w:tc>
          <w:tcPr>
            <w:tcW w:w="614" w:type="pct"/>
          </w:tcPr>
          <w:p w14:paraId="04C2FE07" w14:textId="6E7475C6" w:rsidR="008042A6" w:rsidRPr="00E92B7D" w:rsidRDefault="008042A6" w:rsidP="008042A6">
            <w:pPr>
              <w:jc w:val="right"/>
              <w:rPr>
                <w:sz w:val="20"/>
                <w:szCs w:val="20"/>
                <w:lang w:val="fr-CA"/>
              </w:rPr>
            </w:pPr>
            <w:r w:rsidRPr="00E92B7D">
              <w:rPr>
                <w:sz w:val="20"/>
                <w:szCs w:val="20"/>
                <w:lang w:val="fr-CA"/>
              </w:rPr>
              <w:t>10</w:t>
            </w:r>
            <w:r w:rsidR="00E422D4">
              <w:rPr>
                <w:sz w:val="20"/>
                <w:szCs w:val="20"/>
                <w:lang w:val="fr-CA"/>
              </w:rPr>
              <w:t xml:space="preserve"> </w:t>
            </w:r>
            <w:r w:rsidRPr="00E92B7D">
              <w:rPr>
                <w:sz w:val="20"/>
                <w:szCs w:val="20"/>
                <w:lang w:val="fr-CA"/>
              </w:rPr>
              <w:t>000</w:t>
            </w:r>
          </w:p>
        </w:tc>
        <w:tc>
          <w:tcPr>
            <w:tcW w:w="857" w:type="pct"/>
          </w:tcPr>
          <w:p w14:paraId="47980D10" w14:textId="078DDE4B" w:rsidR="008042A6" w:rsidRPr="00E92B7D" w:rsidRDefault="00E422D4" w:rsidP="008042A6">
            <w:pPr>
              <w:jc w:val="right"/>
              <w:rPr>
                <w:sz w:val="20"/>
                <w:szCs w:val="20"/>
                <w:lang w:val="fr-CA"/>
              </w:rPr>
            </w:pPr>
            <w:r>
              <w:rPr>
                <w:sz w:val="20"/>
                <w:szCs w:val="20"/>
                <w:lang w:val="fr-CA"/>
              </w:rPr>
              <w:t xml:space="preserve">10 </w:t>
            </w:r>
            <w:r w:rsidR="008042A6" w:rsidRPr="00E92B7D">
              <w:rPr>
                <w:sz w:val="20"/>
                <w:szCs w:val="20"/>
                <w:lang w:val="fr-CA"/>
              </w:rPr>
              <w:t>000</w:t>
            </w:r>
          </w:p>
        </w:tc>
      </w:tr>
      <w:tr w:rsidR="008042A6" w:rsidRPr="00E92B7D" w14:paraId="7CC73D40" w14:textId="77777777" w:rsidTr="001B5926">
        <w:trPr>
          <w:trHeight w:val="235"/>
        </w:trPr>
        <w:tc>
          <w:tcPr>
            <w:tcW w:w="951" w:type="pct"/>
            <w:vAlign w:val="center"/>
          </w:tcPr>
          <w:p w14:paraId="5D38D985" w14:textId="68E48705" w:rsidR="008042A6" w:rsidRPr="00E92B7D" w:rsidRDefault="008042A6" w:rsidP="008042A6">
            <w:pPr>
              <w:snapToGrid w:val="0"/>
              <w:rPr>
                <w:sz w:val="20"/>
                <w:szCs w:val="20"/>
                <w:lang w:val="fr-CA"/>
              </w:rPr>
            </w:pPr>
            <w:r w:rsidRPr="00E92B7D">
              <w:rPr>
                <w:bCs/>
                <w:sz w:val="20"/>
                <w:szCs w:val="20"/>
                <w:lang w:val="fr-CA"/>
              </w:rPr>
              <w:t>Oman*</w:t>
            </w:r>
          </w:p>
        </w:tc>
        <w:tc>
          <w:tcPr>
            <w:tcW w:w="2578" w:type="pct"/>
          </w:tcPr>
          <w:p w14:paraId="68FDB4C1" w14:textId="79846CBF" w:rsidR="008042A6" w:rsidRPr="00595C77" w:rsidRDefault="00C95FA5" w:rsidP="00C95FA5">
            <w:pPr>
              <w:snapToGrid w:val="0"/>
              <w:rPr>
                <w:lang w:val="fr-CA"/>
              </w:rPr>
            </w:pPr>
            <w:r w:rsidRPr="00595C77">
              <w:rPr>
                <w:color w:val="000000" w:themeColor="text1"/>
                <w:sz w:val="20"/>
                <w:szCs w:val="20"/>
                <w:lang w:val="fr-CA"/>
              </w:rPr>
              <w:t xml:space="preserve">Préparation du PGEH </w:t>
            </w:r>
            <w:r w:rsidR="008042A6" w:rsidRPr="00595C77">
              <w:rPr>
                <w:color w:val="000000" w:themeColor="text1"/>
                <w:sz w:val="20"/>
                <w:szCs w:val="20"/>
                <w:lang w:val="fr-CA"/>
              </w:rPr>
              <w:t>(</w:t>
            </w:r>
            <w:r w:rsidRPr="00595C77">
              <w:rPr>
                <w:color w:val="000000" w:themeColor="text1"/>
                <w:sz w:val="20"/>
                <w:szCs w:val="20"/>
                <w:lang w:val="fr-CA"/>
              </w:rPr>
              <w:t>3</w:t>
            </w:r>
            <w:r w:rsidRPr="00595C77">
              <w:rPr>
                <w:color w:val="000000" w:themeColor="text1"/>
                <w:sz w:val="20"/>
                <w:szCs w:val="20"/>
                <w:vertAlign w:val="superscript"/>
                <w:lang w:val="fr-CA"/>
              </w:rPr>
              <w:t>e</w:t>
            </w:r>
            <w:r w:rsidRPr="00595C77">
              <w:rPr>
                <w:color w:val="000000" w:themeColor="text1"/>
                <w:sz w:val="20"/>
                <w:szCs w:val="20"/>
                <w:lang w:val="fr-CA"/>
              </w:rPr>
              <w:t xml:space="preserve"> étape</w:t>
            </w:r>
            <w:r w:rsidR="008042A6" w:rsidRPr="00595C77">
              <w:rPr>
                <w:color w:val="000000" w:themeColor="text1"/>
                <w:sz w:val="20"/>
                <w:szCs w:val="20"/>
                <w:lang w:val="fr-CA"/>
              </w:rPr>
              <w:t>)</w:t>
            </w:r>
          </w:p>
        </w:tc>
        <w:tc>
          <w:tcPr>
            <w:tcW w:w="614" w:type="pct"/>
          </w:tcPr>
          <w:p w14:paraId="680C5077" w14:textId="4D784845" w:rsidR="008042A6" w:rsidRPr="00E92B7D" w:rsidRDefault="008042A6" w:rsidP="008042A6">
            <w:pPr>
              <w:jc w:val="right"/>
              <w:rPr>
                <w:sz w:val="20"/>
                <w:szCs w:val="20"/>
                <w:lang w:val="fr-CA"/>
              </w:rPr>
            </w:pPr>
            <w:r w:rsidRPr="00E92B7D">
              <w:rPr>
                <w:bCs/>
                <w:sz w:val="20"/>
                <w:szCs w:val="20"/>
                <w:lang w:val="fr-CA"/>
              </w:rPr>
              <w:t>40</w:t>
            </w:r>
            <w:r w:rsidR="00E422D4">
              <w:rPr>
                <w:bCs/>
                <w:sz w:val="20"/>
                <w:szCs w:val="20"/>
                <w:lang w:val="fr-CA"/>
              </w:rPr>
              <w:t xml:space="preserve"> </w:t>
            </w:r>
            <w:r w:rsidRPr="00E92B7D">
              <w:rPr>
                <w:bCs/>
                <w:sz w:val="20"/>
                <w:szCs w:val="20"/>
                <w:lang w:val="fr-CA"/>
              </w:rPr>
              <w:t>000</w:t>
            </w:r>
          </w:p>
        </w:tc>
        <w:tc>
          <w:tcPr>
            <w:tcW w:w="857" w:type="pct"/>
          </w:tcPr>
          <w:p w14:paraId="3B77C4D7" w14:textId="4DE0C796" w:rsidR="008042A6" w:rsidRPr="00E92B7D" w:rsidRDefault="00E422D4" w:rsidP="008042A6">
            <w:pPr>
              <w:jc w:val="right"/>
              <w:rPr>
                <w:sz w:val="20"/>
                <w:szCs w:val="20"/>
                <w:lang w:val="fr-CA"/>
              </w:rPr>
            </w:pPr>
            <w:r>
              <w:rPr>
                <w:bCs/>
                <w:sz w:val="20"/>
                <w:szCs w:val="20"/>
                <w:lang w:val="fr-CA"/>
              </w:rPr>
              <w:t xml:space="preserve">40 </w:t>
            </w:r>
            <w:r w:rsidR="008042A6" w:rsidRPr="00E92B7D">
              <w:rPr>
                <w:bCs/>
                <w:sz w:val="20"/>
                <w:szCs w:val="20"/>
                <w:lang w:val="fr-CA"/>
              </w:rPr>
              <w:t>000</w:t>
            </w:r>
          </w:p>
        </w:tc>
      </w:tr>
      <w:tr w:rsidR="008042A6" w:rsidRPr="00E92B7D" w14:paraId="71663599" w14:textId="77777777" w:rsidTr="001B5926">
        <w:trPr>
          <w:trHeight w:val="235"/>
        </w:trPr>
        <w:tc>
          <w:tcPr>
            <w:tcW w:w="951" w:type="pct"/>
            <w:vMerge w:val="restart"/>
            <w:vAlign w:val="center"/>
          </w:tcPr>
          <w:p w14:paraId="0285B597" w14:textId="54BF7510" w:rsidR="008042A6" w:rsidRPr="00E92B7D" w:rsidRDefault="00C95FA5" w:rsidP="008042A6">
            <w:pPr>
              <w:snapToGrid w:val="0"/>
              <w:rPr>
                <w:sz w:val="20"/>
                <w:szCs w:val="20"/>
                <w:lang w:val="fr-CA"/>
              </w:rPr>
            </w:pPr>
            <w:r>
              <w:rPr>
                <w:sz w:val="20"/>
                <w:szCs w:val="20"/>
                <w:lang w:val="fr-CA"/>
              </w:rPr>
              <w:t>Arabie saoudite</w:t>
            </w:r>
            <w:r w:rsidR="008042A6" w:rsidRPr="00E92B7D">
              <w:rPr>
                <w:sz w:val="20"/>
                <w:szCs w:val="20"/>
                <w:lang w:val="fr-CA"/>
              </w:rPr>
              <w:t>*</w:t>
            </w:r>
          </w:p>
        </w:tc>
        <w:tc>
          <w:tcPr>
            <w:tcW w:w="2578" w:type="pct"/>
          </w:tcPr>
          <w:p w14:paraId="5E9426B7" w14:textId="2E9DCA6B" w:rsidR="008042A6" w:rsidRPr="00595C77" w:rsidRDefault="00C95FA5" w:rsidP="00C95FA5">
            <w:pPr>
              <w:snapToGrid w:val="0"/>
              <w:rPr>
                <w:color w:val="000000" w:themeColor="text1"/>
                <w:sz w:val="20"/>
                <w:szCs w:val="20"/>
                <w:lang w:val="fr-CA"/>
              </w:rPr>
            </w:pPr>
            <w:r w:rsidRPr="00595C77">
              <w:rPr>
                <w:color w:val="000000" w:themeColor="text1"/>
                <w:sz w:val="20"/>
                <w:szCs w:val="20"/>
                <w:lang w:val="fr-CA"/>
              </w:rPr>
              <w:t xml:space="preserve">Préparation du PGEH </w:t>
            </w:r>
            <w:r w:rsidR="008042A6" w:rsidRPr="00595C77">
              <w:rPr>
                <w:color w:val="000000" w:themeColor="text1"/>
                <w:sz w:val="20"/>
                <w:szCs w:val="20"/>
                <w:lang w:val="fr-CA"/>
              </w:rPr>
              <w:t>(</w:t>
            </w:r>
            <w:r w:rsidRPr="00595C77">
              <w:rPr>
                <w:color w:val="000000" w:themeColor="text1"/>
                <w:sz w:val="20"/>
                <w:szCs w:val="20"/>
                <w:lang w:val="fr-CA"/>
              </w:rPr>
              <w:t>2</w:t>
            </w:r>
            <w:r w:rsidRPr="00595C77">
              <w:rPr>
                <w:color w:val="000000" w:themeColor="text1"/>
                <w:sz w:val="20"/>
                <w:szCs w:val="20"/>
                <w:vertAlign w:val="superscript"/>
                <w:lang w:val="fr-CA"/>
              </w:rPr>
              <w:t>e</w:t>
            </w:r>
            <w:r w:rsidRPr="00595C77">
              <w:rPr>
                <w:color w:val="000000" w:themeColor="text1"/>
                <w:sz w:val="20"/>
                <w:szCs w:val="20"/>
                <w:lang w:val="fr-CA"/>
              </w:rPr>
              <w:t xml:space="preserve"> étape</w:t>
            </w:r>
            <w:r w:rsidR="008042A6" w:rsidRPr="00595C77">
              <w:rPr>
                <w:color w:val="000000" w:themeColor="text1"/>
                <w:sz w:val="20"/>
                <w:szCs w:val="20"/>
                <w:lang w:val="fr-CA"/>
              </w:rPr>
              <w:t>)</w:t>
            </w:r>
          </w:p>
        </w:tc>
        <w:tc>
          <w:tcPr>
            <w:tcW w:w="614" w:type="pct"/>
          </w:tcPr>
          <w:p w14:paraId="749E118C" w14:textId="3F038F0B" w:rsidR="008042A6" w:rsidRPr="00E92B7D" w:rsidRDefault="008042A6" w:rsidP="008042A6">
            <w:pPr>
              <w:jc w:val="right"/>
              <w:rPr>
                <w:sz w:val="20"/>
                <w:szCs w:val="20"/>
                <w:lang w:val="fr-CA"/>
              </w:rPr>
            </w:pPr>
            <w:r w:rsidRPr="00E92B7D">
              <w:rPr>
                <w:bCs/>
                <w:sz w:val="20"/>
                <w:szCs w:val="20"/>
                <w:lang w:val="fr-CA"/>
              </w:rPr>
              <w:t>45</w:t>
            </w:r>
            <w:r w:rsidR="00E422D4">
              <w:rPr>
                <w:bCs/>
                <w:sz w:val="20"/>
                <w:szCs w:val="20"/>
                <w:lang w:val="fr-CA"/>
              </w:rPr>
              <w:t xml:space="preserve"> </w:t>
            </w:r>
            <w:r w:rsidRPr="00E92B7D">
              <w:rPr>
                <w:bCs/>
                <w:sz w:val="20"/>
                <w:szCs w:val="20"/>
                <w:lang w:val="fr-CA"/>
              </w:rPr>
              <w:t>000</w:t>
            </w:r>
          </w:p>
        </w:tc>
        <w:tc>
          <w:tcPr>
            <w:tcW w:w="857" w:type="pct"/>
          </w:tcPr>
          <w:p w14:paraId="6F141B3F" w14:textId="464FD73E" w:rsidR="008042A6" w:rsidRPr="00E92B7D" w:rsidRDefault="00E422D4" w:rsidP="008042A6">
            <w:pPr>
              <w:jc w:val="right"/>
              <w:rPr>
                <w:sz w:val="20"/>
                <w:szCs w:val="20"/>
                <w:lang w:val="fr-CA"/>
              </w:rPr>
            </w:pPr>
            <w:r>
              <w:rPr>
                <w:bCs/>
                <w:sz w:val="20"/>
                <w:szCs w:val="20"/>
                <w:lang w:val="fr-CA"/>
              </w:rPr>
              <w:t xml:space="preserve">45 </w:t>
            </w:r>
            <w:r w:rsidR="008042A6" w:rsidRPr="00E92B7D">
              <w:rPr>
                <w:bCs/>
                <w:sz w:val="20"/>
                <w:szCs w:val="20"/>
                <w:lang w:val="fr-CA"/>
              </w:rPr>
              <w:t>000</w:t>
            </w:r>
          </w:p>
        </w:tc>
      </w:tr>
      <w:tr w:rsidR="008042A6" w:rsidRPr="00E92B7D" w14:paraId="36FF2902" w14:textId="77777777" w:rsidTr="001B5926">
        <w:trPr>
          <w:trHeight w:val="235"/>
        </w:trPr>
        <w:tc>
          <w:tcPr>
            <w:tcW w:w="951" w:type="pct"/>
            <w:vMerge/>
            <w:vAlign w:val="center"/>
          </w:tcPr>
          <w:p w14:paraId="79231634" w14:textId="77777777" w:rsidR="008042A6" w:rsidRPr="00E92B7D" w:rsidRDefault="008042A6" w:rsidP="008042A6">
            <w:pPr>
              <w:snapToGrid w:val="0"/>
              <w:rPr>
                <w:sz w:val="20"/>
                <w:szCs w:val="20"/>
                <w:lang w:val="fr-CA"/>
              </w:rPr>
            </w:pPr>
          </w:p>
        </w:tc>
        <w:tc>
          <w:tcPr>
            <w:tcW w:w="2578" w:type="pct"/>
          </w:tcPr>
          <w:p w14:paraId="5217D12F" w14:textId="0A447BB0" w:rsidR="008042A6" w:rsidRPr="00595C77" w:rsidRDefault="00C95FA5" w:rsidP="00C95FA5">
            <w:pPr>
              <w:snapToGrid w:val="0"/>
              <w:rPr>
                <w:color w:val="000000" w:themeColor="text1"/>
                <w:sz w:val="20"/>
                <w:szCs w:val="20"/>
                <w:lang w:val="fr-CA"/>
              </w:rPr>
            </w:pPr>
            <w:r w:rsidRPr="00595C77">
              <w:rPr>
                <w:color w:val="000000" w:themeColor="text1"/>
                <w:sz w:val="20"/>
                <w:szCs w:val="20"/>
                <w:lang w:val="fr-CA"/>
              </w:rPr>
              <w:t>Préparation des activités d’élimination des HCFC (fabrication d’équipement de réfrigération et climatisation</w:t>
            </w:r>
            <w:r w:rsidR="008042A6" w:rsidRPr="00595C77">
              <w:rPr>
                <w:color w:val="000000" w:themeColor="text1"/>
                <w:sz w:val="20"/>
                <w:szCs w:val="20"/>
                <w:lang w:val="fr-CA"/>
              </w:rPr>
              <w:t>)</w:t>
            </w:r>
          </w:p>
        </w:tc>
        <w:tc>
          <w:tcPr>
            <w:tcW w:w="614" w:type="pct"/>
          </w:tcPr>
          <w:p w14:paraId="76C0E17F" w14:textId="63781897" w:rsidR="008042A6" w:rsidRPr="00E92B7D" w:rsidRDefault="008042A6" w:rsidP="008042A6">
            <w:pPr>
              <w:jc w:val="right"/>
              <w:rPr>
                <w:sz w:val="20"/>
                <w:szCs w:val="20"/>
                <w:lang w:val="fr-CA"/>
              </w:rPr>
            </w:pPr>
            <w:r w:rsidRPr="00E92B7D">
              <w:rPr>
                <w:sz w:val="20"/>
                <w:szCs w:val="20"/>
                <w:lang w:val="fr-CA"/>
              </w:rPr>
              <w:t>150</w:t>
            </w:r>
            <w:r w:rsidR="00E422D4">
              <w:rPr>
                <w:sz w:val="20"/>
                <w:szCs w:val="20"/>
                <w:lang w:val="fr-CA"/>
              </w:rPr>
              <w:t xml:space="preserve"> </w:t>
            </w:r>
            <w:r w:rsidRPr="00E92B7D">
              <w:rPr>
                <w:sz w:val="20"/>
                <w:szCs w:val="20"/>
                <w:lang w:val="fr-CA"/>
              </w:rPr>
              <w:t>000</w:t>
            </w:r>
          </w:p>
        </w:tc>
        <w:tc>
          <w:tcPr>
            <w:tcW w:w="857" w:type="pct"/>
          </w:tcPr>
          <w:p w14:paraId="6097B4C7" w14:textId="4944F757" w:rsidR="008042A6" w:rsidRPr="00E92B7D" w:rsidRDefault="00E422D4" w:rsidP="008042A6">
            <w:pPr>
              <w:jc w:val="right"/>
              <w:rPr>
                <w:sz w:val="20"/>
                <w:szCs w:val="20"/>
                <w:lang w:val="fr-CA"/>
              </w:rPr>
            </w:pPr>
            <w:r>
              <w:rPr>
                <w:sz w:val="20"/>
                <w:szCs w:val="20"/>
                <w:lang w:val="fr-CA"/>
              </w:rPr>
              <w:t xml:space="preserve">150 </w:t>
            </w:r>
            <w:r w:rsidR="008042A6" w:rsidRPr="00E92B7D">
              <w:rPr>
                <w:sz w:val="20"/>
                <w:szCs w:val="20"/>
                <w:lang w:val="fr-CA"/>
              </w:rPr>
              <w:t>000</w:t>
            </w:r>
          </w:p>
        </w:tc>
      </w:tr>
      <w:tr w:rsidR="008042A6" w:rsidRPr="00E92B7D" w14:paraId="03580B50" w14:textId="77777777" w:rsidTr="001B5926">
        <w:trPr>
          <w:trHeight w:val="235"/>
        </w:trPr>
        <w:tc>
          <w:tcPr>
            <w:tcW w:w="951" w:type="pct"/>
            <w:vAlign w:val="center"/>
          </w:tcPr>
          <w:p w14:paraId="75D50F16" w14:textId="4FFAB94F" w:rsidR="008042A6" w:rsidRPr="00E92B7D" w:rsidRDefault="008042A6" w:rsidP="008042A6">
            <w:pPr>
              <w:snapToGrid w:val="0"/>
              <w:rPr>
                <w:sz w:val="20"/>
                <w:szCs w:val="20"/>
                <w:lang w:val="fr-CA"/>
              </w:rPr>
            </w:pPr>
            <w:r w:rsidRPr="00E92B7D">
              <w:rPr>
                <w:bCs/>
                <w:sz w:val="20"/>
                <w:szCs w:val="20"/>
                <w:lang w:val="fr-CA"/>
              </w:rPr>
              <w:t>S</w:t>
            </w:r>
            <w:r w:rsidR="00C95FA5">
              <w:rPr>
                <w:bCs/>
                <w:sz w:val="20"/>
                <w:szCs w:val="20"/>
                <w:lang w:val="fr-CA"/>
              </w:rPr>
              <w:t>o</w:t>
            </w:r>
            <w:r w:rsidRPr="00E92B7D">
              <w:rPr>
                <w:bCs/>
                <w:sz w:val="20"/>
                <w:szCs w:val="20"/>
                <w:lang w:val="fr-CA"/>
              </w:rPr>
              <w:t>udan</w:t>
            </w:r>
          </w:p>
        </w:tc>
        <w:tc>
          <w:tcPr>
            <w:tcW w:w="2578" w:type="pct"/>
          </w:tcPr>
          <w:p w14:paraId="09B0A546" w14:textId="2E52DC23" w:rsidR="008042A6" w:rsidRPr="00595C77" w:rsidRDefault="00C95FA5" w:rsidP="00C95FA5">
            <w:pPr>
              <w:snapToGrid w:val="0"/>
              <w:rPr>
                <w:lang w:val="fr-CA"/>
              </w:rPr>
            </w:pPr>
            <w:r w:rsidRPr="00595C77">
              <w:rPr>
                <w:color w:val="000000" w:themeColor="text1"/>
                <w:sz w:val="20"/>
                <w:szCs w:val="20"/>
                <w:lang w:val="fr-CA"/>
              </w:rPr>
              <w:t xml:space="preserve">Préparation du PGEH </w:t>
            </w:r>
            <w:r w:rsidR="008042A6" w:rsidRPr="00595C77">
              <w:rPr>
                <w:color w:val="000000" w:themeColor="text1"/>
                <w:sz w:val="20"/>
                <w:szCs w:val="20"/>
                <w:lang w:val="fr-CA"/>
              </w:rPr>
              <w:t>(</w:t>
            </w:r>
            <w:r w:rsidRPr="00595C77">
              <w:rPr>
                <w:color w:val="000000" w:themeColor="text1"/>
                <w:sz w:val="20"/>
                <w:szCs w:val="20"/>
                <w:lang w:val="fr-CA"/>
              </w:rPr>
              <w:t>3</w:t>
            </w:r>
            <w:r w:rsidRPr="00595C77">
              <w:rPr>
                <w:color w:val="000000" w:themeColor="text1"/>
                <w:sz w:val="20"/>
                <w:szCs w:val="20"/>
                <w:vertAlign w:val="superscript"/>
                <w:lang w:val="fr-CA"/>
              </w:rPr>
              <w:t>e</w:t>
            </w:r>
            <w:r w:rsidRPr="00595C77">
              <w:rPr>
                <w:color w:val="000000" w:themeColor="text1"/>
                <w:sz w:val="20"/>
                <w:szCs w:val="20"/>
                <w:lang w:val="fr-CA"/>
              </w:rPr>
              <w:t xml:space="preserve"> étape</w:t>
            </w:r>
            <w:r w:rsidR="008042A6" w:rsidRPr="00595C77">
              <w:rPr>
                <w:color w:val="000000" w:themeColor="text1"/>
                <w:sz w:val="20"/>
                <w:szCs w:val="20"/>
                <w:lang w:val="fr-CA"/>
              </w:rPr>
              <w:t>)</w:t>
            </w:r>
          </w:p>
        </w:tc>
        <w:tc>
          <w:tcPr>
            <w:tcW w:w="614" w:type="pct"/>
          </w:tcPr>
          <w:p w14:paraId="58C11FA8" w14:textId="6A261A6C" w:rsidR="008042A6" w:rsidRPr="00E92B7D" w:rsidRDefault="008042A6" w:rsidP="008042A6">
            <w:pPr>
              <w:jc w:val="right"/>
              <w:rPr>
                <w:sz w:val="20"/>
                <w:szCs w:val="20"/>
                <w:lang w:val="fr-CA"/>
              </w:rPr>
            </w:pPr>
            <w:r w:rsidRPr="00E92B7D">
              <w:rPr>
                <w:sz w:val="20"/>
                <w:szCs w:val="20"/>
                <w:lang w:val="fr-CA"/>
              </w:rPr>
              <w:t>30</w:t>
            </w:r>
            <w:r w:rsidR="00E422D4">
              <w:rPr>
                <w:sz w:val="20"/>
                <w:szCs w:val="20"/>
                <w:lang w:val="fr-CA"/>
              </w:rPr>
              <w:t xml:space="preserve"> </w:t>
            </w:r>
            <w:r w:rsidRPr="00E92B7D">
              <w:rPr>
                <w:sz w:val="20"/>
                <w:szCs w:val="20"/>
                <w:lang w:val="fr-CA"/>
              </w:rPr>
              <w:t>000</w:t>
            </w:r>
          </w:p>
        </w:tc>
        <w:tc>
          <w:tcPr>
            <w:tcW w:w="857" w:type="pct"/>
          </w:tcPr>
          <w:p w14:paraId="03E856D6" w14:textId="03D570AE" w:rsidR="008042A6" w:rsidRPr="00E92B7D" w:rsidRDefault="00E422D4" w:rsidP="008042A6">
            <w:pPr>
              <w:jc w:val="right"/>
              <w:rPr>
                <w:sz w:val="20"/>
                <w:szCs w:val="20"/>
                <w:lang w:val="fr-CA"/>
              </w:rPr>
            </w:pPr>
            <w:r>
              <w:rPr>
                <w:sz w:val="20"/>
                <w:szCs w:val="20"/>
                <w:lang w:val="fr-CA"/>
              </w:rPr>
              <w:t xml:space="preserve">30 </w:t>
            </w:r>
            <w:r w:rsidR="008042A6" w:rsidRPr="00E92B7D">
              <w:rPr>
                <w:sz w:val="20"/>
                <w:szCs w:val="20"/>
                <w:lang w:val="fr-CA"/>
              </w:rPr>
              <w:t>000</w:t>
            </w:r>
          </w:p>
        </w:tc>
      </w:tr>
      <w:tr w:rsidR="008042A6" w:rsidRPr="00E92B7D" w14:paraId="53555344" w14:textId="77777777" w:rsidTr="001B5926">
        <w:trPr>
          <w:trHeight w:val="235"/>
        </w:trPr>
        <w:tc>
          <w:tcPr>
            <w:tcW w:w="3529" w:type="pct"/>
            <w:gridSpan w:val="2"/>
          </w:tcPr>
          <w:p w14:paraId="63B6BF0C" w14:textId="6F67520D" w:rsidR="008042A6" w:rsidRPr="00595C77" w:rsidRDefault="00C95FA5" w:rsidP="00C95FA5">
            <w:pPr>
              <w:jc w:val="right"/>
              <w:rPr>
                <w:color w:val="000000" w:themeColor="text1"/>
                <w:sz w:val="20"/>
                <w:szCs w:val="20"/>
                <w:lang w:val="fr-CA"/>
              </w:rPr>
            </w:pPr>
            <w:r w:rsidRPr="00595C77">
              <w:rPr>
                <w:color w:val="000000" w:themeColor="text1"/>
                <w:sz w:val="20"/>
                <w:szCs w:val="20"/>
                <w:lang w:val="fr-CA"/>
              </w:rPr>
              <w:t>Total partiel d’</w:t>
            </w:r>
            <w:r w:rsidR="008042A6" w:rsidRPr="00595C77">
              <w:rPr>
                <w:color w:val="000000" w:themeColor="text1"/>
                <w:sz w:val="20"/>
                <w:szCs w:val="20"/>
                <w:lang w:val="fr-CA"/>
              </w:rPr>
              <w:t>A3</w:t>
            </w:r>
          </w:p>
        </w:tc>
        <w:tc>
          <w:tcPr>
            <w:tcW w:w="614" w:type="pct"/>
          </w:tcPr>
          <w:p w14:paraId="74CC1808" w14:textId="5DD52767" w:rsidR="008042A6" w:rsidRPr="00E92B7D" w:rsidRDefault="008042A6" w:rsidP="008042A6">
            <w:pPr>
              <w:jc w:val="right"/>
              <w:rPr>
                <w:color w:val="000000" w:themeColor="text1"/>
                <w:sz w:val="20"/>
                <w:szCs w:val="20"/>
                <w:lang w:val="fr-CA"/>
              </w:rPr>
            </w:pPr>
            <w:r w:rsidRPr="00E92B7D">
              <w:rPr>
                <w:color w:val="000000" w:themeColor="text1"/>
                <w:sz w:val="20"/>
                <w:szCs w:val="20"/>
                <w:lang w:val="fr-CA"/>
              </w:rPr>
              <w:t>3</w:t>
            </w:r>
            <w:r w:rsidR="00E422D4">
              <w:rPr>
                <w:color w:val="000000" w:themeColor="text1"/>
                <w:sz w:val="20"/>
                <w:szCs w:val="20"/>
                <w:lang w:val="fr-CA"/>
              </w:rPr>
              <w:t xml:space="preserve">20 </w:t>
            </w:r>
            <w:r w:rsidRPr="00E92B7D">
              <w:rPr>
                <w:color w:val="000000" w:themeColor="text1"/>
                <w:sz w:val="20"/>
                <w:szCs w:val="20"/>
                <w:lang w:val="fr-CA"/>
              </w:rPr>
              <w:t>000</w:t>
            </w:r>
          </w:p>
        </w:tc>
        <w:tc>
          <w:tcPr>
            <w:tcW w:w="857" w:type="pct"/>
          </w:tcPr>
          <w:p w14:paraId="54C2E197" w14:textId="27F68110" w:rsidR="008042A6" w:rsidRPr="00E92B7D" w:rsidRDefault="008042A6" w:rsidP="008042A6">
            <w:pPr>
              <w:jc w:val="right"/>
              <w:rPr>
                <w:color w:val="000000" w:themeColor="text1"/>
                <w:sz w:val="20"/>
                <w:szCs w:val="20"/>
                <w:lang w:val="fr-CA"/>
              </w:rPr>
            </w:pPr>
            <w:r w:rsidRPr="00E92B7D">
              <w:rPr>
                <w:color w:val="000000" w:themeColor="text1"/>
                <w:sz w:val="20"/>
                <w:szCs w:val="20"/>
                <w:lang w:val="fr-CA"/>
              </w:rPr>
              <w:t>320</w:t>
            </w:r>
            <w:r w:rsidR="00E422D4">
              <w:rPr>
                <w:color w:val="000000" w:themeColor="text1"/>
                <w:sz w:val="20"/>
                <w:szCs w:val="20"/>
                <w:lang w:val="fr-CA"/>
              </w:rPr>
              <w:t xml:space="preserve"> </w:t>
            </w:r>
            <w:r w:rsidRPr="00E92B7D">
              <w:rPr>
                <w:color w:val="000000" w:themeColor="text1"/>
                <w:sz w:val="20"/>
                <w:szCs w:val="20"/>
                <w:lang w:val="fr-CA"/>
              </w:rPr>
              <w:t>000</w:t>
            </w:r>
          </w:p>
        </w:tc>
      </w:tr>
      <w:tr w:rsidR="008042A6" w:rsidRPr="00E92B7D" w14:paraId="78C4FCCE" w14:textId="77777777" w:rsidTr="001B5926">
        <w:trPr>
          <w:trHeight w:val="235"/>
        </w:trPr>
        <w:tc>
          <w:tcPr>
            <w:tcW w:w="3529" w:type="pct"/>
            <w:gridSpan w:val="2"/>
          </w:tcPr>
          <w:p w14:paraId="0B6849BF" w14:textId="1440FD5A" w:rsidR="008042A6" w:rsidRPr="00595C77" w:rsidRDefault="00C95FA5" w:rsidP="008042A6">
            <w:pPr>
              <w:jc w:val="right"/>
              <w:rPr>
                <w:color w:val="000000" w:themeColor="text1"/>
                <w:sz w:val="20"/>
                <w:szCs w:val="20"/>
                <w:lang w:val="fr-CA"/>
              </w:rPr>
            </w:pPr>
            <w:r w:rsidRPr="00595C77">
              <w:rPr>
                <w:color w:val="000000" w:themeColor="text1"/>
                <w:sz w:val="20"/>
                <w:szCs w:val="20"/>
                <w:lang w:val="fr-CA"/>
              </w:rPr>
              <w:t>Coûts d’appui à l’agence</w:t>
            </w:r>
          </w:p>
        </w:tc>
        <w:tc>
          <w:tcPr>
            <w:tcW w:w="614" w:type="pct"/>
            <w:vAlign w:val="center"/>
          </w:tcPr>
          <w:p w14:paraId="3AE1E965" w14:textId="4EAF67BA" w:rsidR="008042A6" w:rsidRPr="00E92B7D" w:rsidRDefault="00E422D4" w:rsidP="008042A6">
            <w:pPr>
              <w:jc w:val="right"/>
              <w:rPr>
                <w:color w:val="000000"/>
                <w:sz w:val="20"/>
                <w:szCs w:val="20"/>
                <w:lang w:val="fr-CA"/>
              </w:rPr>
            </w:pPr>
            <w:r>
              <w:rPr>
                <w:color w:val="000000"/>
                <w:sz w:val="20"/>
                <w:szCs w:val="20"/>
                <w:lang w:val="fr-CA"/>
              </w:rPr>
              <w:t xml:space="preserve">22 </w:t>
            </w:r>
            <w:r w:rsidR="008042A6" w:rsidRPr="00E92B7D">
              <w:rPr>
                <w:color w:val="000000"/>
                <w:sz w:val="20"/>
                <w:szCs w:val="20"/>
                <w:lang w:val="fr-CA"/>
              </w:rPr>
              <w:t>400</w:t>
            </w:r>
          </w:p>
        </w:tc>
        <w:tc>
          <w:tcPr>
            <w:tcW w:w="857" w:type="pct"/>
            <w:vAlign w:val="center"/>
          </w:tcPr>
          <w:p w14:paraId="07C3ACB3" w14:textId="4A546394" w:rsidR="008042A6" w:rsidRPr="00E92B7D" w:rsidRDefault="008042A6" w:rsidP="008042A6">
            <w:pPr>
              <w:jc w:val="right"/>
              <w:rPr>
                <w:color w:val="000000"/>
                <w:sz w:val="20"/>
                <w:szCs w:val="20"/>
                <w:lang w:val="fr-CA"/>
              </w:rPr>
            </w:pPr>
            <w:r w:rsidRPr="00E92B7D">
              <w:rPr>
                <w:color w:val="000000"/>
                <w:sz w:val="20"/>
                <w:szCs w:val="20"/>
                <w:lang w:val="fr-CA"/>
              </w:rPr>
              <w:t>22</w:t>
            </w:r>
            <w:r w:rsidR="00E422D4">
              <w:rPr>
                <w:color w:val="000000"/>
                <w:sz w:val="20"/>
                <w:szCs w:val="20"/>
                <w:lang w:val="fr-CA"/>
              </w:rPr>
              <w:t xml:space="preserve"> </w:t>
            </w:r>
            <w:r w:rsidRPr="00E92B7D">
              <w:rPr>
                <w:color w:val="000000"/>
                <w:sz w:val="20"/>
                <w:szCs w:val="20"/>
                <w:lang w:val="fr-CA"/>
              </w:rPr>
              <w:t>400</w:t>
            </w:r>
          </w:p>
        </w:tc>
      </w:tr>
      <w:tr w:rsidR="008042A6" w:rsidRPr="00E92B7D" w14:paraId="0A9A24C1" w14:textId="77777777" w:rsidTr="001B5926">
        <w:trPr>
          <w:trHeight w:val="235"/>
        </w:trPr>
        <w:tc>
          <w:tcPr>
            <w:tcW w:w="3529" w:type="pct"/>
            <w:gridSpan w:val="2"/>
          </w:tcPr>
          <w:p w14:paraId="38236A5D" w14:textId="3AADCE21" w:rsidR="008042A6" w:rsidRPr="00595C77" w:rsidRDefault="00C95FA5" w:rsidP="008042A6">
            <w:pPr>
              <w:jc w:val="right"/>
              <w:rPr>
                <w:color w:val="000000" w:themeColor="text1"/>
                <w:sz w:val="20"/>
                <w:szCs w:val="20"/>
                <w:lang w:val="fr-CA"/>
              </w:rPr>
            </w:pPr>
            <w:r w:rsidRPr="00595C77">
              <w:rPr>
                <w:color w:val="000000" w:themeColor="text1"/>
                <w:sz w:val="20"/>
                <w:szCs w:val="20"/>
                <w:lang w:val="fr-CA"/>
              </w:rPr>
              <w:t>Total d’A3</w:t>
            </w:r>
          </w:p>
        </w:tc>
        <w:tc>
          <w:tcPr>
            <w:tcW w:w="614" w:type="pct"/>
            <w:shd w:val="clear" w:color="auto" w:fill="auto"/>
          </w:tcPr>
          <w:p w14:paraId="41B4519E" w14:textId="2722FF29" w:rsidR="008042A6" w:rsidRPr="00E92B7D" w:rsidRDefault="00E422D4" w:rsidP="008042A6">
            <w:pPr>
              <w:jc w:val="right"/>
              <w:rPr>
                <w:color w:val="000000" w:themeColor="text1"/>
                <w:sz w:val="20"/>
                <w:szCs w:val="20"/>
                <w:lang w:val="fr-CA"/>
              </w:rPr>
            </w:pPr>
            <w:r>
              <w:rPr>
                <w:color w:val="000000" w:themeColor="text1"/>
                <w:sz w:val="20"/>
                <w:szCs w:val="20"/>
                <w:lang w:val="fr-CA"/>
              </w:rPr>
              <w:t xml:space="preserve">342 </w:t>
            </w:r>
            <w:r w:rsidR="008042A6" w:rsidRPr="00E92B7D">
              <w:rPr>
                <w:color w:val="000000" w:themeColor="text1"/>
                <w:sz w:val="20"/>
                <w:szCs w:val="20"/>
                <w:lang w:val="fr-CA"/>
              </w:rPr>
              <w:t>400</w:t>
            </w:r>
          </w:p>
        </w:tc>
        <w:tc>
          <w:tcPr>
            <w:tcW w:w="857" w:type="pct"/>
            <w:shd w:val="clear" w:color="auto" w:fill="auto"/>
          </w:tcPr>
          <w:p w14:paraId="3DAC0074" w14:textId="333A0FB6" w:rsidR="008042A6" w:rsidRPr="00E92B7D" w:rsidRDefault="008042A6" w:rsidP="008042A6">
            <w:pPr>
              <w:jc w:val="right"/>
              <w:rPr>
                <w:color w:val="000000" w:themeColor="text1"/>
                <w:sz w:val="20"/>
                <w:szCs w:val="20"/>
                <w:lang w:val="fr-CA"/>
              </w:rPr>
            </w:pPr>
            <w:r w:rsidRPr="00E92B7D">
              <w:rPr>
                <w:color w:val="000000" w:themeColor="text1"/>
                <w:sz w:val="20"/>
                <w:szCs w:val="20"/>
                <w:lang w:val="fr-CA"/>
              </w:rPr>
              <w:t>342</w:t>
            </w:r>
            <w:r w:rsidR="00E422D4">
              <w:rPr>
                <w:color w:val="000000" w:themeColor="text1"/>
                <w:sz w:val="20"/>
                <w:szCs w:val="20"/>
                <w:lang w:val="fr-CA"/>
              </w:rPr>
              <w:t xml:space="preserve"> </w:t>
            </w:r>
            <w:r w:rsidRPr="00E92B7D">
              <w:rPr>
                <w:color w:val="000000" w:themeColor="text1"/>
                <w:sz w:val="20"/>
                <w:szCs w:val="20"/>
                <w:lang w:val="fr-CA"/>
              </w:rPr>
              <w:t>400</w:t>
            </w:r>
          </w:p>
        </w:tc>
      </w:tr>
      <w:tr w:rsidR="008042A6" w:rsidRPr="007C1FA2" w14:paraId="54A97F8D" w14:textId="77777777" w:rsidTr="004B4D67">
        <w:trPr>
          <w:trHeight w:val="219"/>
        </w:trPr>
        <w:tc>
          <w:tcPr>
            <w:tcW w:w="5000" w:type="pct"/>
            <w:gridSpan w:val="4"/>
            <w:tcBorders>
              <w:top w:val="single" w:sz="4" w:space="0" w:color="auto"/>
              <w:left w:val="single" w:sz="4" w:space="0" w:color="auto"/>
              <w:bottom w:val="single" w:sz="4" w:space="0" w:color="auto"/>
              <w:right w:val="single" w:sz="4" w:space="0" w:color="auto"/>
            </w:tcBorders>
          </w:tcPr>
          <w:p w14:paraId="302348B8" w14:textId="70301AF1" w:rsidR="008042A6" w:rsidRPr="00595C77" w:rsidRDefault="00595C77" w:rsidP="00D35FCB">
            <w:pPr>
              <w:widowControl w:val="0"/>
              <w:rPr>
                <w:color w:val="000000" w:themeColor="text1"/>
                <w:sz w:val="20"/>
                <w:szCs w:val="20"/>
                <w:lang w:val="fr-CA"/>
              </w:rPr>
            </w:pPr>
            <w:r>
              <w:rPr>
                <w:b/>
                <w:color w:val="000000" w:themeColor="text1"/>
                <w:sz w:val="20"/>
                <w:szCs w:val="20"/>
                <w:lang w:val="fr-CA"/>
              </w:rPr>
              <w:t>PARTIE</w:t>
            </w:r>
            <w:r w:rsidR="008042A6" w:rsidRPr="00595C77">
              <w:rPr>
                <w:b/>
                <w:color w:val="000000" w:themeColor="text1"/>
                <w:sz w:val="20"/>
                <w:szCs w:val="20"/>
                <w:lang w:val="fr-CA"/>
              </w:rPr>
              <w:t xml:space="preserve"> B</w:t>
            </w:r>
            <w:r w:rsidR="000524FE">
              <w:rPr>
                <w:b/>
                <w:color w:val="000000" w:themeColor="text1"/>
                <w:sz w:val="20"/>
                <w:szCs w:val="20"/>
                <w:lang w:val="fr-CA"/>
              </w:rPr>
              <w:t> </w:t>
            </w:r>
            <w:r w:rsidR="008042A6" w:rsidRPr="00595C77">
              <w:rPr>
                <w:b/>
                <w:color w:val="000000" w:themeColor="text1"/>
                <w:sz w:val="20"/>
                <w:szCs w:val="20"/>
                <w:lang w:val="fr-CA"/>
              </w:rPr>
              <w:t xml:space="preserve">: </w:t>
            </w:r>
            <w:r w:rsidR="00D35FCB" w:rsidRPr="00595C77">
              <w:rPr>
                <w:b/>
                <w:color w:val="000000" w:themeColor="text1"/>
                <w:sz w:val="20"/>
                <w:szCs w:val="20"/>
                <w:lang w:val="fr-CA"/>
              </w:rPr>
              <w:t>ACTIVITÉS RECOMMANDÉES POUR EXAMEN INDIVIDUEL</w:t>
            </w:r>
          </w:p>
        </w:tc>
      </w:tr>
      <w:tr w:rsidR="008042A6" w:rsidRPr="007C1FA2" w14:paraId="61BFD81C" w14:textId="77777777" w:rsidTr="00781AE0">
        <w:trPr>
          <w:trHeight w:val="2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58F33B8" w14:textId="21ADE6E0" w:rsidR="008042A6" w:rsidRPr="00595C77" w:rsidRDefault="008042A6" w:rsidP="00D35FCB">
            <w:pPr>
              <w:jc w:val="left"/>
              <w:rPr>
                <w:b/>
                <w:color w:val="000000" w:themeColor="text1"/>
                <w:sz w:val="20"/>
                <w:szCs w:val="20"/>
                <w:lang w:val="fr-CA"/>
              </w:rPr>
            </w:pPr>
            <w:r w:rsidRPr="00595C77">
              <w:rPr>
                <w:b/>
                <w:color w:val="000000" w:themeColor="text1"/>
                <w:sz w:val="20"/>
                <w:szCs w:val="20"/>
                <w:lang w:val="fr-CA"/>
              </w:rPr>
              <w:t>B1</w:t>
            </w:r>
            <w:r w:rsidR="000524FE">
              <w:rPr>
                <w:b/>
                <w:color w:val="000000" w:themeColor="text1"/>
                <w:sz w:val="20"/>
                <w:szCs w:val="20"/>
                <w:lang w:val="fr-CA"/>
              </w:rPr>
              <w:t> </w:t>
            </w:r>
            <w:r w:rsidRPr="00595C77">
              <w:rPr>
                <w:b/>
                <w:color w:val="000000" w:themeColor="text1"/>
                <w:sz w:val="20"/>
                <w:szCs w:val="20"/>
                <w:lang w:val="fr-CA"/>
              </w:rPr>
              <w:t xml:space="preserve">: </w:t>
            </w:r>
            <w:r w:rsidR="00D35FCB" w:rsidRPr="00595C77">
              <w:rPr>
                <w:b/>
                <w:sz w:val="20"/>
                <w:szCs w:val="20"/>
                <w:lang w:val="fr-CA"/>
              </w:rPr>
              <w:t>Préparation de projet pour les plans de gestion de la réduction progressive des HFC</w:t>
            </w:r>
          </w:p>
        </w:tc>
      </w:tr>
      <w:tr w:rsidR="00350F71" w:rsidRPr="00E92B7D" w14:paraId="688ABF43" w14:textId="77777777" w:rsidTr="00781AE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4407B78" w14:textId="09A1957A" w:rsidR="00350F71" w:rsidRPr="00E92B7D" w:rsidRDefault="00D35FCB" w:rsidP="007B536E">
            <w:pPr>
              <w:jc w:val="left"/>
              <w:rPr>
                <w:color w:val="000000" w:themeColor="text1"/>
                <w:sz w:val="20"/>
                <w:szCs w:val="20"/>
                <w:lang w:val="fr-CA"/>
              </w:rPr>
            </w:pPr>
            <w:r>
              <w:rPr>
                <w:color w:val="000000"/>
                <w:sz w:val="20"/>
                <w:szCs w:val="20"/>
                <w:lang w:val="fr-CA"/>
              </w:rPr>
              <w:t>Albanie</w:t>
            </w:r>
            <w:r w:rsidR="00350F71" w:rsidRPr="00E92B7D">
              <w:rPr>
                <w:color w:val="000000"/>
                <w:sz w:val="20"/>
                <w:szCs w:val="20"/>
                <w:lang w:val="fr-CA"/>
              </w:rPr>
              <w:t>*§</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78CD74B2" w14:textId="48513D91" w:rsidR="00350F71" w:rsidRPr="00595C77" w:rsidRDefault="00D35FCB" w:rsidP="004A4631">
            <w:pPr>
              <w:jc w:val="left"/>
              <w:rPr>
                <w:color w:val="000000" w:themeColor="text1"/>
                <w:sz w:val="20"/>
                <w:szCs w:val="20"/>
                <w:lang w:val="fr-CA"/>
              </w:rPr>
            </w:pPr>
            <w:r w:rsidRPr="00595C77">
              <w:rPr>
                <w:sz w:val="20"/>
                <w:szCs w:val="20"/>
                <w:lang w:val="fr-CA"/>
              </w:rPr>
              <w:t>Préparation de projet pour le plan de gestion de la réduction progressive des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D02C327" w14:textId="3147525D" w:rsidR="00350F71" w:rsidRPr="00E92B7D" w:rsidRDefault="00350F71" w:rsidP="004A4631">
            <w:pPr>
              <w:jc w:val="right"/>
              <w:rPr>
                <w:color w:val="000000" w:themeColor="text1"/>
                <w:sz w:val="20"/>
                <w:szCs w:val="20"/>
                <w:lang w:val="fr-CA"/>
              </w:rPr>
            </w:pPr>
            <w:r w:rsidRPr="00E92B7D">
              <w:rPr>
                <w:color w:val="000000"/>
                <w:sz w:val="20"/>
                <w:szCs w:val="20"/>
                <w:lang w:val="fr-CA"/>
              </w:rPr>
              <w:t>63</w:t>
            </w:r>
            <w:r w:rsidR="00E422D4">
              <w:rPr>
                <w:color w:val="000000"/>
                <w:sz w:val="20"/>
                <w:szCs w:val="20"/>
                <w:lang w:val="fr-CA"/>
              </w:rPr>
              <w:t xml:space="preserve"> </w:t>
            </w:r>
            <w:r w:rsidRPr="00E92B7D">
              <w:rPr>
                <w:color w:val="000000"/>
                <w:sz w:val="20"/>
                <w:szCs w:val="20"/>
                <w:lang w:val="fr-CA"/>
              </w:rPr>
              <w:t>500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6E059DFC" w14:textId="77777777" w:rsidR="00350F71" w:rsidRPr="00E92B7D" w:rsidRDefault="00350F71" w:rsidP="004A4631">
            <w:pPr>
              <w:jc w:val="right"/>
              <w:rPr>
                <w:color w:val="000000" w:themeColor="text1"/>
                <w:sz w:val="20"/>
                <w:szCs w:val="20"/>
                <w:lang w:val="fr-CA"/>
              </w:rPr>
            </w:pPr>
            <w:r w:rsidRPr="00E92B7D">
              <w:rPr>
                <w:sz w:val="20"/>
                <w:szCs w:val="20"/>
                <w:lang w:val="fr-CA"/>
              </w:rPr>
              <w:t>***</w:t>
            </w:r>
          </w:p>
        </w:tc>
      </w:tr>
      <w:tr w:rsidR="00350F71" w:rsidRPr="00E92B7D" w14:paraId="1D724EF7" w14:textId="77777777" w:rsidTr="00781AE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2DD84AC7" w14:textId="43854509" w:rsidR="00350F71" w:rsidRPr="00E92B7D" w:rsidRDefault="00350F71" w:rsidP="007B536E">
            <w:pPr>
              <w:jc w:val="left"/>
              <w:rPr>
                <w:color w:val="000000" w:themeColor="text1"/>
                <w:sz w:val="20"/>
                <w:szCs w:val="20"/>
                <w:lang w:val="fr-CA"/>
              </w:rPr>
            </w:pPr>
            <w:r w:rsidRPr="00E92B7D">
              <w:rPr>
                <w:color w:val="000000"/>
                <w:sz w:val="20"/>
                <w:szCs w:val="20"/>
                <w:lang w:val="fr-CA"/>
              </w:rPr>
              <w:t>Jordan</w:t>
            </w:r>
            <w:r w:rsidR="00D35FCB">
              <w:rPr>
                <w:color w:val="000000"/>
                <w:sz w:val="20"/>
                <w:szCs w:val="20"/>
                <w:lang w:val="fr-CA"/>
              </w:rPr>
              <w:t>ie</w:t>
            </w:r>
            <w:r w:rsidR="000524FE">
              <w:rPr>
                <w:color w:val="000000"/>
                <w:sz w:val="20"/>
                <w:szCs w:val="20"/>
                <w:lang w:val="fr-CA"/>
              </w:rPr>
              <w:t xml:space="preserve"> </w:t>
            </w:r>
            <w:r w:rsidRPr="00E92B7D">
              <w:rPr>
                <w:color w:val="000000"/>
                <w:sz w:val="20"/>
                <w:szCs w:val="20"/>
                <w:lang w:val="fr-CA"/>
              </w:rPr>
              <w:t>§</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5DB97B2C" w14:textId="335B1A1C" w:rsidR="00350F71" w:rsidRPr="00595C77" w:rsidRDefault="00D35FCB" w:rsidP="004A4631">
            <w:pPr>
              <w:jc w:val="left"/>
              <w:rPr>
                <w:color w:val="000000" w:themeColor="text1"/>
                <w:sz w:val="20"/>
                <w:szCs w:val="20"/>
                <w:lang w:val="fr-CA"/>
              </w:rPr>
            </w:pPr>
            <w:r w:rsidRPr="00595C77">
              <w:rPr>
                <w:sz w:val="20"/>
                <w:szCs w:val="20"/>
                <w:lang w:val="fr-CA"/>
              </w:rPr>
              <w:t>Préparation de projet pour le plan de gestion de la réduction progressive des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2FB740BF" w14:textId="7042C0B4" w:rsidR="00350F71" w:rsidRPr="00E92B7D" w:rsidRDefault="00350F71" w:rsidP="004A4631">
            <w:pPr>
              <w:jc w:val="right"/>
              <w:rPr>
                <w:color w:val="000000" w:themeColor="text1"/>
                <w:sz w:val="20"/>
                <w:szCs w:val="20"/>
                <w:lang w:val="fr-CA"/>
              </w:rPr>
            </w:pPr>
            <w:r w:rsidRPr="00E92B7D">
              <w:rPr>
                <w:color w:val="000000"/>
                <w:sz w:val="20"/>
                <w:szCs w:val="20"/>
                <w:lang w:val="fr-CA"/>
              </w:rPr>
              <w:t>150</w:t>
            </w:r>
            <w:r w:rsidR="00E422D4">
              <w:rPr>
                <w:color w:val="000000"/>
                <w:sz w:val="20"/>
                <w:szCs w:val="20"/>
                <w:lang w:val="fr-CA"/>
              </w:rPr>
              <w:t xml:space="preserve"> </w:t>
            </w:r>
            <w:r w:rsidRPr="00E92B7D">
              <w:rPr>
                <w:color w:val="000000"/>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243B993C" w14:textId="77777777" w:rsidR="00350F71" w:rsidRPr="00E92B7D" w:rsidRDefault="00350F71" w:rsidP="004A4631">
            <w:pPr>
              <w:jc w:val="right"/>
              <w:rPr>
                <w:color w:val="000000" w:themeColor="text1"/>
                <w:sz w:val="20"/>
                <w:szCs w:val="20"/>
                <w:lang w:val="fr-CA"/>
              </w:rPr>
            </w:pPr>
            <w:r w:rsidRPr="00E92B7D">
              <w:rPr>
                <w:sz w:val="20"/>
                <w:szCs w:val="20"/>
                <w:lang w:val="fr-CA"/>
              </w:rPr>
              <w:t>***</w:t>
            </w:r>
          </w:p>
        </w:tc>
      </w:tr>
      <w:tr w:rsidR="00350F71" w:rsidRPr="00E92B7D" w14:paraId="63ACBCF4" w14:textId="77777777" w:rsidTr="00781AE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54C2E1A" w14:textId="7C9BBBC9" w:rsidR="00350F71" w:rsidRPr="00E92B7D" w:rsidRDefault="00D35FCB" w:rsidP="008042A6">
            <w:pPr>
              <w:rPr>
                <w:color w:val="000000"/>
                <w:sz w:val="20"/>
                <w:szCs w:val="20"/>
                <w:lang w:val="fr-CA"/>
              </w:rPr>
            </w:pPr>
            <w:r>
              <w:rPr>
                <w:color w:val="000000"/>
                <w:sz w:val="20"/>
                <w:szCs w:val="20"/>
                <w:lang w:val="fr-CA"/>
              </w:rPr>
              <w:t>Mexique</w:t>
            </w:r>
            <w:r w:rsidR="00350F71" w:rsidRPr="00E92B7D">
              <w:rPr>
                <w:color w:val="000000"/>
                <w:sz w:val="20"/>
                <w:szCs w:val="20"/>
                <w:lang w:val="fr-CA"/>
              </w:rPr>
              <w:t>*</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16916328" w14:textId="10A3776C" w:rsidR="00350F71" w:rsidRPr="00595C77" w:rsidRDefault="00D35FCB" w:rsidP="00D35FCB">
            <w:pPr>
              <w:snapToGrid w:val="0"/>
              <w:rPr>
                <w:bCs/>
                <w:sz w:val="20"/>
                <w:szCs w:val="20"/>
                <w:lang w:val="fr-CA"/>
              </w:rPr>
            </w:pPr>
            <w:r w:rsidRPr="00595C77">
              <w:rPr>
                <w:sz w:val="20"/>
                <w:szCs w:val="20"/>
                <w:lang w:val="fr-CA"/>
              </w:rPr>
              <w:t>Préparation de projet pour le plan de gestion de la réduction progressive des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295A27D" w14:textId="147CE5E5" w:rsidR="00350F71" w:rsidRPr="00E92B7D" w:rsidRDefault="00350F71" w:rsidP="008042A6">
            <w:pPr>
              <w:jc w:val="right"/>
              <w:rPr>
                <w:color w:val="000000"/>
                <w:sz w:val="20"/>
                <w:szCs w:val="20"/>
                <w:lang w:val="fr-CA"/>
              </w:rPr>
            </w:pPr>
            <w:r w:rsidRPr="00E92B7D">
              <w:rPr>
                <w:color w:val="000000"/>
                <w:sz w:val="20"/>
                <w:szCs w:val="20"/>
                <w:lang w:val="fr-CA"/>
              </w:rPr>
              <w:t>125</w:t>
            </w:r>
            <w:r w:rsidR="00E422D4">
              <w:rPr>
                <w:color w:val="000000"/>
                <w:sz w:val="20"/>
                <w:szCs w:val="20"/>
                <w:lang w:val="fr-CA"/>
              </w:rPr>
              <w:t xml:space="preserve"> </w:t>
            </w:r>
            <w:r w:rsidRPr="00E92B7D">
              <w:rPr>
                <w:color w:val="000000"/>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21876EA7" w14:textId="77777777" w:rsidR="00350F71" w:rsidRPr="00E92B7D" w:rsidRDefault="00350F71" w:rsidP="008042A6">
            <w:pPr>
              <w:jc w:val="right"/>
              <w:rPr>
                <w:sz w:val="20"/>
                <w:szCs w:val="20"/>
                <w:lang w:val="fr-CA"/>
              </w:rPr>
            </w:pPr>
            <w:r w:rsidRPr="00E92B7D">
              <w:rPr>
                <w:sz w:val="20"/>
                <w:szCs w:val="20"/>
                <w:lang w:val="fr-CA"/>
              </w:rPr>
              <w:t>***</w:t>
            </w:r>
          </w:p>
        </w:tc>
      </w:tr>
      <w:tr w:rsidR="00350F71" w:rsidRPr="00E92B7D" w14:paraId="700AE442" w14:textId="77777777" w:rsidTr="00781AE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74D9D6FF" w14:textId="32C2E87F" w:rsidR="00350F71" w:rsidRPr="00E92B7D" w:rsidRDefault="00D35FCB" w:rsidP="008042A6">
            <w:pPr>
              <w:rPr>
                <w:color w:val="000000"/>
                <w:sz w:val="20"/>
                <w:szCs w:val="20"/>
                <w:highlight w:val="yellow"/>
                <w:lang w:val="fr-CA"/>
              </w:rPr>
            </w:pPr>
            <w:r>
              <w:rPr>
                <w:color w:val="000000"/>
                <w:sz w:val="20"/>
                <w:szCs w:val="20"/>
                <w:lang w:val="fr-CA"/>
              </w:rPr>
              <w:lastRenderedPageBreak/>
              <w:t>Monténé</w:t>
            </w:r>
            <w:r w:rsidR="00350F71" w:rsidRPr="00E92B7D">
              <w:rPr>
                <w:color w:val="000000"/>
                <w:sz w:val="20"/>
                <w:szCs w:val="20"/>
                <w:lang w:val="fr-CA"/>
              </w:rPr>
              <w:t>gro</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6419E63A" w14:textId="61306167" w:rsidR="00350F71" w:rsidRPr="00E92B7D" w:rsidRDefault="00D35FCB" w:rsidP="00D35FCB">
            <w:pPr>
              <w:snapToGrid w:val="0"/>
              <w:rPr>
                <w:bCs/>
                <w:sz w:val="20"/>
                <w:szCs w:val="20"/>
                <w:highlight w:val="yellow"/>
                <w:lang w:val="fr-CA"/>
              </w:rPr>
            </w:pPr>
            <w:r w:rsidRPr="00D35FCB">
              <w:rPr>
                <w:sz w:val="20"/>
                <w:szCs w:val="20"/>
                <w:lang w:val="fr-CA"/>
              </w:rPr>
              <w:t>P</w:t>
            </w:r>
            <w:r>
              <w:rPr>
                <w:sz w:val="20"/>
                <w:szCs w:val="20"/>
                <w:lang w:val="fr-CA"/>
              </w:rPr>
              <w:t>réparation de projet pour le</w:t>
            </w:r>
            <w:r w:rsidRPr="00D35FCB">
              <w:rPr>
                <w:sz w:val="20"/>
                <w:szCs w:val="20"/>
                <w:lang w:val="fr-CA"/>
              </w:rPr>
              <w:t xml:space="preserve"> plan de gestion de la réduction progressive des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0A226FF" w14:textId="1F4F2C20" w:rsidR="00350F71" w:rsidRPr="00E92B7D" w:rsidRDefault="00350F71" w:rsidP="008042A6">
            <w:pPr>
              <w:jc w:val="right"/>
              <w:rPr>
                <w:color w:val="000000"/>
                <w:sz w:val="20"/>
                <w:szCs w:val="20"/>
                <w:lang w:val="fr-CA"/>
              </w:rPr>
            </w:pPr>
            <w:r w:rsidRPr="00E92B7D">
              <w:rPr>
                <w:color w:val="000000"/>
                <w:sz w:val="20"/>
                <w:szCs w:val="20"/>
                <w:lang w:val="fr-CA"/>
              </w:rPr>
              <w:t>85</w:t>
            </w:r>
            <w:r w:rsidR="00E422D4">
              <w:rPr>
                <w:color w:val="000000"/>
                <w:sz w:val="20"/>
                <w:szCs w:val="20"/>
                <w:lang w:val="fr-CA"/>
              </w:rPr>
              <w:t xml:space="preserve"> </w:t>
            </w:r>
            <w:r w:rsidRPr="00E92B7D">
              <w:rPr>
                <w:color w:val="000000"/>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77BEDC00" w14:textId="77777777" w:rsidR="00350F71" w:rsidRPr="00E92B7D" w:rsidRDefault="00350F71" w:rsidP="008042A6">
            <w:pPr>
              <w:jc w:val="right"/>
              <w:rPr>
                <w:sz w:val="20"/>
                <w:szCs w:val="20"/>
                <w:lang w:val="fr-CA"/>
              </w:rPr>
            </w:pPr>
            <w:r w:rsidRPr="00E92B7D">
              <w:rPr>
                <w:sz w:val="20"/>
                <w:szCs w:val="20"/>
                <w:lang w:val="fr-CA"/>
              </w:rPr>
              <w:t>***</w:t>
            </w:r>
          </w:p>
        </w:tc>
      </w:tr>
      <w:tr w:rsidR="00350F71" w:rsidRPr="00E92B7D" w14:paraId="5A258E65"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6CE3A658" w14:textId="77777777" w:rsidR="00350F71" w:rsidRPr="00E92B7D" w:rsidRDefault="00350F71" w:rsidP="008042A6">
            <w:pPr>
              <w:rPr>
                <w:color w:val="000000"/>
                <w:sz w:val="20"/>
                <w:szCs w:val="20"/>
                <w:highlight w:val="yellow"/>
                <w:lang w:val="fr-CA"/>
              </w:rPr>
            </w:pPr>
            <w:r w:rsidRPr="00E92B7D">
              <w:rPr>
                <w:color w:val="000000"/>
                <w:sz w:val="20"/>
                <w:szCs w:val="20"/>
                <w:lang w:val="fr-CA"/>
              </w:rPr>
              <w:t>Niger</w:t>
            </w:r>
          </w:p>
        </w:tc>
        <w:tc>
          <w:tcPr>
            <w:tcW w:w="2578" w:type="pct"/>
            <w:tcBorders>
              <w:top w:val="single" w:sz="4" w:space="0" w:color="auto"/>
              <w:left w:val="single" w:sz="4" w:space="0" w:color="auto"/>
              <w:bottom w:val="single" w:sz="4" w:space="0" w:color="auto"/>
              <w:right w:val="single" w:sz="4" w:space="0" w:color="auto"/>
            </w:tcBorders>
            <w:vAlign w:val="center"/>
          </w:tcPr>
          <w:p w14:paraId="74716D3C" w14:textId="702F6C02" w:rsidR="00350F71" w:rsidRPr="00E92B7D" w:rsidRDefault="00D35FCB" w:rsidP="00D35FCB">
            <w:pPr>
              <w:snapToGrid w:val="0"/>
              <w:rPr>
                <w:bCs/>
                <w:sz w:val="20"/>
                <w:szCs w:val="20"/>
                <w:highlight w:val="yellow"/>
                <w:lang w:val="fr-CA"/>
              </w:rPr>
            </w:pPr>
            <w:r w:rsidRPr="00D35FCB">
              <w:rPr>
                <w:sz w:val="20"/>
                <w:szCs w:val="20"/>
                <w:lang w:val="fr-CA"/>
              </w:rPr>
              <w:t>P</w:t>
            </w:r>
            <w:r>
              <w:rPr>
                <w:sz w:val="20"/>
                <w:szCs w:val="20"/>
                <w:lang w:val="fr-CA"/>
              </w:rPr>
              <w:t>réparation de projet pour le</w:t>
            </w:r>
            <w:r w:rsidRPr="00D35FCB">
              <w:rPr>
                <w:sz w:val="20"/>
                <w:szCs w:val="20"/>
                <w:lang w:val="fr-CA"/>
              </w:rPr>
              <w:t xml:space="preserve"> plan de gestion de la réduction progressive des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3E788CF6" w14:textId="6AEA8C91" w:rsidR="00350F71" w:rsidRPr="00E92B7D" w:rsidRDefault="00350F71" w:rsidP="008042A6">
            <w:pPr>
              <w:jc w:val="right"/>
              <w:rPr>
                <w:color w:val="000000"/>
                <w:sz w:val="20"/>
                <w:szCs w:val="20"/>
                <w:lang w:val="fr-CA"/>
              </w:rPr>
            </w:pPr>
            <w:r w:rsidRPr="00E92B7D">
              <w:rPr>
                <w:color w:val="000000"/>
                <w:sz w:val="20"/>
                <w:szCs w:val="20"/>
                <w:lang w:val="fr-CA"/>
              </w:rPr>
              <w:t>150</w:t>
            </w:r>
            <w:r w:rsidR="00E422D4">
              <w:rPr>
                <w:color w:val="000000"/>
                <w:sz w:val="20"/>
                <w:szCs w:val="20"/>
                <w:lang w:val="fr-CA"/>
              </w:rPr>
              <w:t xml:space="preserve"> </w:t>
            </w:r>
            <w:r w:rsidRPr="00E92B7D">
              <w:rPr>
                <w:color w:val="000000"/>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31C47E14" w14:textId="77777777" w:rsidR="00350F71" w:rsidRPr="00E92B7D" w:rsidRDefault="00350F71" w:rsidP="008042A6">
            <w:pPr>
              <w:jc w:val="right"/>
              <w:rPr>
                <w:sz w:val="20"/>
                <w:szCs w:val="20"/>
                <w:lang w:val="fr-CA"/>
              </w:rPr>
            </w:pPr>
            <w:r w:rsidRPr="00E92B7D">
              <w:rPr>
                <w:sz w:val="20"/>
                <w:szCs w:val="20"/>
                <w:lang w:val="fr-CA"/>
              </w:rPr>
              <w:t>***</w:t>
            </w:r>
          </w:p>
        </w:tc>
      </w:tr>
      <w:tr w:rsidR="00350F71" w:rsidRPr="00E92B7D" w14:paraId="3DDAA0A5"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6DD49D51" w14:textId="580F682D" w:rsidR="00350F71" w:rsidRPr="00E92B7D" w:rsidRDefault="00D35FCB" w:rsidP="008042A6">
            <w:pPr>
              <w:rPr>
                <w:color w:val="000000"/>
                <w:sz w:val="20"/>
                <w:szCs w:val="20"/>
                <w:highlight w:val="yellow"/>
                <w:lang w:val="fr-CA"/>
              </w:rPr>
            </w:pPr>
            <w:r>
              <w:rPr>
                <w:color w:val="000000"/>
                <w:sz w:val="20"/>
                <w:szCs w:val="20"/>
                <w:lang w:val="fr-CA"/>
              </w:rPr>
              <w:t>Macédoine du Nord</w:t>
            </w:r>
          </w:p>
        </w:tc>
        <w:tc>
          <w:tcPr>
            <w:tcW w:w="2578" w:type="pct"/>
            <w:tcBorders>
              <w:top w:val="single" w:sz="4" w:space="0" w:color="auto"/>
              <w:left w:val="single" w:sz="4" w:space="0" w:color="auto"/>
              <w:bottom w:val="single" w:sz="4" w:space="0" w:color="auto"/>
              <w:right w:val="single" w:sz="4" w:space="0" w:color="auto"/>
            </w:tcBorders>
            <w:vAlign w:val="center"/>
          </w:tcPr>
          <w:p w14:paraId="10A42A75" w14:textId="5B06BF25" w:rsidR="00350F71" w:rsidRPr="00E92B7D" w:rsidRDefault="00D35FCB" w:rsidP="00D35FCB">
            <w:pPr>
              <w:snapToGrid w:val="0"/>
              <w:rPr>
                <w:bCs/>
                <w:sz w:val="20"/>
                <w:szCs w:val="20"/>
                <w:highlight w:val="yellow"/>
                <w:lang w:val="fr-CA"/>
              </w:rPr>
            </w:pPr>
            <w:r w:rsidRPr="00D35FCB">
              <w:rPr>
                <w:sz w:val="20"/>
                <w:szCs w:val="20"/>
                <w:lang w:val="fr-CA"/>
              </w:rPr>
              <w:t>P</w:t>
            </w:r>
            <w:r>
              <w:rPr>
                <w:sz w:val="20"/>
                <w:szCs w:val="20"/>
                <w:lang w:val="fr-CA"/>
              </w:rPr>
              <w:t>réparation de projet pour le plan</w:t>
            </w:r>
            <w:r w:rsidRPr="00D35FCB">
              <w:rPr>
                <w:sz w:val="20"/>
                <w:szCs w:val="20"/>
                <w:lang w:val="fr-CA"/>
              </w:rPr>
              <w:t xml:space="preserve"> de gestion de la réduction progressive des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4FD9210" w14:textId="293D5D7E" w:rsidR="00350F71" w:rsidRPr="00E92B7D" w:rsidRDefault="00350F71" w:rsidP="008042A6">
            <w:pPr>
              <w:jc w:val="right"/>
              <w:rPr>
                <w:color w:val="000000"/>
                <w:sz w:val="20"/>
                <w:szCs w:val="20"/>
                <w:lang w:val="fr-CA"/>
              </w:rPr>
            </w:pPr>
            <w:r w:rsidRPr="00E92B7D">
              <w:rPr>
                <w:color w:val="000000"/>
                <w:sz w:val="20"/>
                <w:szCs w:val="20"/>
                <w:lang w:val="fr-CA"/>
              </w:rPr>
              <w:t>85</w:t>
            </w:r>
            <w:r w:rsidR="00E422D4">
              <w:rPr>
                <w:color w:val="000000"/>
                <w:sz w:val="20"/>
                <w:szCs w:val="20"/>
                <w:lang w:val="fr-CA"/>
              </w:rPr>
              <w:t xml:space="preserve"> </w:t>
            </w:r>
            <w:r w:rsidRPr="00E92B7D">
              <w:rPr>
                <w:color w:val="000000"/>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0ED93533" w14:textId="77777777" w:rsidR="00350F71" w:rsidRPr="00E92B7D" w:rsidRDefault="00350F71" w:rsidP="008042A6">
            <w:pPr>
              <w:jc w:val="right"/>
              <w:rPr>
                <w:sz w:val="20"/>
                <w:szCs w:val="20"/>
                <w:lang w:val="fr-CA"/>
              </w:rPr>
            </w:pPr>
            <w:r w:rsidRPr="00E92B7D">
              <w:rPr>
                <w:sz w:val="20"/>
                <w:szCs w:val="20"/>
                <w:lang w:val="fr-CA"/>
              </w:rPr>
              <w:t>***</w:t>
            </w:r>
          </w:p>
        </w:tc>
      </w:tr>
      <w:tr w:rsidR="00350F71" w:rsidRPr="00E92B7D" w14:paraId="4184FF63"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0751BFD9" w14:textId="74D10C8C" w:rsidR="00350F71" w:rsidRPr="00E92B7D" w:rsidRDefault="00D35FCB" w:rsidP="008042A6">
            <w:pPr>
              <w:rPr>
                <w:color w:val="000000"/>
                <w:sz w:val="20"/>
                <w:szCs w:val="20"/>
                <w:highlight w:val="yellow"/>
                <w:lang w:val="fr-CA"/>
              </w:rPr>
            </w:pPr>
            <w:r>
              <w:rPr>
                <w:color w:val="000000"/>
                <w:sz w:val="20"/>
                <w:szCs w:val="20"/>
                <w:lang w:val="fr-CA"/>
              </w:rPr>
              <w:t>Séné</w:t>
            </w:r>
            <w:r w:rsidR="00350F71" w:rsidRPr="00E92B7D">
              <w:rPr>
                <w:color w:val="000000"/>
                <w:sz w:val="20"/>
                <w:szCs w:val="20"/>
                <w:lang w:val="fr-CA"/>
              </w:rPr>
              <w:t>gal**</w:t>
            </w:r>
          </w:p>
        </w:tc>
        <w:tc>
          <w:tcPr>
            <w:tcW w:w="2578" w:type="pct"/>
            <w:tcBorders>
              <w:top w:val="single" w:sz="4" w:space="0" w:color="auto"/>
              <w:left w:val="single" w:sz="4" w:space="0" w:color="auto"/>
              <w:bottom w:val="single" w:sz="4" w:space="0" w:color="auto"/>
              <w:right w:val="single" w:sz="4" w:space="0" w:color="auto"/>
            </w:tcBorders>
            <w:vAlign w:val="center"/>
          </w:tcPr>
          <w:p w14:paraId="66399C81" w14:textId="1D93FEA3" w:rsidR="00350F71" w:rsidRPr="00E92B7D" w:rsidRDefault="00D35FCB" w:rsidP="00D35FCB">
            <w:pPr>
              <w:snapToGrid w:val="0"/>
              <w:rPr>
                <w:bCs/>
                <w:sz w:val="20"/>
                <w:szCs w:val="20"/>
                <w:highlight w:val="yellow"/>
                <w:lang w:val="fr-CA"/>
              </w:rPr>
            </w:pPr>
            <w:r w:rsidRPr="00D35FCB">
              <w:rPr>
                <w:sz w:val="20"/>
                <w:szCs w:val="20"/>
                <w:lang w:val="fr-CA"/>
              </w:rPr>
              <w:t>Préparation de projet pour le</w:t>
            </w:r>
            <w:r>
              <w:rPr>
                <w:sz w:val="20"/>
                <w:szCs w:val="20"/>
                <w:lang w:val="fr-CA"/>
              </w:rPr>
              <w:t xml:space="preserve"> plan</w:t>
            </w:r>
            <w:r w:rsidRPr="00D35FCB">
              <w:rPr>
                <w:sz w:val="20"/>
                <w:szCs w:val="20"/>
                <w:lang w:val="fr-CA"/>
              </w:rPr>
              <w:t xml:space="preserve"> de gestion de la réduction progressive des HFC</w:t>
            </w:r>
          </w:p>
        </w:tc>
        <w:tc>
          <w:tcPr>
            <w:tcW w:w="614" w:type="pct"/>
            <w:tcBorders>
              <w:top w:val="single" w:sz="4" w:space="0" w:color="auto"/>
              <w:left w:val="single" w:sz="4" w:space="0" w:color="auto"/>
              <w:bottom w:val="single" w:sz="4" w:space="0" w:color="auto"/>
              <w:right w:val="single" w:sz="4" w:space="0" w:color="auto"/>
            </w:tcBorders>
            <w:vAlign w:val="center"/>
          </w:tcPr>
          <w:p w14:paraId="4B35F54D" w14:textId="385C2539" w:rsidR="00350F71" w:rsidRPr="00E92B7D" w:rsidRDefault="00350F71" w:rsidP="008042A6">
            <w:pPr>
              <w:jc w:val="right"/>
              <w:rPr>
                <w:color w:val="000000"/>
                <w:sz w:val="20"/>
                <w:szCs w:val="20"/>
                <w:lang w:val="fr-CA"/>
              </w:rPr>
            </w:pPr>
            <w:r w:rsidRPr="00E92B7D">
              <w:rPr>
                <w:color w:val="000000"/>
                <w:sz w:val="20"/>
                <w:szCs w:val="20"/>
                <w:lang w:val="fr-CA"/>
              </w:rPr>
              <w:t>25</w:t>
            </w:r>
            <w:r w:rsidR="00E422D4">
              <w:rPr>
                <w:color w:val="000000"/>
                <w:sz w:val="20"/>
                <w:szCs w:val="20"/>
                <w:lang w:val="fr-CA"/>
              </w:rPr>
              <w:t xml:space="preserve"> </w:t>
            </w:r>
            <w:r w:rsidRPr="00E92B7D">
              <w:rPr>
                <w:color w:val="000000"/>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tcPr>
          <w:p w14:paraId="70106F26" w14:textId="77777777" w:rsidR="00350F71" w:rsidRPr="00E92B7D" w:rsidRDefault="00350F71" w:rsidP="008042A6">
            <w:pPr>
              <w:jc w:val="right"/>
              <w:rPr>
                <w:sz w:val="20"/>
                <w:szCs w:val="20"/>
                <w:lang w:val="fr-CA"/>
              </w:rPr>
            </w:pPr>
            <w:r w:rsidRPr="00E92B7D">
              <w:rPr>
                <w:sz w:val="20"/>
                <w:szCs w:val="20"/>
                <w:lang w:val="fr-CA"/>
              </w:rPr>
              <w:t>***</w:t>
            </w:r>
          </w:p>
        </w:tc>
      </w:tr>
      <w:tr w:rsidR="00350F71" w:rsidRPr="00E92B7D" w14:paraId="689855BE"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2646591A" w14:textId="5E54BBF2" w:rsidR="00350F71" w:rsidRPr="00E92B7D" w:rsidRDefault="00D35FCB" w:rsidP="008042A6">
            <w:pPr>
              <w:rPr>
                <w:color w:val="000000"/>
                <w:sz w:val="20"/>
                <w:szCs w:val="20"/>
                <w:lang w:val="fr-CA"/>
              </w:rPr>
            </w:pPr>
            <w:r>
              <w:rPr>
                <w:color w:val="000000"/>
                <w:sz w:val="20"/>
                <w:szCs w:val="20"/>
                <w:lang w:val="fr-CA"/>
              </w:rPr>
              <w:t>Afrique du Sud</w:t>
            </w:r>
          </w:p>
        </w:tc>
        <w:tc>
          <w:tcPr>
            <w:tcW w:w="2578" w:type="pct"/>
            <w:tcBorders>
              <w:top w:val="single" w:sz="4" w:space="0" w:color="auto"/>
              <w:left w:val="single" w:sz="4" w:space="0" w:color="auto"/>
              <w:bottom w:val="single" w:sz="4" w:space="0" w:color="auto"/>
              <w:right w:val="single" w:sz="4" w:space="0" w:color="auto"/>
            </w:tcBorders>
            <w:vAlign w:val="center"/>
          </w:tcPr>
          <w:p w14:paraId="73D4EFA4" w14:textId="6C75A55E" w:rsidR="00350F71" w:rsidRPr="00E92B7D" w:rsidRDefault="00D35FCB" w:rsidP="00D35FCB">
            <w:pPr>
              <w:snapToGrid w:val="0"/>
              <w:rPr>
                <w:bCs/>
                <w:sz w:val="20"/>
                <w:szCs w:val="20"/>
                <w:highlight w:val="yellow"/>
                <w:lang w:val="fr-CA"/>
              </w:rPr>
            </w:pPr>
            <w:r w:rsidRPr="00D35FCB">
              <w:rPr>
                <w:sz w:val="20"/>
                <w:szCs w:val="20"/>
                <w:lang w:val="fr-CA"/>
              </w:rPr>
              <w:t>Préparation de projet pour le plan de gestion de la réduction progressive des HFC</w:t>
            </w:r>
          </w:p>
        </w:tc>
        <w:tc>
          <w:tcPr>
            <w:tcW w:w="614" w:type="pct"/>
            <w:tcBorders>
              <w:top w:val="single" w:sz="4" w:space="0" w:color="auto"/>
              <w:left w:val="single" w:sz="4" w:space="0" w:color="auto"/>
              <w:bottom w:val="single" w:sz="4" w:space="0" w:color="auto"/>
              <w:right w:val="single" w:sz="4" w:space="0" w:color="auto"/>
            </w:tcBorders>
            <w:vAlign w:val="center"/>
          </w:tcPr>
          <w:p w14:paraId="4AFA656E" w14:textId="01049210" w:rsidR="00350F71" w:rsidRPr="00E92B7D" w:rsidRDefault="00350F71" w:rsidP="008042A6">
            <w:pPr>
              <w:jc w:val="right"/>
              <w:rPr>
                <w:color w:val="000000"/>
                <w:sz w:val="20"/>
                <w:szCs w:val="20"/>
                <w:lang w:val="fr-CA"/>
              </w:rPr>
            </w:pPr>
            <w:r w:rsidRPr="00E92B7D">
              <w:rPr>
                <w:color w:val="000000"/>
                <w:sz w:val="20"/>
                <w:szCs w:val="20"/>
                <w:lang w:val="fr-CA"/>
              </w:rPr>
              <w:t>100</w:t>
            </w:r>
            <w:r w:rsidR="00E422D4">
              <w:rPr>
                <w:color w:val="000000"/>
                <w:sz w:val="20"/>
                <w:szCs w:val="20"/>
                <w:lang w:val="fr-CA"/>
              </w:rPr>
              <w:t xml:space="preserve"> </w:t>
            </w:r>
            <w:r w:rsidRPr="00E92B7D">
              <w:rPr>
                <w:color w:val="000000"/>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tcPr>
          <w:p w14:paraId="03121ABC" w14:textId="77777777" w:rsidR="00350F71" w:rsidRPr="00E92B7D" w:rsidRDefault="00350F71" w:rsidP="008042A6">
            <w:pPr>
              <w:jc w:val="right"/>
              <w:rPr>
                <w:sz w:val="20"/>
                <w:szCs w:val="20"/>
                <w:lang w:val="fr-CA"/>
              </w:rPr>
            </w:pPr>
            <w:r w:rsidRPr="00E92B7D">
              <w:rPr>
                <w:sz w:val="20"/>
                <w:szCs w:val="20"/>
                <w:lang w:val="fr-CA"/>
              </w:rPr>
              <w:t>***</w:t>
            </w:r>
          </w:p>
        </w:tc>
      </w:tr>
      <w:tr w:rsidR="001B5926" w:rsidRPr="00E92B7D" w14:paraId="6F205F6F"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5156C014" w14:textId="3803775E" w:rsidR="001B5926" w:rsidRPr="00E92B7D" w:rsidRDefault="00D35FCB" w:rsidP="001B5926">
            <w:pPr>
              <w:jc w:val="right"/>
              <w:rPr>
                <w:color w:val="000000" w:themeColor="text1"/>
                <w:sz w:val="20"/>
                <w:szCs w:val="20"/>
                <w:lang w:val="fr-CA"/>
              </w:rPr>
            </w:pPr>
            <w:r>
              <w:rPr>
                <w:color w:val="000000" w:themeColor="text1"/>
                <w:sz w:val="20"/>
                <w:szCs w:val="20"/>
                <w:lang w:val="fr-CA"/>
              </w:rPr>
              <w:t>Total partiel de</w:t>
            </w:r>
            <w:r w:rsidR="001B5926" w:rsidRPr="00E92B7D">
              <w:rPr>
                <w:color w:val="000000" w:themeColor="text1"/>
                <w:sz w:val="20"/>
                <w:szCs w:val="20"/>
                <w:lang w:val="fr-CA"/>
              </w:rPr>
              <w:t xml:space="preserve"> B1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8139F07" w14:textId="0FE5EFFF" w:rsidR="001B5926" w:rsidRPr="00E92B7D" w:rsidRDefault="00E422D4" w:rsidP="001B5926">
            <w:pPr>
              <w:jc w:val="right"/>
              <w:rPr>
                <w:color w:val="000000"/>
                <w:sz w:val="20"/>
                <w:szCs w:val="20"/>
                <w:lang w:val="fr-CA"/>
              </w:rPr>
            </w:pPr>
            <w:r>
              <w:rPr>
                <w:color w:val="000000"/>
                <w:sz w:val="20"/>
                <w:szCs w:val="20"/>
                <w:lang w:val="fr-CA"/>
              </w:rPr>
              <w:t xml:space="preserve">783 </w:t>
            </w:r>
            <w:r w:rsidR="001B5926" w:rsidRPr="00E92B7D">
              <w:rPr>
                <w:color w:val="000000"/>
                <w:sz w:val="20"/>
                <w:szCs w:val="20"/>
                <w:lang w:val="fr-CA"/>
              </w:rPr>
              <w:t>500</w:t>
            </w:r>
          </w:p>
        </w:tc>
        <w:tc>
          <w:tcPr>
            <w:tcW w:w="857" w:type="pct"/>
            <w:tcBorders>
              <w:top w:val="single" w:sz="4" w:space="0" w:color="auto"/>
              <w:left w:val="single" w:sz="4" w:space="0" w:color="auto"/>
              <w:bottom w:val="single" w:sz="4" w:space="0" w:color="auto"/>
              <w:right w:val="single" w:sz="4" w:space="0" w:color="auto"/>
            </w:tcBorders>
          </w:tcPr>
          <w:p w14:paraId="73C88843" w14:textId="77777777" w:rsidR="001B5926" w:rsidRPr="00E92B7D" w:rsidRDefault="001B5926" w:rsidP="001B5926">
            <w:pPr>
              <w:jc w:val="right"/>
              <w:rPr>
                <w:color w:val="000000" w:themeColor="text1"/>
                <w:sz w:val="20"/>
                <w:szCs w:val="20"/>
                <w:lang w:val="fr-CA"/>
              </w:rPr>
            </w:pPr>
            <w:r w:rsidRPr="00E92B7D">
              <w:rPr>
                <w:color w:val="000000" w:themeColor="text1"/>
                <w:sz w:val="20"/>
                <w:szCs w:val="20"/>
                <w:lang w:val="fr-CA"/>
              </w:rPr>
              <w:t>***</w:t>
            </w:r>
          </w:p>
        </w:tc>
      </w:tr>
      <w:tr w:rsidR="001B5926" w:rsidRPr="00E92B7D" w14:paraId="5AD7A1F9"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47FA1125" w14:textId="6442CEFC" w:rsidR="001B5926" w:rsidRPr="00E92B7D" w:rsidRDefault="00D35FCB" w:rsidP="001B5926">
            <w:pPr>
              <w:jc w:val="right"/>
              <w:rPr>
                <w:color w:val="000000" w:themeColor="text1"/>
                <w:sz w:val="20"/>
                <w:szCs w:val="20"/>
                <w:lang w:val="fr-CA"/>
              </w:rPr>
            </w:pPr>
            <w:r>
              <w:rPr>
                <w:color w:val="000000" w:themeColor="text1"/>
                <w:sz w:val="20"/>
                <w:szCs w:val="20"/>
                <w:lang w:val="fr-CA"/>
              </w:rPr>
              <w:t>Coûts d’appui à l’agence</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F70A0F7" w14:textId="1975D124" w:rsidR="001B5926" w:rsidRPr="00E92B7D" w:rsidRDefault="00E422D4" w:rsidP="001B5926">
            <w:pPr>
              <w:jc w:val="right"/>
              <w:rPr>
                <w:color w:val="000000"/>
                <w:sz w:val="20"/>
                <w:szCs w:val="20"/>
                <w:lang w:val="fr-CA"/>
              </w:rPr>
            </w:pPr>
            <w:r>
              <w:rPr>
                <w:color w:val="000000"/>
                <w:sz w:val="20"/>
                <w:szCs w:val="20"/>
                <w:lang w:val="fr-CA"/>
              </w:rPr>
              <w:t xml:space="preserve">54 </w:t>
            </w:r>
            <w:r w:rsidR="001B5926" w:rsidRPr="00E92B7D">
              <w:rPr>
                <w:color w:val="000000"/>
                <w:sz w:val="20"/>
                <w:szCs w:val="20"/>
                <w:lang w:val="fr-CA"/>
              </w:rPr>
              <w:t>845</w:t>
            </w:r>
          </w:p>
        </w:tc>
        <w:tc>
          <w:tcPr>
            <w:tcW w:w="857" w:type="pct"/>
            <w:tcBorders>
              <w:top w:val="single" w:sz="4" w:space="0" w:color="auto"/>
              <w:left w:val="single" w:sz="4" w:space="0" w:color="auto"/>
              <w:bottom w:val="single" w:sz="4" w:space="0" w:color="auto"/>
              <w:right w:val="single" w:sz="4" w:space="0" w:color="auto"/>
            </w:tcBorders>
          </w:tcPr>
          <w:p w14:paraId="7EDC0C7A" w14:textId="77777777" w:rsidR="001B5926" w:rsidRPr="00E92B7D" w:rsidRDefault="001B5926" w:rsidP="001B5926">
            <w:pPr>
              <w:jc w:val="right"/>
              <w:rPr>
                <w:color w:val="000000" w:themeColor="text1"/>
                <w:sz w:val="20"/>
                <w:szCs w:val="20"/>
                <w:lang w:val="fr-CA"/>
              </w:rPr>
            </w:pPr>
            <w:r w:rsidRPr="00E92B7D">
              <w:rPr>
                <w:color w:val="000000" w:themeColor="text1"/>
                <w:sz w:val="20"/>
                <w:szCs w:val="20"/>
                <w:lang w:val="fr-CA"/>
              </w:rPr>
              <w:t>***</w:t>
            </w:r>
          </w:p>
        </w:tc>
      </w:tr>
      <w:tr w:rsidR="001B5926" w:rsidRPr="00E92B7D" w14:paraId="13433FC2"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1D6DBED3" w14:textId="6A165D43" w:rsidR="001B5926" w:rsidRPr="00E92B7D" w:rsidRDefault="001B5926" w:rsidP="00D35FCB">
            <w:pPr>
              <w:jc w:val="right"/>
              <w:rPr>
                <w:color w:val="000000" w:themeColor="text1"/>
                <w:sz w:val="20"/>
                <w:szCs w:val="20"/>
                <w:lang w:val="fr-CA"/>
              </w:rPr>
            </w:pPr>
            <w:r w:rsidRPr="00E92B7D">
              <w:rPr>
                <w:color w:val="000000" w:themeColor="text1"/>
                <w:sz w:val="20"/>
                <w:szCs w:val="20"/>
                <w:lang w:val="fr-CA"/>
              </w:rPr>
              <w:t xml:space="preserve">Total </w:t>
            </w:r>
            <w:r w:rsidR="00D35FCB">
              <w:rPr>
                <w:color w:val="000000" w:themeColor="text1"/>
                <w:sz w:val="20"/>
                <w:szCs w:val="20"/>
                <w:lang w:val="fr-CA"/>
              </w:rPr>
              <w:t>de</w:t>
            </w:r>
            <w:r w:rsidRPr="00E92B7D">
              <w:rPr>
                <w:color w:val="000000" w:themeColor="text1"/>
                <w:sz w:val="20"/>
                <w:szCs w:val="20"/>
                <w:lang w:val="fr-CA"/>
              </w:rPr>
              <w:t xml:space="preserve"> B1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63E77AD" w14:textId="099FAF6B" w:rsidR="001B5926" w:rsidRPr="00E92B7D" w:rsidRDefault="001B5926" w:rsidP="001B5926">
            <w:pPr>
              <w:jc w:val="right"/>
              <w:rPr>
                <w:color w:val="000000"/>
                <w:sz w:val="20"/>
                <w:szCs w:val="20"/>
                <w:lang w:val="fr-CA"/>
              </w:rPr>
            </w:pPr>
            <w:r w:rsidRPr="00E92B7D">
              <w:rPr>
                <w:color w:val="000000"/>
                <w:sz w:val="20"/>
                <w:szCs w:val="20"/>
                <w:lang w:val="fr-CA"/>
              </w:rPr>
              <w:t>8</w:t>
            </w:r>
            <w:r w:rsidR="00E422D4">
              <w:rPr>
                <w:color w:val="000000"/>
                <w:sz w:val="20"/>
                <w:szCs w:val="20"/>
                <w:lang w:val="fr-CA"/>
              </w:rPr>
              <w:t xml:space="preserve">38 </w:t>
            </w:r>
            <w:r w:rsidRPr="00E92B7D">
              <w:rPr>
                <w:color w:val="000000"/>
                <w:sz w:val="20"/>
                <w:szCs w:val="20"/>
                <w:lang w:val="fr-CA"/>
              </w:rPr>
              <w:t>345</w:t>
            </w:r>
          </w:p>
        </w:tc>
        <w:tc>
          <w:tcPr>
            <w:tcW w:w="857" w:type="pct"/>
            <w:tcBorders>
              <w:top w:val="single" w:sz="4" w:space="0" w:color="auto"/>
              <w:left w:val="single" w:sz="4" w:space="0" w:color="auto"/>
              <w:bottom w:val="single" w:sz="4" w:space="0" w:color="auto"/>
              <w:right w:val="single" w:sz="4" w:space="0" w:color="auto"/>
            </w:tcBorders>
          </w:tcPr>
          <w:p w14:paraId="7581E536" w14:textId="77777777" w:rsidR="001B5926" w:rsidRPr="00E92B7D" w:rsidRDefault="001B5926" w:rsidP="001B5926">
            <w:pPr>
              <w:jc w:val="right"/>
              <w:rPr>
                <w:color w:val="000000" w:themeColor="text1"/>
                <w:sz w:val="20"/>
                <w:szCs w:val="20"/>
                <w:lang w:val="fr-CA"/>
              </w:rPr>
            </w:pPr>
            <w:r w:rsidRPr="00E92B7D">
              <w:rPr>
                <w:color w:val="000000" w:themeColor="text1"/>
                <w:sz w:val="20"/>
                <w:szCs w:val="20"/>
                <w:lang w:val="fr-CA"/>
              </w:rPr>
              <w:t>***</w:t>
            </w:r>
          </w:p>
        </w:tc>
      </w:tr>
      <w:tr w:rsidR="001B5926" w:rsidRPr="00E92B7D" w14:paraId="046214FB"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15F1A1C3" w14:textId="38B65820" w:rsidR="001B5926" w:rsidRPr="00E92B7D" w:rsidRDefault="001B5926" w:rsidP="001B5926">
            <w:pPr>
              <w:jc w:val="right"/>
              <w:rPr>
                <w:color w:val="000000" w:themeColor="text1"/>
                <w:sz w:val="20"/>
                <w:szCs w:val="20"/>
                <w:lang w:val="fr-CA"/>
              </w:rPr>
            </w:pPr>
          </w:p>
        </w:tc>
        <w:tc>
          <w:tcPr>
            <w:tcW w:w="614" w:type="pct"/>
            <w:tcBorders>
              <w:top w:val="single" w:sz="4" w:space="0" w:color="auto"/>
              <w:left w:val="single" w:sz="4" w:space="0" w:color="auto"/>
              <w:bottom w:val="single" w:sz="4" w:space="0" w:color="auto"/>
              <w:right w:val="single" w:sz="4" w:space="0" w:color="auto"/>
            </w:tcBorders>
          </w:tcPr>
          <w:p w14:paraId="71D776BA" w14:textId="465F8D0E" w:rsidR="001B5926" w:rsidRPr="00E92B7D" w:rsidRDefault="001B5926" w:rsidP="001B5926">
            <w:pPr>
              <w:jc w:val="right"/>
              <w:rPr>
                <w:color w:val="000000"/>
                <w:sz w:val="20"/>
                <w:szCs w:val="20"/>
                <w:lang w:val="fr-CA"/>
              </w:rPr>
            </w:pPr>
          </w:p>
        </w:tc>
        <w:tc>
          <w:tcPr>
            <w:tcW w:w="857" w:type="pct"/>
            <w:tcBorders>
              <w:top w:val="single" w:sz="4" w:space="0" w:color="auto"/>
              <w:left w:val="single" w:sz="4" w:space="0" w:color="auto"/>
              <w:bottom w:val="single" w:sz="4" w:space="0" w:color="auto"/>
              <w:right w:val="single" w:sz="4" w:space="0" w:color="auto"/>
            </w:tcBorders>
          </w:tcPr>
          <w:p w14:paraId="71F2A2F2" w14:textId="5AB32C39" w:rsidR="001B5926" w:rsidRPr="00E92B7D" w:rsidRDefault="001B5926" w:rsidP="001B5926">
            <w:pPr>
              <w:jc w:val="right"/>
              <w:rPr>
                <w:color w:val="000000" w:themeColor="text1"/>
                <w:sz w:val="20"/>
                <w:szCs w:val="20"/>
                <w:lang w:val="fr-CA"/>
              </w:rPr>
            </w:pPr>
          </w:p>
        </w:tc>
      </w:tr>
      <w:tr w:rsidR="008042A6" w:rsidRPr="007C1FA2" w14:paraId="5337404E" w14:textId="77777777" w:rsidTr="004B4D67">
        <w:trPr>
          <w:trHeight w:val="235"/>
        </w:trPr>
        <w:tc>
          <w:tcPr>
            <w:tcW w:w="5000" w:type="pct"/>
            <w:gridSpan w:val="4"/>
            <w:tcBorders>
              <w:top w:val="single" w:sz="4" w:space="0" w:color="auto"/>
              <w:left w:val="single" w:sz="4" w:space="0" w:color="auto"/>
              <w:bottom w:val="single" w:sz="4" w:space="0" w:color="auto"/>
              <w:right w:val="single" w:sz="4" w:space="0" w:color="auto"/>
            </w:tcBorders>
          </w:tcPr>
          <w:p w14:paraId="1E9EF55A" w14:textId="1DA7311F" w:rsidR="008042A6" w:rsidRPr="00D35FCB" w:rsidRDefault="00350F71" w:rsidP="000524FE">
            <w:pPr>
              <w:jc w:val="left"/>
              <w:rPr>
                <w:color w:val="000000" w:themeColor="text1"/>
                <w:sz w:val="20"/>
                <w:szCs w:val="20"/>
                <w:lang w:val="fr-CA"/>
              </w:rPr>
            </w:pPr>
            <w:r w:rsidRPr="00D35FCB">
              <w:rPr>
                <w:b/>
                <w:color w:val="000000" w:themeColor="text1"/>
                <w:sz w:val="20"/>
                <w:szCs w:val="20"/>
                <w:lang w:val="fr-CA"/>
              </w:rPr>
              <w:t>B</w:t>
            </w:r>
            <w:r w:rsidR="008042A6" w:rsidRPr="00D35FCB">
              <w:rPr>
                <w:b/>
                <w:color w:val="000000" w:themeColor="text1"/>
                <w:sz w:val="20"/>
                <w:szCs w:val="20"/>
                <w:lang w:val="fr-CA"/>
              </w:rPr>
              <w:t>2</w:t>
            </w:r>
            <w:r w:rsidR="000524FE">
              <w:rPr>
                <w:b/>
                <w:color w:val="000000" w:themeColor="text1"/>
                <w:sz w:val="20"/>
                <w:szCs w:val="20"/>
                <w:lang w:val="fr-CA"/>
              </w:rPr>
              <w:t> </w:t>
            </w:r>
            <w:r w:rsidR="008042A6" w:rsidRPr="00D35FCB">
              <w:rPr>
                <w:b/>
                <w:color w:val="000000" w:themeColor="text1"/>
                <w:sz w:val="20"/>
                <w:szCs w:val="20"/>
                <w:lang w:val="fr-CA"/>
              </w:rPr>
              <w:t xml:space="preserve">: </w:t>
            </w:r>
            <w:r w:rsidR="00D35FCB" w:rsidRPr="00D35FCB">
              <w:rPr>
                <w:b/>
                <w:color w:val="000000" w:themeColor="text1"/>
                <w:sz w:val="20"/>
                <w:szCs w:val="20"/>
                <w:lang w:val="fr-CA"/>
              </w:rPr>
              <w:t xml:space="preserve">Préparation de </w:t>
            </w:r>
            <w:r w:rsidR="00E422D4">
              <w:rPr>
                <w:b/>
                <w:color w:val="000000" w:themeColor="text1"/>
                <w:sz w:val="20"/>
                <w:szCs w:val="20"/>
                <w:lang w:val="fr-CA"/>
              </w:rPr>
              <w:t xml:space="preserve">projets </w:t>
            </w:r>
            <w:r w:rsidR="00D35FCB" w:rsidRPr="00D35FCB">
              <w:rPr>
                <w:b/>
                <w:color w:val="000000" w:themeColor="text1"/>
                <w:sz w:val="20"/>
                <w:szCs w:val="20"/>
                <w:lang w:val="fr-CA"/>
              </w:rPr>
              <w:t>en lien avec les HFC</w:t>
            </w:r>
          </w:p>
        </w:tc>
      </w:tr>
      <w:tr w:rsidR="008042A6" w:rsidRPr="00E92B7D" w14:paraId="617B3C84"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tcPr>
          <w:p w14:paraId="192FEACC" w14:textId="321421FE" w:rsidR="008042A6" w:rsidRPr="00E92B7D" w:rsidRDefault="008042A6" w:rsidP="007B536E">
            <w:pPr>
              <w:jc w:val="left"/>
              <w:rPr>
                <w:color w:val="000000" w:themeColor="text1"/>
                <w:sz w:val="20"/>
                <w:szCs w:val="20"/>
                <w:lang w:val="fr-CA"/>
              </w:rPr>
            </w:pPr>
            <w:r w:rsidRPr="00E92B7D">
              <w:rPr>
                <w:color w:val="000000" w:themeColor="text1"/>
                <w:sz w:val="20"/>
                <w:szCs w:val="20"/>
                <w:lang w:val="fr-CA"/>
              </w:rPr>
              <w:t>S</w:t>
            </w:r>
            <w:r w:rsidR="00E422D4">
              <w:rPr>
                <w:color w:val="000000" w:themeColor="text1"/>
                <w:sz w:val="20"/>
                <w:szCs w:val="20"/>
                <w:lang w:val="fr-CA"/>
              </w:rPr>
              <w:t>o</w:t>
            </w:r>
            <w:r w:rsidRPr="00E92B7D">
              <w:rPr>
                <w:color w:val="000000" w:themeColor="text1"/>
                <w:sz w:val="20"/>
                <w:szCs w:val="20"/>
                <w:lang w:val="fr-CA"/>
              </w:rPr>
              <w:t>udan</w:t>
            </w:r>
            <w:r w:rsidR="000524FE">
              <w:rPr>
                <w:color w:val="000000" w:themeColor="text1"/>
                <w:sz w:val="20"/>
                <w:szCs w:val="20"/>
                <w:lang w:val="fr-CA"/>
              </w:rPr>
              <w:t xml:space="preserve"> </w:t>
            </w:r>
            <w:r w:rsidR="00350F71" w:rsidRPr="00E92B7D">
              <w:rPr>
                <w:color w:val="000000"/>
                <w:sz w:val="20"/>
                <w:szCs w:val="20"/>
                <w:lang w:val="fr-CA"/>
              </w:rPr>
              <w:t>§</w:t>
            </w:r>
          </w:p>
        </w:tc>
        <w:tc>
          <w:tcPr>
            <w:tcW w:w="2578" w:type="pct"/>
            <w:tcBorders>
              <w:top w:val="single" w:sz="4" w:space="0" w:color="auto"/>
              <w:left w:val="single" w:sz="4" w:space="0" w:color="auto"/>
              <w:bottom w:val="single" w:sz="4" w:space="0" w:color="auto"/>
              <w:right w:val="single" w:sz="4" w:space="0" w:color="auto"/>
            </w:tcBorders>
          </w:tcPr>
          <w:p w14:paraId="5E4F5778" w14:textId="7EF1349B" w:rsidR="008042A6" w:rsidRPr="00E92B7D" w:rsidRDefault="00E422D4" w:rsidP="0046726C">
            <w:pPr>
              <w:jc w:val="left"/>
              <w:rPr>
                <w:color w:val="000000" w:themeColor="text1"/>
                <w:sz w:val="20"/>
                <w:szCs w:val="20"/>
                <w:lang w:val="fr-CA"/>
              </w:rPr>
            </w:pPr>
            <w:r>
              <w:rPr>
                <w:bCs/>
                <w:sz w:val="20"/>
                <w:szCs w:val="20"/>
                <w:lang w:val="fr-CA"/>
              </w:rPr>
              <w:t xml:space="preserve">Préparation </w:t>
            </w:r>
            <w:r w:rsidR="0046726C">
              <w:rPr>
                <w:bCs/>
                <w:sz w:val="20"/>
                <w:szCs w:val="20"/>
                <w:lang w:val="fr-CA"/>
              </w:rPr>
              <w:t>d’</w:t>
            </w:r>
            <w:r>
              <w:rPr>
                <w:bCs/>
                <w:sz w:val="20"/>
                <w:szCs w:val="20"/>
                <w:lang w:val="fr-CA"/>
              </w:rPr>
              <w:t>un projet en lien avec les HFC (climatisation)</w:t>
            </w:r>
          </w:p>
        </w:tc>
        <w:tc>
          <w:tcPr>
            <w:tcW w:w="614" w:type="pct"/>
            <w:tcBorders>
              <w:top w:val="single" w:sz="4" w:space="0" w:color="auto"/>
              <w:left w:val="single" w:sz="4" w:space="0" w:color="auto"/>
              <w:bottom w:val="single" w:sz="4" w:space="0" w:color="auto"/>
              <w:right w:val="single" w:sz="4" w:space="0" w:color="auto"/>
            </w:tcBorders>
          </w:tcPr>
          <w:p w14:paraId="24DB7BC0" w14:textId="4637D03D" w:rsidR="008042A6" w:rsidRPr="00E92B7D" w:rsidRDefault="008042A6" w:rsidP="008042A6">
            <w:pPr>
              <w:jc w:val="right"/>
              <w:rPr>
                <w:color w:val="000000" w:themeColor="text1"/>
                <w:sz w:val="20"/>
                <w:szCs w:val="20"/>
                <w:lang w:val="fr-CA"/>
              </w:rPr>
            </w:pPr>
            <w:r w:rsidRPr="00E92B7D">
              <w:rPr>
                <w:color w:val="000000" w:themeColor="text1"/>
                <w:sz w:val="20"/>
                <w:szCs w:val="20"/>
                <w:lang w:val="fr-CA"/>
              </w:rPr>
              <w:t>30</w:t>
            </w:r>
            <w:r w:rsidR="00E422D4">
              <w:rPr>
                <w:color w:val="000000" w:themeColor="text1"/>
                <w:sz w:val="20"/>
                <w:szCs w:val="20"/>
                <w:lang w:val="fr-CA"/>
              </w:rPr>
              <w:t xml:space="preserve"> </w:t>
            </w:r>
            <w:r w:rsidRPr="00E92B7D">
              <w:rPr>
                <w:color w:val="000000" w:themeColor="text1"/>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tcPr>
          <w:p w14:paraId="13273079" w14:textId="3F09C4A9" w:rsidR="008042A6" w:rsidRPr="00E92B7D" w:rsidRDefault="008042A6" w:rsidP="008042A6">
            <w:pPr>
              <w:jc w:val="right"/>
              <w:rPr>
                <w:color w:val="000000" w:themeColor="text1"/>
                <w:sz w:val="20"/>
                <w:szCs w:val="20"/>
                <w:lang w:val="fr-CA"/>
              </w:rPr>
            </w:pPr>
            <w:r w:rsidRPr="00E92B7D">
              <w:rPr>
                <w:sz w:val="20"/>
                <w:szCs w:val="20"/>
                <w:lang w:val="fr-CA"/>
              </w:rPr>
              <w:t>***</w:t>
            </w:r>
          </w:p>
        </w:tc>
      </w:tr>
      <w:tr w:rsidR="008042A6" w:rsidRPr="00E92B7D" w14:paraId="32F4F886"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410106BD" w14:textId="509E64C3" w:rsidR="008042A6" w:rsidRPr="00E92B7D" w:rsidRDefault="00E422D4" w:rsidP="00AD6B64">
            <w:pPr>
              <w:jc w:val="right"/>
              <w:rPr>
                <w:color w:val="000000" w:themeColor="text1"/>
                <w:sz w:val="20"/>
                <w:szCs w:val="20"/>
                <w:lang w:val="fr-CA"/>
              </w:rPr>
            </w:pPr>
            <w:r>
              <w:rPr>
                <w:color w:val="000000" w:themeColor="text1"/>
                <w:sz w:val="20"/>
                <w:szCs w:val="20"/>
                <w:lang w:val="fr-CA"/>
              </w:rPr>
              <w:t>Total partiel de</w:t>
            </w:r>
            <w:r w:rsidR="008042A6" w:rsidRPr="00E92B7D">
              <w:rPr>
                <w:color w:val="000000" w:themeColor="text1"/>
                <w:sz w:val="20"/>
                <w:szCs w:val="20"/>
                <w:lang w:val="fr-CA"/>
              </w:rPr>
              <w:t xml:space="preserve"> </w:t>
            </w:r>
            <w:r w:rsidR="00AD6B64" w:rsidRPr="00E92B7D">
              <w:rPr>
                <w:color w:val="000000" w:themeColor="text1"/>
                <w:sz w:val="20"/>
                <w:szCs w:val="20"/>
                <w:lang w:val="fr-CA"/>
              </w:rPr>
              <w:t>B2</w:t>
            </w:r>
          </w:p>
        </w:tc>
        <w:tc>
          <w:tcPr>
            <w:tcW w:w="614" w:type="pct"/>
            <w:tcBorders>
              <w:top w:val="single" w:sz="4" w:space="0" w:color="auto"/>
              <w:left w:val="single" w:sz="4" w:space="0" w:color="auto"/>
              <w:bottom w:val="single" w:sz="4" w:space="0" w:color="auto"/>
              <w:right w:val="single" w:sz="4" w:space="0" w:color="auto"/>
            </w:tcBorders>
          </w:tcPr>
          <w:p w14:paraId="5F6C4944" w14:textId="3B9B7FCA" w:rsidR="008042A6" w:rsidRPr="00E92B7D" w:rsidRDefault="00E422D4" w:rsidP="008042A6">
            <w:pPr>
              <w:jc w:val="right"/>
              <w:rPr>
                <w:color w:val="000000" w:themeColor="text1"/>
                <w:sz w:val="20"/>
                <w:szCs w:val="20"/>
                <w:lang w:val="fr-CA"/>
              </w:rPr>
            </w:pPr>
            <w:r>
              <w:rPr>
                <w:color w:val="000000" w:themeColor="text1"/>
                <w:sz w:val="20"/>
                <w:szCs w:val="20"/>
                <w:lang w:val="fr-CA"/>
              </w:rPr>
              <w:t xml:space="preserve">30 </w:t>
            </w:r>
            <w:r w:rsidR="008042A6" w:rsidRPr="00E92B7D">
              <w:rPr>
                <w:color w:val="000000" w:themeColor="text1"/>
                <w:sz w:val="20"/>
                <w:szCs w:val="20"/>
                <w:lang w:val="fr-CA"/>
              </w:rPr>
              <w:t>000</w:t>
            </w:r>
          </w:p>
        </w:tc>
        <w:tc>
          <w:tcPr>
            <w:tcW w:w="857" w:type="pct"/>
            <w:tcBorders>
              <w:top w:val="single" w:sz="4" w:space="0" w:color="auto"/>
              <w:left w:val="single" w:sz="4" w:space="0" w:color="auto"/>
              <w:bottom w:val="single" w:sz="4" w:space="0" w:color="auto"/>
              <w:right w:val="single" w:sz="4" w:space="0" w:color="auto"/>
            </w:tcBorders>
          </w:tcPr>
          <w:p w14:paraId="58438FEA" w14:textId="25D5A66E" w:rsidR="008042A6" w:rsidRPr="00E92B7D" w:rsidRDefault="008042A6" w:rsidP="008042A6">
            <w:pPr>
              <w:jc w:val="right"/>
              <w:rPr>
                <w:color w:val="000000" w:themeColor="text1"/>
                <w:sz w:val="20"/>
                <w:szCs w:val="20"/>
                <w:lang w:val="fr-CA"/>
              </w:rPr>
            </w:pPr>
            <w:r w:rsidRPr="00E92B7D">
              <w:rPr>
                <w:sz w:val="20"/>
                <w:szCs w:val="20"/>
                <w:lang w:val="fr-CA"/>
              </w:rPr>
              <w:t>***</w:t>
            </w:r>
          </w:p>
        </w:tc>
      </w:tr>
      <w:tr w:rsidR="008042A6" w:rsidRPr="00E92B7D" w14:paraId="012065CE"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2FB1727E" w14:textId="7EC59813" w:rsidR="008042A6" w:rsidRPr="00E92B7D" w:rsidRDefault="00E422D4" w:rsidP="008042A6">
            <w:pPr>
              <w:jc w:val="right"/>
              <w:rPr>
                <w:color w:val="000000" w:themeColor="text1"/>
                <w:sz w:val="20"/>
                <w:szCs w:val="20"/>
                <w:lang w:val="fr-CA"/>
              </w:rPr>
            </w:pPr>
            <w:r>
              <w:rPr>
                <w:color w:val="000000" w:themeColor="text1"/>
                <w:sz w:val="20"/>
                <w:szCs w:val="20"/>
                <w:lang w:val="fr-CA"/>
              </w:rPr>
              <w:t>Coûts d’appui à l’agence</w:t>
            </w:r>
          </w:p>
        </w:tc>
        <w:tc>
          <w:tcPr>
            <w:tcW w:w="614" w:type="pct"/>
            <w:tcBorders>
              <w:top w:val="single" w:sz="4" w:space="0" w:color="auto"/>
              <w:left w:val="single" w:sz="4" w:space="0" w:color="auto"/>
              <w:bottom w:val="single" w:sz="4" w:space="0" w:color="auto"/>
              <w:right w:val="single" w:sz="4" w:space="0" w:color="auto"/>
            </w:tcBorders>
          </w:tcPr>
          <w:p w14:paraId="45820911" w14:textId="3AFCB8D6" w:rsidR="008042A6" w:rsidRPr="00E92B7D" w:rsidRDefault="00E422D4" w:rsidP="008042A6">
            <w:pPr>
              <w:jc w:val="right"/>
              <w:rPr>
                <w:color w:val="000000" w:themeColor="text1"/>
                <w:sz w:val="20"/>
                <w:szCs w:val="20"/>
                <w:lang w:val="fr-CA"/>
              </w:rPr>
            </w:pPr>
            <w:r>
              <w:rPr>
                <w:color w:val="000000" w:themeColor="text1"/>
                <w:sz w:val="20"/>
                <w:szCs w:val="20"/>
                <w:lang w:val="fr-CA"/>
              </w:rPr>
              <w:t xml:space="preserve">2 </w:t>
            </w:r>
            <w:r w:rsidR="008042A6" w:rsidRPr="00E92B7D">
              <w:rPr>
                <w:color w:val="000000" w:themeColor="text1"/>
                <w:sz w:val="20"/>
                <w:szCs w:val="20"/>
                <w:lang w:val="fr-CA"/>
              </w:rPr>
              <w:t>100</w:t>
            </w:r>
          </w:p>
        </w:tc>
        <w:tc>
          <w:tcPr>
            <w:tcW w:w="857" w:type="pct"/>
            <w:tcBorders>
              <w:top w:val="single" w:sz="4" w:space="0" w:color="auto"/>
              <w:left w:val="single" w:sz="4" w:space="0" w:color="auto"/>
              <w:bottom w:val="single" w:sz="4" w:space="0" w:color="auto"/>
              <w:right w:val="single" w:sz="4" w:space="0" w:color="auto"/>
            </w:tcBorders>
          </w:tcPr>
          <w:p w14:paraId="28A29AFB" w14:textId="160A2BD3" w:rsidR="008042A6" w:rsidRPr="00E92B7D" w:rsidRDefault="008042A6" w:rsidP="008042A6">
            <w:pPr>
              <w:jc w:val="right"/>
              <w:rPr>
                <w:color w:val="000000" w:themeColor="text1"/>
                <w:sz w:val="20"/>
                <w:szCs w:val="20"/>
                <w:lang w:val="fr-CA"/>
              </w:rPr>
            </w:pPr>
            <w:r w:rsidRPr="00E92B7D">
              <w:rPr>
                <w:sz w:val="20"/>
                <w:szCs w:val="20"/>
                <w:lang w:val="fr-CA"/>
              </w:rPr>
              <w:t>***</w:t>
            </w:r>
          </w:p>
        </w:tc>
      </w:tr>
      <w:tr w:rsidR="008042A6" w:rsidRPr="00E92B7D" w14:paraId="568608DC"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437CEA7C" w14:textId="5BC1320E" w:rsidR="008042A6" w:rsidRPr="00E92B7D" w:rsidRDefault="008042A6" w:rsidP="00E422D4">
            <w:pPr>
              <w:jc w:val="right"/>
              <w:rPr>
                <w:color w:val="000000" w:themeColor="text1"/>
                <w:sz w:val="20"/>
                <w:szCs w:val="20"/>
                <w:lang w:val="fr-CA"/>
              </w:rPr>
            </w:pPr>
            <w:r w:rsidRPr="00E92B7D">
              <w:rPr>
                <w:color w:val="000000" w:themeColor="text1"/>
                <w:sz w:val="20"/>
                <w:szCs w:val="20"/>
                <w:lang w:val="fr-CA"/>
              </w:rPr>
              <w:t xml:space="preserve">Total </w:t>
            </w:r>
            <w:r w:rsidR="00E422D4">
              <w:rPr>
                <w:color w:val="000000" w:themeColor="text1"/>
                <w:sz w:val="20"/>
                <w:szCs w:val="20"/>
                <w:lang w:val="fr-CA"/>
              </w:rPr>
              <w:t>de</w:t>
            </w:r>
            <w:r w:rsidRPr="00E92B7D">
              <w:rPr>
                <w:color w:val="000000" w:themeColor="text1"/>
                <w:sz w:val="20"/>
                <w:szCs w:val="20"/>
                <w:lang w:val="fr-CA"/>
              </w:rPr>
              <w:t xml:space="preserve"> </w:t>
            </w:r>
            <w:r w:rsidR="00AD6B64" w:rsidRPr="00E92B7D">
              <w:rPr>
                <w:color w:val="000000" w:themeColor="text1"/>
                <w:sz w:val="20"/>
                <w:szCs w:val="20"/>
                <w:lang w:val="fr-CA"/>
              </w:rPr>
              <w:t>B2</w:t>
            </w:r>
          </w:p>
        </w:tc>
        <w:tc>
          <w:tcPr>
            <w:tcW w:w="614" w:type="pct"/>
            <w:tcBorders>
              <w:top w:val="single" w:sz="4" w:space="0" w:color="auto"/>
              <w:left w:val="single" w:sz="4" w:space="0" w:color="auto"/>
              <w:bottom w:val="single" w:sz="4" w:space="0" w:color="auto"/>
              <w:right w:val="single" w:sz="4" w:space="0" w:color="auto"/>
            </w:tcBorders>
          </w:tcPr>
          <w:p w14:paraId="2A3C7143" w14:textId="51C61ADC" w:rsidR="008042A6" w:rsidRPr="00E92B7D" w:rsidRDefault="008042A6" w:rsidP="008042A6">
            <w:pPr>
              <w:jc w:val="right"/>
              <w:rPr>
                <w:color w:val="000000" w:themeColor="text1"/>
                <w:sz w:val="20"/>
                <w:szCs w:val="20"/>
                <w:lang w:val="fr-CA"/>
              </w:rPr>
            </w:pPr>
            <w:r w:rsidRPr="00E92B7D">
              <w:rPr>
                <w:color w:val="000000" w:themeColor="text1"/>
                <w:sz w:val="20"/>
                <w:szCs w:val="20"/>
                <w:lang w:val="fr-CA"/>
              </w:rPr>
              <w:t>3</w:t>
            </w:r>
            <w:r w:rsidR="00E422D4">
              <w:rPr>
                <w:color w:val="000000" w:themeColor="text1"/>
                <w:sz w:val="20"/>
                <w:szCs w:val="20"/>
                <w:lang w:val="fr-CA"/>
              </w:rPr>
              <w:t xml:space="preserve">2 </w:t>
            </w:r>
            <w:r w:rsidRPr="00E92B7D">
              <w:rPr>
                <w:color w:val="000000" w:themeColor="text1"/>
                <w:sz w:val="20"/>
                <w:szCs w:val="20"/>
                <w:lang w:val="fr-CA"/>
              </w:rPr>
              <w:t>100</w:t>
            </w:r>
          </w:p>
        </w:tc>
        <w:tc>
          <w:tcPr>
            <w:tcW w:w="857" w:type="pct"/>
            <w:tcBorders>
              <w:top w:val="single" w:sz="4" w:space="0" w:color="auto"/>
              <w:left w:val="single" w:sz="4" w:space="0" w:color="auto"/>
              <w:bottom w:val="single" w:sz="4" w:space="0" w:color="auto"/>
              <w:right w:val="single" w:sz="4" w:space="0" w:color="auto"/>
            </w:tcBorders>
          </w:tcPr>
          <w:p w14:paraId="128D6C72" w14:textId="1E245326" w:rsidR="008042A6" w:rsidRPr="00E92B7D" w:rsidRDefault="008042A6" w:rsidP="008042A6">
            <w:pPr>
              <w:jc w:val="right"/>
              <w:rPr>
                <w:color w:val="000000" w:themeColor="text1"/>
                <w:sz w:val="20"/>
                <w:szCs w:val="20"/>
                <w:lang w:val="fr-CA"/>
              </w:rPr>
            </w:pPr>
            <w:r w:rsidRPr="00E92B7D">
              <w:rPr>
                <w:sz w:val="20"/>
                <w:szCs w:val="20"/>
                <w:lang w:val="fr-CA"/>
              </w:rPr>
              <w:t>***</w:t>
            </w:r>
          </w:p>
        </w:tc>
      </w:tr>
      <w:tr w:rsidR="008042A6" w:rsidRPr="00E92B7D" w14:paraId="1DEF1CEE"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5C09C200" w14:textId="15904863" w:rsidR="008042A6" w:rsidRPr="00E92B7D" w:rsidRDefault="00E422D4" w:rsidP="00E422D4">
            <w:pPr>
              <w:jc w:val="right"/>
              <w:rPr>
                <w:color w:val="000000" w:themeColor="text1"/>
                <w:sz w:val="20"/>
                <w:szCs w:val="20"/>
                <w:lang w:val="fr-CA"/>
              </w:rPr>
            </w:pPr>
            <w:r>
              <w:rPr>
                <w:color w:val="000000" w:themeColor="text1"/>
                <w:sz w:val="20"/>
                <w:szCs w:val="20"/>
                <w:lang w:val="fr-CA"/>
              </w:rPr>
              <w:t>Total de toutes les demandes présentées à la 86</w:t>
            </w:r>
            <w:r w:rsidRPr="00E422D4">
              <w:rPr>
                <w:color w:val="000000" w:themeColor="text1"/>
                <w:sz w:val="20"/>
                <w:szCs w:val="20"/>
                <w:vertAlign w:val="superscript"/>
                <w:lang w:val="fr-CA"/>
              </w:rPr>
              <w:t>e</w:t>
            </w:r>
            <w:r>
              <w:rPr>
                <w:color w:val="000000" w:themeColor="text1"/>
                <w:sz w:val="20"/>
                <w:szCs w:val="20"/>
                <w:lang w:val="fr-CA"/>
              </w:rPr>
              <w:t xml:space="preserve"> réunion</w:t>
            </w:r>
            <w:r w:rsidR="008042A6" w:rsidRPr="00E92B7D">
              <w:rPr>
                <w:color w:val="000000" w:themeColor="text1"/>
                <w:sz w:val="20"/>
                <w:szCs w:val="20"/>
                <w:lang w:val="fr-CA"/>
              </w:rPr>
              <w:t xml:space="preserve"> (A1, A2, A3, B1, </w:t>
            </w:r>
            <w:r w:rsidR="00350F71" w:rsidRPr="00E92B7D">
              <w:rPr>
                <w:color w:val="000000" w:themeColor="text1"/>
                <w:sz w:val="20"/>
                <w:szCs w:val="20"/>
                <w:lang w:val="fr-CA"/>
              </w:rPr>
              <w:t>B2</w:t>
            </w:r>
            <w:r w:rsidR="008042A6" w:rsidRPr="00E92B7D">
              <w:rPr>
                <w:color w:val="000000" w:themeColor="text1"/>
                <w:sz w:val="20"/>
                <w:szCs w:val="20"/>
                <w:lang w:val="fr-CA"/>
              </w:rPr>
              <w:t>)</w:t>
            </w:r>
          </w:p>
        </w:tc>
        <w:tc>
          <w:tcPr>
            <w:tcW w:w="614" w:type="pct"/>
            <w:tcBorders>
              <w:top w:val="single" w:sz="4" w:space="0" w:color="auto"/>
              <w:left w:val="single" w:sz="4" w:space="0" w:color="auto"/>
              <w:bottom w:val="single" w:sz="4" w:space="0" w:color="auto"/>
              <w:right w:val="single" w:sz="4" w:space="0" w:color="auto"/>
            </w:tcBorders>
          </w:tcPr>
          <w:p w14:paraId="7D6451AA" w14:textId="65655D8A" w:rsidR="008042A6" w:rsidRPr="00E92B7D" w:rsidRDefault="00E422D4" w:rsidP="008042A6">
            <w:pPr>
              <w:jc w:val="right"/>
              <w:rPr>
                <w:color w:val="000000" w:themeColor="text1"/>
                <w:sz w:val="20"/>
                <w:szCs w:val="20"/>
                <w:lang w:val="fr-CA"/>
              </w:rPr>
            </w:pPr>
            <w:r>
              <w:rPr>
                <w:color w:val="000000" w:themeColor="text1"/>
                <w:sz w:val="20"/>
                <w:szCs w:val="20"/>
                <w:lang w:val="fr-CA"/>
              </w:rPr>
              <w:t xml:space="preserve">2 292 </w:t>
            </w:r>
            <w:r w:rsidR="008042A6" w:rsidRPr="00E92B7D">
              <w:rPr>
                <w:color w:val="000000" w:themeColor="text1"/>
                <w:sz w:val="20"/>
                <w:szCs w:val="20"/>
                <w:lang w:val="fr-CA"/>
              </w:rPr>
              <w:t>831</w:t>
            </w:r>
          </w:p>
        </w:tc>
        <w:tc>
          <w:tcPr>
            <w:tcW w:w="857" w:type="pct"/>
            <w:tcBorders>
              <w:top w:val="single" w:sz="4" w:space="0" w:color="auto"/>
              <w:left w:val="single" w:sz="4" w:space="0" w:color="auto"/>
              <w:bottom w:val="single" w:sz="4" w:space="0" w:color="auto"/>
              <w:right w:val="single" w:sz="4" w:space="0" w:color="auto"/>
            </w:tcBorders>
          </w:tcPr>
          <w:p w14:paraId="0C9DD488" w14:textId="2CDE23C3" w:rsidR="008042A6" w:rsidRPr="00E92B7D" w:rsidRDefault="008042A6" w:rsidP="008042A6">
            <w:pPr>
              <w:jc w:val="right"/>
              <w:rPr>
                <w:color w:val="000000" w:themeColor="text1"/>
                <w:sz w:val="20"/>
                <w:szCs w:val="20"/>
                <w:lang w:val="fr-CA"/>
              </w:rPr>
            </w:pPr>
            <w:r w:rsidRPr="00E92B7D">
              <w:rPr>
                <w:color w:val="000000" w:themeColor="text1"/>
                <w:sz w:val="20"/>
                <w:szCs w:val="20"/>
                <w:lang w:val="fr-CA"/>
              </w:rPr>
              <w:t>1</w:t>
            </w:r>
            <w:r w:rsidR="00E422D4">
              <w:rPr>
                <w:color w:val="000000" w:themeColor="text1"/>
                <w:sz w:val="20"/>
                <w:szCs w:val="20"/>
                <w:lang w:val="fr-CA"/>
              </w:rPr>
              <w:t xml:space="preserve"> </w:t>
            </w:r>
            <w:r w:rsidRPr="00E92B7D">
              <w:rPr>
                <w:color w:val="000000" w:themeColor="text1"/>
                <w:sz w:val="20"/>
                <w:szCs w:val="20"/>
                <w:lang w:val="fr-CA"/>
              </w:rPr>
              <w:t>422</w:t>
            </w:r>
            <w:r w:rsidR="00E422D4">
              <w:rPr>
                <w:color w:val="000000" w:themeColor="text1"/>
                <w:sz w:val="20"/>
                <w:szCs w:val="20"/>
                <w:lang w:val="fr-CA"/>
              </w:rPr>
              <w:t xml:space="preserve"> </w:t>
            </w:r>
            <w:r w:rsidRPr="00E92B7D">
              <w:rPr>
                <w:color w:val="000000" w:themeColor="text1"/>
                <w:sz w:val="20"/>
                <w:szCs w:val="20"/>
                <w:lang w:val="fr-CA"/>
              </w:rPr>
              <w:t>386</w:t>
            </w:r>
          </w:p>
        </w:tc>
      </w:tr>
    </w:tbl>
    <w:p w14:paraId="37F0C1A4" w14:textId="556F3C62" w:rsidR="005C22AA" w:rsidRPr="004A4631" w:rsidRDefault="003808FD" w:rsidP="005C22AA">
      <w:pPr>
        <w:tabs>
          <w:tab w:val="left" w:pos="8280"/>
        </w:tabs>
        <w:rPr>
          <w:sz w:val="20"/>
          <w:szCs w:val="20"/>
          <w:lang w:val="fr-CA"/>
        </w:rPr>
      </w:pPr>
      <w:r w:rsidRPr="004A4631">
        <w:rPr>
          <w:sz w:val="20"/>
          <w:szCs w:val="20"/>
          <w:lang w:val="fr-CA"/>
        </w:rPr>
        <w:t xml:space="preserve">* </w:t>
      </w:r>
      <w:r w:rsidR="00F0524F">
        <w:rPr>
          <w:sz w:val="20"/>
          <w:szCs w:val="20"/>
          <w:lang w:val="fr-CA"/>
        </w:rPr>
        <w:t>PNUE</w:t>
      </w:r>
      <w:r w:rsidR="00E422D4">
        <w:rPr>
          <w:sz w:val="20"/>
          <w:szCs w:val="20"/>
          <w:lang w:val="fr-CA"/>
        </w:rPr>
        <w:t xml:space="preserve"> en tant qu’agence d’exécution de coopération</w:t>
      </w:r>
    </w:p>
    <w:p w14:paraId="3C7FB8E2" w14:textId="5D8D9FFE" w:rsidR="003808FD" w:rsidRPr="004A4631" w:rsidRDefault="003808FD" w:rsidP="005C22AA">
      <w:pPr>
        <w:tabs>
          <w:tab w:val="left" w:pos="8280"/>
        </w:tabs>
        <w:rPr>
          <w:sz w:val="20"/>
          <w:szCs w:val="20"/>
          <w:lang w:val="fr-CA"/>
        </w:rPr>
      </w:pPr>
      <w:r w:rsidRPr="004A4631">
        <w:rPr>
          <w:sz w:val="20"/>
          <w:szCs w:val="20"/>
          <w:lang w:val="fr-CA"/>
        </w:rPr>
        <w:t xml:space="preserve">** </w:t>
      </w:r>
      <w:r w:rsidR="00F0524F">
        <w:rPr>
          <w:sz w:val="20"/>
          <w:szCs w:val="20"/>
          <w:lang w:val="fr-CA"/>
        </w:rPr>
        <w:t>PNUE en tant qu’agence d’exécution principale</w:t>
      </w:r>
    </w:p>
    <w:p w14:paraId="2A417357" w14:textId="0557FC6A" w:rsidR="005C22AA" w:rsidRPr="004A4631" w:rsidRDefault="005C22AA" w:rsidP="005C22AA">
      <w:pPr>
        <w:tabs>
          <w:tab w:val="left" w:pos="8280"/>
        </w:tabs>
        <w:rPr>
          <w:sz w:val="20"/>
          <w:szCs w:val="20"/>
          <w:lang w:val="fr-CA"/>
        </w:rPr>
      </w:pPr>
      <w:r w:rsidRPr="004A4631">
        <w:rPr>
          <w:sz w:val="20"/>
          <w:szCs w:val="20"/>
          <w:lang w:val="fr-CA"/>
        </w:rPr>
        <w:t>***</w:t>
      </w:r>
      <w:r w:rsidR="00F0524F">
        <w:rPr>
          <w:sz w:val="20"/>
          <w:szCs w:val="20"/>
          <w:lang w:val="fr-CA"/>
        </w:rPr>
        <w:t>Pour examen individuel</w:t>
      </w:r>
    </w:p>
    <w:p w14:paraId="40626CB5" w14:textId="0CA79954" w:rsidR="00350F71" w:rsidRPr="004A4631" w:rsidRDefault="00350F71" w:rsidP="005C22AA">
      <w:pPr>
        <w:tabs>
          <w:tab w:val="left" w:pos="8280"/>
        </w:tabs>
        <w:rPr>
          <w:sz w:val="20"/>
          <w:szCs w:val="20"/>
          <w:lang w:val="fr-CA"/>
        </w:rPr>
      </w:pPr>
      <w:r w:rsidRPr="004A4631">
        <w:rPr>
          <w:color w:val="000000"/>
          <w:sz w:val="20"/>
          <w:szCs w:val="20"/>
          <w:lang w:val="fr-CA"/>
        </w:rPr>
        <w:t xml:space="preserve">§ </w:t>
      </w:r>
      <w:r w:rsidR="00F0524F">
        <w:rPr>
          <w:color w:val="000000"/>
          <w:sz w:val="20"/>
          <w:szCs w:val="20"/>
          <w:lang w:val="fr-CA"/>
        </w:rPr>
        <w:t>Présenté à la 85</w:t>
      </w:r>
      <w:r w:rsidR="00F0524F" w:rsidRPr="00F0524F">
        <w:rPr>
          <w:color w:val="000000"/>
          <w:sz w:val="20"/>
          <w:szCs w:val="20"/>
          <w:vertAlign w:val="superscript"/>
          <w:lang w:val="fr-CA"/>
        </w:rPr>
        <w:t>e</w:t>
      </w:r>
      <w:r w:rsidR="00F0524F">
        <w:rPr>
          <w:color w:val="000000"/>
          <w:sz w:val="20"/>
          <w:szCs w:val="20"/>
          <w:lang w:val="fr-CA"/>
        </w:rPr>
        <w:t xml:space="preserve"> réunion</w:t>
      </w:r>
    </w:p>
    <w:p w14:paraId="2BF2A460" w14:textId="77777777" w:rsidR="005C22AA" w:rsidRPr="004A4631" w:rsidRDefault="005C22AA" w:rsidP="00350F71">
      <w:pPr>
        <w:pStyle w:val="StyleHeader4Para4Left0Firstline0"/>
        <w:numPr>
          <w:ilvl w:val="0"/>
          <w:numId w:val="0"/>
        </w:numPr>
        <w:spacing w:after="0"/>
        <w:rPr>
          <w:sz w:val="22"/>
          <w:highlight w:val="yellow"/>
          <w:lang w:val="fr-CA"/>
        </w:rPr>
      </w:pPr>
    </w:p>
    <w:p w14:paraId="1698D390" w14:textId="56C508BC" w:rsidR="005C22AA" w:rsidRPr="004A4631" w:rsidRDefault="00F0524F" w:rsidP="005C22AA">
      <w:pPr>
        <w:keepNext/>
        <w:spacing w:after="240"/>
        <w:rPr>
          <w:b/>
          <w:color w:val="000000" w:themeColor="text1"/>
          <w:lang w:val="fr-CA"/>
        </w:rPr>
      </w:pPr>
      <w:r>
        <w:rPr>
          <w:b/>
          <w:color w:val="000000" w:themeColor="text1"/>
          <w:lang w:val="fr-CA"/>
        </w:rPr>
        <w:t>PARTIE</w:t>
      </w:r>
      <w:r w:rsidR="005C22AA" w:rsidRPr="004A4631">
        <w:rPr>
          <w:b/>
          <w:color w:val="000000" w:themeColor="text1"/>
          <w:lang w:val="fr-CA"/>
        </w:rPr>
        <w:t xml:space="preserve"> A</w:t>
      </w:r>
      <w:r w:rsidR="000524FE">
        <w:rPr>
          <w:b/>
          <w:color w:val="000000" w:themeColor="text1"/>
          <w:lang w:val="fr-CA"/>
        </w:rPr>
        <w:t> </w:t>
      </w:r>
      <w:r w:rsidR="005C22AA" w:rsidRPr="004A4631">
        <w:rPr>
          <w:b/>
          <w:color w:val="000000" w:themeColor="text1"/>
          <w:lang w:val="fr-CA"/>
        </w:rPr>
        <w:t xml:space="preserve">: </w:t>
      </w:r>
      <w:r>
        <w:rPr>
          <w:b/>
          <w:color w:val="000000" w:themeColor="text1"/>
          <w:lang w:val="fr-CA"/>
        </w:rPr>
        <w:t>ACTIVITÉS RECOMMANDÉES POUR APPROBATION GÉNÉRALE</w:t>
      </w:r>
    </w:p>
    <w:p w14:paraId="2E3B3104" w14:textId="05369FA9" w:rsidR="00F0524F" w:rsidRPr="00F0524F" w:rsidRDefault="005C22AA" w:rsidP="005C22AA">
      <w:pPr>
        <w:keepNext/>
        <w:spacing w:after="240"/>
        <w:rPr>
          <w:b/>
          <w:color w:val="000000" w:themeColor="text1"/>
          <w:lang w:val="fr-CA"/>
        </w:rPr>
      </w:pPr>
      <w:r w:rsidRPr="00F0524F">
        <w:rPr>
          <w:b/>
          <w:color w:val="000000" w:themeColor="text1"/>
          <w:lang w:val="fr-CA"/>
        </w:rPr>
        <w:t>A1</w:t>
      </w:r>
      <w:r w:rsidR="000524FE">
        <w:rPr>
          <w:b/>
          <w:color w:val="000000" w:themeColor="text1"/>
          <w:lang w:val="fr-CA"/>
        </w:rPr>
        <w:t> </w:t>
      </w:r>
      <w:r w:rsidRPr="00F0524F">
        <w:rPr>
          <w:b/>
          <w:color w:val="000000" w:themeColor="text1"/>
          <w:lang w:val="fr-CA"/>
        </w:rPr>
        <w:t xml:space="preserve">: </w:t>
      </w:r>
      <w:r w:rsidR="00F0524F" w:rsidRPr="00F0524F">
        <w:rPr>
          <w:b/>
          <w:color w:val="000000" w:themeColor="text1"/>
          <w:lang w:val="fr-CA"/>
        </w:rPr>
        <w:t>Renouvellement des projets de renforcement des institutions</w:t>
      </w:r>
    </w:p>
    <w:p w14:paraId="0FE43F68" w14:textId="59B16304" w:rsidR="005C22AA" w:rsidRPr="004A4631" w:rsidRDefault="00F0524F" w:rsidP="005C22AA">
      <w:pPr>
        <w:keepNext/>
        <w:spacing w:after="240"/>
        <w:rPr>
          <w:b/>
          <w:color w:val="000000" w:themeColor="text1"/>
          <w:lang w:val="fr-CA"/>
        </w:rPr>
      </w:pPr>
      <w:r>
        <w:rPr>
          <w:b/>
          <w:color w:val="000000" w:themeColor="text1"/>
          <w:lang w:val="fr-CA"/>
        </w:rPr>
        <w:t>Description des projets</w:t>
      </w:r>
    </w:p>
    <w:p w14:paraId="42612EF4" w14:textId="093A8A63" w:rsidR="005C22AA" w:rsidRPr="004A4631" w:rsidRDefault="00F0524F" w:rsidP="005C22AA">
      <w:pPr>
        <w:pStyle w:val="Heading1"/>
        <w:rPr>
          <w:lang w:val="fr-CA"/>
        </w:rPr>
      </w:pPr>
      <w:r>
        <w:rPr>
          <w:lang w:val="fr-CA"/>
        </w:rPr>
        <w:t xml:space="preserve">L’ONUDI </w:t>
      </w:r>
      <w:r w:rsidR="000C2F34">
        <w:rPr>
          <w:lang w:val="fr-CA"/>
        </w:rPr>
        <w:t>a présenté</w:t>
      </w:r>
      <w:r>
        <w:rPr>
          <w:lang w:val="fr-CA"/>
        </w:rPr>
        <w:t xml:space="preserve"> une demande de renouvellement des projets de renforcement des institutions pour les pays indiqués dans la partie A1 du tableau 1. La description de ces projets est fournie à l’annexe I au présent document</w:t>
      </w:r>
      <w:r w:rsidR="005C22AA" w:rsidRPr="004A4631">
        <w:rPr>
          <w:lang w:val="fr-CA"/>
        </w:rPr>
        <w:t>.</w:t>
      </w:r>
    </w:p>
    <w:p w14:paraId="25532CFF" w14:textId="3BB101C4" w:rsidR="005C22AA" w:rsidRPr="004A4631" w:rsidRDefault="00F0524F" w:rsidP="005C22AA">
      <w:pPr>
        <w:autoSpaceDE w:val="0"/>
        <w:autoSpaceDN w:val="0"/>
        <w:adjustRightInd w:val="0"/>
        <w:spacing w:after="240"/>
        <w:rPr>
          <w:b/>
          <w:bCs/>
          <w:color w:val="000000" w:themeColor="text1"/>
          <w:lang w:val="fr-CA" w:eastAsia="en-CA"/>
        </w:rPr>
      </w:pPr>
      <w:r>
        <w:rPr>
          <w:b/>
          <w:bCs/>
          <w:color w:val="000000" w:themeColor="text1"/>
          <w:lang w:val="fr-CA" w:eastAsia="en-CA"/>
        </w:rPr>
        <w:t>Observations du Secrétariat</w:t>
      </w:r>
    </w:p>
    <w:p w14:paraId="02F1EAC3" w14:textId="0A975726" w:rsidR="005C22AA" w:rsidRPr="00281627" w:rsidRDefault="00F0524F" w:rsidP="0059387E">
      <w:pPr>
        <w:pStyle w:val="Heading1"/>
        <w:rPr>
          <w:lang w:val="fr-CA"/>
        </w:rPr>
      </w:pPr>
      <w:r w:rsidRPr="00281627">
        <w:rPr>
          <w:lang w:val="fr-CA"/>
        </w:rPr>
        <w:t>L</w:t>
      </w:r>
      <w:r w:rsidR="0059387E" w:rsidRPr="00281627">
        <w:rPr>
          <w:lang w:val="fr-CA"/>
        </w:rPr>
        <w:t>e Secrétariat a examiné la demande</w:t>
      </w:r>
      <w:r w:rsidRPr="00281627">
        <w:rPr>
          <w:lang w:val="fr-CA"/>
        </w:rPr>
        <w:t xml:space="preserve"> de renouvellement de</w:t>
      </w:r>
      <w:r w:rsidR="0059387E" w:rsidRPr="00281627">
        <w:rPr>
          <w:lang w:val="fr-CA"/>
        </w:rPr>
        <w:t xml:space="preserve"> cinq</w:t>
      </w:r>
      <w:r w:rsidRPr="00281627">
        <w:rPr>
          <w:lang w:val="fr-CA"/>
        </w:rPr>
        <w:t xml:space="preserve"> projets de renforcement des institutions</w:t>
      </w:r>
      <w:r w:rsidR="0059387E" w:rsidRPr="00281627">
        <w:rPr>
          <w:lang w:val="fr-CA"/>
        </w:rPr>
        <w:t xml:space="preserve"> présentée par </w:t>
      </w:r>
      <w:r w:rsidR="000524FE">
        <w:rPr>
          <w:lang w:val="fr-CA"/>
        </w:rPr>
        <w:t>l’ONUDI</w:t>
      </w:r>
      <w:r w:rsidR="0059387E" w:rsidRPr="00281627">
        <w:rPr>
          <w:lang w:val="fr-CA"/>
        </w:rPr>
        <w:t xml:space="preserve"> au nom des gouvernements concernés par rapport aux lignes directrices et décisions pertinentes en matière d’admissibilité et de financement. Les demandes ont été comparées aux plans de travail initiaux pour le renforc</w:t>
      </w:r>
      <w:r w:rsidR="00E41CC1" w:rsidRPr="00281627">
        <w:rPr>
          <w:lang w:val="fr-CA"/>
        </w:rPr>
        <w:t>ement des institutions de la pha</w:t>
      </w:r>
      <w:r w:rsidR="0059387E" w:rsidRPr="00281627">
        <w:rPr>
          <w:lang w:val="fr-CA"/>
        </w:rPr>
        <w:t xml:space="preserve">se précédente, </w:t>
      </w:r>
      <w:r w:rsidR="000C2F34" w:rsidRPr="00281627">
        <w:rPr>
          <w:lang w:val="fr-CA"/>
        </w:rPr>
        <w:t>au</w:t>
      </w:r>
      <w:r w:rsidR="0059387E" w:rsidRPr="00281627">
        <w:rPr>
          <w:lang w:val="fr-CA"/>
        </w:rPr>
        <w:t xml:space="preserve"> programme de pays et </w:t>
      </w:r>
      <w:r w:rsidR="000C2F34" w:rsidRPr="00281627">
        <w:rPr>
          <w:lang w:val="fr-CA"/>
        </w:rPr>
        <w:t>aux</w:t>
      </w:r>
      <w:r w:rsidR="0059387E" w:rsidRPr="00281627">
        <w:rPr>
          <w:lang w:val="fr-CA"/>
        </w:rPr>
        <w:t xml:space="preserve"> données déclarées en vertu de l’article 7, </w:t>
      </w:r>
      <w:r w:rsidR="000C2F34" w:rsidRPr="00281627">
        <w:rPr>
          <w:lang w:val="fr-CA"/>
        </w:rPr>
        <w:t>au</w:t>
      </w:r>
      <w:r w:rsidR="0059387E" w:rsidRPr="00281627">
        <w:rPr>
          <w:lang w:val="fr-CA"/>
        </w:rPr>
        <w:t xml:space="preserve"> dernier rapport sur la mise en œuvre du plan de gestion de l</w:t>
      </w:r>
      <w:r w:rsidR="000524FE">
        <w:rPr>
          <w:lang w:val="fr-CA"/>
        </w:rPr>
        <w:t>’</w:t>
      </w:r>
      <w:r w:rsidR="0059387E" w:rsidRPr="00281627">
        <w:rPr>
          <w:lang w:val="fr-CA"/>
        </w:rPr>
        <w:t xml:space="preserve">élimination des HCFC (PGEH), </w:t>
      </w:r>
      <w:r w:rsidR="000C2F34" w:rsidRPr="00281627">
        <w:rPr>
          <w:lang w:val="fr-CA"/>
        </w:rPr>
        <w:t>au</w:t>
      </w:r>
      <w:r w:rsidR="0059387E" w:rsidRPr="00281627">
        <w:rPr>
          <w:lang w:val="fr-CA"/>
        </w:rPr>
        <w:t xml:space="preserve"> rapport périodique de l’agence et </w:t>
      </w:r>
      <w:r w:rsidR="000C2F34" w:rsidRPr="00281627">
        <w:rPr>
          <w:lang w:val="fr-CA"/>
        </w:rPr>
        <w:t xml:space="preserve">à </w:t>
      </w:r>
      <w:r w:rsidR="0059387E" w:rsidRPr="00281627">
        <w:rPr>
          <w:lang w:val="fr-CA"/>
        </w:rPr>
        <w:t>toutes les décisions pertinentes de l</w:t>
      </w:r>
      <w:r w:rsidR="000C2F34" w:rsidRPr="00281627">
        <w:rPr>
          <w:lang w:val="fr-CA"/>
        </w:rPr>
        <w:t>a</w:t>
      </w:r>
      <w:r w:rsidR="0059387E" w:rsidRPr="00281627">
        <w:rPr>
          <w:lang w:val="fr-CA"/>
        </w:rPr>
        <w:t xml:space="preserve"> Réunion des Parties. </w:t>
      </w:r>
      <w:r w:rsidR="00E41CC1" w:rsidRPr="00281627">
        <w:rPr>
          <w:lang w:val="fr-CA"/>
        </w:rPr>
        <w:t>Ces pays ont transmis les données relatives à leur programme de pays pour l’année 2019 et respectent les objectifs de réglementation du Protocole de Montréal, et leur consommation annuelle de HCFC ne dépasse pas la quantité maximum permise indiquée dans leur accord avec le Comité exécutif sur le PGEH</w:t>
      </w:r>
      <w:r w:rsidR="005C22AA" w:rsidRPr="00281627">
        <w:rPr>
          <w:lang w:val="fr-CA"/>
        </w:rPr>
        <w:t>.</w:t>
      </w:r>
      <w:r w:rsidR="00E41CC1" w:rsidRPr="00281627">
        <w:rPr>
          <w:lang w:val="fr-CA"/>
        </w:rPr>
        <w:t xml:space="preserve"> De plus, la demande présentée comprend les indicateurs d’efficacité pour les activités prévues à la prochaine phase du projet de renforcement des institutions, c</w:t>
      </w:r>
      <w:r w:rsidR="000C2F34" w:rsidRPr="00281627">
        <w:rPr>
          <w:lang w:val="fr-CA"/>
        </w:rPr>
        <w:t>onformément à la décision 74/51 </w:t>
      </w:r>
      <w:r w:rsidR="00E41CC1" w:rsidRPr="00281627">
        <w:rPr>
          <w:lang w:val="fr-CA"/>
        </w:rPr>
        <w:t>e).</w:t>
      </w:r>
    </w:p>
    <w:p w14:paraId="15C7F031" w14:textId="2567F469" w:rsidR="005C22AA" w:rsidRPr="00281627" w:rsidRDefault="00E41CC1" w:rsidP="003929AB">
      <w:pPr>
        <w:keepNext/>
        <w:keepLines/>
        <w:autoSpaceDE w:val="0"/>
        <w:autoSpaceDN w:val="0"/>
        <w:adjustRightInd w:val="0"/>
        <w:spacing w:after="240"/>
        <w:rPr>
          <w:b/>
          <w:bCs/>
          <w:color w:val="000000" w:themeColor="text1"/>
          <w:lang w:val="fr-CA" w:eastAsia="en-CA"/>
        </w:rPr>
      </w:pPr>
      <w:r w:rsidRPr="00281627">
        <w:rPr>
          <w:b/>
          <w:bCs/>
          <w:color w:val="000000" w:themeColor="text1"/>
          <w:lang w:val="fr-CA" w:eastAsia="en-CA"/>
        </w:rPr>
        <w:lastRenderedPageBreak/>
        <w:t>Recommandation du Secrétariat</w:t>
      </w:r>
    </w:p>
    <w:p w14:paraId="325647DE" w14:textId="666C4106" w:rsidR="005C22AA" w:rsidRPr="00281627" w:rsidRDefault="00916ADE" w:rsidP="005C22AA">
      <w:pPr>
        <w:pStyle w:val="Heading1"/>
        <w:rPr>
          <w:lang w:val="fr-CA"/>
        </w:rPr>
      </w:pPr>
      <w:r w:rsidRPr="00281627">
        <w:rPr>
          <w:lang w:val="fr-CA"/>
        </w:rPr>
        <w:t>Le Secrétariat recommande l’approbation générale de la demande de renouvellement des projets de renforcement des institutions pour l’Arménie, l’Égypte, le Mexique, l’Oman et le Turkménistan au niveau de fi</w:t>
      </w:r>
      <w:r w:rsidR="00281627">
        <w:rPr>
          <w:lang w:val="fr-CA"/>
        </w:rPr>
        <w:t>nancement indiqué dans la partie</w:t>
      </w:r>
      <w:r w:rsidRPr="00281627">
        <w:rPr>
          <w:lang w:val="fr-CA"/>
        </w:rPr>
        <w:t xml:space="preserve"> A1 du tableau 1 de ce document. Le Comité exécutif pourrait souhaiter transmettre les observations présentées à l’annexe II aux présentes aux gouvernements de ces pays</w:t>
      </w:r>
      <w:r w:rsidR="005C22AA" w:rsidRPr="00281627">
        <w:rPr>
          <w:lang w:val="fr-CA"/>
        </w:rPr>
        <w:t>.</w:t>
      </w:r>
    </w:p>
    <w:p w14:paraId="4116A007" w14:textId="194E0A31" w:rsidR="00B34D59" w:rsidRPr="00281627" w:rsidRDefault="003B3604" w:rsidP="00B34D59">
      <w:pPr>
        <w:keepNext/>
        <w:spacing w:after="240"/>
        <w:rPr>
          <w:b/>
          <w:lang w:val="fr-CA"/>
        </w:rPr>
      </w:pPr>
      <w:r w:rsidRPr="00281627">
        <w:rPr>
          <w:b/>
          <w:lang w:val="fr-CA"/>
        </w:rPr>
        <w:t>A2</w:t>
      </w:r>
      <w:r w:rsidR="000524FE">
        <w:rPr>
          <w:b/>
          <w:lang w:val="fr-CA"/>
        </w:rPr>
        <w:t> </w:t>
      </w:r>
      <w:r w:rsidR="00B34D59" w:rsidRPr="00281627">
        <w:rPr>
          <w:b/>
          <w:lang w:val="fr-CA"/>
        </w:rPr>
        <w:t xml:space="preserve">: </w:t>
      </w:r>
      <w:r w:rsidR="00916ADE" w:rsidRPr="00281627">
        <w:rPr>
          <w:b/>
          <w:lang w:val="fr-CA"/>
        </w:rPr>
        <w:t>Assistance technique pour la préparation des rapports de vérification de la consommation de HCFC</w:t>
      </w:r>
    </w:p>
    <w:p w14:paraId="1C061153" w14:textId="516551ED" w:rsidR="00B34D59" w:rsidRPr="00281627" w:rsidRDefault="00916ADE" w:rsidP="00B34D59">
      <w:pPr>
        <w:keepNext/>
        <w:spacing w:after="240"/>
        <w:rPr>
          <w:b/>
          <w:lang w:val="fr-CA"/>
        </w:rPr>
      </w:pPr>
      <w:r w:rsidRPr="00281627">
        <w:rPr>
          <w:b/>
          <w:lang w:val="fr-CA"/>
        </w:rPr>
        <w:t>Description du projet</w:t>
      </w:r>
    </w:p>
    <w:p w14:paraId="2FD35C65" w14:textId="4116A160" w:rsidR="00B34D59" w:rsidRPr="00281627" w:rsidRDefault="00916ADE" w:rsidP="0069317B">
      <w:pPr>
        <w:pStyle w:val="Heading1"/>
        <w:rPr>
          <w:lang w:val="fr-CA"/>
        </w:rPr>
      </w:pPr>
      <w:r w:rsidRPr="00281627">
        <w:rPr>
          <w:lang w:val="fr-CA"/>
        </w:rPr>
        <w:t>Le Comité exécutif a demandé</w:t>
      </w:r>
      <w:r w:rsidR="005D73D7" w:rsidRPr="00281627">
        <w:rPr>
          <w:lang w:val="fr-CA"/>
        </w:rPr>
        <w:t xml:space="preserve"> aux agences bilatérales et d’exécution concernées d’inclure </w:t>
      </w:r>
      <w:r w:rsidR="00281627">
        <w:rPr>
          <w:lang w:val="fr-CA"/>
        </w:rPr>
        <w:t>l</w:t>
      </w:r>
      <w:r w:rsidR="00281627" w:rsidRPr="00281627">
        <w:rPr>
          <w:lang w:val="fr-CA"/>
        </w:rPr>
        <w:t>e financement de la préparation des rapports de vérification de la phase I des PGEH de la Bosnie-Herzégovine et de la Macédoine du Nord</w:t>
      </w:r>
      <w:r w:rsidR="00281627" w:rsidRPr="00281627">
        <w:rPr>
          <w:rStyle w:val="FootnoteReference"/>
          <w:lang w:val="fr-CA"/>
        </w:rPr>
        <w:footnoteReference w:id="3"/>
      </w:r>
      <w:r w:rsidR="00281627">
        <w:rPr>
          <w:lang w:val="fr-CA"/>
        </w:rPr>
        <w:t>,</w:t>
      </w:r>
      <w:r w:rsidR="00281627" w:rsidRPr="00281627">
        <w:rPr>
          <w:lang w:val="fr-CA"/>
        </w:rPr>
        <w:t xml:space="preserve"> où l’ONUDI agit en qualité d’agence principale</w:t>
      </w:r>
      <w:r w:rsidR="00281627">
        <w:rPr>
          <w:lang w:val="fr-CA"/>
        </w:rPr>
        <w:t xml:space="preserve">, </w:t>
      </w:r>
      <w:r w:rsidR="005D73D7" w:rsidRPr="00281627">
        <w:rPr>
          <w:lang w:val="fr-CA"/>
        </w:rPr>
        <w:t>dans les amendeme</w:t>
      </w:r>
      <w:r w:rsidR="00281627">
        <w:rPr>
          <w:lang w:val="fr-CA"/>
        </w:rPr>
        <w:t>nts de leurs</w:t>
      </w:r>
      <w:r w:rsidR="005D73D7" w:rsidRPr="00281627">
        <w:rPr>
          <w:lang w:val="fr-CA"/>
        </w:rPr>
        <w:t xml:space="preserve"> programme</w:t>
      </w:r>
      <w:r w:rsidR="00281627">
        <w:rPr>
          <w:lang w:val="fr-CA"/>
        </w:rPr>
        <w:t>s</w:t>
      </w:r>
      <w:r w:rsidR="005D73D7" w:rsidRPr="00281627">
        <w:rPr>
          <w:lang w:val="fr-CA"/>
        </w:rPr>
        <w:t xml:space="preserve"> de travail respectifs présentés à la 86</w:t>
      </w:r>
      <w:r w:rsidR="005D73D7" w:rsidRPr="00281627">
        <w:rPr>
          <w:vertAlign w:val="superscript"/>
          <w:lang w:val="fr-CA"/>
        </w:rPr>
        <w:t>e</w:t>
      </w:r>
      <w:r w:rsidR="00281627">
        <w:rPr>
          <w:lang w:val="fr-CA"/>
        </w:rPr>
        <w:t xml:space="preserve"> réunion</w:t>
      </w:r>
      <w:r w:rsidR="00B34D59" w:rsidRPr="00281627">
        <w:rPr>
          <w:lang w:val="fr-CA"/>
        </w:rPr>
        <w:t>.</w:t>
      </w:r>
    </w:p>
    <w:p w14:paraId="5A8C4DDB" w14:textId="1DF14906" w:rsidR="00B34D59" w:rsidRPr="00281627" w:rsidRDefault="005D73D7" w:rsidP="00B34D59">
      <w:pPr>
        <w:pStyle w:val="Heading1"/>
        <w:keepNext/>
        <w:numPr>
          <w:ilvl w:val="0"/>
          <w:numId w:val="0"/>
        </w:numPr>
        <w:rPr>
          <w:b/>
          <w:lang w:val="fr-CA"/>
        </w:rPr>
      </w:pPr>
      <w:r w:rsidRPr="00281627">
        <w:rPr>
          <w:b/>
          <w:lang w:val="fr-CA"/>
        </w:rPr>
        <w:t>Observations du Secrétariat</w:t>
      </w:r>
    </w:p>
    <w:p w14:paraId="5393A91E" w14:textId="6F14C1F3" w:rsidR="00B34D59" w:rsidRPr="00281627" w:rsidRDefault="005D73D7" w:rsidP="00B34D59">
      <w:pPr>
        <w:pStyle w:val="Heading1"/>
        <w:keepNext/>
        <w:rPr>
          <w:lang w:val="fr-CA"/>
        </w:rPr>
      </w:pPr>
      <w:r w:rsidRPr="00281627">
        <w:rPr>
          <w:lang w:val="fr-CA"/>
        </w:rPr>
        <w:t>Le Secrétariat a pris note que le financement demandé correspond aux somme</w:t>
      </w:r>
      <w:r w:rsidR="0044243D" w:rsidRPr="00281627">
        <w:rPr>
          <w:lang w:val="fr-CA"/>
        </w:rPr>
        <w:t>s approuvées pour des vérificati</w:t>
      </w:r>
      <w:r w:rsidRPr="00281627">
        <w:rPr>
          <w:lang w:val="fr-CA"/>
        </w:rPr>
        <w:t xml:space="preserve">ons semblables lors de réunions antérieures. Il a </w:t>
      </w:r>
      <w:r w:rsidR="0044243D" w:rsidRPr="00281627">
        <w:rPr>
          <w:lang w:val="fr-CA"/>
        </w:rPr>
        <w:t>également pris note que les rapports de vérification doivent être remis au moins 10 semaines avant la réunion du Comité exécutif à laquelle le financement de la tranche suivante d</w:t>
      </w:r>
      <w:r w:rsidR="00281627">
        <w:rPr>
          <w:lang w:val="fr-CA"/>
        </w:rPr>
        <w:t>u</w:t>
      </w:r>
      <w:r w:rsidR="0044243D" w:rsidRPr="00281627">
        <w:rPr>
          <w:lang w:val="fr-CA"/>
        </w:rPr>
        <w:t xml:space="preserve"> PGEH est demandé</w:t>
      </w:r>
      <w:r w:rsidR="00B34D59" w:rsidRPr="00281627">
        <w:rPr>
          <w:lang w:val="fr-CA"/>
        </w:rPr>
        <w:t>.</w:t>
      </w:r>
    </w:p>
    <w:p w14:paraId="62CBC694" w14:textId="2F09FAFB" w:rsidR="00B34D59" w:rsidRPr="00281627" w:rsidRDefault="0044243D" w:rsidP="00B34D59">
      <w:pPr>
        <w:spacing w:after="240"/>
        <w:rPr>
          <w:b/>
          <w:lang w:val="fr-CA"/>
        </w:rPr>
      </w:pPr>
      <w:r w:rsidRPr="00281627">
        <w:rPr>
          <w:b/>
          <w:lang w:val="fr-CA"/>
        </w:rPr>
        <w:t>Recommandation du Secrétariat</w:t>
      </w:r>
    </w:p>
    <w:p w14:paraId="1FBBF48C" w14:textId="6AF6F749" w:rsidR="00464E50" w:rsidRPr="00281627" w:rsidRDefault="0044243D" w:rsidP="00B34D59">
      <w:pPr>
        <w:pStyle w:val="Heading1"/>
        <w:rPr>
          <w:lang w:val="fr-CA"/>
        </w:rPr>
      </w:pPr>
      <w:r w:rsidRPr="00281627">
        <w:rPr>
          <w:lang w:val="fr-CA"/>
        </w:rPr>
        <w:t>L</w:t>
      </w:r>
      <w:r w:rsidR="00D95823" w:rsidRPr="00281627">
        <w:rPr>
          <w:lang w:val="fr-CA"/>
        </w:rPr>
        <w:t>e</w:t>
      </w:r>
      <w:r w:rsidRPr="00281627">
        <w:rPr>
          <w:lang w:val="fr-CA"/>
        </w:rPr>
        <w:t xml:space="preserve"> Secrétariat recommande l’approbation générale de la préparation des rapports de vérification de la phase I du plan de gestion de l</w:t>
      </w:r>
      <w:r w:rsidR="000524FE">
        <w:rPr>
          <w:lang w:val="fr-CA"/>
        </w:rPr>
        <w:t>’</w:t>
      </w:r>
      <w:r w:rsidRPr="00281627">
        <w:rPr>
          <w:lang w:val="fr-CA"/>
        </w:rPr>
        <w:t>élimination des HCFC (PGEH) de la Bosnie-Herzégovine et de la Macédoine du Nord au niveau de financement indiqué à la partie A2 du tableau 1, étant entendu que les rapports de vérification doivent être exami</w:t>
      </w:r>
      <w:r w:rsidR="00856D35">
        <w:rPr>
          <w:lang w:val="fr-CA"/>
        </w:rPr>
        <w:t>nés au moins 10 semaines avant l</w:t>
      </w:r>
      <w:r w:rsidRPr="00281627">
        <w:rPr>
          <w:lang w:val="fr-CA"/>
        </w:rPr>
        <w:t>a réunion du Comité exécutif à laquelle le financement de la prochaine tranche du PGEH des pays en question est demandé</w:t>
      </w:r>
      <w:r w:rsidR="00B34D59" w:rsidRPr="00281627">
        <w:rPr>
          <w:lang w:val="fr-CA"/>
        </w:rPr>
        <w:t>.</w:t>
      </w:r>
    </w:p>
    <w:p w14:paraId="208C69F5" w14:textId="5171DFA4" w:rsidR="003B3604" w:rsidRPr="00281627" w:rsidRDefault="003B3604" w:rsidP="003B3604">
      <w:pPr>
        <w:keepNext/>
        <w:keepLines/>
        <w:spacing w:after="240"/>
        <w:rPr>
          <w:b/>
          <w:lang w:val="fr-CA"/>
        </w:rPr>
      </w:pPr>
      <w:r w:rsidRPr="00281627">
        <w:rPr>
          <w:b/>
          <w:lang w:val="fr-CA"/>
        </w:rPr>
        <w:t>A3</w:t>
      </w:r>
      <w:r w:rsidR="000524FE">
        <w:rPr>
          <w:b/>
          <w:lang w:val="fr-CA"/>
        </w:rPr>
        <w:t> </w:t>
      </w:r>
      <w:r w:rsidRPr="00281627">
        <w:rPr>
          <w:b/>
          <w:lang w:val="fr-CA"/>
        </w:rPr>
        <w:t xml:space="preserve">: </w:t>
      </w:r>
      <w:r w:rsidR="00D95823" w:rsidRPr="00281627">
        <w:rPr>
          <w:b/>
          <w:lang w:val="fr-CA"/>
        </w:rPr>
        <w:t>Préparation de projet pour le plan de gestion de l</w:t>
      </w:r>
      <w:r w:rsidR="000524FE">
        <w:rPr>
          <w:b/>
          <w:lang w:val="fr-CA"/>
        </w:rPr>
        <w:t>’</w:t>
      </w:r>
      <w:r w:rsidR="00D95823" w:rsidRPr="00281627">
        <w:rPr>
          <w:b/>
          <w:lang w:val="fr-CA"/>
        </w:rPr>
        <w:t>élimination des HCFC</w:t>
      </w:r>
    </w:p>
    <w:p w14:paraId="45C98D02" w14:textId="6F1793D0" w:rsidR="003B3604" w:rsidRPr="00281627" w:rsidRDefault="00D95823" w:rsidP="003B3604">
      <w:pPr>
        <w:keepNext/>
        <w:keepLines/>
        <w:spacing w:after="240"/>
        <w:rPr>
          <w:b/>
          <w:lang w:val="fr-CA"/>
        </w:rPr>
      </w:pPr>
      <w:r w:rsidRPr="00281627">
        <w:rPr>
          <w:b/>
          <w:lang w:val="fr-CA"/>
        </w:rPr>
        <w:t>Description du projet</w:t>
      </w:r>
    </w:p>
    <w:p w14:paraId="6033579F" w14:textId="00A4420E" w:rsidR="003B3604" w:rsidRPr="00281627" w:rsidRDefault="00D95823" w:rsidP="003B3604">
      <w:pPr>
        <w:pStyle w:val="Heading1"/>
        <w:rPr>
          <w:lang w:val="fr-CA"/>
        </w:rPr>
      </w:pPr>
      <w:r w:rsidRPr="00281627">
        <w:rPr>
          <w:lang w:val="fr-CA"/>
        </w:rPr>
        <w:t xml:space="preserve">L’ONUDI a présenté des demandes de financement </w:t>
      </w:r>
      <w:r w:rsidR="000620DC">
        <w:rPr>
          <w:lang w:val="fr-CA"/>
        </w:rPr>
        <w:t>pour</w:t>
      </w:r>
      <w:r w:rsidRPr="00281627">
        <w:rPr>
          <w:lang w:val="fr-CA"/>
        </w:rPr>
        <w:t xml:space="preserve"> la préparation de la phase I</w:t>
      </w:r>
      <w:r w:rsidR="00856D35">
        <w:rPr>
          <w:lang w:val="fr-CA"/>
        </w:rPr>
        <w:t>I</w:t>
      </w:r>
      <w:r w:rsidRPr="00281627">
        <w:rPr>
          <w:lang w:val="fr-CA"/>
        </w:rPr>
        <w:t xml:space="preserve">I du PGEH d’un pays </w:t>
      </w:r>
      <w:r w:rsidR="00856D35">
        <w:rPr>
          <w:lang w:val="fr-CA"/>
        </w:rPr>
        <w:t>visé à l’article 5</w:t>
      </w:r>
      <w:r w:rsidRPr="00281627">
        <w:rPr>
          <w:lang w:val="fr-CA"/>
        </w:rPr>
        <w:t xml:space="preserve"> en qualité d’exécution désignée, de la phase II/III de PGEH de trois pays visés à l</w:t>
      </w:r>
      <w:r w:rsidR="000524FE">
        <w:rPr>
          <w:lang w:val="fr-CA"/>
        </w:rPr>
        <w:t>’</w:t>
      </w:r>
      <w:r w:rsidRPr="00281627">
        <w:rPr>
          <w:lang w:val="fr-CA"/>
        </w:rPr>
        <w:t xml:space="preserve">article 5 en qualité d’agence d’exécution principale, où le PNUE agit en qualité d’agence d’exécution de coopération, et </w:t>
      </w:r>
      <w:r w:rsidR="000620DC">
        <w:rPr>
          <w:lang w:val="fr-CA"/>
        </w:rPr>
        <w:t>d’</w:t>
      </w:r>
      <w:r w:rsidRPr="00281627">
        <w:rPr>
          <w:lang w:val="fr-CA"/>
        </w:rPr>
        <w:t xml:space="preserve">un pays </w:t>
      </w:r>
      <w:r w:rsidR="00856D35">
        <w:rPr>
          <w:lang w:val="fr-CA"/>
        </w:rPr>
        <w:t xml:space="preserve">visé </w:t>
      </w:r>
      <w:r w:rsidRPr="00281627">
        <w:rPr>
          <w:lang w:val="fr-CA"/>
        </w:rPr>
        <w:t>à l</w:t>
      </w:r>
      <w:r w:rsidR="000524FE">
        <w:rPr>
          <w:lang w:val="fr-CA"/>
        </w:rPr>
        <w:t>’</w:t>
      </w:r>
      <w:r w:rsidRPr="00281627">
        <w:rPr>
          <w:lang w:val="fr-CA"/>
        </w:rPr>
        <w:t xml:space="preserve">article 5 en tant qu’agence d’exécution de coopération où le PNUE agit en qualité d’agence d’exécution principale. </w:t>
      </w:r>
      <w:r w:rsidR="005228AA" w:rsidRPr="00281627">
        <w:rPr>
          <w:lang w:val="fr-CA"/>
        </w:rPr>
        <w:t>L’ONUDI demande également le financement de la préparation de projet pour des activités d’investissement dans le secteur de la fabrication d’équipement de réfrigération et de climatisation dans le cadre de la phase II du PGEH d’un pays. Ces demandes sont indiquées dans la partie A3 du tableau 1</w:t>
      </w:r>
      <w:r w:rsidR="003B3604" w:rsidRPr="00281627">
        <w:rPr>
          <w:lang w:val="fr-CA"/>
        </w:rPr>
        <w:t>.</w:t>
      </w:r>
    </w:p>
    <w:p w14:paraId="2CB55D0F" w14:textId="1F79AB59" w:rsidR="003B3604" w:rsidRPr="00281627" w:rsidRDefault="00773A8A" w:rsidP="003B3604">
      <w:pPr>
        <w:pStyle w:val="Heading1"/>
        <w:rPr>
          <w:lang w:val="fr-CA"/>
        </w:rPr>
      </w:pPr>
      <w:r w:rsidRPr="00281627">
        <w:rPr>
          <w:lang w:val="fr-CA"/>
        </w:rPr>
        <w:t>L’ONUDI a fourni une justific</w:t>
      </w:r>
      <w:r w:rsidR="00A45093" w:rsidRPr="00281627">
        <w:rPr>
          <w:lang w:val="fr-CA"/>
        </w:rPr>
        <w:t>ati</w:t>
      </w:r>
      <w:r w:rsidRPr="00281627">
        <w:rPr>
          <w:lang w:val="fr-CA"/>
        </w:rPr>
        <w:t>on de sa demande, un rapport périodique sur la mise en œuvre de la phase I</w:t>
      </w:r>
      <w:r w:rsidR="00A45093" w:rsidRPr="00281627">
        <w:rPr>
          <w:lang w:val="fr-CA"/>
        </w:rPr>
        <w:t>I</w:t>
      </w:r>
      <w:r w:rsidRPr="00281627">
        <w:rPr>
          <w:lang w:val="fr-CA"/>
        </w:rPr>
        <w:t xml:space="preserve"> et/ou la phase II des PGEH, selon le cas, et les activités possibles, comprenant les entreprises éventuelles, s’il y a lieu</w:t>
      </w:r>
      <w:r w:rsidR="00A45093" w:rsidRPr="00281627">
        <w:rPr>
          <w:lang w:val="fr-CA"/>
        </w:rPr>
        <w:t>,</w:t>
      </w:r>
      <w:r w:rsidRPr="00281627">
        <w:rPr>
          <w:lang w:val="fr-CA"/>
        </w:rPr>
        <w:t xml:space="preserve"> </w:t>
      </w:r>
      <w:r w:rsidR="00A45093" w:rsidRPr="00281627">
        <w:rPr>
          <w:lang w:val="fr-CA"/>
        </w:rPr>
        <w:t>e</w:t>
      </w:r>
      <w:r w:rsidRPr="00281627">
        <w:rPr>
          <w:lang w:val="fr-CA"/>
        </w:rPr>
        <w:t>t les</w:t>
      </w:r>
      <w:r w:rsidR="00A45093" w:rsidRPr="00281627">
        <w:rPr>
          <w:lang w:val="fr-CA"/>
        </w:rPr>
        <w:t xml:space="preserve"> co</w:t>
      </w:r>
      <w:r w:rsidRPr="00281627">
        <w:rPr>
          <w:lang w:val="fr-CA"/>
        </w:rPr>
        <w:t xml:space="preserve">ûts qui s’y rapportent, pour chaque demande de financement. </w:t>
      </w:r>
      <w:r w:rsidR="00A45093" w:rsidRPr="00281627">
        <w:rPr>
          <w:lang w:val="fr-CA"/>
        </w:rPr>
        <w:t xml:space="preserve">Le PNUE, en qualité d’agence d’exécution principale pour le PGEH en Guinée et d’agence d’exécution de coopération </w:t>
      </w:r>
      <w:r w:rsidR="00A45093" w:rsidRPr="00281627">
        <w:rPr>
          <w:lang w:val="fr-CA"/>
        </w:rPr>
        <w:lastRenderedPageBreak/>
        <w:t>pour les PGEH du Chili, d’Oman et d’Arabie saoudite, demande la somme de 100 000 $US, plus les coûts d’appui à l’agence de 13 000 $US pour les amendement</w:t>
      </w:r>
      <w:r w:rsidR="000524FE">
        <w:rPr>
          <w:lang w:val="fr-CA"/>
        </w:rPr>
        <w:t>s</w:t>
      </w:r>
      <w:r w:rsidR="00A45093" w:rsidRPr="00281627">
        <w:rPr>
          <w:lang w:val="fr-CA"/>
        </w:rPr>
        <w:t xml:space="preserve"> à son programme de travail de l’année 2020</w:t>
      </w:r>
      <w:r w:rsidR="00BF17F7" w:rsidRPr="00281627">
        <w:rPr>
          <w:lang w:val="fr-CA"/>
        </w:rPr>
        <w:t>.</w:t>
      </w:r>
      <w:r w:rsidR="00BF17F7" w:rsidRPr="00281627">
        <w:rPr>
          <w:vertAlign w:val="superscript"/>
          <w:lang w:val="fr-CA"/>
        </w:rPr>
        <w:footnoteReference w:id="4"/>
      </w:r>
    </w:p>
    <w:p w14:paraId="44BFCA50" w14:textId="13725F6D" w:rsidR="003B3604" w:rsidRPr="00281627" w:rsidRDefault="00A45093" w:rsidP="00350F71">
      <w:pPr>
        <w:pStyle w:val="Heading1"/>
        <w:numPr>
          <w:ilvl w:val="0"/>
          <w:numId w:val="0"/>
        </w:numPr>
        <w:rPr>
          <w:lang w:val="fr-CA"/>
        </w:rPr>
      </w:pPr>
      <w:r w:rsidRPr="00281627">
        <w:rPr>
          <w:b/>
          <w:lang w:val="fr-CA"/>
        </w:rPr>
        <w:t>Observations du Secrétariat</w:t>
      </w:r>
    </w:p>
    <w:p w14:paraId="0CC12BF1" w14:textId="1FCF5EC2" w:rsidR="003B3604" w:rsidRPr="00281627" w:rsidRDefault="005B016E" w:rsidP="00244B6D">
      <w:pPr>
        <w:pStyle w:val="Heading1"/>
        <w:rPr>
          <w:lang w:val="fr-CA"/>
        </w:rPr>
      </w:pPr>
      <w:r w:rsidRPr="00281627">
        <w:rPr>
          <w:lang w:val="fr-CA"/>
        </w:rPr>
        <w:t>Dans son examen des quatre demandes où l’ONUDI agit en qualité d’agence d’exécution principale, le Secrétariat a pris en compte les lignes directrices du financement de la préparation des PGEH dans les pays visés à l</w:t>
      </w:r>
      <w:r w:rsidR="000524FE">
        <w:rPr>
          <w:lang w:val="fr-CA"/>
        </w:rPr>
        <w:t>’</w:t>
      </w:r>
      <w:r w:rsidRPr="00281627">
        <w:rPr>
          <w:lang w:val="fr-CA"/>
        </w:rPr>
        <w:t>article 5 mises de l’avant à la décisio</w:t>
      </w:r>
      <w:r w:rsidR="004E7820">
        <w:rPr>
          <w:lang w:val="fr-CA"/>
        </w:rPr>
        <w:t>n 71/42</w:t>
      </w:r>
      <w:r w:rsidR="000524FE">
        <w:rPr>
          <w:lang w:val="fr-CA"/>
        </w:rPr>
        <w:t> </w:t>
      </w:r>
      <w:r w:rsidR="004E7820">
        <w:rPr>
          <w:lang w:val="fr-CA"/>
        </w:rPr>
        <w:t>;</w:t>
      </w:r>
      <w:r w:rsidR="000620DC">
        <w:rPr>
          <w:lang w:val="fr-CA"/>
        </w:rPr>
        <w:t xml:space="preserve"> l</w:t>
      </w:r>
      <w:r w:rsidRPr="00281627">
        <w:rPr>
          <w:lang w:val="fr-CA"/>
        </w:rPr>
        <w:t>es phases I et II des PGEH concernés et l’état de la mise en œuvre des tranches au moment de la préparation du présent document</w:t>
      </w:r>
      <w:r w:rsidR="000524FE">
        <w:rPr>
          <w:lang w:val="fr-CA"/>
        </w:rPr>
        <w:t> </w:t>
      </w:r>
      <w:r w:rsidR="000620DC">
        <w:rPr>
          <w:lang w:val="fr-CA"/>
        </w:rPr>
        <w:t>; et la décision </w:t>
      </w:r>
      <w:r w:rsidRPr="00281627">
        <w:rPr>
          <w:lang w:val="fr-CA"/>
        </w:rPr>
        <w:t>82/45 c) i)</w:t>
      </w:r>
      <w:r w:rsidR="003B3604" w:rsidRPr="00281627">
        <w:rPr>
          <w:lang w:val="fr-CA"/>
        </w:rPr>
        <w:t>.</w:t>
      </w:r>
      <w:r w:rsidR="003B3604" w:rsidRPr="00281627">
        <w:rPr>
          <w:vertAlign w:val="superscript"/>
          <w:lang w:val="fr-CA"/>
        </w:rPr>
        <w:footnoteReference w:id="5"/>
      </w:r>
      <w:r w:rsidR="003B3604" w:rsidRPr="00281627">
        <w:rPr>
          <w:lang w:val="fr-CA"/>
        </w:rPr>
        <w:t xml:space="preserve"> </w:t>
      </w:r>
      <w:r w:rsidRPr="00281627">
        <w:rPr>
          <w:lang w:val="fr-CA"/>
        </w:rPr>
        <w:t>Le Secrétariat a pris note que la somme demandée pour les différents pays est conforme à la décision 71/42 et que l’ONUDI a confirmé que le financement des tranches restantes pour ces pays sera demandé comme prévu dans leurs accords avec le Comité exécutif</w:t>
      </w:r>
      <w:r w:rsidR="003B3604" w:rsidRPr="00281627">
        <w:rPr>
          <w:lang w:val="fr-CA"/>
        </w:rPr>
        <w:t>.</w:t>
      </w:r>
    </w:p>
    <w:p w14:paraId="2C3FDD78" w14:textId="71852B41" w:rsidR="00781AE0" w:rsidRPr="00281627" w:rsidRDefault="005B016E" w:rsidP="00781AE0">
      <w:pPr>
        <w:pStyle w:val="Heading1"/>
        <w:rPr>
          <w:lang w:val="fr-CA"/>
        </w:rPr>
      </w:pPr>
      <w:r w:rsidRPr="00281627">
        <w:rPr>
          <w:lang w:val="fr-CA"/>
        </w:rPr>
        <w:t xml:space="preserve">L’ONUDI a confirmé </w:t>
      </w:r>
      <w:r w:rsidR="004E7820">
        <w:rPr>
          <w:lang w:val="fr-CA"/>
        </w:rPr>
        <w:t>que l</w:t>
      </w:r>
      <w:r w:rsidRPr="00281627">
        <w:rPr>
          <w:lang w:val="fr-CA"/>
        </w:rPr>
        <w:t>a phase II du PGEH pour l’Arabie saoudite mènera à l’élimination de 67,5 p. cent de la valeur de référence pour les HCFC d’ici au 1</w:t>
      </w:r>
      <w:r w:rsidRPr="00281627">
        <w:rPr>
          <w:vertAlign w:val="superscript"/>
          <w:lang w:val="fr-CA"/>
        </w:rPr>
        <w:t>er</w:t>
      </w:r>
      <w:r w:rsidRPr="00281627">
        <w:rPr>
          <w:lang w:val="fr-CA"/>
        </w:rPr>
        <w:t xml:space="preserve"> janvier 2025, et a fourni les renseignements demandés (nombre d’entrep</w:t>
      </w:r>
      <w:r w:rsidR="008A2DC0" w:rsidRPr="00281627">
        <w:rPr>
          <w:lang w:val="fr-CA"/>
        </w:rPr>
        <w:t>rises et niv</w:t>
      </w:r>
      <w:r w:rsidRPr="00281627">
        <w:rPr>
          <w:lang w:val="fr-CA"/>
        </w:rPr>
        <w:t xml:space="preserve">eaux de consommation de HCFC) en appui à la demande de </w:t>
      </w:r>
      <w:r w:rsidR="008A2DC0" w:rsidRPr="00281627">
        <w:rPr>
          <w:lang w:val="fr-CA"/>
        </w:rPr>
        <w:t>financement</w:t>
      </w:r>
      <w:r w:rsidRPr="00281627">
        <w:rPr>
          <w:lang w:val="fr-CA"/>
        </w:rPr>
        <w:t xml:space="preserve"> (150 000 $US) pour la préparation d’</w:t>
      </w:r>
      <w:r w:rsidR="008A2DC0" w:rsidRPr="00281627">
        <w:rPr>
          <w:lang w:val="fr-CA"/>
        </w:rPr>
        <w:t>un proj</w:t>
      </w:r>
      <w:r w:rsidRPr="00281627">
        <w:rPr>
          <w:lang w:val="fr-CA"/>
        </w:rPr>
        <w:t>et d’investissement pour la reconversion du secteur de la fabrication de climatiseurs, qui n’a pas re</w:t>
      </w:r>
      <w:r w:rsidR="008A2DC0" w:rsidRPr="00281627">
        <w:rPr>
          <w:lang w:val="fr-CA"/>
        </w:rPr>
        <w:t>ç</w:t>
      </w:r>
      <w:r w:rsidRPr="00281627">
        <w:rPr>
          <w:lang w:val="fr-CA"/>
        </w:rPr>
        <w:t>u d’assistance à la phase I du PGEH. L’</w:t>
      </w:r>
      <w:r w:rsidR="008A2DC0" w:rsidRPr="00281627">
        <w:rPr>
          <w:lang w:val="fr-CA"/>
        </w:rPr>
        <w:t>O</w:t>
      </w:r>
      <w:r w:rsidRPr="00281627">
        <w:rPr>
          <w:lang w:val="fr-CA"/>
        </w:rPr>
        <w:t>NUDI a aussi confirmé que la phase III des</w:t>
      </w:r>
      <w:r w:rsidR="008A2DC0" w:rsidRPr="00281627">
        <w:rPr>
          <w:lang w:val="fr-CA"/>
        </w:rPr>
        <w:t xml:space="preserve"> PGEH pour le Chili, l’Oman et le Soudan entraînera l’élimination complète de la valeur de référence pour les HCFC d’ici le 1</w:t>
      </w:r>
      <w:r w:rsidR="008A2DC0" w:rsidRPr="00281627">
        <w:rPr>
          <w:vertAlign w:val="superscript"/>
          <w:lang w:val="fr-CA"/>
        </w:rPr>
        <w:t>er</w:t>
      </w:r>
      <w:r w:rsidR="008A2DC0" w:rsidRPr="00281627">
        <w:rPr>
          <w:lang w:val="fr-CA"/>
        </w:rPr>
        <w:t xml:space="preserve"> janvier 2030</w:t>
      </w:r>
      <w:r w:rsidR="00781AE0" w:rsidRPr="00281627">
        <w:rPr>
          <w:lang w:val="fr-CA"/>
        </w:rPr>
        <w:t xml:space="preserve">. </w:t>
      </w:r>
    </w:p>
    <w:p w14:paraId="72503628" w14:textId="3B3C554D" w:rsidR="003B3604" w:rsidRPr="00281627" w:rsidRDefault="008A2DC0" w:rsidP="004A4631">
      <w:pPr>
        <w:pStyle w:val="Heading1"/>
        <w:numPr>
          <w:ilvl w:val="0"/>
          <w:numId w:val="0"/>
        </w:numPr>
        <w:rPr>
          <w:b/>
          <w:lang w:val="fr-CA"/>
        </w:rPr>
      </w:pPr>
      <w:r w:rsidRPr="00281627">
        <w:rPr>
          <w:b/>
          <w:lang w:val="fr-CA"/>
        </w:rPr>
        <w:t>Recommandations du Secrétariat</w:t>
      </w:r>
    </w:p>
    <w:p w14:paraId="505D8DA4" w14:textId="3B601186" w:rsidR="003B3604" w:rsidRPr="00281627" w:rsidRDefault="008A2DC0" w:rsidP="003B3604">
      <w:pPr>
        <w:pStyle w:val="Heading1"/>
        <w:rPr>
          <w:lang w:val="fr-CA"/>
        </w:rPr>
      </w:pPr>
      <w:r w:rsidRPr="00281627">
        <w:rPr>
          <w:lang w:val="fr-CA"/>
        </w:rPr>
        <w:t xml:space="preserve">Le Secrétariat recommande l’approbation générale de la préparation de projet pour la phase II du </w:t>
      </w:r>
      <w:r w:rsidR="004E1327" w:rsidRPr="00281627">
        <w:rPr>
          <w:lang w:val="fr-CA"/>
        </w:rPr>
        <w:t>plan d’é</w:t>
      </w:r>
      <w:r w:rsidRPr="00281627">
        <w:rPr>
          <w:lang w:val="fr-CA"/>
        </w:rPr>
        <w:t xml:space="preserve">limination des HCFC </w:t>
      </w:r>
      <w:r w:rsidR="00946F20" w:rsidRPr="00281627">
        <w:rPr>
          <w:lang w:val="fr-CA"/>
        </w:rPr>
        <w:t>(</w:t>
      </w:r>
      <w:r w:rsidRPr="00281627">
        <w:rPr>
          <w:lang w:val="fr-CA"/>
        </w:rPr>
        <w:t>PGEH) pour la Guinée et l’Arabie saoudite</w:t>
      </w:r>
      <w:r w:rsidR="0032353E">
        <w:rPr>
          <w:lang w:val="fr-CA"/>
        </w:rPr>
        <w:t>,</w:t>
      </w:r>
      <w:r w:rsidRPr="00281627">
        <w:rPr>
          <w:lang w:val="fr-CA"/>
        </w:rPr>
        <w:t xml:space="preserve"> et la phase III du PGEH pour le Chili, l’Oman et le Soudan, au niveau de financement indiqué dans la partie A3 du tableau 1</w:t>
      </w:r>
      <w:r w:rsidR="003B3604" w:rsidRPr="00281627">
        <w:rPr>
          <w:lang w:val="fr-CA"/>
        </w:rPr>
        <w:t>.</w:t>
      </w:r>
    </w:p>
    <w:p w14:paraId="08A15F0A" w14:textId="19455686" w:rsidR="005C22AA" w:rsidRPr="00281627" w:rsidRDefault="005C6D2D" w:rsidP="005C22AA">
      <w:pPr>
        <w:keepNext/>
        <w:keepLines/>
        <w:widowControl w:val="0"/>
        <w:spacing w:after="240"/>
        <w:rPr>
          <w:b/>
          <w:lang w:val="fr-CA"/>
        </w:rPr>
      </w:pPr>
      <w:r w:rsidRPr="00281627">
        <w:rPr>
          <w:b/>
          <w:lang w:val="fr-CA"/>
        </w:rPr>
        <w:t>PARTIE</w:t>
      </w:r>
      <w:r w:rsidR="005C22AA" w:rsidRPr="00281627">
        <w:rPr>
          <w:b/>
          <w:lang w:val="fr-CA"/>
        </w:rPr>
        <w:t xml:space="preserve"> B</w:t>
      </w:r>
      <w:r w:rsidRPr="00281627">
        <w:rPr>
          <w:b/>
          <w:lang w:val="fr-CA"/>
        </w:rPr>
        <w:t xml:space="preserve"> </w:t>
      </w:r>
      <w:r w:rsidR="005C22AA" w:rsidRPr="00281627">
        <w:rPr>
          <w:b/>
          <w:lang w:val="fr-CA"/>
        </w:rPr>
        <w:t xml:space="preserve">: </w:t>
      </w:r>
      <w:r w:rsidRPr="00281627">
        <w:rPr>
          <w:b/>
          <w:lang w:val="fr-CA"/>
        </w:rPr>
        <w:t>ACTIVITÉS RECOMMANDÉES POUR EXAMEN INDIVIDUEL</w:t>
      </w:r>
    </w:p>
    <w:p w14:paraId="03F1FBE7" w14:textId="70655EA5" w:rsidR="00443E1A" w:rsidRPr="00281627" w:rsidRDefault="005C6D2D" w:rsidP="005C22AA">
      <w:pPr>
        <w:keepNext/>
        <w:keepLines/>
        <w:widowControl w:val="0"/>
        <w:spacing w:after="240"/>
        <w:rPr>
          <w:b/>
          <w:lang w:val="fr-CA"/>
        </w:rPr>
      </w:pPr>
      <w:r w:rsidRPr="00281627">
        <w:rPr>
          <w:b/>
          <w:lang w:val="fr-CA"/>
        </w:rPr>
        <w:t>Demandes de préparation de projet présentées à la 85</w:t>
      </w:r>
      <w:r w:rsidRPr="00281627">
        <w:rPr>
          <w:b/>
          <w:vertAlign w:val="superscript"/>
          <w:lang w:val="fr-CA"/>
        </w:rPr>
        <w:t>e</w:t>
      </w:r>
      <w:r w:rsidRPr="00281627">
        <w:rPr>
          <w:b/>
          <w:lang w:val="fr-CA"/>
        </w:rPr>
        <w:t xml:space="preserve"> réunion</w:t>
      </w:r>
    </w:p>
    <w:p w14:paraId="717A6E2C" w14:textId="3C397877" w:rsidR="00443E1A" w:rsidRPr="00281627" w:rsidRDefault="005C6D2D" w:rsidP="00443E1A">
      <w:pPr>
        <w:pStyle w:val="Heading1"/>
        <w:rPr>
          <w:b/>
          <w:color w:val="000000" w:themeColor="text1"/>
          <w:lang w:val="fr-CA"/>
        </w:rPr>
      </w:pPr>
      <w:r w:rsidRPr="00281627">
        <w:rPr>
          <w:lang w:val="fr-CA"/>
        </w:rPr>
        <w:t>À la 85</w:t>
      </w:r>
      <w:r w:rsidRPr="00281627">
        <w:rPr>
          <w:vertAlign w:val="superscript"/>
          <w:lang w:val="fr-CA"/>
        </w:rPr>
        <w:t>e</w:t>
      </w:r>
      <w:r w:rsidRPr="00281627">
        <w:rPr>
          <w:lang w:val="fr-CA"/>
        </w:rPr>
        <w:t xml:space="preserve"> réunion, l’ONUDI a joint à son programme de travail</w:t>
      </w:r>
      <w:r w:rsidR="00443E1A" w:rsidRPr="00281627">
        <w:rPr>
          <w:rStyle w:val="FootnoteReference"/>
          <w:lang w:val="fr-CA"/>
        </w:rPr>
        <w:footnoteReference w:id="6"/>
      </w:r>
      <w:r w:rsidR="00443E1A" w:rsidRPr="00281627">
        <w:rPr>
          <w:lang w:val="fr-CA"/>
        </w:rPr>
        <w:t xml:space="preserve"> </w:t>
      </w:r>
      <w:r w:rsidRPr="00281627">
        <w:rPr>
          <w:lang w:val="fr-CA"/>
        </w:rPr>
        <w:t>des demandes pour la préparation de plans de gestion de la réduction progressive des HFC pour l’Albanie et la Jordanie, où elle agit en qualité d’agence d’exécution principale et le PNUE en qualité d’agence d’exécution de collaboration pour l’Albanie, et une demande de financement de la préparation de proje</w:t>
      </w:r>
      <w:r w:rsidR="003929AB">
        <w:rPr>
          <w:lang w:val="fr-CA"/>
        </w:rPr>
        <w:t>t de reconversion du HFC</w:t>
      </w:r>
      <w:r w:rsidR="003929AB">
        <w:rPr>
          <w:lang w:val="fr-CA"/>
        </w:rPr>
        <w:noBreakHyphen/>
        <w:t>134a/R</w:t>
      </w:r>
      <w:r w:rsidR="003929AB">
        <w:rPr>
          <w:lang w:val="fr-CA"/>
        </w:rPr>
        <w:noBreakHyphen/>
      </w:r>
      <w:r w:rsidRPr="00281627">
        <w:rPr>
          <w:lang w:val="fr-CA"/>
        </w:rPr>
        <w:t xml:space="preserve">410A au R-290 dans la fabrication de climatiseurs chez J.M. Group/Mina </w:t>
      </w:r>
      <w:proofErr w:type="spellStart"/>
      <w:r w:rsidRPr="00281627">
        <w:rPr>
          <w:lang w:val="fr-CA"/>
        </w:rPr>
        <w:t>Factory</w:t>
      </w:r>
      <w:proofErr w:type="spellEnd"/>
      <w:r w:rsidRPr="00281627">
        <w:rPr>
          <w:lang w:val="fr-CA"/>
        </w:rPr>
        <w:t xml:space="preserve"> au Soudan, comme indiqué dans les parties B1 et B2 du tableau 2.</w:t>
      </w:r>
      <w:r w:rsidR="00443E1A" w:rsidRPr="00281627">
        <w:rPr>
          <w:lang w:val="fr-CA"/>
        </w:rPr>
        <w:t xml:space="preserve"> </w:t>
      </w:r>
    </w:p>
    <w:p w14:paraId="00E171DE" w14:textId="2753B6E7" w:rsidR="00443E1A" w:rsidRPr="00281627" w:rsidRDefault="000A11ED" w:rsidP="00443E1A">
      <w:pPr>
        <w:pStyle w:val="Heading1"/>
        <w:rPr>
          <w:lang w:val="fr-CA"/>
        </w:rPr>
      </w:pPr>
      <w:r w:rsidRPr="00281627">
        <w:rPr>
          <w:snapToGrid w:val="0"/>
          <w:lang w:val="fr-CA"/>
        </w:rPr>
        <w:t>Ces demandes de financement de la préparation de projet pour les plan</w:t>
      </w:r>
      <w:r w:rsidR="00946F20" w:rsidRPr="00281627">
        <w:rPr>
          <w:snapToGrid w:val="0"/>
          <w:lang w:val="fr-CA"/>
        </w:rPr>
        <w:t>s</w:t>
      </w:r>
      <w:r w:rsidRPr="00281627">
        <w:rPr>
          <w:snapToGrid w:val="0"/>
          <w:lang w:val="fr-CA"/>
        </w:rPr>
        <w:t xml:space="preserve"> de gestion de </w:t>
      </w:r>
      <w:r w:rsidR="00946F20" w:rsidRPr="00281627">
        <w:rPr>
          <w:snapToGrid w:val="0"/>
          <w:lang w:val="fr-CA"/>
        </w:rPr>
        <w:t>la réduction progressive</w:t>
      </w:r>
      <w:r w:rsidRPr="00281627">
        <w:rPr>
          <w:snapToGrid w:val="0"/>
          <w:lang w:val="fr-CA"/>
        </w:rPr>
        <w:t xml:space="preserve"> des HFC présentées pour examen individuel par le Comité exécutif n’ont pas été examinées lors du processus d’approbation intersessions (P</w:t>
      </w:r>
      <w:r w:rsidR="0032353E">
        <w:rPr>
          <w:snapToGrid w:val="0"/>
          <w:lang w:val="fr-CA"/>
        </w:rPr>
        <w:t xml:space="preserve">AI) mis en place </w:t>
      </w:r>
      <w:r w:rsidRPr="00281627">
        <w:rPr>
          <w:snapToGrid w:val="0"/>
          <w:lang w:val="fr-CA"/>
        </w:rPr>
        <w:t>pour la 85</w:t>
      </w:r>
      <w:r w:rsidRPr="00281627">
        <w:rPr>
          <w:snapToGrid w:val="0"/>
          <w:vertAlign w:val="superscript"/>
          <w:lang w:val="fr-CA"/>
        </w:rPr>
        <w:t>e</w:t>
      </w:r>
      <w:r w:rsidRPr="00281627">
        <w:rPr>
          <w:snapToGrid w:val="0"/>
          <w:lang w:val="fr-CA"/>
        </w:rPr>
        <w:t xml:space="preserve"> réunion, et la préparation </w:t>
      </w:r>
      <w:r w:rsidR="0032353E">
        <w:rPr>
          <w:snapToGrid w:val="0"/>
          <w:lang w:val="fr-CA"/>
        </w:rPr>
        <w:t>d’</w:t>
      </w:r>
      <w:r w:rsidRPr="00281627">
        <w:rPr>
          <w:snapToGrid w:val="0"/>
          <w:lang w:val="fr-CA"/>
        </w:rPr>
        <w:t xml:space="preserve">un projet de reconversion </w:t>
      </w:r>
      <w:r w:rsidR="007E0E2F">
        <w:rPr>
          <w:snapToGrid w:val="0"/>
          <w:lang w:val="fr-CA"/>
        </w:rPr>
        <w:t>au Soudan n’a pas été approuvée. C</w:t>
      </w:r>
      <w:r w:rsidRPr="00281627">
        <w:rPr>
          <w:snapToGrid w:val="0"/>
          <w:lang w:val="fr-CA"/>
        </w:rPr>
        <w:t>es demandes ont été reportées à la 8</w:t>
      </w:r>
      <w:r w:rsidRPr="0032353E">
        <w:rPr>
          <w:snapToGrid w:val="0"/>
          <w:lang w:val="fr-CA"/>
        </w:rPr>
        <w:t>6</w:t>
      </w:r>
      <w:r w:rsidRPr="00281627">
        <w:rPr>
          <w:snapToGrid w:val="0"/>
          <w:vertAlign w:val="superscript"/>
          <w:lang w:val="fr-CA"/>
        </w:rPr>
        <w:t xml:space="preserve">e </w:t>
      </w:r>
      <w:r w:rsidRPr="00281627">
        <w:rPr>
          <w:lang w:val="fr-CA"/>
        </w:rPr>
        <w:t>réunion, comme convenu par le Comité exécutif. Par conséquent, les propositions présentées à la 85</w:t>
      </w:r>
      <w:r w:rsidRPr="00281627">
        <w:rPr>
          <w:vertAlign w:val="superscript"/>
          <w:lang w:val="fr-CA"/>
        </w:rPr>
        <w:t>e</w:t>
      </w:r>
      <w:r w:rsidRPr="00281627">
        <w:rPr>
          <w:lang w:val="fr-CA"/>
        </w:rPr>
        <w:t xml:space="preserve"> réunion sont jointes au présent document</w:t>
      </w:r>
      <w:r w:rsidR="00443E1A" w:rsidRPr="00281627">
        <w:rPr>
          <w:lang w:val="fr-CA"/>
        </w:rPr>
        <w:t xml:space="preserve">. </w:t>
      </w:r>
    </w:p>
    <w:p w14:paraId="31C7B8FF" w14:textId="166D80A6" w:rsidR="005C22AA" w:rsidRPr="00281627" w:rsidRDefault="005C22AA" w:rsidP="0021139E">
      <w:pPr>
        <w:pStyle w:val="Heading1"/>
        <w:keepNext/>
        <w:keepLines/>
        <w:numPr>
          <w:ilvl w:val="0"/>
          <w:numId w:val="0"/>
        </w:numPr>
        <w:rPr>
          <w:lang w:val="fr-CA"/>
        </w:rPr>
      </w:pPr>
      <w:r w:rsidRPr="00281627">
        <w:rPr>
          <w:b/>
          <w:lang w:val="fr-CA"/>
        </w:rPr>
        <w:lastRenderedPageBreak/>
        <w:t>B1</w:t>
      </w:r>
      <w:r w:rsidR="000A11ED" w:rsidRPr="00281627">
        <w:rPr>
          <w:b/>
          <w:lang w:val="fr-CA"/>
        </w:rPr>
        <w:t xml:space="preserve"> </w:t>
      </w:r>
      <w:r w:rsidRPr="00281627">
        <w:rPr>
          <w:b/>
          <w:lang w:val="fr-CA"/>
        </w:rPr>
        <w:t xml:space="preserve">: </w:t>
      </w:r>
      <w:r w:rsidR="000A11ED" w:rsidRPr="00281627">
        <w:rPr>
          <w:b/>
          <w:color w:val="000000" w:themeColor="text1"/>
          <w:lang w:val="fr-CA"/>
        </w:rPr>
        <w:t xml:space="preserve">Préparation de projet pour les plans de gestion de </w:t>
      </w:r>
      <w:r w:rsidR="00946F20" w:rsidRPr="00281627">
        <w:rPr>
          <w:b/>
          <w:color w:val="000000" w:themeColor="text1"/>
          <w:lang w:val="fr-CA"/>
        </w:rPr>
        <w:t>la réduction progressive</w:t>
      </w:r>
      <w:r w:rsidR="000A11ED" w:rsidRPr="00281627">
        <w:rPr>
          <w:b/>
          <w:color w:val="000000" w:themeColor="text1"/>
          <w:lang w:val="fr-CA"/>
        </w:rPr>
        <w:t xml:space="preserve"> des HFC </w:t>
      </w:r>
    </w:p>
    <w:p w14:paraId="5610CCDD" w14:textId="0365BE4A" w:rsidR="005C22AA" w:rsidRPr="00281627" w:rsidRDefault="000A11ED" w:rsidP="0021139E">
      <w:pPr>
        <w:keepNext/>
        <w:keepLines/>
        <w:spacing w:after="240"/>
        <w:rPr>
          <w:b/>
          <w:lang w:val="fr-CA"/>
        </w:rPr>
      </w:pPr>
      <w:r w:rsidRPr="00281627">
        <w:rPr>
          <w:b/>
          <w:lang w:val="fr-CA"/>
        </w:rPr>
        <w:t>Description du projet</w:t>
      </w:r>
    </w:p>
    <w:p w14:paraId="5D9021A6" w14:textId="39CAAC8C" w:rsidR="005C22AA" w:rsidRPr="00281627" w:rsidRDefault="004B38DA" w:rsidP="005C22AA">
      <w:pPr>
        <w:pStyle w:val="Heading1"/>
        <w:widowControl w:val="0"/>
        <w:rPr>
          <w:lang w:val="fr-CA"/>
        </w:rPr>
      </w:pPr>
      <w:r w:rsidRPr="00281627">
        <w:rPr>
          <w:lang w:val="fr-CA"/>
        </w:rPr>
        <w:t xml:space="preserve">Après la </w:t>
      </w:r>
      <w:r w:rsidR="00170A0F">
        <w:rPr>
          <w:lang w:val="fr-CA"/>
        </w:rPr>
        <w:t>remise</w:t>
      </w:r>
      <w:r w:rsidRPr="00281627">
        <w:rPr>
          <w:lang w:val="fr-CA"/>
        </w:rPr>
        <w:t xml:space="preserve"> des propositions aux 85</w:t>
      </w:r>
      <w:r w:rsidRPr="00281627">
        <w:rPr>
          <w:vertAlign w:val="superscript"/>
          <w:lang w:val="fr-CA"/>
        </w:rPr>
        <w:t>e</w:t>
      </w:r>
      <w:r w:rsidRPr="00281627">
        <w:rPr>
          <w:lang w:val="fr-CA"/>
        </w:rPr>
        <w:t xml:space="preserve"> et 86</w:t>
      </w:r>
      <w:r w:rsidRPr="00281627">
        <w:rPr>
          <w:vertAlign w:val="superscript"/>
          <w:lang w:val="fr-CA"/>
        </w:rPr>
        <w:t>e</w:t>
      </w:r>
      <w:r w:rsidRPr="00281627">
        <w:rPr>
          <w:lang w:val="fr-CA"/>
        </w:rPr>
        <w:t xml:space="preserve"> réunions, l’ONUDI a présenté des demandes de financement </w:t>
      </w:r>
      <w:r w:rsidR="007E0E2F">
        <w:rPr>
          <w:lang w:val="fr-CA"/>
        </w:rPr>
        <w:t>pour</w:t>
      </w:r>
      <w:r w:rsidRPr="00281627">
        <w:rPr>
          <w:lang w:val="fr-CA"/>
        </w:rPr>
        <w:t xml:space="preserve"> la préparation des plans de gestion de </w:t>
      </w:r>
      <w:r w:rsidR="00946F20" w:rsidRPr="00281627">
        <w:rPr>
          <w:lang w:val="fr-CA"/>
        </w:rPr>
        <w:t>la réduction progressive</w:t>
      </w:r>
      <w:r w:rsidRPr="00281627">
        <w:rPr>
          <w:lang w:val="fr-CA"/>
        </w:rPr>
        <w:t xml:space="preserve"> des HFC pour sept pays visés à l'article 5 en tant qu’agence d’exécution principale, où le PNUE agit en qualité d’agence d’exécution de coopération pour deux pays; et pour un pays en </w:t>
      </w:r>
      <w:r w:rsidR="00170A0F">
        <w:rPr>
          <w:lang w:val="fr-CA"/>
        </w:rPr>
        <w:t>tant qu’agence d’</w:t>
      </w:r>
      <w:r w:rsidRPr="00281627">
        <w:rPr>
          <w:lang w:val="fr-CA"/>
        </w:rPr>
        <w:t>exécution de coopération où le PNUE agit en qualité d’agence d’exécution principale, comme indiqué dans la partie B1 du tableau 1. Le PNUE, en qualité d’agence d’exécution principale pour le Sénégal et d’agence d’exécution de coopération pour l’Albanie et le Mexique, demande la somme de 126 500 $US, plus les coûts d’appui à l’agence de 16</w:t>
      </w:r>
      <w:r w:rsidR="00170A0F">
        <w:rPr>
          <w:lang w:val="fr-CA"/>
        </w:rPr>
        <w:t> </w:t>
      </w:r>
      <w:r w:rsidRPr="00281627">
        <w:rPr>
          <w:lang w:val="fr-CA"/>
        </w:rPr>
        <w:t>445</w:t>
      </w:r>
      <w:r w:rsidR="00170A0F">
        <w:rPr>
          <w:lang w:val="fr-CA"/>
        </w:rPr>
        <w:t> </w:t>
      </w:r>
      <w:r w:rsidRPr="00281627">
        <w:rPr>
          <w:lang w:val="fr-CA"/>
        </w:rPr>
        <w:t>$US, dans les amendements de son programme de travail pour l’année 2020</w:t>
      </w:r>
      <w:r w:rsidR="005C22AA" w:rsidRPr="00281627">
        <w:rPr>
          <w:color w:val="000000" w:themeColor="text1"/>
          <w:lang w:val="fr-CA"/>
        </w:rPr>
        <w:t>.</w:t>
      </w:r>
    </w:p>
    <w:p w14:paraId="7D67B9EA" w14:textId="1FA8D3F8" w:rsidR="005C22AA" w:rsidRPr="00281627" w:rsidRDefault="004B38DA" w:rsidP="005C22AA">
      <w:pPr>
        <w:widowControl w:val="0"/>
        <w:spacing w:after="120"/>
        <w:rPr>
          <w:b/>
          <w:color w:val="000000" w:themeColor="text1"/>
          <w:lang w:val="fr-CA"/>
        </w:rPr>
      </w:pPr>
      <w:r w:rsidRPr="00281627">
        <w:rPr>
          <w:b/>
          <w:color w:val="000000" w:themeColor="text1"/>
          <w:lang w:val="fr-CA"/>
        </w:rPr>
        <w:t>Observations du Secrétariat</w:t>
      </w:r>
    </w:p>
    <w:p w14:paraId="2A864E90" w14:textId="0D9E93F8" w:rsidR="00147750" w:rsidRPr="00281627" w:rsidRDefault="004B38DA" w:rsidP="0059716A">
      <w:pPr>
        <w:pStyle w:val="Heading1"/>
        <w:rPr>
          <w:b/>
          <w:lang w:val="fr-CA"/>
        </w:rPr>
      </w:pPr>
      <w:r w:rsidRPr="00281627">
        <w:rPr>
          <w:lang w:val="fr-CA"/>
        </w:rPr>
        <w:t>L’ONUDI, en qualité d’agence d’exécution principale, a fourni une description des activités nécessaires à la préparation d’une stratégie globale pour la réduction progressive des HFC</w:t>
      </w:r>
      <w:r w:rsidR="009D0D96" w:rsidRPr="00281627">
        <w:rPr>
          <w:lang w:val="fr-CA"/>
        </w:rPr>
        <w:t xml:space="preserve"> pour l’Albanie, la Jordanie, le Mexique, le Monténégro, le Niger, la Macédoine du Nord et l’Afrique du Sud, et les coûts correspondants pour chacune des activités, en </w:t>
      </w:r>
      <w:r w:rsidR="00170A0F">
        <w:rPr>
          <w:lang w:val="fr-CA"/>
        </w:rPr>
        <w:t>utilisant le modèle des demande</w:t>
      </w:r>
      <w:r w:rsidR="003929AB">
        <w:rPr>
          <w:lang w:val="fr-CA"/>
        </w:rPr>
        <w:t>s</w:t>
      </w:r>
      <w:r w:rsidR="009D0D96" w:rsidRPr="00281627">
        <w:rPr>
          <w:lang w:val="fr-CA"/>
        </w:rPr>
        <w:t xml:space="preserve"> de préparation de projet pour les phases du PGEH. La proposition comprend une estimation des importations de HFC et de HFC contenus dans les </w:t>
      </w:r>
      <w:r w:rsidR="003929AB" w:rsidRPr="00281627">
        <w:rPr>
          <w:lang w:val="fr-CA"/>
        </w:rPr>
        <w:t>mélanges ;</w:t>
      </w:r>
      <w:r w:rsidR="009D0D96" w:rsidRPr="00281627">
        <w:rPr>
          <w:lang w:val="fr-CA"/>
        </w:rPr>
        <w:t xml:space="preserve"> les réunions et consultations de parties </w:t>
      </w:r>
      <w:r w:rsidR="003929AB" w:rsidRPr="00281627">
        <w:rPr>
          <w:lang w:val="fr-CA"/>
        </w:rPr>
        <w:t>prenantes ;</w:t>
      </w:r>
      <w:r w:rsidR="009D0D96" w:rsidRPr="00281627">
        <w:rPr>
          <w:lang w:val="fr-CA"/>
        </w:rPr>
        <w:t xml:space="preserve"> et l’</w:t>
      </w:r>
      <w:r w:rsidR="00341DEB" w:rsidRPr="00281627">
        <w:rPr>
          <w:lang w:val="fr-CA"/>
        </w:rPr>
        <w:t>élabo</w:t>
      </w:r>
      <w:r w:rsidR="009D0D96" w:rsidRPr="00281627">
        <w:rPr>
          <w:lang w:val="fr-CA"/>
        </w:rPr>
        <w:t>ration d’une stratégie de réduction progressive des HFC</w:t>
      </w:r>
      <w:r w:rsidR="00341DEB" w:rsidRPr="00281627">
        <w:rPr>
          <w:lang w:val="fr-CA"/>
        </w:rPr>
        <w:t>. Les plans de réduction progressive</w:t>
      </w:r>
      <w:r w:rsidR="009D0D96" w:rsidRPr="00281627">
        <w:rPr>
          <w:lang w:val="fr-CA"/>
        </w:rPr>
        <w:t xml:space="preserve"> pour l’Albanie, la Jordanie, le Mexique et l’</w:t>
      </w:r>
      <w:r w:rsidR="00341DEB" w:rsidRPr="00281627">
        <w:rPr>
          <w:lang w:val="fr-CA"/>
        </w:rPr>
        <w:t xml:space="preserve">Afrique du Sud mettent l’accent sur la collecte de données et l’analyse </w:t>
      </w:r>
      <w:r w:rsidR="003929AB" w:rsidRPr="00281627">
        <w:rPr>
          <w:lang w:val="fr-CA"/>
        </w:rPr>
        <w:t>sectorielle ;</w:t>
      </w:r>
      <w:r w:rsidR="00341DEB" w:rsidRPr="00281627">
        <w:rPr>
          <w:lang w:val="fr-CA"/>
        </w:rPr>
        <w:t xml:space="preserve"> </w:t>
      </w:r>
      <w:r w:rsidR="00B56E97">
        <w:rPr>
          <w:lang w:val="fr-CA"/>
        </w:rPr>
        <w:t xml:space="preserve">et </w:t>
      </w:r>
      <w:r w:rsidR="00341DEB" w:rsidRPr="00281627">
        <w:rPr>
          <w:lang w:val="fr-CA"/>
        </w:rPr>
        <w:t>les activités pour le Monténégro, le Niger et la Macédoine du Nord mettent l’</w:t>
      </w:r>
      <w:r w:rsidR="00336395" w:rsidRPr="00281627">
        <w:rPr>
          <w:lang w:val="fr-CA"/>
        </w:rPr>
        <w:t>accent sur la sen</w:t>
      </w:r>
      <w:r w:rsidR="00341DEB" w:rsidRPr="00281627">
        <w:rPr>
          <w:lang w:val="fr-CA"/>
        </w:rPr>
        <w:t>s</w:t>
      </w:r>
      <w:r w:rsidR="00336395" w:rsidRPr="00281627">
        <w:rPr>
          <w:lang w:val="fr-CA"/>
        </w:rPr>
        <w:t>i</w:t>
      </w:r>
      <w:r w:rsidR="00341DEB" w:rsidRPr="00281627">
        <w:rPr>
          <w:lang w:val="fr-CA"/>
        </w:rPr>
        <w:t>bilisation, l</w:t>
      </w:r>
      <w:r w:rsidR="00B56E97">
        <w:rPr>
          <w:lang w:val="fr-CA"/>
        </w:rPr>
        <w:t>a</w:t>
      </w:r>
      <w:r w:rsidR="00336395" w:rsidRPr="00281627">
        <w:rPr>
          <w:lang w:val="fr-CA"/>
        </w:rPr>
        <w:t xml:space="preserve"> planification des communications et les évaluati</w:t>
      </w:r>
      <w:r w:rsidR="00341DEB" w:rsidRPr="00281627">
        <w:rPr>
          <w:lang w:val="fr-CA"/>
        </w:rPr>
        <w:t xml:space="preserve">ons des besoins de renforcement des capacités </w:t>
      </w:r>
      <w:r w:rsidR="00336395" w:rsidRPr="00281627">
        <w:rPr>
          <w:lang w:val="fr-CA"/>
        </w:rPr>
        <w:t>pour les activités du secteur de la réfrigération et de la climatisation, et leur exécution</w:t>
      </w:r>
      <w:r w:rsidR="005C22AA" w:rsidRPr="00281627">
        <w:rPr>
          <w:lang w:val="fr-CA"/>
        </w:rPr>
        <w:t>.</w:t>
      </w:r>
      <w:r w:rsidR="00ED74F3" w:rsidRPr="00281627">
        <w:rPr>
          <w:lang w:val="fr-CA"/>
        </w:rPr>
        <w:t xml:space="preserve"> </w:t>
      </w:r>
    </w:p>
    <w:p w14:paraId="5CBD5441" w14:textId="4B66EB05" w:rsidR="00CD4AE1" w:rsidRPr="00281627" w:rsidRDefault="00336395" w:rsidP="00712ACD">
      <w:pPr>
        <w:pStyle w:val="Heading1"/>
        <w:rPr>
          <w:color w:val="000000" w:themeColor="text1"/>
          <w:lang w:val="fr-CA"/>
        </w:rPr>
      </w:pPr>
      <w:r w:rsidRPr="00281627">
        <w:rPr>
          <w:lang w:val="fr-CA"/>
        </w:rPr>
        <w:t xml:space="preserve">La somme demandée pour la préparation des propositions de projet </w:t>
      </w:r>
      <w:r w:rsidR="00B56E97">
        <w:rPr>
          <w:lang w:val="fr-CA"/>
        </w:rPr>
        <w:t>présentées</w:t>
      </w:r>
      <w:r w:rsidRPr="00281627">
        <w:rPr>
          <w:lang w:val="fr-CA"/>
        </w:rPr>
        <w:t xml:space="preserve"> à la 85</w:t>
      </w:r>
      <w:r w:rsidRPr="00281627">
        <w:rPr>
          <w:vertAlign w:val="superscript"/>
          <w:lang w:val="fr-CA"/>
        </w:rPr>
        <w:t>e</w:t>
      </w:r>
      <w:r w:rsidRPr="00281627">
        <w:rPr>
          <w:lang w:val="fr-CA"/>
        </w:rPr>
        <w:t xml:space="preserve"> réunion </w:t>
      </w:r>
      <w:r w:rsidR="00C05437" w:rsidRPr="00281627">
        <w:rPr>
          <w:lang w:val="fr-CA"/>
        </w:rPr>
        <w:t xml:space="preserve">est basée sur le financement des activités de facilitation (établi à la décision 79/46 c)); </w:t>
      </w:r>
      <w:r w:rsidR="00B56E97">
        <w:rPr>
          <w:lang w:val="fr-CA"/>
        </w:rPr>
        <w:t>et</w:t>
      </w:r>
      <w:r w:rsidR="00C05437" w:rsidRPr="00281627">
        <w:rPr>
          <w:lang w:val="fr-CA"/>
        </w:rPr>
        <w:t xml:space="preserve"> le soutien financier demandé à la 86</w:t>
      </w:r>
      <w:r w:rsidR="00C05437" w:rsidRPr="00281627">
        <w:rPr>
          <w:vertAlign w:val="superscript"/>
          <w:lang w:val="fr-CA"/>
        </w:rPr>
        <w:t>e</w:t>
      </w:r>
      <w:r w:rsidR="00C05437" w:rsidRPr="00281627">
        <w:rPr>
          <w:lang w:val="fr-CA"/>
        </w:rPr>
        <w:t xml:space="preserve"> réunion est fondé sur le financement de la préparation de projet pour la phase I des PGEH (établi à la décision 56/16 c)</w:t>
      </w:r>
      <w:r w:rsidR="00B56E97">
        <w:rPr>
          <w:lang w:val="fr-CA"/>
        </w:rPr>
        <w:t>), car c</w:t>
      </w:r>
      <w:r w:rsidR="00C05437" w:rsidRPr="00281627">
        <w:rPr>
          <w:lang w:val="fr-CA"/>
        </w:rPr>
        <w:t>e soutien financier est celui utilisé par les agences bilatérales et d’exécution pour préparer les plans d’activités de 2021-2023 présentés à la 86</w:t>
      </w:r>
      <w:r w:rsidR="00C05437" w:rsidRPr="00281627">
        <w:rPr>
          <w:vertAlign w:val="superscript"/>
          <w:lang w:val="fr-CA"/>
        </w:rPr>
        <w:t>e</w:t>
      </w:r>
      <w:r w:rsidR="00C05437" w:rsidRPr="00281627">
        <w:rPr>
          <w:lang w:val="fr-CA"/>
        </w:rPr>
        <w:t xml:space="preserve"> réunion. </w:t>
      </w:r>
      <w:r w:rsidR="00712ACD" w:rsidRPr="00281627">
        <w:rPr>
          <w:lang w:val="fr-CA"/>
        </w:rPr>
        <w:t xml:space="preserve">Le Secrétariat a pris note que </w:t>
      </w:r>
      <w:r w:rsidR="00B56E97">
        <w:rPr>
          <w:lang w:val="fr-CA"/>
        </w:rPr>
        <w:t>le soutien financier</w:t>
      </w:r>
      <w:r w:rsidR="00712ACD" w:rsidRPr="00281627">
        <w:rPr>
          <w:lang w:val="fr-CA"/>
        </w:rPr>
        <w:t xml:space="preserve"> demandé pour les demandes de préparation de projet présentées aux 85</w:t>
      </w:r>
      <w:r w:rsidR="00712ACD" w:rsidRPr="00281627">
        <w:rPr>
          <w:vertAlign w:val="superscript"/>
          <w:lang w:val="fr-CA"/>
        </w:rPr>
        <w:t>e</w:t>
      </w:r>
      <w:r w:rsidR="00B56E97">
        <w:rPr>
          <w:lang w:val="fr-CA"/>
        </w:rPr>
        <w:t> </w:t>
      </w:r>
      <w:r w:rsidR="00712ACD" w:rsidRPr="00281627">
        <w:rPr>
          <w:lang w:val="fr-CA"/>
        </w:rPr>
        <w:t>et 86</w:t>
      </w:r>
      <w:r w:rsidR="00712ACD" w:rsidRPr="00281627">
        <w:rPr>
          <w:vertAlign w:val="superscript"/>
          <w:lang w:val="fr-CA"/>
        </w:rPr>
        <w:t>e</w:t>
      </w:r>
      <w:r w:rsidR="00712ACD" w:rsidRPr="00281627">
        <w:rPr>
          <w:lang w:val="fr-CA"/>
        </w:rPr>
        <w:t xml:space="preserve"> réunions </w:t>
      </w:r>
      <w:r w:rsidR="00B56E97">
        <w:rPr>
          <w:lang w:val="fr-CA"/>
        </w:rPr>
        <w:t>est indicatif</w:t>
      </w:r>
      <w:r w:rsidR="00712ACD" w:rsidRPr="00281627">
        <w:rPr>
          <w:lang w:val="fr-CA"/>
        </w:rPr>
        <w:t>, car les sommes réelles seront déterminées par le Comité exécutif lorsqu’il examinera le document UNEP/OzL.Pro/ExCom/86/88, Projet de lignes directrices pour la préparation des plans de réduction progressive des HFC dans les pays visés à l'article 5 (décision 84/54 a))</w:t>
      </w:r>
      <w:r w:rsidR="00CD4AE1" w:rsidRPr="00281627">
        <w:rPr>
          <w:color w:val="000000" w:themeColor="text1"/>
          <w:lang w:val="fr-CA"/>
        </w:rPr>
        <w:t>.</w:t>
      </w:r>
    </w:p>
    <w:p w14:paraId="2C41F7F5" w14:textId="6FBB1D09" w:rsidR="005C22AA" w:rsidRPr="00281627" w:rsidRDefault="00366D04" w:rsidP="005C22AA">
      <w:pPr>
        <w:pStyle w:val="Heading1"/>
        <w:widowControl w:val="0"/>
        <w:rPr>
          <w:color w:val="000000" w:themeColor="text1"/>
          <w:lang w:val="fr-CA"/>
        </w:rPr>
      </w:pPr>
      <w:r>
        <w:rPr>
          <w:color w:val="000000" w:themeColor="text1"/>
          <w:lang w:val="fr-CA"/>
        </w:rPr>
        <w:t>Bien</w:t>
      </w:r>
      <w:r w:rsidR="001C7EF1" w:rsidRPr="00281627">
        <w:rPr>
          <w:color w:val="000000" w:themeColor="text1"/>
          <w:lang w:val="fr-CA"/>
        </w:rPr>
        <w:t xml:space="preserve"> que le niveau de financement réel de la préparation des plans de gestion de la réduction progressive des HFC reste à déterminer, le Secrétariat a examiné les propositions en se fondant sur l’expérience acquise dans l’examen des demandes de préparation des PGEH, et en tenant compte des orientations fournies et des décisions adoptées par le Comité exécutif pour de tels projets</w:t>
      </w:r>
      <w:r w:rsidR="005C22AA" w:rsidRPr="00281627">
        <w:rPr>
          <w:color w:val="000000" w:themeColor="text1"/>
          <w:lang w:val="fr-CA"/>
        </w:rPr>
        <w:t xml:space="preserve">.  </w:t>
      </w:r>
    </w:p>
    <w:p w14:paraId="79D22EB1" w14:textId="4FC3C7CE" w:rsidR="005C22AA" w:rsidRPr="00281627" w:rsidRDefault="001C7EF1" w:rsidP="005C22AA">
      <w:pPr>
        <w:pStyle w:val="Heading1"/>
        <w:widowControl w:val="0"/>
        <w:rPr>
          <w:color w:val="000000" w:themeColor="text1"/>
          <w:lang w:val="fr-CA"/>
        </w:rPr>
      </w:pPr>
      <w:r w:rsidRPr="00281627">
        <w:rPr>
          <w:color w:val="000000" w:themeColor="text1"/>
          <w:lang w:val="fr-CA"/>
        </w:rPr>
        <w:t xml:space="preserve">À la suite de l’examen, le Secrétariat a pris note de ce qui suit </w:t>
      </w:r>
      <w:r w:rsidR="005C22AA" w:rsidRPr="00281627">
        <w:rPr>
          <w:color w:val="000000" w:themeColor="text1"/>
          <w:lang w:val="fr-CA"/>
        </w:rPr>
        <w:t>:</w:t>
      </w:r>
    </w:p>
    <w:p w14:paraId="0F564174" w14:textId="24A54862" w:rsidR="005C22AA" w:rsidRPr="00281627" w:rsidRDefault="0046418A" w:rsidP="0046418A">
      <w:pPr>
        <w:pStyle w:val="Heading1"/>
        <w:numPr>
          <w:ilvl w:val="0"/>
          <w:numId w:val="25"/>
        </w:numPr>
        <w:ind w:left="1440" w:hanging="720"/>
        <w:rPr>
          <w:lang w:val="fr-CA"/>
        </w:rPr>
      </w:pPr>
      <w:r w:rsidRPr="00281627">
        <w:rPr>
          <w:lang w:val="fr-CA"/>
        </w:rPr>
        <w:t>Les sept pays pour lesquels l’ONUDI a demandé le financement de la préparation du plan de gestion de la réduction progressive des HFC</w:t>
      </w:r>
      <w:r w:rsidR="00366D04">
        <w:rPr>
          <w:lang w:val="fr-CA"/>
        </w:rPr>
        <w:t xml:space="preserve"> </w:t>
      </w:r>
      <w:r w:rsidRPr="00281627">
        <w:rPr>
          <w:lang w:val="fr-CA"/>
        </w:rPr>
        <w:t>en qualité d’agence d’exécution principale ont ratifié l’Amendement de Kigali</w:t>
      </w:r>
      <w:r w:rsidR="007F350F" w:rsidRPr="00281627">
        <w:rPr>
          <w:lang w:val="fr-CA"/>
        </w:rPr>
        <w:t>;</w:t>
      </w:r>
      <w:r w:rsidR="008721F7" w:rsidRPr="00281627">
        <w:rPr>
          <w:vertAlign w:val="superscript"/>
          <w:lang w:val="fr-CA"/>
        </w:rPr>
        <w:footnoteReference w:id="7"/>
      </w:r>
      <w:r w:rsidR="005C22AA" w:rsidRPr="00281627">
        <w:rPr>
          <w:lang w:val="fr-CA"/>
        </w:rPr>
        <w:t xml:space="preserve"> </w:t>
      </w:r>
      <w:r w:rsidR="00B709EA" w:rsidRPr="00281627">
        <w:rPr>
          <w:lang w:val="fr-CA"/>
        </w:rPr>
        <w:t xml:space="preserve"> </w:t>
      </w:r>
      <w:r w:rsidRPr="00281627">
        <w:rPr>
          <w:lang w:val="fr-CA"/>
        </w:rPr>
        <w:t>et sont admissible</w:t>
      </w:r>
      <w:r w:rsidR="00366D04">
        <w:rPr>
          <w:lang w:val="fr-CA"/>
        </w:rPr>
        <w:t>s</w:t>
      </w:r>
      <w:r w:rsidRPr="00281627">
        <w:rPr>
          <w:lang w:val="fr-CA"/>
        </w:rPr>
        <w:t xml:space="preserve"> au financement pour la préparation de projet conformément à la décision 79/46 </w:t>
      </w:r>
      <w:r w:rsidR="005C22AA" w:rsidRPr="00281627">
        <w:rPr>
          <w:lang w:val="fr-CA"/>
        </w:rPr>
        <w:t>b)</w:t>
      </w:r>
      <w:r w:rsidRPr="00281627">
        <w:rPr>
          <w:lang w:val="fr-CA"/>
        </w:rPr>
        <w:t xml:space="preserve"> </w:t>
      </w:r>
      <w:r w:rsidR="005C22AA" w:rsidRPr="00281627">
        <w:rPr>
          <w:lang w:val="fr-CA"/>
        </w:rPr>
        <w:t>iii)</w:t>
      </w:r>
      <w:r w:rsidR="007F350F" w:rsidRPr="00281627">
        <w:rPr>
          <w:lang w:val="fr-CA"/>
        </w:rPr>
        <w:t>;</w:t>
      </w:r>
      <w:r w:rsidR="005C22AA" w:rsidRPr="00281627">
        <w:rPr>
          <w:vertAlign w:val="superscript"/>
          <w:lang w:val="fr-CA"/>
        </w:rPr>
        <w:footnoteReference w:id="8"/>
      </w:r>
      <w:r w:rsidR="005C22AA" w:rsidRPr="00281627">
        <w:rPr>
          <w:lang w:val="fr-CA"/>
        </w:rPr>
        <w:t xml:space="preserve"> </w:t>
      </w:r>
      <w:r w:rsidRPr="00281627">
        <w:rPr>
          <w:lang w:val="fr-CA"/>
        </w:rPr>
        <w:t xml:space="preserve">les pays ont fourni des </w:t>
      </w:r>
      <w:r w:rsidRPr="00281627">
        <w:rPr>
          <w:lang w:val="fr-CA"/>
        </w:rPr>
        <w:lastRenderedPageBreak/>
        <w:t>lettres d’appui précisant leur intention de prendre des mesures hâtives pour réduire progressivement les HFC;</w:t>
      </w:r>
    </w:p>
    <w:p w14:paraId="7B19AA12" w14:textId="4596AAEB" w:rsidR="005C22AA" w:rsidRPr="00281627" w:rsidRDefault="0046418A" w:rsidP="005C22AA">
      <w:pPr>
        <w:pStyle w:val="Heading1"/>
        <w:numPr>
          <w:ilvl w:val="0"/>
          <w:numId w:val="25"/>
        </w:numPr>
        <w:ind w:left="1440" w:hanging="720"/>
        <w:rPr>
          <w:b/>
          <w:lang w:val="fr-CA"/>
        </w:rPr>
      </w:pPr>
      <w:r w:rsidRPr="00281627">
        <w:rPr>
          <w:lang w:val="fr-CA"/>
        </w:rPr>
        <w:t>Les activités</w:t>
      </w:r>
      <w:r w:rsidR="00B809AE" w:rsidRPr="00281627">
        <w:rPr>
          <w:lang w:val="fr-CA"/>
        </w:rPr>
        <w:t xml:space="preserve"> de préparation de projet sont semblable</w:t>
      </w:r>
      <w:r w:rsidR="00366D04">
        <w:rPr>
          <w:lang w:val="fr-CA"/>
        </w:rPr>
        <w:t>s</w:t>
      </w:r>
      <w:r w:rsidR="00B809AE" w:rsidRPr="00281627">
        <w:rPr>
          <w:lang w:val="fr-CA"/>
        </w:rPr>
        <w:t xml:space="preserve"> aux activités de préparation des PGEH, sauf pour l’absence d’une étude de la consommation de HFC en Albanie, en Jordanie, au Monténégro, au Niger et en Macédoine du Nord; certaines activités ressemb</w:t>
      </w:r>
      <w:r w:rsidR="00366D04">
        <w:rPr>
          <w:lang w:val="fr-CA"/>
        </w:rPr>
        <w:t>lent</w:t>
      </w:r>
      <w:r w:rsidR="00B809AE" w:rsidRPr="00281627">
        <w:rPr>
          <w:lang w:val="fr-CA"/>
        </w:rPr>
        <w:t xml:space="preserve"> aussi de près aux activités facilitation de la réduction progressive des HFC, déjà financées pour les sept pays</w:t>
      </w:r>
      <w:r w:rsidR="00084ED2">
        <w:rPr>
          <w:lang w:val="fr-CA"/>
        </w:rPr>
        <w:t xml:space="preserve">, </w:t>
      </w:r>
      <w:r w:rsidR="00B809AE" w:rsidRPr="00281627">
        <w:rPr>
          <w:lang w:val="fr-CA"/>
        </w:rPr>
        <w:t>achevées par l’Albanie, la Jordanie, le Mexique, le Monténégro et l’Afrique du Sud, et en cours pour le Niger et la Macédoine du Nord</w:t>
      </w:r>
      <w:r w:rsidR="005C22AA" w:rsidRPr="00281627">
        <w:rPr>
          <w:lang w:val="fr-CA"/>
        </w:rPr>
        <w:t>.</w:t>
      </w:r>
    </w:p>
    <w:p w14:paraId="229E77D1" w14:textId="5A4D6FC5" w:rsidR="005C22AA" w:rsidRPr="00281627" w:rsidRDefault="00686491" w:rsidP="00CE7634">
      <w:pPr>
        <w:pStyle w:val="Heading1"/>
        <w:rPr>
          <w:lang w:val="fr-CA"/>
        </w:rPr>
      </w:pPr>
      <w:r w:rsidRPr="00281627">
        <w:rPr>
          <w:lang w:val="fr-CA"/>
        </w:rPr>
        <w:t>L’ONUDI a précisé que la préparation de projet pour la stratégie globale de la réduction progressive des HFC puiserait dans les activités mises en œuvre au titre des activités de facilitation, car ce furent les premières actions associées à la réduction progressive des HFC et qu’elles ont contribué à la ratification de l’Amendement de Kigali dans chacun des pays. L’ONUDI a précisé que la répétition des activités déjà mise en œuvre serait évitée</w:t>
      </w:r>
      <w:r w:rsidR="005C22AA" w:rsidRPr="00281627">
        <w:rPr>
          <w:lang w:val="fr-CA"/>
        </w:rPr>
        <w:t>.</w:t>
      </w:r>
    </w:p>
    <w:p w14:paraId="34674965" w14:textId="2F8D8CBA" w:rsidR="005C22AA" w:rsidRPr="00281627" w:rsidRDefault="00686491" w:rsidP="005C22AA">
      <w:pPr>
        <w:pStyle w:val="Heading1"/>
        <w:widowControl w:val="0"/>
        <w:rPr>
          <w:color w:val="000000" w:themeColor="text1"/>
          <w:lang w:val="fr-CA"/>
        </w:rPr>
      </w:pPr>
      <w:r w:rsidRPr="00281627">
        <w:rPr>
          <w:color w:val="000000" w:themeColor="text1"/>
          <w:lang w:val="fr-CA"/>
        </w:rPr>
        <w:t>En ce qui concerne l’étude de la consommation de HFC, l’ONUDI a e</w:t>
      </w:r>
      <w:r w:rsidR="00C03184" w:rsidRPr="00281627">
        <w:rPr>
          <w:color w:val="000000" w:themeColor="text1"/>
          <w:lang w:val="fr-CA"/>
        </w:rPr>
        <w:t xml:space="preserve">xpliqué qu’elle sera réalisée dans le cadre de consultations avec les parties prenantes, car il n’y a pas de programme d’octroi de permis et de quotas dans ces pays; les données de l’étude des substances de remplacement des SAO déjà réalisée seront utilisées tout comme les renseignements </w:t>
      </w:r>
      <w:r w:rsidR="00EA5A37" w:rsidRPr="00281627">
        <w:rPr>
          <w:color w:val="000000" w:themeColor="text1"/>
          <w:lang w:val="fr-CA"/>
        </w:rPr>
        <w:t>obtenus</w:t>
      </w:r>
      <w:r w:rsidR="00C03184" w:rsidRPr="00281627">
        <w:rPr>
          <w:color w:val="000000" w:themeColor="text1"/>
          <w:lang w:val="fr-CA"/>
        </w:rPr>
        <w:t xml:space="preserve"> lors de la préparation de la phase II des PGEH des différents pays, qui comprend la cueillette de données pour les HCFC et les substances de remplacement, dont les HFC</w:t>
      </w:r>
      <w:r w:rsidR="005C22AA" w:rsidRPr="00281627">
        <w:rPr>
          <w:color w:val="000000" w:themeColor="text1"/>
          <w:lang w:val="fr-CA"/>
        </w:rPr>
        <w:t>.</w:t>
      </w:r>
    </w:p>
    <w:p w14:paraId="79777191" w14:textId="7E16F510" w:rsidR="005C22AA" w:rsidRPr="00281627" w:rsidRDefault="0094549D" w:rsidP="005C22AA">
      <w:pPr>
        <w:pStyle w:val="Heading1"/>
        <w:widowControl w:val="0"/>
        <w:rPr>
          <w:color w:val="000000" w:themeColor="text1"/>
          <w:lang w:val="fr-CA"/>
        </w:rPr>
      </w:pPr>
      <w:r w:rsidRPr="00281627">
        <w:rPr>
          <w:color w:val="000000" w:themeColor="text1"/>
          <w:lang w:val="fr-CA"/>
        </w:rPr>
        <w:t xml:space="preserve">Le Secrétariat a informé l’ONUDI </w:t>
      </w:r>
      <w:r w:rsidR="00847BDF">
        <w:rPr>
          <w:color w:val="000000" w:themeColor="text1"/>
          <w:lang w:val="fr-CA"/>
        </w:rPr>
        <w:t>qu’il est dans l’impossibilité</w:t>
      </w:r>
      <w:r w:rsidRPr="00281627">
        <w:rPr>
          <w:color w:val="000000" w:themeColor="text1"/>
          <w:lang w:val="fr-CA"/>
        </w:rPr>
        <w:t xml:space="preserve"> de présenter une recommandation concernant cette demande car les lignes directrices sur le financement </w:t>
      </w:r>
      <w:r w:rsidR="00847BDF">
        <w:rPr>
          <w:color w:val="000000" w:themeColor="text1"/>
          <w:lang w:val="fr-CA"/>
        </w:rPr>
        <w:t>de c</w:t>
      </w:r>
      <w:r w:rsidRPr="00281627">
        <w:rPr>
          <w:color w:val="000000" w:themeColor="text1"/>
          <w:lang w:val="fr-CA"/>
        </w:rPr>
        <w:t>es demandes seront abordées à la 86</w:t>
      </w:r>
      <w:r w:rsidRPr="00281627">
        <w:rPr>
          <w:color w:val="000000" w:themeColor="text1"/>
          <w:vertAlign w:val="superscript"/>
          <w:lang w:val="fr-CA"/>
        </w:rPr>
        <w:t>e</w:t>
      </w:r>
      <w:r w:rsidRPr="00281627">
        <w:rPr>
          <w:color w:val="000000" w:themeColor="text1"/>
          <w:lang w:val="fr-CA"/>
        </w:rPr>
        <w:t xml:space="preserve"> réunion</w:t>
      </w:r>
      <w:r w:rsidR="005C22AA" w:rsidRPr="00281627">
        <w:rPr>
          <w:color w:val="000000" w:themeColor="text1"/>
          <w:lang w:val="fr-CA"/>
        </w:rPr>
        <w:t>.</w:t>
      </w:r>
    </w:p>
    <w:p w14:paraId="764CCB9F" w14:textId="25DCC361" w:rsidR="005C22AA" w:rsidRPr="00281627" w:rsidRDefault="0094549D" w:rsidP="00475D45">
      <w:pPr>
        <w:pStyle w:val="Heading1"/>
        <w:keepNext/>
        <w:numPr>
          <w:ilvl w:val="0"/>
          <w:numId w:val="0"/>
        </w:numPr>
        <w:spacing w:after="120"/>
        <w:rPr>
          <w:b/>
          <w:lang w:val="fr-CA"/>
        </w:rPr>
      </w:pPr>
      <w:r w:rsidRPr="00281627">
        <w:rPr>
          <w:b/>
          <w:lang w:val="fr-CA"/>
        </w:rPr>
        <w:t>Recommandation du Secrétariat</w:t>
      </w:r>
    </w:p>
    <w:p w14:paraId="7B2C8E04" w14:textId="4153FDE7" w:rsidR="005C22AA" w:rsidRPr="00281627" w:rsidRDefault="0094549D" w:rsidP="00475D45">
      <w:pPr>
        <w:pStyle w:val="Heading1"/>
        <w:keepNext/>
        <w:rPr>
          <w:lang w:val="fr-CA"/>
        </w:rPr>
      </w:pPr>
      <w:r w:rsidRPr="00281627">
        <w:rPr>
          <w:lang w:val="fr-CA"/>
        </w:rPr>
        <w:t xml:space="preserve">Le Comité exécutif pourrait souhaiter </w:t>
      </w:r>
      <w:r w:rsidR="00847BDF">
        <w:rPr>
          <w:lang w:val="fr-CA"/>
        </w:rPr>
        <w:t xml:space="preserve">examiner </w:t>
      </w:r>
      <w:r w:rsidRPr="00281627">
        <w:rPr>
          <w:lang w:val="fr-CA"/>
        </w:rPr>
        <w:t>les demandes de financement de la préparation des plans de gestion de l</w:t>
      </w:r>
      <w:r w:rsidR="003434E8" w:rsidRPr="00281627">
        <w:rPr>
          <w:lang w:val="fr-CA"/>
        </w:rPr>
        <w:t>a réducti</w:t>
      </w:r>
      <w:r w:rsidRPr="00281627">
        <w:rPr>
          <w:lang w:val="fr-CA"/>
        </w:rPr>
        <w:t xml:space="preserve">on progressive des HFC </w:t>
      </w:r>
      <w:r w:rsidR="003434E8" w:rsidRPr="00281627">
        <w:rPr>
          <w:lang w:val="fr-CA"/>
        </w:rPr>
        <w:t xml:space="preserve">pour </w:t>
      </w:r>
      <w:r w:rsidR="00301EE1">
        <w:rPr>
          <w:lang w:val="fr-CA"/>
        </w:rPr>
        <w:t>les pays figurant dans la partie</w:t>
      </w:r>
      <w:r w:rsidR="003434E8" w:rsidRPr="00281627">
        <w:rPr>
          <w:lang w:val="fr-CA"/>
        </w:rPr>
        <w:t xml:space="preserve"> B1 du tableau</w:t>
      </w:r>
      <w:r w:rsidR="002B20D0" w:rsidRPr="00281627">
        <w:rPr>
          <w:lang w:val="fr-CA"/>
        </w:rPr>
        <w:t xml:space="preserve"> 1</w:t>
      </w:r>
      <w:r w:rsidR="003434E8" w:rsidRPr="00281627">
        <w:rPr>
          <w:lang w:val="fr-CA"/>
        </w:rPr>
        <w:t xml:space="preserve"> à la lumière des échanges au point 9 a) de l’ordre du jour, Aperçu des questions soulevées pendant l’examen des projets, et au point 13 c), de l’ordre du jour, Projet de lignes directrices pour la préparation des plans de réduction progressive des HFC dans les pays visés à l'article 5 (décision 84/54 a))</w:t>
      </w:r>
      <w:r w:rsidR="00365C00" w:rsidRPr="00281627">
        <w:rPr>
          <w:lang w:val="fr-CA"/>
        </w:rPr>
        <w:t>.</w:t>
      </w:r>
    </w:p>
    <w:p w14:paraId="142442F8" w14:textId="15E3EEA0" w:rsidR="005E042F" w:rsidRPr="00281627" w:rsidRDefault="00CE7634" w:rsidP="00365C00">
      <w:pPr>
        <w:pStyle w:val="StyleHeader4Para4Left0Firstline0"/>
        <w:keepNext/>
        <w:numPr>
          <w:ilvl w:val="0"/>
          <w:numId w:val="0"/>
        </w:numPr>
        <w:rPr>
          <w:sz w:val="22"/>
          <w:lang w:val="fr-CA"/>
        </w:rPr>
      </w:pPr>
      <w:r w:rsidRPr="00281627">
        <w:rPr>
          <w:b/>
          <w:color w:val="000000" w:themeColor="text1"/>
          <w:sz w:val="22"/>
          <w:lang w:val="fr-CA"/>
        </w:rPr>
        <w:t>B</w:t>
      </w:r>
      <w:r w:rsidR="005E042F" w:rsidRPr="00281627">
        <w:rPr>
          <w:b/>
          <w:color w:val="000000" w:themeColor="text1"/>
          <w:sz w:val="22"/>
          <w:lang w:val="fr-CA"/>
        </w:rPr>
        <w:t>2</w:t>
      </w:r>
      <w:r w:rsidR="003434E8" w:rsidRPr="00281627">
        <w:rPr>
          <w:b/>
          <w:color w:val="000000" w:themeColor="text1"/>
          <w:sz w:val="22"/>
          <w:lang w:val="fr-CA"/>
        </w:rPr>
        <w:t xml:space="preserve"> </w:t>
      </w:r>
      <w:r w:rsidR="005E042F" w:rsidRPr="00281627">
        <w:rPr>
          <w:b/>
          <w:color w:val="000000" w:themeColor="text1"/>
          <w:sz w:val="22"/>
          <w:lang w:val="fr-CA"/>
        </w:rPr>
        <w:t xml:space="preserve">: </w:t>
      </w:r>
      <w:r w:rsidR="003434E8" w:rsidRPr="00281627">
        <w:rPr>
          <w:b/>
          <w:color w:val="000000" w:themeColor="text1"/>
          <w:sz w:val="22"/>
          <w:lang w:val="fr-CA"/>
        </w:rPr>
        <w:t>Préparation de projet</w:t>
      </w:r>
      <w:r w:rsidR="00301EE1">
        <w:rPr>
          <w:b/>
          <w:color w:val="000000" w:themeColor="text1"/>
          <w:sz w:val="22"/>
          <w:lang w:val="fr-CA"/>
        </w:rPr>
        <w:t>s</w:t>
      </w:r>
      <w:r w:rsidR="004E1327" w:rsidRPr="00281627">
        <w:rPr>
          <w:b/>
          <w:color w:val="000000" w:themeColor="text1"/>
          <w:sz w:val="22"/>
          <w:lang w:val="fr-CA"/>
        </w:rPr>
        <w:t xml:space="preserve"> en lien avec les HFC</w:t>
      </w:r>
      <w:r w:rsidR="005E042F" w:rsidRPr="00281627">
        <w:rPr>
          <w:b/>
          <w:color w:val="000000" w:themeColor="text1"/>
          <w:sz w:val="22"/>
          <w:lang w:val="fr-CA"/>
        </w:rPr>
        <w:t xml:space="preserve"> </w:t>
      </w:r>
    </w:p>
    <w:p w14:paraId="4E29E49B" w14:textId="3384D556" w:rsidR="005E042F" w:rsidRPr="00281627" w:rsidRDefault="00301EE1" w:rsidP="00365C00">
      <w:pPr>
        <w:pStyle w:val="Heading1"/>
        <w:keepNext/>
        <w:widowControl w:val="0"/>
        <w:numPr>
          <w:ilvl w:val="0"/>
          <w:numId w:val="0"/>
        </w:numPr>
        <w:rPr>
          <w:b/>
          <w:lang w:val="fr-CA"/>
        </w:rPr>
      </w:pPr>
      <w:r>
        <w:rPr>
          <w:b/>
          <w:lang w:val="fr-CA"/>
        </w:rPr>
        <w:t>Description du projet</w:t>
      </w:r>
    </w:p>
    <w:p w14:paraId="3833F736" w14:textId="6F76E866" w:rsidR="005E042F" w:rsidRPr="00281627" w:rsidRDefault="00CE268A" w:rsidP="00365C00">
      <w:pPr>
        <w:pStyle w:val="Heading1"/>
        <w:keepNext/>
        <w:rPr>
          <w:b/>
          <w:color w:val="000000" w:themeColor="text1"/>
          <w:lang w:val="fr-CA"/>
        </w:rPr>
      </w:pPr>
      <w:r w:rsidRPr="00281627">
        <w:rPr>
          <w:lang w:val="fr-CA"/>
        </w:rPr>
        <w:t>L’ONUDI a présenté une demande de préparation de projet pou</w:t>
      </w:r>
      <w:r w:rsidR="003929AB">
        <w:rPr>
          <w:lang w:val="fr-CA"/>
        </w:rPr>
        <w:t>r la reconversion du HFC</w:t>
      </w:r>
      <w:r w:rsidR="003929AB">
        <w:rPr>
          <w:lang w:val="fr-CA"/>
        </w:rPr>
        <w:noBreakHyphen/>
        <w:t>134a/R</w:t>
      </w:r>
      <w:r w:rsidR="003929AB">
        <w:rPr>
          <w:lang w:val="fr-CA"/>
        </w:rPr>
        <w:noBreakHyphen/>
      </w:r>
      <w:r w:rsidRPr="00281627">
        <w:rPr>
          <w:lang w:val="fr-CA"/>
        </w:rPr>
        <w:t xml:space="preserve">410A au R-290 dans la fabrication de climatiseurs chez J.M. Group/Mina </w:t>
      </w:r>
      <w:proofErr w:type="spellStart"/>
      <w:r w:rsidRPr="00281627">
        <w:rPr>
          <w:lang w:val="fr-CA"/>
        </w:rPr>
        <w:t>Factory</w:t>
      </w:r>
      <w:proofErr w:type="spellEnd"/>
      <w:r w:rsidRPr="00281627">
        <w:rPr>
          <w:lang w:val="fr-CA"/>
        </w:rPr>
        <w:t xml:space="preserve"> au So</w:t>
      </w:r>
      <w:r w:rsidR="00FA1664">
        <w:rPr>
          <w:lang w:val="fr-CA"/>
        </w:rPr>
        <w:t>udan, figurant dans la partie B</w:t>
      </w:r>
      <w:r w:rsidRPr="00281627">
        <w:rPr>
          <w:lang w:val="fr-CA"/>
        </w:rPr>
        <w:t>2 du tableau</w:t>
      </w:r>
      <w:r w:rsidR="005E042F" w:rsidRPr="00281627">
        <w:rPr>
          <w:lang w:val="fr-CA"/>
        </w:rPr>
        <w:t xml:space="preserve"> 1. </w:t>
      </w:r>
    </w:p>
    <w:p w14:paraId="3C9F917C" w14:textId="01A1DE9F" w:rsidR="005E042F" w:rsidRPr="00281627" w:rsidRDefault="00CE268A" w:rsidP="005E042F">
      <w:pPr>
        <w:pStyle w:val="Heading1"/>
        <w:rPr>
          <w:lang w:val="fr-CA"/>
        </w:rPr>
      </w:pPr>
      <w:r w:rsidRPr="00281627">
        <w:rPr>
          <w:lang w:val="fr-CA"/>
        </w:rPr>
        <w:t>La proposition comprend des renseignements généraux sur l’entreprise, la consommation de HFC et les principales activités à mettre en œuvre. Les détails de la demande de préparation de projet sont contenus dans la proposition de l’ONUDI, jointe aux présentes</w:t>
      </w:r>
      <w:r w:rsidR="005E042F" w:rsidRPr="00281627">
        <w:rPr>
          <w:lang w:val="fr-CA"/>
        </w:rPr>
        <w:t>.</w:t>
      </w:r>
    </w:p>
    <w:p w14:paraId="509D04BB" w14:textId="59AB00FC" w:rsidR="005E042F" w:rsidRPr="00281627" w:rsidRDefault="00CE268A" w:rsidP="0021139E">
      <w:pPr>
        <w:keepNext/>
        <w:keepLines/>
        <w:spacing w:after="120"/>
        <w:rPr>
          <w:b/>
          <w:color w:val="000000" w:themeColor="text1"/>
          <w:lang w:val="fr-CA"/>
        </w:rPr>
      </w:pPr>
      <w:r w:rsidRPr="00281627">
        <w:rPr>
          <w:b/>
          <w:color w:val="000000" w:themeColor="text1"/>
          <w:lang w:val="fr-CA"/>
        </w:rPr>
        <w:t>Observations du Secrétariat</w:t>
      </w:r>
    </w:p>
    <w:p w14:paraId="32CB6D19" w14:textId="7FAAD8D4" w:rsidR="005E042F" w:rsidRPr="00281627" w:rsidRDefault="00CE268A" w:rsidP="005E042F">
      <w:pPr>
        <w:pStyle w:val="Heading1"/>
        <w:rPr>
          <w:lang w:val="fr-CA"/>
        </w:rPr>
      </w:pPr>
      <w:r w:rsidRPr="00281627">
        <w:rPr>
          <w:lang w:val="fr-CA"/>
        </w:rPr>
        <w:t>Le Secrétariat a examiné la demande de pr</w:t>
      </w:r>
      <w:r w:rsidR="00F004DA" w:rsidRPr="00281627">
        <w:rPr>
          <w:lang w:val="fr-CA"/>
        </w:rPr>
        <w:t>é</w:t>
      </w:r>
      <w:r w:rsidRPr="00281627">
        <w:rPr>
          <w:lang w:val="fr-CA"/>
        </w:rPr>
        <w:t>paration d’un projet d’investissement en l</w:t>
      </w:r>
      <w:r w:rsidR="00301EE1">
        <w:rPr>
          <w:lang w:val="fr-CA"/>
        </w:rPr>
        <w:t xml:space="preserve">ien avec les HFC pour le Soudan </w:t>
      </w:r>
      <w:r w:rsidR="003B1BE3">
        <w:rPr>
          <w:lang w:val="fr-CA"/>
        </w:rPr>
        <w:t>en se fondant sur</w:t>
      </w:r>
      <w:r w:rsidR="00301EE1">
        <w:rPr>
          <w:lang w:val="fr-CA"/>
        </w:rPr>
        <w:t xml:space="preserve"> </w:t>
      </w:r>
      <w:r w:rsidR="00F004DA" w:rsidRPr="00281627">
        <w:rPr>
          <w:lang w:val="fr-CA"/>
        </w:rPr>
        <w:t>les lignes direct</w:t>
      </w:r>
      <w:r w:rsidR="00764732">
        <w:rPr>
          <w:lang w:val="fr-CA"/>
        </w:rPr>
        <w:t>ric</w:t>
      </w:r>
      <w:r w:rsidR="00450ED1" w:rsidRPr="00281627">
        <w:rPr>
          <w:lang w:val="fr-CA"/>
        </w:rPr>
        <w:t xml:space="preserve">es sur le financement des projets d’investissement </w:t>
      </w:r>
      <w:r w:rsidR="00450ED1" w:rsidRPr="00281627">
        <w:rPr>
          <w:lang w:val="fr-CA"/>
        </w:rPr>
        <w:lastRenderedPageBreak/>
        <w:t xml:space="preserve">sur les HFC </w:t>
      </w:r>
      <w:r w:rsidR="003B1BE3">
        <w:rPr>
          <w:lang w:val="fr-CA"/>
        </w:rPr>
        <w:t>contenues</w:t>
      </w:r>
      <w:r w:rsidR="00450ED1" w:rsidRPr="00281627">
        <w:rPr>
          <w:lang w:val="fr-CA"/>
        </w:rPr>
        <w:t xml:space="preserve"> dans les décisions 78/3 g), 79/45, 81/53 et 84/53</w:t>
      </w:r>
      <w:r w:rsidR="005E042F" w:rsidRPr="00281627">
        <w:rPr>
          <w:lang w:val="fr-CA"/>
        </w:rPr>
        <w:t>.</w:t>
      </w:r>
      <w:r w:rsidR="005E042F" w:rsidRPr="00281627">
        <w:rPr>
          <w:rStyle w:val="FootnoteReference"/>
          <w:lang w:val="fr-CA"/>
        </w:rPr>
        <w:footnoteReference w:id="9"/>
      </w:r>
      <w:r w:rsidR="005E042F" w:rsidRPr="00281627">
        <w:rPr>
          <w:lang w:val="fr-CA"/>
        </w:rPr>
        <w:t xml:space="preserve"> </w:t>
      </w:r>
      <w:r w:rsidR="00450ED1" w:rsidRPr="00281627">
        <w:rPr>
          <w:lang w:val="fr-CA"/>
        </w:rPr>
        <w:t>Le Secrétariat a pris note que le soutien financier demandé respecte les décision</w:t>
      </w:r>
      <w:r w:rsidR="003B1BE3">
        <w:rPr>
          <w:lang w:val="fr-CA"/>
        </w:rPr>
        <w:t>s</w:t>
      </w:r>
      <w:r w:rsidR="00450ED1" w:rsidRPr="00281627">
        <w:rPr>
          <w:lang w:val="fr-CA"/>
        </w:rPr>
        <w:t xml:space="preserve"> sur le financement de la </w:t>
      </w:r>
      <w:r w:rsidR="003E425F" w:rsidRPr="00281627">
        <w:rPr>
          <w:lang w:val="fr-CA"/>
        </w:rPr>
        <w:t>pré</w:t>
      </w:r>
      <w:r w:rsidR="00450ED1" w:rsidRPr="00281627">
        <w:rPr>
          <w:lang w:val="fr-CA"/>
        </w:rPr>
        <w:t xml:space="preserve">paration de projets et </w:t>
      </w:r>
      <w:r w:rsidR="003E425F" w:rsidRPr="00281627">
        <w:rPr>
          <w:lang w:val="fr-CA"/>
        </w:rPr>
        <w:t>concerne un secteur prioritaire défini dans la décision 84/53. Ce financement de la préparation de projet ne figure pas dans le plan d’activités de l’ONUDI pour la période 2019 à 2021</w:t>
      </w:r>
      <w:r w:rsidR="005E042F" w:rsidRPr="00281627">
        <w:rPr>
          <w:lang w:val="fr-CA"/>
        </w:rPr>
        <w:t>.</w:t>
      </w:r>
    </w:p>
    <w:p w14:paraId="412538E4" w14:textId="1F21A4A3" w:rsidR="005E042F" w:rsidRPr="00281627" w:rsidRDefault="003E425F" w:rsidP="005E042F">
      <w:pPr>
        <w:pStyle w:val="Heading1"/>
        <w:rPr>
          <w:lang w:val="fr-CA"/>
        </w:rPr>
      </w:pPr>
      <w:r w:rsidRPr="00281627">
        <w:rPr>
          <w:lang w:val="fr-CA"/>
        </w:rPr>
        <w:t>Compte tenu des exigences de la décision 73/8 g) sur l’</w:t>
      </w:r>
      <w:r w:rsidR="00F004DA" w:rsidRPr="00281627">
        <w:rPr>
          <w:lang w:val="fr-CA"/>
        </w:rPr>
        <w:t>état de la ratificati</w:t>
      </w:r>
      <w:r w:rsidRPr="00281627">
        <w:rPr>
          <w:lang w:val="fr-CA"/>
        </w:rPr>
        <w:t>on de l’Amendement de Kigali, l’ONUDI a</w:t>
      </w:r>
      <w:r w:rsidR="00F004DA" w:rsidRPr="00281627">
        <w:rPr>
          <w:lang w:val="fr-CA"/>
        </w:rPr>
        <w:t xml:space="preserve"> transmis par voie électronique un message du Bureau national de l’ozone confirmant son intérêt pour le projet et </w:t>
      </w:r>
      <w:r w:rsidR="003B1BE3">
        <w:rPr>
          <w:lang w:val="fr-CA"/>
        </w:rPr>
        <w:t>a demandé</w:t>
      </w:r>
      <w:r w:rsidR="00F004DA" w:rsidRPr="00281627">
        <w:rPr>
          <w:lang w:val="fr-CA"/>
        </w:rPr>
        <w:t xml:space="preserve"> que la lettre officielle précisant toutes les conditions de la décision </w:t>
      </w:r>
      <w:r w:rsidR="003B1BE3">
        <w:rPr>
          <w:lang w:val="fr-CA"/>
        </w:rPr>
        <w:t xml:space="preserve">puisse être remise avec </w:t>
      </w:r>
      <w:r w:rsidR="00F004DA" w:rsidRPr="00281627">
        <w:rPr>
          <w:lang w:val="fr-CA"/>
        </w:rPr>
        <w:t xml:space="preserve">la proposition du projet complet pour examen par le Comité exécutif en 2021, à cause de la COVID-19. L’ONUDI a également souligné que le Soudan est engagé à </w:t>
      </w:r>
      <w:r w:rsidR="003B1BE3">
        <w:rPr>
          <w:lang w:val="fr-CA"/>
        </w:rPr>
        <w:t xml:space="preserve">effectuer les </w:t>
      </w:r>
      <w:r w:rsidR="00F004DA" w:rsidRPr="00281627">
        <w:rPr>
          <w:lang w:val="fr-CA"/>
        </w:rPr>
        <w:t>préparatifs pour la ratification de l’Amendement de Kigali le plus rapidement possible</w:t>
      </w:r>
      <w:r w:rsidR="005E042F" w:rsidRPr="00281627">
        <w:rPr>
          <w:lang w:val="fr-CA"/>
        </w:rPr>
        <w:t>.</w:t>
      </w:r>
    </w:p>
    <w:p w14:paraId="4C045061" w14:textId="46E5A325" w:rsidR="005E042F" w:rsidRPr="00281627" w:rsidRDefault="00F004DA" w:rsidP="005E042F">
      <w:pPr>
        <w:pStyle w:val="Heading1"/>
        <w:rPr>
          <w:lang w:val="fr-CA"/>
        </w:rPr>
      </w:pPr>
      <w:r w:rsidRPr="00281627">
        <w:rPr>
          <w:lang w:val="fr-CA"/>
        </w:rPr>
        <w:t xml:space="preserve">Dans sa réponse à une demande de renseignements </w:t>
      </w:r>
      <w:r w:rsidR="00FA1664">
        <w:rPr>
          <w:lang w:val="fr-CA"/>
        </w:rPr>
        <w:t>supplémentaires, l’ONUDI a confi</w:t>
      </w:r>
      <w:r w:rsidRPr="00281627">
        <w:rPr>
          <w:lang w:val="fr-CA"/>
        </w:rPr>
        <w:t xml:space="preserve">rmé que l’entreprise fonctionne à pleine capacité, malgré la pandémie de la COVID-19, et qu’elle pourrait </w:t>
      </w:r>
      <w:r w:rsidR="00860782">
        <w:rPr>
          <w:lang w:val="fr-CA"/>
        </w:rPr>
        <w:t>commencer</w:t>
      </w:r>
      <w:r w:rsidRPr="00281627">
        <w:rPr>
          <w:lang w:val="fr-CA"/>
        </w:rPr>
        <w:t xml:space="preserve"> la mise en œuvre de la reconversion dès l’approbation de la demande de financement par le Comité exécutif</w:t>
      </w:r>
      <w:r w:rsidR="005E042F" w:rsidRPr="00281627">
        <w:rPr>
          <w:lang w:val="fr-CA"/>
        </w:rPr>
        <w:t xml:space="preserve">.  </w:t>
      </w:r>
    </w:p>
    <w:p w14:paraId="5C8C7300" w14:textId="49EA5934" w:rsidR="005E042F" w:rsidRPr="00281627" w:rsidRDefault="00F004DA" w:rsidP="005E042F">
      <w:pPr>
        <w:widowControl w:val="0"/>
        <w:spacing w:after="120"/>
        <w:rPr>
          <w:b/>
          <w:lang w:val="fr-CA"/>
        </w:rPr>
      </w:pPr>
      <w:r w:rsidRPr="00281627">
        <w:rPr>
          <w:b/>
          <w:lang w:val="fr-CA"/>
        </w:rPr>
        <w:t>Recommandation du Secrétariat</w:t>
      </w:r>
    </w:p>
    <w:p w14:paraId="1324B812" w14:textId="3DB5428D" w:rsidR="005E042F" w:rsidRPr="00281627" w:rsidRDefault="00F004DA" w:rsidP="005E042F">
      <w:pPr>
        <w:pStyle w:val="Heading1"/>
        <w:rPr>
          <w:lang w:val="fr-CA"/>
        </w:rPr>
      </w:pPr>
      <w:r w:rsidRPr="00281627">
        <w:rPr>
          <w:lang w:val="fr-CA"/>
        </w:rPr>
        <w:t>Le Comité exécutif pourrait souhaiter approuver la préparation d’un projet d’investissement en lien avec les HFC pour le Soudan au niveau de financement indiqué à la partie B2 du tableau</w:t>
      </w:r>
      <w:r w:rsidR="005E042F" w:rsidRPr="00281627">
        <w:rPr>
          <w:lang w:val="fr-CA"/>
        </w:rPr>
        <w:t> 1.</w:t>
      </w:r>
    </w:p>
    <w:p w14:paraId="26859C87" w14:textId="77777777" w:rsidR="003E4DEC" w:rsidRPr="00281627" w:rsidRDefault="003E4DEC" w:rsidP="003E4DEC">
      <w:pPr>
        <w:rPr>
          <w:lang w:val="fr-CA"/>
        </w:rPr>
      </w:pPr>
    </w:p>
    <w:p w14:paraId="1767BB44" w14:textId="77777777" w:rsidR="00032D45" w:rsidRPr="00281627" w:rsidRDefault="00032D45" w:rsidP="004E7F9C">
      <w:pPr>
        <w:rPr>
          <w:lang w:val="fr-CA"/>
        </w:rPr>
        <w:sectPr w:rsidR="00032D45" w:rsidRPr="00281627"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1D3713CD" w14:textId="086DFA4E" w:rsidR="00B625BF" w:rsidRPr="00281627" w:rsidRDefault="00B625BF" w:rsidP="00B625BF">
      <w:pPr>
        <w:spacing w:after="240"/>
        <w:jc w:val="center"/>
        <w:rPr>
          <w:b/>
          <w:color w:val="000000" w:themeColor="text1"/>
          <w:lang w:val="fr-CA"/>
        </w:rPr>
      </w:pPr>
      <w:r w:rsidRPr="00281627">
        <w:rPr>
          <w:b/>
          <w:color w:val="000000" w:themeColor="text1"/>
          <w:lang w:val="fr-CA"/>
        </w:rPr>
        <w:lastRenderedPageBreak/>
        <w:t>Annex</w:t>
      </w:r>
      <w:r w:rsidR="003E4DEC" w:rsidRPr="00281627">
        <w:rPr>
          <w:b/>
          <w:color w:val="000000" w:themeColor="text1"/>
          <w:lang w:val="fr-CA"/>
        </w:rPr>
        <w:t>e</w:t>
      </w:r>
      <w:r w:rsidRPr="00281627">
        <w:rPr>
          <w:b/>
          <w:color w:val="000000" w:themeColor="text1"/>
          <w:lang w:val="fr-CA"/>
        </w:rPr>
        <w:t xml:space="preserve"> II </w:t>
      </w:r>
    </w:p>
    <w:p w14:paraId="64FF5126" w14:textId="7B50AFA7" w:rsidR="00B625BF" w:rsidRPr="00281627" w:rsidRDefault="000C282D" w:rsidP="00B625BF">
      <w:pPr>
        <w:spacing w:after="240"/>
        <w:jc w:val="center"/>
        <w:rPr>
          <w:b/>
          <w:color w:val="000000" w:themeColor="text1"/>
          <w:lang w:val="fr-CA"/>
        </w:rPr>
      </w:pPr>
      <w:r w:rsidRPr="00281627">
        <w:rPr>
          <w:b/>
          <w:color w:val="000000" w:themeColor="text1"/>
          <w:lang w:val="fr-CA"/>
        </w:rPr>
        <w:t xml:space="preserve">POINTS DE VUE PROVISOIRES EXPRIMÉS PAR LE COMITÉ EXÉCUTIF </w:t>
      </w:r>
      <w:r w:rsidR="00FE7FB3" w:rsidRPr="00281627">
        <w:rPr>
          <w:b/>
          <w:color w:val="000000" w:themeColor="text1"/>
          <w:lang w:val="fr-CA"/>
        </w:rPr>
        <w:br/>
      </w:r>
      <w:r w:rsidRPr="00281627">
        <w:rPr>
          <w:b/>
          <w:color w:val="000000" w:themeColor="text1"/>
          <w:lang w:val="fr-CA"/>
        </w:rPr>
        <w:t>SUR LE RENOUVELLEMENT DES PROJETS DE RENFORCEMENT DES INSTITUTIONS</w:t>
      </w:r>
      <w:r w:rsidR="00FE7FB3" w:rsidRPr="00281627">
        <w:rPr>
          <w:b/>
          <w:color w:val="000000" w:themeColor="text1"/>
          <w:lang w:val="fr-CA"/>
        </w:rPr>
        <w:t xml:space="preserve"> PROPOSÉ À LA 86</w:t>
      </w:r>
      <w:r w:rsidR="00FE7FB3" w:rsidRPr="00281627">
        <w:rPr>
          <w:b/>
          <w:color w:val="000000" w:themeColor="text1"/>
          <w:vertAlign w:val="superscript"/>
          <w:lang w:val="fr-CA"/>
        </w:rPr>
        <w:t xml:space="preserve">e </w:t>
      </w:r>
      <w:r w:rsidR="00FE7FB3" w:rsidRPr="00281627">
        <w:rPr>
          <w:b/>
          <w:color w:val="000000" w:themeColor="text1"/>
          <w:lang w:val="fr-CA"/>
        </w:rPr>
        <w:t>RÉUNION</w:t>
      </w:r>
    </w:p>
    <w:p w14:paraId="3B192D7B" w14:textId="5F7B6893" w:rsidR="00B625BF" w:rsidRPr="00281627" w:rsidRDefault="00FE7FB3" w:rsidP="00B625BF">
      <w:pPr>
        <w:spacing w:after="120"/>
        <w:jc w:val="left"/>
        <w:rPr>
          <w:b/>
          <w:color w:val="000000" w:themeColor="text1"/>
          <w:lang w:val="fr-CA"/>
        </w:rPr>
      </w:pPr>
      <w:r w:rsidRPr="00281627">
        <w:rPr>
          <w:b/>
          <w:color w:val="000000" w:themeColor="text1"/>
          <w:lang w:val="fr-CA"/>
        </w:rPr>
        <w:t>Arménie</w:t>
      </w:r>
    </w:p>
    <w:p w14:paraId="4FF29B3A" w14:textId="22218FCE" w:rsidR="00B625BF" w:rsidRPr="00FD1182" w:rsidRDefault="00FE7FB3" w:rsidP="00B625BF">
      <w:pPr>
        <w:pStyle w:val="Heading1"/>
        <w:numPr>
          <w:ilvl w:val="0"/>
          <w:numId w:val="28"/>
        </w:numPr>
        <w:rPr>
          <w:lang w:val="fr-CA"/>
        </w:rPr>
      </w:pPr>
      <w:r w:rsidRPr="00281627">
        <w:rPr>
          <w:lang w:val="fr-CA"/>
        </w:rPr>
        <w:t>Le Comité exécutif a étudié le renouvellement des projets de renforcement des institutions (phase VII) et a pris note avec satisfaction que l’Arménie a déclaré des données r</w:t>
      </w:r>
      <w:r w:rsidR="007C1588" w:rsidRPr="00281627">
        <w:rPr>
          <w:lang w:val="fr-CA"/>
        </w:rPr>
        <w:t>elatives au programme de pay</w:t>
      </w:r>
      <w:r w:rsidRPr="00281627">
        <w:rPr>
          <w:lang w:val="fr-CA"/>
        </w:rPr>
        <w:t xml:space="preserve">s au Secrétariat </w:t>
      </w:r>
      <w:r w:rsidR="00FA1664">
        <w:rPr>
          <w:lang w:val="fr-CA"/>
        </w:rPr>
        <w:t xml:space="preserve">du Fonds </w:t>
      </w:r>
      <w:r w:rsidRPr="00281627">
        <w:rPr>
          <w:lang w:val="fr-CA"/>
        </w:rPr>
        <w:t>et des données en vertu de l’article 7 au Secrétariat de l’ozone, qui révèlent que le pays respecte le Protocole de Montréal. Le Comité a également pris note que l’Arménie a</w:t>
      </w:r>
      <w:r w:rsidR="007C1588" w:rsidRPr="00281627">
        <w:rPr>
          <w:lang w:val="fr-CA"/>
        </w:rPr>
        <w:t xml:space="preserve"> pris connaissance de la réglementation sur les SAO et a amélioré la réglementation sur les </w:t>
      </w:r>
      <w:r w:rsidR="0021139E" w:rsidRPr="00281627">
        <w:rPr>
          <w:lang w:val="fr-CA"/>
        </w:rPr>
        <w:t>HCFC ;</w:t>
      </w:r>
      <w:r w:rsidR="007C1588" w:rsidRPr="00281627">
        <w:rPr>
          <w:lang w:val="fr-CA"/>
        </w:rPr>
        <w:t xml:space="preserve"> finalisé des activités au titre de la phase II du plan de gestion de l'élimination des HCFC et coord</w:t>
      </w:r>
      <w:r w:rsidR="00FA1664">
        <w:rPr>
          <w:lang w:val="fr-CA"/>
        </w:rPr>
        <w:t>onné la préparation de la phase </w:t>
      </w:r>
      <w:proofErr w:type="gramStart"/>
      <w:r w:rsidR="007C1588" w:rsidRPr="00281627">
        <w:rPr>
          <w:lang w:val="fr-CA"/>
        </w:rPr>
        <w:t>III;</w:t>
      </w:r>
      <w:proofErr w:type="gramEnd"/>
      <w:r w:rsidR="007C1588" w:rsidRPr="00281627">
        <w:rPr>
          <w:lang w:val="fr-CA"/>
        </w:rPr>
        <w:t xml:space="preserve"> et sensibilisé davantage le public au Protocole de Montréal. Par conséquent, le Comité exécutif </w:t>
      </w:r>
      <w:r w:rsidR="003B3490">
        <w:rPr>
          <w:lang w:val="fr-CA"/>
        </w:rPr>
        <w:t xml:space="preserve">estime avec confiance </w:t>
      </w:r>
      <w:r w:rsidR="007C1588" w:rsidRPr="00281627">
        <w:rPr>
          <w:lang w:val="fr-CA"/>
        </w:rPr>
        <w:t xml:space="preserve">que le gouvernement de l’Arménie poursuivra la mise en œuvre de ses activités afin que le pays puisse respecter les cibles du Protocole de Montréal. </w:t>
      </w:r>
      <w:r w:rsidR="00CF2CE3" w:rsidRPr="00281627">
        <w:rPr>
          <w:lang w:val="fr-CA"/>
        </w:rPr>
        <w:t>Le Comité a également pris note avec satisfacti</w:t>
      </w:r>
      <w:r w:rsidR="007C1588" w:rsidRPr="00281627">
        <w:rPr>
          <w:lang w:val="fr-CA"/>
        </w:rPr>
        <w:t>on que l’Arménie a ratifié l’Amendement de Kigali le 2 mai 2019</w:t>
      </w:r>
      <w:r w:rsidR="00CF2CE3" w:rsidRPr="00281627">
        <w:rPr>
          <w:lang w:val="fr-CA"/>
        </w:rPr>
        <w:t xml:space="preserve"> et des mesures prises par le pays afin de respecter ses </w:t>
      </w:r>
      <w:r w:rsidR="00CF2CE3" w:rsidRPr="00FD1182">
        <w:rPr>
          <w:lang w:val="fr-CA"/>
        </w:rPr>
        <w:t>obligations au titre de l’Amendement.</w:t>
      </w:r>
    </w:p>
    <w:p w14:paraId="2939EE37" w14:textId="71982370" w:rsidR="00B625BF" w:rsidRPr="00FD1182" w:rsidRDefault="00CF2CE3" w:rsidP="00B625BF">
      <w:pPr>
        <w:spacing w:after="120"/>
        <w:jc w:val="left"/>
        <w:rPr>
          <w:b/>
          <w:color w:val="000000" w:themeColor="text1"/>
          <w:lang w:val="fr-CA"/>
        </w:rPr>
      </w:pPr>
      <w:r w:rsidRPr="00FD1182">
        <w:rPr>
          <w:b/>
          <w:color w:val="000000" w:themeColor="text1"/>
          <w:lang w:val="fr-CA"/>
        </w:rPr>
        <w:t>Égypte</w:t>
      </w:r>
    </w:p>
    <w:p w14:paraId="2E748E45" w14:textId="608B1749" w:rsidR="00B625BF" w:rsidRPr="00FD1182" w:rsidRDefault="00CF2CE3" w:rsidP="00B625BF">
      <w:pPr>
        <w:pStyle w:val="Heading1"/>
        <w:rPr>
          <w:lang w:val="fr-CA"/>
        </w:rPr>
      </w:pPr>
      <w:r w:rsidRPr="00FD1182">
        <w:rPr>
          <w:lang w:val="fr-CA"/>
        </w:rPr>
        <w:t xml:space="preserve">Le Comité exécutif a pris connaissance du rapport accompagnant la demande de renouvellement du projet de renforcement des institutions pour l’Égypte (phase XIII) et pris note avec satisfaction que l’Égypte a déclaré des données relatives au programme de pays au Secrétariat </w:t>
      </w:r>
      <w:r w:rsidR="00D857F8" w:rsidRPr="00FD1182">
        <w:rPr>
          <w:lang w:val="fr-CA"/>
        </w:rPr>
        <w:t xml:space="preserve">du Fonds </w:t>
      </w:r>
      <w:r w:rsidRPr="00FD1182">
        <w:rPr>
          <w:lang w:val="fr-CA"/>
        </w:rPr>
        <w:t>et des données en vertu de l’article 7 au Secrétariat de l’ozone, qui révèlent que le pays respecte le Protocole de Montréal</w:t>
      </w:r>
      <w:r w:rsidR="00B625BF" w:rsidRPr="00FD1182">
        <w:rPr>
          <w:lang w:val="fr-CA"/>
        </w:rPr>
        <w:t>.</w:t>
      </w:r>
      <w:r w:rsidRPr="00FD1182">
        <w:rPr>
          <w:lang w:val="fr-CA"/>
        </w:rPr>
        <w:t xml:space="preserve"> Le Comité a également pris note que l’Égypte a pris des mesures pour éliminer sa consommation de HCFC, notamment la coopération avec les</w:t>
      </w:r>
      <w:r w:rsidR="00102EC0" w:rsidRPr="00FD1182">
        <w:rPr>
          <w:lang w:val="fr-CA"/>
        </w:rPr>
        <w:t xml:space="preserve"> autorités douan</w:t>
      </w:r>
      <w:r w:rsidR="004910D6" w:rsidRPr="00FD1182">
        <w:rPr>
          <w:lang w:val="fr-CA"/>
        </w:rPr>
        <w:t>i</w:t>
      </w:r>
      <w:r w:rsidR="00102EC0" w:rsidRPr="00FD1182">
        <w:rPr>
          <w:lang w:val="fr-CA"/>
        </w:rPr>
        <w:t xml:space="preserve">ères, la mise </w:t>
      </w:r>
      <w:r w:rsidR="004910D6" w:rsidRPr="00FD1182">
        <w:rPr>
          <w:lang w:val="fr-CA"/>
        </w:rPr>
        <w:t xml:space="preserve">en </w:t>
      </w:r>
      <w:r w:rsidR="00102EC0" w:rsidRPr="00FD1182">
        <w:rPr>
          <w:lang w:val="fr-CA"/>
        </w:rPr>
        <w:t xml:space="preserve">œuvre </w:t>
      </w:r>
      <w:r w:rsidR="004910D6" w:rsidRPr="00FD1182">
        <w:rPr>
          <w:lang w:val="fr-CA"/>
        </w:rPr>
        <w:t>de politiques émises par le Comité national de l’</w:t>
      </w:r>
      <w:r w:rsidR="00102EC0" w:rsidRPr="00FD1182">
        <w:rPr>
          <w:lang w:val="fr-CA"/>
        </w:rPr>
        <w:t>ozone et le suivi r</w:t>
      </w:r>
      <w:r w:rsidR="00D857F8" w:rsidRPr="00FD1182">
        <w:rPr>
          <w:lang w:val="fr-CA"/>
        </w:rPr>
        <w:t>igoureux du commerce d</w:t>
      </w:r>
      <w:r w:rsidR="00102EC0" w:rsidRPr="00FD1182">
        <w:rPr>
          <w:lang w:val="fr-CA"/>
        </w:rPr>
        <w:t>e HCFC</w:t>
      </w:r>
      <w:r w:rsidR="00D857F8" w:rsidRPr="00FD1182">
        <w:rPr>
          <w:lang w:val="fr-CA"/>
        </w:rPr>
        <w:t>,</w:t>
      </w:r>
      <w:r w:rsidR="00102EC0" w:rsidRPr="00FD1182">
        <w:rPr>
          <w:lang w:val="fr-CA"/>
        </w:rPr>
        <w:t xml:space="preserve"> en </w:t>
      </w:r>
      <w:r w:rsidR="00D857F8" w:rsidRPr="00FD1182">
        <w:rPr>
          <w:lang w:val="fr-CA"/>
        </w:rPr>
        <w:t>appliquant</w:t>
      </w:r>
      <w:r w:rsidR="00102EC0" w:rsidRPr="00FD1182">
        <w:rPr>
          <w:lang w:val="fr-CA"/>
        </w:rPr>
        <w:t xml:space="preserve"> et en renfo</w:t>
      </w:r>
      <w:r w:rsidR="004910D6" w:rsidRPr="00FD1182">
        <w:rPr>
          <w:lang w:val="fr-CA"/>
        </w:rPr>
        <w:t>rçant le cadre de réglementation des SAO. Le Comité reconnaît les efforts déployés par l’Égypte pour mettre en œuvre la phase</w:t>
      </w:r>
      <w:r w:rsidR="00102EC0" w:rsidRPr="00FD1182">
        <w:rPr>
          <w:lang w:val="fr-CA"/>
        </w:rPr>
        <w:t xml:space="preserve"> </w:t>
      </w:r>
      <w:r w:rsidR="004910D6" w:rsidRPr="00FD1182">
        <w:rPr>
          <w:lang w:val="fr-CA"/>
        </w:rPr>
        <w:t>II du plan de gestion de l'élimination des HCFC et que les ministères concernés ont approuvé la ratifica</w:t>
      </w:r>
      <w:r w:rsidR="00102EC0" w:rsidRPr="00FD1182">
        <w:rPr>
          <w:lang w:val="fr-CA"/>
        </w:rPr>
        <w:t>t</w:t>
      </w:r>
      <w:r w:rsidR="004910D6" w:rsidRPr="00FD1182">
        <w:rPr>
          <w:lang w:val="fr-CA"/>
        </w:rPr>
        <w:t>ion de l’Amendement de Kigali. Le Comité exécutif estime donc avec confiance que l’Égypte poursuivra la mise en œuvre de ses activités afin que le pays puisse atteindre les cibles du Protocole de Montréal et qu’</w:t>
      </w:r>
      <w:r w:rsidR="00102EC0" w:rsidRPr="00FD1182">
        <w:rPr>
          <w:lang w:val="fr-CA"/>
        </w:rPr>
        <w:t>il dé</w:t>
      </w:r>
      <w:r w:rsidR="004910D6" w:rsidRPr="00FD1182">
        <w:rPr>
          <w:lang w:val="fr-CA"/>
        </w:rPr>
        <w:t>posera bientôt son inst</w:t>
      </w:r>
      <w:r w:rsidR="00102EC0" w:rsidRPr="00FD1182">
        <w:rPr>
          <w:lang w:val="fr-CA"/>
        </w:rPr>
        <w:t>rument de ratificati</w:t>
      </w:r>
      <w:r w:rsidR="004910D6" w:rsidRPr="00FD1182">
        <w:rPr>
          <w:lang w:val="fr-CA"/>
        </w:rPr>
        <w:t>on de l’Amendement de Kigali</w:t>
      </w:r>
      <w:r w:rsidR="00102EC0" w:rsidRPr="00FD1182">
        <w:rPr>
          <w:lang w:val="fr-CA"/>
        </w:rPr>
        <w:t>.</w:t>
      </w:r>
    </w:p>
    <w:p w14:paraId="4882C22F" w14:textId="618A36C3" w:rsidR="00B625BF" w:rsidRPr="00FD1182" w:rsidRDefault="00102EC0" w:rsidP="00FD1182">
      <w:pPr>
        <w:pStyle w:val="Heading1"/>
        <w:numPr>
          <w:ilvl w:val="0"/>
          <w:numId w:val="0"/>
        </w:numPr>
        <w:rPr>
          <w:b/>
          <w:lang w:val="fr-CA"/>
        </w:rPr>
      </w:pPr>
      <w:r w:rsidRPr="00FD1182">
        <w:rPr>
          <w:b/>
          <w:lang w:val="fr-CA"/>
        </w:rPr>
        <w:t>Mexique</w:t>
      </w:r>
    </w:p>
    <w:p w14:paraId="02C409FD" w14:textId="3205CF1F" w:rsidR="00102EC0" w:rsidRPr="00FD1182" w:rsidRDefault="00102EC0" w:rsidP="00FD1182">
      <w:pPr>
        <w:pStyle w:val="Heading1"/>
        <w:rPr>
          <w:lang w:val="fr-CA"/>
        </w:rPr>
      </w:pPr>
      <w:r w:rsidRPr="00FD1182">
        <w:rPr>
          <w:lang w:val="fr-CA"/>
        </w:rPr>
        <w:t>Le Comité exécutif a pris connaissance du rapport accompagnant la demande de renouvellement du projet de renforcement des institutions pour le Mexique (phase XV) et pris note avec sat</w:t>
      </w:r>
      <w:r w:rsidR="00D857F8" w:rsidRPr="00FD1182">
        <w:rPr>
          <w:lang w:val="fr-CA"/>
        </w:rPr>
        <w:t>isfaction que le pays s’est conformé à</w:t>
      </w:r>
      <w:r w:rsidRPr="00FD1182">
        <w:rPr>
          <w:lang w:val="fr-CA"/>
        </w:rPr>
        <w:t xml:space="preserve"> son obligation de déclarer des données relatives au programme de pays et des données en vertu de l’article 7 pour 2018 et 2019, et que le pays respecte le Protocole de Montréal. </w:t>
      </w:r>
      <w:r w:rsidR="0005427A" w:rsidRPr="00FD1182">
        <w:rPr>
          <w:lang w:val="fr-CA"/>
        </w:rPr>
        <w:t>Le Comité exécutif a aussi pris note que le Mexique a renforcé les capacités du Bureau national de l’ozone pour la réglementat</w:t>
      </w:r>
      <w:r w:rsidR="003B3490" w:rsidRPr="00FD1182">
        <w:rPr>
          <w:lang w:val="fr-CA"/>
        </w:rPr>
        <w:t>ion des HCFC et la préparation de</w:t>
      </w:r>
      <w:r w:rsidR="0005427A" w:rsidRPr="00FD1182">
        <w:rPr>
          <w:lang w:val="fr-CA"/>
        </w:rPr>
        <w:t xml:space="preserve"> la mise en œuvre de l’Amendement de Kigali, dans le cadre de son projet de renforcement des institutions. Le Comité exécutif reconnaît les efforts déployés par le Mexique pour mettre en œuvre son plan de gestion de l'élimination des HCFC </w:t>
      </w:r>
      <w:r w:rsidR="00930009" w:rsidRPr="00FD1182">
        <w:rPr>
          <w:lang w:val="fr-CA"/>
        </w:rPr>
        <w:t>(PGEH) et, par cons</w:t>
      </w:r>
      <w:r w:rsidR="0005427A" w:rsidRPr="00FD1182">
        <w:rPr>
          <w:lang w:val="fr-CA"/>
        </w:rPr>
        <w:t xml:space="preserve">équent, estime avec confiance que le Mexique poursuivra ses activités </w:t>
      </w:r>
      <w:r w:rsidR="003B3490" w:rsidRPr="00FD1182">
        <w:rPr>
          <w:lang w:val="fr-CA"/>
        </w:rPr>
        <w:t>en lien avec</w:t>
      </w:r>
      <w:r w:rsidR="0005427A" w:rsidRPr="00FD1182">
        <w:rPr>
          <w:lang w:val="fr-CA"/>
        </w:rPr>
        <w:t xml:space="preserve"> les politiques et les projets pour réduire la consommation de</w:t>
      </w:r>
      <w:r w:rsidR="0005427A" w:rsidRPr="00281627">
        <w:rPr>
          <w:lang w:val="fr-CA"/>
        </w:rPr>
        <w:t xml:space="preserve"> HCFC</w:t>
      </w:r>
      <w:r w:rsidR="00930009" w:rsidRPr="00281627">
        <w:rPr>
          <w:lang w:val="fr-CA"/>
        </w:rPr>
        <w:t xml:space="preserve"> en vertu de son accord avec le Comité exécutif pour le PGEH. </w:t>
      </w:r>
    </w:p>
    <w:p w14:paraId="1D1FF1EC" w14:textId="35BFE8FB" w:rsidR="00B625BF" w:rsidRPr="00281627" w:rsidRDefault="00B625BF" w:rsidP="00B625BF">
      <w:pPr>
        <w:spacing w:after="120"/>
        <w:jc w:val="left"/>
        <w:rPr>
          <w:b/>
          <w:u w:val="single"/>
          <w:lang w:val="fr-CA"/>
        </w:rPr>
      </w:pPr>
      <w:r w:rsidRPr="00281627">
        <w:rPr>
          <w:b/>
          <w:color w:val="000000" w:themeColor="text1"/>
          <w:lang w:val="fr-CA"/>
        </w:rPr>
        <w:t>Oman</w:t>
      </w:r>
    </w:p>
    <w:p w14:paraId="608B09DB" w14:textId="5069B673" w:rsidR="00B625BF" w:rsidRPr="00281627" w:rsidRDefault="00930009" w:rsidP="00B625BF">
      <w:pPr>
        <w:pStyle w:val="Heading1"/>
        <w:rPr>
          <w:lang w:val="fr-CA"/>
        </w:rPr>
      </w:pPr>
      <w:r w:rsidRPr="00281627">
        <w:rPr>
          <w:lang w:val="fr-CA"/>
        </w:rPr>
        <w:t>Le Comité exécutif a pris connaissance du rapport accompa</w:t>
      </w:r>
      <w:r w:rsidR="009F30C0" w:rsidRPr="00281627">
        <w:rPr>
          <w:lang w:val="fr-CA"/>
        </w:rPr>
        <w:t>gnant la demande de renou</w:t>
      </w:r>
      <w:r w:rsidR="003B3490">
        <w:rPr>
          <w:lang w:val="fr-CA"/>
        </w:rPr>
        <w:t>vellement du projet de renforcem</w:t>
      </w:r>
      <w:r w:rsidR="009F30C0" w:rsidRPr="00281627">
        <w:rPr>
          <w:lang w:val="fr-CA"/>
        </w:rPr>
        <w:t>ent des institutions pour l’Oman (phase VIII</w:t>
      </w:r>
      <w:r w:rsidR="009F6111" w:rsidRPr="00281627">
        <w:rPr>
          <w:lang w:val="fr-CA"/>
        </w:rPr>
        <w:t>) et a pris note avec satisfacti</w:t>
      </w:r>
      <w:r w:rsidR="009F30C0" w:rsidRPr="00281627">
        <w:rPr>
          <w:lang w:val="fr-CA"/>
        </w:rPr>
        <w:t>on que l’Oman a déclaré des données relatives au program</w:t>
      </w:r>
      <w:r w:rsidR="009F6111" w:rsidRPr="00281627">
        <w:rPr>
          <w:lang w:val="fr-CA"/>
        </w:rPr>
        <w:t>me de pays au Secrétariat du Fo</w:t>
      </w:r>
      <w:r w:rsidR="009F30C0" w:rsidRPr="00281627">
        <w:rPr>
          <w:lang w:val="fr-CA"/>
        </w:rPr>
        <w:t>n</w:t>
      </w:r>
      <w:r w:rsidR="009F6111" w:rsidRPr="00281627">
        <w:rPr>
          <w:lang w:val="fr-CA"/>
        </w:rPr>
        <w:t>d</w:t>
      </w:r>
      <w:r w:rsidR="009F30C0" w:rsidRPr="00281627">
        <w:rPr>
          <w:lang w:val="fr-CA"/>
        </w:rPr>
        <w:t xml:space="preserve">s et des données en </w:t>
      </w:r>
      <w:r w:rsidR="009F6111" w:rsidRPr="00281627">
        <w:rPr>
          <w:lang w:val="fr-CA"/>
        </w:rPr>
        <w:t>vertu</w:t>
      </w:r>
      <w:r w:rsidR="009F30C0" w:rsidRPr="00281627">
        <w:rPr>
          <w:lang w:val="fr-CA"/>
        </w:rPr>
        <w:t xml:space="preserve"> de l’article 7 au Secrétariat de l’</w:t>
      </w:r>
      <w:r w:rsidR="009F6111" w:rsidRPr="00281627">
        <w:rPr>
          <w:lang w:val="fr-CA"/>
        </w:rPr>
        <w:t>ozone, qui rév</w:t>
      </w:r>
      <w:r w:rsidR="009F30C0" w:rsidRPr="00281627">
        <w:rPr>
          <w:lang w:val="fr-CA"/>
        </w:rPr>
        <w:t>èlent que le pays respecte le Protocole de Montréal. Le Comité a également pris note que l’</w:t>
      </w:r>
      <w:r w:rsidR="009F6111" w:rsidRPr="00281627">
        <w:rPr>
          <w:lang w:val="fr-CA"/>
        </w:rPr>
        <w:t>Oman a re</w:t>
      </w:r>
      <w:r w:rsidR="009F30C0" w:rsidRPr="00281627">
        <w:rPr>
          <w:lang w:val="fr-CA"/>
        </w:rPr>
        <w:t xml:space="preserve">mis sur pied son Bureau national de l’ozone qui, en </w:t>
      </w:r>
      <w:r w:rsidR="009F30C0" w:rsidRPr="00281627">
        <w:rPr>
          <w:lang w:val="fr-CA"/>
        </w:rPr>
        <w:lastRenderedPageBreak/>
        <w:t>collaboration avec les autorités douanières, a poursuivi la surveillance du commerce</w:t>
      </w:r>
      <w:r w:rsidR="009F6111" w:rsidRPr="00281627">
        <w:rPr>
          <w:lang w:val="fr-CA"/>
        </w:rPr>
        <w:t xml:space="preserve"> des HCFC, y compris l’allocation des quotas d’importation des HCFC. Le Comité exécutif reconnaît les efforts déployés par l’Oman pour mettre en œuvre la phase II du plan de gestion de l'élimination des HCFC et </w:t>
      </w:r>
      <w:r w:rsidR="003B3490">
        <w:rPr>
          <w:lang w:val="fr-CA"/>
        </w:rPr>
        <w:t>préparer la phase </w:t>
      </w:r>
      <w:r w:rsidR="009F6111" w:rsidRPr="00281627">
        <w:rPr>
          <w:lang w:val="fr-CA"/>
        </w:rPr>
        <w:t>III</w:t>
      </w:r>
      <w:r w:rsidR="003B3490">
        <w:rPr>
          <w:lang w:val="fr-CA"/>
        </w:rPr>
        <w:t>,</w:t>
      </w:r>
      <w:r w:rsidR="009F6111" w:rsidRPr="00281627">
        <w:rPr>
          <w:lang w:val="fr-CA"/>
        </w:rPr>
        <w:t xml:space="preserve"> et mettre en œuvre les activités de facilitation de la réduction progressive des HFC. Le Comité exécutif estime donc avec confiance que le gouvernement de l’Oman poursuivra la mise en œuvre des activités, afin que le pays puisse respecter les cibles du Protocole de Montréal, et déposera bientôt son instrument de ratification de l’Amendement de Kigali</w:t>
      </w:r>
      <w:r w:rsidR="00B625BF" w:rsidRPr="00281627">
        <w:rPr>
          <w:lang w:val="fr-CA"/>
        </w:rPr>
        <w:t>.</w:t>
      </w:r>
    </w:p>
    <w:p w14:paraId="510602AE" w14:textId="698C563A" w:rsidR="00B625BF" w:rsidRPr="00281627" w:rsidRDefault="009F6111" w:rsidP="00B625BF">
      <w:pPr>
        <w:spacing w:after="120"/>
        <w:jc w:val="left"/>
        <w:rPr>
          <w:b/>
          <w:lang w:val="fr-CA"/>
        </w:rPr>
      </w:pPr>
      <w:r w:rsidRPr="00281627">
        <w:rPr>
          <w:b/>
          <w:color w:val="000000" w:themeColor="text1"/>
          <w:lang w:val="fr-CA"/>
        </w:rPr>
        <w:t>Turkmé</w:t>
      </w:r>
      <w:r w:rsidR="00B625BF" w:rsidRPr="00281627">
        <w:rPr>
          <w:b/>
          <w:color w:val="000000" w:themeColor="text1"/>
          <w:lang w:val="fr-CA"/>
        </w:rPr>
        <w:t>nistan</w:t>
      </w:r>
    </w:p>
    <w:p w14:paraId="4B308848" w14:textId="3EBE09AC" w:rsidR="00B625BF" w:rsidRPr="00281627" w:rsidRDefault="002F26FA" w:rsidP="00B625BF">
      <w:pPr>
        <w:pStyle w:val="Heading1"/>
        <w:rPr>
          <w:lang w:val="fr-CA"/>
        </w:rPr>
      </w:pPr>
      <w:r w:rsidRPr="00281627">
        <w:rPr>
          <w:lang w:val="fr-CA"/>
        </w:rPr>
        <w:t>Le Comité exécutif a pris connaissance du rapport accompagnant la demande de renouvellement du renforcement des institutions du Turkménistan (phase V) et pris note avec satisfaction que le pays a poursuivi le processus de ratification de l’Amendement de Kigali, amendé sa loi sur les SA</w:t>
      </w:r>
      <w:r w:rsidR="003B3490">
        <w:rPr>
          <w:lang w:val="fr-CA"/>
        </w:rPr>
        <w:t>O</w:t>
      </w:r>
      <w:r w:rsidRPr="00281627">
        <w:rPr>
          <w:lang w:val="fr-CA"/>
        </w:rPr>
        <w:t xml:space="preserve">, </w:t>
      </w:r>
      <w:r w:rsidR="00840670">
        <w:rPr>
          <w:lang w:val="fr-CA"/>
        </w:rPr>
        <w:t>maintenu</w:t>
      </w:r>
      <w:r w:rsidRPr="00281627">
        <w:rPr>
          <w:lang w:val="fr-CA"/>
        </w:rPr>
        <w:t xml:space="preserve"> un solide programme d’octroi de permis et de quotas pour les HCFC, sensibilisé davantage le public </w:t>
      </w:r>
      <w:r w:rsidR="009B582C" w:rsidRPr="00281627">
        <w:rPr>
          <w:lang w:val="fr-CA"/>
        </w:rPr>
        <w:t>à</w:t>
      </w:r>
      <w:r w:rsidRPr="00281627">
        <w:rPr>
          <w:lang w:val="fr-CA"/>
        </w:rPr>
        <w:t xml:space="preserve"> la protection de la couche d’ozone et déclaré des données relatives au programme de pays </w:t>
      </w:r>
      <w:r w:rsidR="009B582C" w:rsidRPr="00281627">
        <w:rPr>
          <w:lang w:val="fr-CA"/>
        </w:rPr>
        <w:t xml:space="preserve">au Secrétariat du Fonds et des données </w:t>
      </w:r>
      <w:r w:rsidRPr="00281627">
        <w:rPr>
          <w:lang w:val="fr-CA"/>
        </w:rPr>
        <w:t>en vertu de l’article 7 au</w:t>
      </w:r>
      <w:r w:rsidR="009B582C" w:rsidRPr="00281627">
        <w:rPr>
          <w:lang w:val="fr-CA"/>
        </w:rPr>
        <w:t xml:space="preserve"> Secrétariat </w:t>
      </w:r>
      <w:r w:rsidRPr="00281627">
        <w:rPr>
          <w:lang w:val="fr-CA"/>
        </w:rPr>
        <w:t>de l’</w:t>
      </w:r>
      <w:r w:rsidR="009B582C" w:rsidRPr="00281627">
        <w:rPr>
          <w:lang w:val="fr-CA"/>
        </w:rPr>
        <w:t>ozone pour 2018 et 2019, qui révèlent que le pays re</w:t>
      </w:r>
      <w:r w:rsidR="00840670">
        <w:rPr>
          <w:lang w:val="fr-CA"/>
        </w:rPr>
        <w:t>specte le Protocole de Montréal.</w:t>
      </w:r>
      <w:r w:rsidR="009B582C" w:rsidRPr="00281627">
        <w:rPr>
          <w:lang w:val="fr-CA"/>
        </w:rPr>
        <w:t xml:space="preserve"> Le Comité exécutif a également pris note de la </w:t>
      </w:r>
      <w:r w:rsidR="00334A79">
        <w:rPr>
          <w:lang w:val="fr-CA"/>
        </w:rPr>
        <w:t>présentation</w:t>
      </w:r>
      <w:r w:rsidR="009B582C" w:rsidRPr="00281627">
        <w:rPr>
          <w:lang w:val="fr-CA"/>
        </w:rPr>
        <w:t xml:space="preserve"> de la phase II du PGEH accompagnée de la demande de renouvellement du renforcement des institutions, et de la demande d’approbation de la dernière tranche de la phase I du PGEH. </w:t>
      </w:r>
      <w:r w:rsidR="007655ED" w:rsidRPr="00281627">
        <w:rPr>
          <w:lang w:val="fr-CA"/>
        </w:rPr>
        <w:t>Le Comité exécutif estime donc avec confiance que le gouvernement du Turkménistan poursuivra la mise en œuvre des activités pour permettre au pays de respecter les cibles du Protocole de Montréal</w:t>
      </w:r>
      <w:r w:rsidR="00B625BF" w:rsidRPr="00281627">
        <w:rPr>
          <w:lang w:val="fr-CA"/>
        </w:rPr>
        <w:t>.</w:t>
      </w:r>
    </w:p>
    <w:p w14:paraId="1FE90F25" w14:textId="77777777" w:rsidR="00B625BF" w:rsidRPr="00281627" w:rsidRDefault="00B625BF" w:rsidP="00B625BF">
      <w:pPr>
        <w:spacing w:after="120"/>
        <w:jc w:val="left"/>
        <w:rPr>
          <w:lang w:val="fr-CA"/>
        </w:rPr>
      </w:pPr>
    </w:p>
    <w:p w14:paraId="4AF6C1E0" w14:textId="77777777" w:rsidR="00B625BF" w:rsidRPr="00281627" w:rsidRDefault="00B625BF" w:rsidP="00B625BF">
      <w:pPr>
        <w:spacing w:after="120"/>
        <w:jc w:val="left"/>
        <w:rPr>
          <w:lang w:val="fr-CA"/>
        </w:rPr>
      </w:pPr>
    </w:p>
    <w:p w14:paraId="29663A3D" w14:textId="77E39990" w:rsidR="00E82F8E" w:rsidRPr="00281627" w:rsidRDefault="00E82F8E" w:rsidP="00E82F8E">
      <w:pPr>
        <w:pStyle w:val="StyleHeader4Para4Left0Firstline0"/>
        <w:numPr>
          <w:ilvl w:val="0"/>
          <w:numId w:val="0"/>
        </w:numPr>
        <w:rPr>
          <w:lang w:val="fr-CA"/>
        </w:rPr>
      </w:pPr>
    </w:p>
    <w:sectPr w:rsidR="00E82F8E" w:rsidRPr="00281627" w:rsidSect="00032D45">
      <w:headerReference w:type="even" r:id="rId17"/>
      <w:footerReference w:type="even"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E4E5A" w14:textId="77777777" w:rsidR="00D628A4" w:rsidRDefault="00D628A4" w:rsidP="004A504B">
      <w:r>
        <w:separator/>
      </w:r>
    </w:p>
  </w:endnote>
  <w:endnote w:type="continuationSeparator" w:id="0">
    <w:p w14:paraId="6F1A83A6" w14:textId="77777777" w:rsidR="00D628A4" w:rsidRDefault="00D628A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0803" w14:textId="67327099" w:rsidR="004A233E" w:rsidRPr="0033525D" w:rsidRDefault="004A233E">
    <w:pPr>
      <w:jc w:val="center"/>
    </w:pPr>
    <w:r>
      <w:fldChar w:fldCharType="begin"/>
    </w:r>
    <w:r>
      <w:instrText xml:space="preserve"> PAGE </w:instrText>
    </w:r>
    <w:r>
      <w:fldChar w:fldCharType="separate"/>
    </w:r>
    <w:r w:rsidR="008130D7">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92C7" w14:textId="655FB9A7" w:rsidR="004A233E" w:rsidRPr="0033525D" w:rsidRDefault="004A233E">
    <w:pPr>
      <w:jc w:val="center"/>
    </w:pPr>
    <w:r>
      <w:fldChar w:fldCharType="begin"/>
    </w:r>
    <w:r>
      <w:instrText xml:space="preserve"> PAGE </w:instrText>
    </w:r>
    <w:r>
      <w:fldChar w:fldCharType="separate"/>
    </w:r>
    <w:r w:rsidR="008130D7">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A1DA" w14:textId="77777777" w:rsidR="004A233E" w:rsidRDefault="004A233E" w:rsidP="004A4631">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14:paraId="78C9D0F6" w14:textId="5BEFEE67" w:rsidR="004A233E" w:rsidRPr="004A4631" w:rsidRDefault="004A233E" w:rsidP="004A4631">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4A4631">
      <w:rPr>
        <w:sz w:val="18"/>
        <w:szCs w:val="18"/>
        <w:lang w:val="fr-CA"/>
      </w:rPr>
      <w:t>.</w:t>
    </w:r>
  </w:p>
  <w:p w14:paraId="71625883" w14:textId="77777777" w:rsidR="004A233E" w:rsidRPr="004A4631" w:rsidRDefault="004A233E" w:rsidP="00E82F8E">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5DDC" w14:textId="0740D3AB" w:rsidR="004A233E" w:rsidRPr="0033525D" w:rsidRDefault="004A233E">
    <w:pPr>
      <w:jc w:val="center"/>
    </w:pPr>
    <w:r>
      <w:fldChar w:fldCharType="begin"/>
    </w:r>
    <w:r>
      <w:instrText xml:space="preserve"> PAGE </w:instrText>
    </w:r>
    <w:r>
      <w:fldChar w:fldCharType="separate"/>
    </w:r>
    <w:r w:rsidR="00DA7D0A">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5204"/>
      <w:docPartObj>
        <w:docPartGallery w:val="Page Numbers (Bottom of Page)"/>
        <w:docPartUnique/>
      </w:docPartObj>
    </w:sdtPr>
    <w:sdtEndPr>
      <w:rPr>
        <w:noProof/>
      </w:rPr>
    </w:sdtEndPr>
    <w:sdtContent>
      <w:p w14:paraId="6B914DA5" w14:textId="010694F6" w:rsidR="004A233E" w:rsidRPr="0021139E" w:rsidRDefault="004A233E" w:rsidP="0021139E">
        <w:pPr>
          <w:pStyle w:val="Footer"/>
          <w:jc w:val="center"/>
        </w:pPr>
        <w:r>
          <w:fldChar w:fldCharType="begin"/>
        </w:r>
        <w:r>
          <w:instrText xml:space="preserve"> PAGE   \* MERGEFORMAT </w:instrText>
        </w:r>
        <w:r>
          <w:fldChar w:fldCharType="separate"/>
        </w:r>
        <w:r w:rsidR="007C1FA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775A" w14:textId="77777777" w:rsidR="00D628A4" w:rsidRDefault="00D628A4" w:rsidP="004A504B">
      <w:r>
        <w:separator/>
      </w:r>
    </w:p>
  </w:footnote>
  <w:footnote w:type="continuationSeparator" w:id="0">
    <w:p w14:paraId="2B8B5012" w14:textId="77777777" w:rsidR="00D628A4" w:rsidRDefault="00D628A4" w:rsidP="004A504B">
      <w:r>
        <w:continuationSeparator/>
      </w:r>
    </w:p>
  </w:footnote>
  <w:footnote w:id="1">
    <w:p w14:paraId="4D9E5B89" w14:textId="0B40539D" w:rsidR="004A233E" w:rsidRDefault="004A233E" w:rsidP="004A4631">
      <w:pPr>
        <w:pStyle w:val="FootnoteText"/>
        <w:rPr>
          <w:lang w:val="fr-CA"/>
        </w:rPr>
      </w:pPr>
      <w:r>
        <w:rPr>
          <w:rStyle w:val="FootnoteReference"/>
        </w:rPr>
        <w:footnoteRef/>
      </w:r>
      <w:r w:rsidRPr="004231C4">
        <w:rPr>
          <w:lang w:val="fr-CA"/>
        </w:rPr>
        <w:t xml:space="preserve"> À cause du coronavirus (COVID-19)</w:t>
      </w:r>
    </w:p>
    <w:p w14:paraId="3DD453B9" w14:textId="77777777" w:rsidR="00331B67" w:rsidRPr="004231C4" w:rsidRDefault="00331B67" w:rsidP="004A4631">
      <w:pPr>
        <w:pStyle w:val="FootnoteText"/>
        <w:rPr>
          <w:lang w:val="fr-CA"/>
        </w:rPr>
      </w:pPr>
    </w:p>
  </w:footnote>
  <w:footnote w:id="2">
    <w:p w14:paraId="4A73B51D" w14:textId="19910208" w:rsidR="004A233E" w:rsidRPr="004A233E" w:rsidRDefault="004A233E">
      <w:pPr>
        <w:pStyle w:val="FootnoteText"/>
        <w:rPr>
          <w:lang w:val="fr-CA"/>
        </w:rPr>
      </w:pPr>
      <w:r>
        <w:rPr>
          <w:rStyle w:val="FootnoteReference"/>
        </w:rPr>
        <w:footnoteRef/>
      </w:r>
      <w:r w:rsidRPr="004A233E">
        <w:rPr>
          <w:lang w:val="fr-CA"/>
        </w:rPr>
        <w:t xml:space="preserve"> </w:t>
      </w:r>
      <w:r>
        <w:rPr>
          <w:lang w:val="fr-CA"/>
        </w:rPr>
        <w:t>Comprenant les nouvelles demandes présentées à la 86</w:t>
      </w:r>
      <w:r w:rsidRPr="004A233E">
        <w:rPr>
          <w:vertAlign w:val="superscript"/>
          <w:lang w:val="fr-CA"/>
        </w:rPr>
        <w:t>e</w:t>
      </w:r>
      <w:r>
        <w:rPr>
          <w:lang w:val="fr-CA"/>
        </w:rPr>
        <w:t xml:space="preserve"> réunion, jointes au présent document, et les demandes acheminées par la 85</w:t>
      </w:r>
      <w:r w:rsidRPr="004A233E">
        <w:rPr>
          <w:vertAlign w:val="superscript"/>
          <w:lang w:val="fr-CA"/>
        </w:rPr>
        <w:t>e</w:t>
      </w:r>
      <w:r>
        <w:rPr>
          <w:lang w:val="fr-CA"/>
        </w:rPr>
        <w:t xml:space="preserve"> réunion, présentées dans le document </w:t>
      </w:r>
      <w:r w:rsidRPr="004A233E">
        <w:rPr>
          <w:lang w:val="fr-CA"/>
        </w:rPr>
        <w:t>UNEP/OzL.Pro/ExCom/85/17</w:t>
      </w:r>
      <w:r>
        <w:rPr>
          <w:lang w:val="fr-CA"/>
        </w:rPr>
        <w:t>.</w:t>
      </w:r>
    </w:p>
  </w:footnote>
  <w:footnote w:id="3">
    <w:p w14:paraId="21ED77A1" w14:textId="7DD7322D" w:rsidR="004A233E" w:rsidRPr="00A45093" w:rsidRDefault="004A233E" w:rsidP="00281627">
      <w:pPr>
        <w:pStyle w:val="FootnoteText"/>
        <w:rPr>
          <w:lang w:val="fr-CA"/>
        </w:rPr>
      </w:pPr>
      <w:r>
        <w:rPr>
          <w:rStyle w:val="FootnoteReference"/>
        </w:rPr>
        <w:footnoteRef/>
      </w:r>
      <w:r w:rsidRPr="00A45093">
        <w:rPr>
          <w:lang w:val="fr-CA"/>
        </w:rPr>
        <w:t xml:space="preserve"> Paragraphe 63 </w:t>
      </w:r>
      <w:r>
        <w:rPr>
          <w:lang w:val="fr-CA"/>
        </w:rPr>
        <w:t>du</w:t>
      </w:r>
      <w:r w:rsidRPr="00A45093">
        <w:rPr>
          <w:lang w:val="fr-CA"/>
        </w:rPr>
        <w:t xml:space="preserve"> document UNEP/</w:t>
      </w:r>
      <w:proofErr w:type="spellStart"/>
      <w:r w:rsidRPr="00A45093">
        <w:rPr>
          <w:lang w:val="fr-CA"/>
        </w:rPr>
        <w:t>OzL.Pro</w:t>
      </w:r>
      <w:proofErr w:type="spellEnd"/>
      <w:r w:rsidRPr="00A45093">
        <w:rPr>
          <w:lang w:val="fr-CA"/>
        </w:rPr>
        <w:t>/</w:t>
      </w:r>
      <w:proofErr w:type="spellStart"/>
      <w:r w:rsidRPr="00A45093">
        <w:rPr>
          <w:lang w:val="fr-CA"/>
        </w:rPr>
        <w:t>ExCom</w:t>
      </w:r>
      <w:proofErr w:type="spellEnd"/>
      <w:r w:rsidRPr="00A45093">
        <w:rPr>
          <w:lang w:val="fr-CA"/>
        </w:rPr>
        <w:t xml:space="preserve">/85/IAP/3, </w:t>
      </w:r>
      <w:r>
        <w:rPr>
          <w:lang w:val="fr-CA"/>
        </w:rPr>
        <w:t>projets approuvés pendant la période intersessions.</w:t>
      </w:r>
    </w:p>
  </w:footnote>
  <w:footnote w:id="4">
    <w:p w14:paraId="1019111D" w14:textId="77777777" w:rsidR="004A233E" w:rsidRPr="00595C77" w:rsidRDefault="004A233E" w:rsidP="00BF17F7">
      <w:pPr>
        <w:pStyle w:val="FootnoteText"/>
        <w:rPr>
          <w:lang w:val="fr-CA"/>
        </w:rPr>
      </w:pPr>
      <w:r>
        <w:rPr>
          <w:rStyle w:val="FootnoteReference"/>
        </w:rPr>
        <w:footnoteRef/>
      </w:r>
      <w:r w:rsidRPr="00595C77">
        <w:rPr>
          <w:lang w:val="fr-CA"/>
        </w:rPr>
        <w:t xml:space="preserve"> UNEP/OzL.Pro/ExCom/86/34</w:t>
      </w:r>
    </w:p>
  </w:footnote>
  <w:footnote w:id="5">
    <w:p w14:paraId="428D95F0" w14:textId="7B58BD92" w:rsidR="004A233E" w:rsidRPr="00FD5537" w:rsidRDefault="004A233E" w:rsidP="003B3604">
      <w:pPr>
        <w:pStyle w:val="FootnoteText"/>
        <w:rPr>
          <w:lang w:val="fr-CA"/>
        </w:rPr>
      </w:pPr>
      <w:r>
        <w:rPr>
          <w:rStyle w:val="FootnoteReference"/>
        </w:rPr>
        <w:footnoteRef/>
      </w:r>
      <w:r w:rsidRPr="00FD5537">
        <w:rPr>
          <w:lang w:val="fr-CA"/>
        </w:rPr>
        <w:t xml:space="preserve"> L’ajout de la phase III des PGEH au plan d’activités </w:t>
      </w:r>
      <w:r>
        <w:rPr>
          <w:lang w:val="fr-CA"/>
        </w:rPr>
        <w:t>géné</w:t>
      </w:r>
      <w:r w:rsidRPr="00FD5537">
        <w:rPr>
          <w:lang w:val="fr-CA"/>
        </w:rPr>
        <w:t xml:space="preserve">ral de 2019-2021 uniquement pour les </w:t>
      </w:r>
      <w:r>
        <w:rPr>
          <w:lang w:val="fr-CA"/>
        </w:rPr>
        <w:t>pays dont la phase II du PGEH a été approuvée afin d’atteindre les cibles de réduction avant 2020.</w:t>
      </w:r>
    </w:p>
  </w:footnote>
  <w:footnote w:id="6">
    <w:p w14:paraId="63DA0A11" w14:textId="52083C69" w:rsidR="004A233E" w:rsidRPr="00595C77" w:rsidRDefault="004A233E" w:rsidP="00443E1A">
      <w:pPr>
        <w:pStyle w:val="FootnoteText"/>
        <w:rPr>
          <w:lang w:val="fr-CA"/>
        </w:rPr>
      </w:pPr>
      <w:r>
        <w:rPr>
          <w:rStyle w:val="FootnoteReference"/>
        </w:rPr>
        <w:footnoteRef/>
      </w:r>
      <w:r w:rsidRPr="00595C77">
        <w:rPr>
          <w:lang w:val="fr-CA"/>
        </w:rPr>
        <w:t xml:space="preserve"> UNEP/OzL.Pro/ExCom/85/17</w:t>
      </w:r>
    </w:p>
  </w:footnote>
  <w:footnote w:id="7">
    <w:p w14:paraId="391FE028" w14:textId="6605ED75" w:rsidR="004A233E" w:rsidRPr="00F06694" w:rsidRDefault="004A233E">
      <w:pPr>
        <w:pStyle w:val="FootnoteText"/>
        <w:rPr>
          <w:lang w:val="fr-CA"/>
        </w:rPr>
      </w:pPr>
      <w:r>
        <w:rPr>
          <w:rStyle w:val="FootnoteReference"/>
        </w:rPr>
        <w:footnoteRef/>
      </w:r>
      <w:r w:rsidRPr="00F06694">
        <w:rPr>
          <w:lang w:val="fr-CA"/>
        </w:rPr>
        <w:t xml:space="preserve"> </w:t>
      </w:r>
      <w:r>
        <w:rPr>
          <w:lang w:val="fr-CA"/>
        </w:rPr>
        <w:t xml:space="preserve">Date de ratification (acceptation) de l’Amendement de Kigali : Albanie : 18 janvier </w:t>
      </w:r>
      <w:proofErr w:type="gramStart"/>
      <w:r>
        <w:rPr>
          <w:lang w:val="fr-CA"/>
        </w:rPr>
        <w:t>2019;</w:t>
      </w:r>
      <w:proofErr w:type="gramEnd"/>
      <w:r>
        <w:rPr>
          <w:lang w:val="fr-CA"/>
        </w:rPr>
        <w:t xml:space="preserve"> Mexique : 25 septembre 2018 (acceptation); Jordanie : 16 octobre 2019; Monténégro : 23 avril 2019; Niger : 29 août 2018; Macédoine du Nord :  12 mars 2020; et Afrique du Sud : 1</w:t>
      </w:r>
      <w:r w:rsidRPr="00F06694">
        <w:rPr>
          <w:vertAlign w:val="superscript"/>
          <w:lang w:val="fr-CA"/>
        </w:rPr>
        <w:t>er</w:t>
      </w:r>
      <w:r>
        <w:rPr>
          <w:lang w:val="fr-CA"/>
        </w:rPr>
        <w:t xml:space="preserve"> août 2019</w:t>
      </w:r>
      <w:r w:rsidRPr="00F06694">
        <w:rPr>
          <w:color w:val="000000" w:themeColor="text1"/>
          <w:lang w:val="fr-CA"/>
        </w:rPr>
        <w:t>.</w:t>
      </w:r>
    </w:p>
  </w:footnote>
  <w:footnote w:id="8">
    <w:p w14:paraId="3672D33E" w14:textId="02A8550D" w:rsidR="004A233E" w:rsidRPr="00F06694" w:rsidRDefault="004A233E" w:rsidP="005C22AA">
      <w:pPr>
        <w:pStyle w:val="FootnoteText"/>
        <w:rPr>
          <w:lang w:val="fr-CA"/>
        </w:rPr>
      </w:pPr>
      <w:r w:rsidRPr="00F06694">
        <w:rPr>
          <w:rStyle w:val="FootnoteReference"/>
          <w:lang w:val="fr-CA"/>
        </w:rPr>
        <w:footnoteRef/>
      </w:r>
      <w:r w:rsidRPr="00F06694">
        <w:rPr>
          <w:lang w:val="fr-CA"/>
        </w:rPr>
        <w:t xml:space="preserve"> </w:t>
      </w:r>
      <w:r>
        <w:rPr>
          <w:lang w:val="fr-CA"/>
        </w:rPr>
        <w:t>Le financement de la préparation des plans nationaux de mise en œuvre pour le respect des obligations initiales liées à la réduction progressive des HFC pourrait être fourni cinq ans avant l’échéance de ces obligations, au plus tôt, après la ratification de l’Amendement de Kigali par le pays, et sur la base des lignes directrices qui doivent encore être approuvées</w:t>
      </w:r>
      <w:r w:rsidRPr="00F06694">
        <w:rPr>
          <w:lang w:val="fr-CA"/>
        </w:rPr>
        <w:t>.</w:t>
      </w:r>
    </w:p>
  </w:footnote>
  <w:footnote w:id="9">
    <w:p w14:paraId="02B641B1" w14:textId="08C8C11E" w:rsidR="004A233E" w:rsidRPr="00F004DA" w:rsidRDefault="004A233E" w:rsidP="005E042F">
      <w:pPr>
        <w:pStyle w:val="FootnoteText"/>
        <w:rPr>
          <w:lang w:val="fr-CA"/>
        </w:rPr>
      </w:pPr>
      <w:r>
        <w:rPr>
          <w:rStyle w:val="FootnoteReference"/>
        </w:rPr>
        <w:footnoteRef/>
      </w:r>
      <w:r w:rsidRPr="00B360C9">
        <w:rPr>
          <w:lang w:val="fr-CA"/>
        </w:rPr>
        <w:t xml:space="preserve"> </w:t>
      </w:r>
      <w:r w:rsidRPr="00F004DA">
        <w:rPr>
          <w:lang w:val="fr-CA"/>
        </w:rPr>
        <w:t xml:space="preserve">D’examiner les </w:t>
      </w:r>
      <w:r>
        <w:rPr>
          <w:lang w:val="fr-CA"/>
        </w:rPr>
        <w:t>propositions de projets d’investissement autonomes en lien avec les HFC jusqu’à la 87</w:t>
      </w:r>
      <w:r w:rsidRPr="00B360C9">
        <w:rPr>
          <w:vertAlign w:val="superscript"/>
          <w:lang w:val="fr-CA"/>
        </w:rPr>
        <w:t>e</w:t>
      </w:r>
      <w:r>
        <w:rPr>
          <w:lang w:val="fr-CA"/>
        </w:rPr>
        <w:t xml:space="preserve"> réunion, conformément aux critères mis de l’avant dans les décisions 78/3 g), 79/45 et 81/63, et de prioriser les projets des secteurs des climatiseurs fixes, de la réfrigération commerciale et des climatiseurs mobiles</w:t>
      </w:r>
      <w:r w:rsidRPr="00F004DA">
        <w:rPr>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603" w14:textId="1889F5A1" w:rsidR="004A233E" w:rsidRPr="0033525D" w:rsidRDefault="004A233E">
    <w:r>
      <w:fldChar w:fldCharType="begin"/>
    </w:r>
    <w:r>
      <w:instrText xml:space="preserve"> DOCPROPERTY "Document number"  \* MERGEFORMAT </w:instrText>
    </w:r>
    <w:r>
      <w:fldChar w:fldCharType="separate"/>
    </w:r>
    <w:r w:rsidR="0021139E">
      <w:t>UNEP/</w:t>
    </w:r>
    <w:proofErr w:type="spellStart"/>
    <w:r w:rsidR="0021139E">
      <w:t>OzL.Pro</w:t>
    </w:r>
    <w:proofErr w:type="spellEnd"/>
    <w:r w:rsidR="0021139E">
      <w:t>/</w:t>
    </w:r>
    <w:proofErr w:type="spellStart"/>
    <w:r w:rsidR="0021139E">
      <w:t>ExCom</w:t>
    </w:r>
    <w:proofErr w:type="spellEnd"/>
    <w:r w:rsidR="0021139E">
      <w:t>/86/35</w:t>
    </w:r>
    <w:r>
      <w:fldChar w:fldCharType="end"/>
    </w:r>
  </w:p>
  <w:p w14:paraId="587B2CCD" w14:textId="77777777" w:rsidR="004A233E" w:rsidRPr="0033525D" w:rsidRDefault="004A233E"/>
  <w:p w14:paraId="08729AE7" w14:textId="77777777" w:rsidR="004A233E" w:rsidRPr="0033525D" w:rsidRDefault="004A23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D752" w14:textId="3BF5FAED" w:rsidR="004A233E" w:rsidRPr="0033525D" w:rsidRDefault="000539E9">
    <w:pPr>
      <w:jc w:val="right"/>
    </w:pPr>
    <w:r>
      <w:fldChar w:fldCharType="begin"/>
    </w:r>
    <w:r>
      <w:instrText xml:space="preserve"> DOCPROPERTY "Document number"  \* MERGEFORMAT </w:instrText>
    </w:r>
    <w:r>
      <w:fldChar w:fldCharType="separate"/>
    </w:r>
    <w:r w:rsidR="004A233E">
      <w:t>UNEP/</w:t>
    </w:r>
    <w:proofErr w:type="spellStart"/>
    <w:r w:rsidR="004A233E">
      <w:t>OzL.Pro</w:t>
    </w:r>
    <w:proofErr w:type="spellEnd"/>
    <w:r w:rsidR="004A233E">
      <w:t>/</w:t>
    </w:r>
    <w:proofErr w:type="spellStart"/>
    <w:r w:rsidR="004A233E">
      <w:t>ExCom</w:t>
    </w:r>
    <w:proofErr w:type="spellEnd"/>
    <w:r w:rsidR="004A233E">
      <w:t>/86/35</w:t>
    </w:r>
    <w:r>
      <w:fldChar w:fldCharType="end"/>
    </w:r>
  </w:p>
  <w:p w14:paraId="359D253A" w14:textId="77777777" w:rsidR="004A233E" w:rsidRPr="0033525D" w:rsidRDefault="004A233E"/>
  <w:p w14:paraId="68AA0400" w14:textId="77777777" w:rsidR="004A233E" w:rsidRPr="0033525D" w:rsidRDefault="004A23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BE53" w14:textId="4D8195EF" w:rsidR="004A233E" w:rsidRPr="0033525D" w:rsidRDefault="000539E9">
    <w:r>
      <w:fldChar w:fldCharType="begin"/>
    </w:r>
    <w:r>
      <w:instrText xml:space="preserve"> DOCPROPERTY "Document number"  \* MERGEFORMAT </w:instrText>
    </w:r>
    <w:r>
      <w:fldChar w:fldCharType="separate"/>
    </w:r>
    <w:r w:rsidR="004A233E">
      <w:t>UNEP/</w:t>
    </w:r>
    <w:proofErr w:type="spellStart"/>
    <w:r w:rsidR="004A233E">
      <w:t>OzL.Pro</w:t>
    </w:r>
    <w:proofErr w:type="spellEnd"/>
    <w:r w:rsidR="004A233E">
      <w:t>/</w:t>
    </w:r>
    <w:proofErr w:type="spellStart"/>
    <w:r w:rsidR="004A233E">
      <w:t>ExCom</w:t>
    </w:r>
    <w:proofErr w:type="spellEnd"/>
    <w:r w:rsidR="004A233E">
      <w:t>/86/35</w:t>
    </w:r>
    <w:r>
      <w:fldChar w:fldCharType="end"/>
    </w:r>
  </w:p>
  <w:p w14:paraId="36CC5F0E" w14:textId="5D57B2AA" w:rsidR="004A233E" w:rsidRPr="0033525D" w:rsidRDefault="004A233E">
    <w:r>
      <w:t>Annexe II</w:t>
    </w:r>
  </w:p>
  <w:p w14:paraId="59675AF3" w14:textId="77777777" w:rsidR="004A233E" w:rsidRPr="0033525D" w:rsidRDefault="004A233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F274" w14:textId="6778774A" w:rsidR="004A233E" w:rsidRDefault="000539E9" w:rsidP="00032D45">
    <w:pPr>
      <w:jc w:val="right"/>
    </w:pPr>
    <w:r>
      <w:fldChar w:fldCharType="begin"/>
    </w:r>
    <w:r>
      <w:instrText xml:space="preserve"> DOCPROPERTY "Document number"  \* MERGEFORMAT </w:instrText>
    </w:r>
    <w:r>
      <w:fldChar w:fldCharType="separate"/>
    </w:r>
    <w:r w:rsidR="004A233E">
      <w:t>UNEP/</w:t>
    </w:r>
    <w:proofErr w:type="spellStart"/>
    <w:r w:rsidR="004A233E">
      <w:t>OzL.Pro</w:t>
    </w:r>
    <w:proofErr w:type="spellEnd"/>
    <w:r w:rsidR="004A233E">
      <w:t>/</w:t>
    </w:r>
    <w:proofErr w:type="spellStart"/>
    <w:r w:rsidR="004A233E">
      <w:t>ExCom</w:t>
    </w:r>
    <w:proofErr w:type="spellEnd"/>
    <w:r w:rsidR="004A233E">
      <w:t>/86/35</w:t>
    </w:r>
    <w:r>
      <w:fldChar w:fldCharType="end"/>
    </w:r>
  </w:p>
  <w:p w14:paraId="248B2B14" w14:textId="76E8D59C" w:rsidR="004A233E" w:rsidRPr="0033525D" w:rsidRDefault="004A233E" w:rsidP="00032D45">
    <w:pPr>
      <w:jc w:val="right"/>
    </w:pPr>
    <w:r>
      <w:t>Annexe II</w:t>
    </w:r>
  </w:p>
  <w:p w14:paraId="0A005711" w14:textId="77777777" w:rsidR="004A233E" w:rsidRDefault="004A233E" w:rsidP="00032D4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80E17AA"/>
    <w:lvl w:ilvl="0">
      <w:start w:val="1"/>
      <w:numFmt w:val="decimal"/>
      <w:pStyle w:val="Heading1"/>
      <w:lvlText w:val="%1."/>
      <w:lvlJc w:val="left"/>
      <w:pPr>
        <w:tabs>
          <w:tab w:val="num" w:pos="0"/>
        </w:tabs>
        <w:ind w:left="0" w:firstLine="0"/>
      </w:pPr>
      <w:rPr>
        <w:b w:val="0"/>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CC1A29"/>
    <w:multiLevelType w:val="hybridMultilevel"/>
    <w:tmpl w:val="DC28AD24"/>
    <w:lvl w:ilvl="0" w:tplc="D1D429BC">
      <w:start w:val="1"/>
      <w:numFmt w:val="lowerLetter"/>
      <w:lvlText w:val="%1)"/>
      <w:lvlJc w:val="left"/>
      <w:pPr>
        <w:ind w:left="1080" w:hanging="360"/>
      </w:pPr>
      <w:rPr>
        <w:rFonts w:ascii="Times New Roman" w:eastAsia="Times New Roman" w:hAnsi="Times New Roman" w:cs="Times New Roman"/>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CE5873"/>
    <w:multiLevelType w:val="hybridMultilevel"/>
    <w:tmpl w:val="0FDA90C6"/>
    <w:lvl w:ilvl="0" w:tplc="D1D429BC">
      <w:start w:val="1"/>
      <w:numFmt w:val="lowerLetter"/>
      <w:lvlText w:val="%1)"/>
      <w:lvlJc w:val="left"/>
      <w:pPr>
        <w:ind w:left="1080" w:hanging="360"/>
      </w:pPr>
      <w:rPr>
        <w:rFonts w:ascii="Times New Roman" w:eastAsia="Times New Roman" w:hAnsi="Times New Roman" w:cs="Times New Roman"/>
        <w:b w:val="0"/>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DA52E4"/>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D3F422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BA6107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20"/>
  </w:num>
  <w:num w:numId="20">
    <w:abstractNumId w:val="15"/>
  </w:num>
  <w:num w:numId="21">
    <w:abstractNumId w:val="19"/>
  </w:num>
  <w:num w:numId="22">
    <w:abstractNumId w:val="14"/>
  </w:num>
  <w:num w:numId="23">
    <w:abstractNumId w:val="16"/>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10"/>
  </w:num>
  <w:num w:numId="3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81985"/>
    <w:rsid w:val="00000FED"/>
    <w:rsid w:val="0000434E"/>
    <w:rsid w:val="000211A9"/>
    <w:rsid w:val="00031260"/>
    <w:rsid w:val="00032D45"/>
    <w:rsid w:val="0003681A"/>
    <w:rsid w:val="000372B7"/>
    <w:rsid w:val="00050F6E"/>
    <w:rsid w:val="000524FE"/>
    <w:rsid w:val="000539E9"/>
    <w:rsid w:val="0005427A"/>
    <w:rsid w:val="00061EC2"/>
    <w:rsid w:val="000620DC"/>
    <w:rsid w:val="00080ED0"/>
    <w:rsid w:val="00081985"/>
    <w:rsid w:val="00084ED2"/>
    <w:rsid w:val="00085B8F"/>
    <w:rsid w:val="00090481"/>
    <w:rsid w:val="00096D33"/>
    <w:rsid w:val="00097640"/>
    <w:rsid w:val="000A11ED"/>
    <w:rsid w:val="000A3826"/>
    <w:rsid w:val="000A6C26"/>
    <w:rsid w:val="000C282D"/>
    <w:rsid w:val="000C2F34"/>
    <w:rsid w:val="000C7BBD"/>
    <w:rsid w:val="000D1840"/>
    <w:rsid w:val="000D52A4"/>
    <w:rsid w:val="000E07BC"/>
    <w:rsid w:val="000F194A"/>
    <w:rsid w:val="000F1CD4"/>
    <w:rsid w:val="000F4103"/>
    <w:rsid w:val="000F70A7"/>
    <w:rsid w:val="00102EC0"/>
    <w:rsid w:val="00104E27"/>
    <w:rsid w:val="00113CCA"/>
    <w:rsid w:val="00121537"/>
    <w:rsid w:val="001228DE"/>
    <w:rsid w:val="00122F25"/>
    <w:rsid w:val="00135980"/>
    <w:rsid w:val="00136068"/>
    <w:rsid w:val="00147750"/>
    <w:rsid w:val="00152236"/>
    <w:rsid w:val="00164719"/>
    <w:rsid w:val="00166FC4"/>
    <w:rsid w:val="001677AC"/>
    <w:rsid w:val="00170A0F"/>
    <w:rsid w:val="001804EA"/>
    <w:rsid w:val="00183FB5"/>
    <w:rsid w:val="00190A61"/>
    <w:rsid w:val="001A3342"/>
    <w:rsid w:val="001A3E3D"/>
    <w:rsid w:val="001A7049"/>
    <w:rsid w:val="001B1E40"/>
    <w:rsid w:val="001B5926"/>
    <w:rsid w:val="001B693C"/>
    <w:rsid w:val="001C00DF"/>
    <w:rsid w:val="001C764E"/>
    <w:rsid w:val="001C7EF1"/>
    <w:rsid w:val="001D29B0"/>
    <w:rsid w:val="001E1052"/>
    <w:rsid w:val="001E1FB8"/>
    <w:rsid w:val="001E21B1"/>
    <w:rsid w:val="001E2D09"/>
    <w:rsid w:val="001E2F93"/>
    <w:rsid w:val="001E4165"/>
    <w:rsid w:val="001E4554"/>
    <w:rsid w:val="001E61E5"/>
    <w:rsid w:val="001F12CD"/>
    <w:rsid w:val="001F2159"/>
    <w:rsid w:val="002014B4"/>
    <w:rsid w:val="00210B8B"/>
    <w:rsid w:val="0021139E"/>
    <w:rsid w:val="00214863"/>
    <w:rsid w:val="002156B4"/>
    <w:rsid w:val="00224FCD"/>
    <w:rsid w:val="00244B6D"/>
    <w:rsid w:val="00244F87"/>
    <w:rsid w:val="00253222"/>
    <w:rsid w:val="00262847"/>
    <w:rsid w:val="00275AAB"/>
    <w:rsid w:val="00281627"/>
    <w:rsid w:val="00281BB2"/>
    <w:rsid w:val="002950BF"/>
    <w:rsid w:val="002B20D0"/>
    <w:rsid w:val="002B254E"/>
    <w:rsid w:val="002B72E9"/>
    <w:rsid w:val="002C7998"/>
    <w:rsid w:val="002D1994"/>
    <w:rsid w:val="002E7F1C"/>
    <w:rsid w:val="002F1E53"/>
    <w:rsid w:val="002F22AE"/>
    <w:rsid w:val="002F26FA"/>
    <w:rsid w:val="002F2CAA"/>
    <w:rsid w:val="002F7B85"/>
    <w:rsid w:val="0030052C"/>
    <w:rsid w:val="00301EE1"/>
    <w:rsid w:val="00302B38"/>
    <w:rsid w:val="0031422C"/>
    <w:rsid w:val="00322A3B"/>
    <w:rsid w:val="0032353E"/>
    <w:rsid w:val="003306E1"/>
    <w:rsid w:val="00331B67"/>
    <w:rsid w:val="003320E4"/>
    <w:rsid w:val="00334A79"/>
    <w:rsid w:val="0033525D"/>
    <w:rsid w:val="00336395"/>
    <w:rsid w:val="00336AB7"/>
    <w:rsid w:val="003414F3"/>
    <w:rsid w:val="00341DEB"/>
    <w:rsid w:val="003434E8"/>
    <w:rsid w:val="00344B67"/>
    <w:rsid w:val="00347E07"/>
    <w:rsid w:val="00350F71"/>
    <w:rsid w:val="0035613E"/>
    <w:rsid w:val="00363A49"/>
    <w:rsid w:val="00363EE9"/>
    <w:rsid w:val="00365C00"/>
    <w:rsid w:val="00366D04"/>
    <w:rsid w:val="00376128"/>
    <w:rsid w:val="0037742E"/>
    <w:rsid w:val="00377D56"/>
    <w:rsid w:val="003808FD"/>
    <w:rsid w:val="0038245A"/>
    <w:rsid w:val="003840E6"/>
    <w:rsid w:val="00385491"/>
    <w:rsid w:val="00385CFC"/>
    <w:rsid w:val="0038629D"/>
    <w:rsid w:val="003929AB"/>
    <w:rsid w:val="0039337A"/>
    <w:rsid w:val="00394091"/>
    <w:rsid w:val="003A3189"/>
    <w:rsid w:val="003A3CA7"/>
    <w:rsid w:val="003A4A8E"/>
    <w:rsid w:val="003B1BE3"/>
    <w:rsid w:val="003B33BD"/>
    <w:rsid w:val="003B3490"/>
    <w:rsid w:val="003B3604"/>
    <w:rsid w:val="003B569D"/>
    <w:rsid w:val="003C3C0E"/>
    <w:rsid w:val="003D42A6"/>
    <w:rsid w:val="003D4F21"/>
    <w:rsid w:val="003D4FAC"/>
    <w:rsid w:val="003E425F"/>
    <w:rsid w:val="003E4DEC"/>
    <w:rsid w:val="003E7906"/>
    <w:rsid w:val="003F3C50"/>
    <w:rsid w:val="004018F5"/>
    <w:rsid w:val="00406A6A"/>
    <w:rsid w:val="00406B22"/>
    <w:rsid w:val="00426056"/>
    <w:rsid w:val="004328A7"/>
    <w:rsid w:val="00434C74"/>
    <w:rsid w:val="0044243D"/>
    <w:rsid w:val="00443E1A"/>
    <w:rsid w:val="00447068"/>
    <w:rsid w:val="00450ED1"/>
    <w:rsid w:val="00456EB4"/>
    <w:rsid w:val="00457050"/>
    <w:rsid w:val="0046418A"/>
    <w:rsid w:val="00464E50"/>
    <w:rsid w:val="00466934"/>
    <w:rsid w:val="0046726C"/>
    <w:rsid w:val="0047108B"/>
    <w:rsid w:val="004718F3"/>
    <w:rsid w:val="00475040"/>
    <w:rsid w:val="00475D45"/>
    <w:rsid w:val="004760BF"/>
    <w:rsid w:val="004859FE"/>
    <w:rsid w:val="004910D6"/>
    <w:rsid w:val="00493D40"/>
    <w:rsid w:val="004967B6"/>
    <w:rsid w:val="004A233E"/>
    <w:rsid w:val="004A4631"/>
    <w:rsid w:val="004A504B"/>
    <w:rsid w:val="004A6911"/>
    <w:rsid w:val="004B2C2A"/>
    <w:rsid w:val="004B38DA"/>
    <w:rsid w:val="004B4132"/>
    <w:rsid w:val="004B4D67"/>
    <w:rsid w:val="004B54E0"/>
    <w:rsid w:val="004B7384"/>
    <w:rsid w:val="004C4269"/>
    <w:rsid w:val="004D409D"/>
    <w:rsid w:val="004D6236"/>
    <w:rsid w:val="004D7F90"/>
    <w:rsid w:val="004E0C2C"/>
    <w:rsid w:val="004E1327"/>
    <w:rsid w:val="004E4DBB"/>
    <w:rsid w:val="004E4E41"/>
    <w:rsid w:val="004E7820"/>
    <w:rsid w:val="004E7F9C"/>
    <w:rsid w:val="004F3493"/>
    <w:rsid w:val="004F5143"/>
    <w:rsid w:val="00512B09"/>
    <w:rsid w:val="005220ED"/>
    <w:rsid w:val="005228AA"/>
    <w:rsid w:val="00533796"/>
    <w:rsid w:val="00537343"/>
    <w:rsid w:val="005426F2"/>
    <w:rsid w:val="00555D75"/>
    <w:rsid w:val="00560DF0"/>
    <w:rsid w:val="00565005"/>
    <w:rsid w:val="0056759C"/>
    <w:rsid w:val="00572546"/>
    <w:rsid w:val="00581D09"/>
    <w:rsid w:val="0059387E"/>
    <w:rsid w:val="0059513E"/>
    <w:rsid w:val="00595C77"/>
    <w:rsid w:val="0059716A"/>
    <w:rsid w:val="005A2185"/>
    <w:rsid w:val="005A6D9F"/>
    <w:rsid w:val="005B016E"/>
    <w:rsid w:val="005B2BE6"/>
    <w:rsid w:val="005B48FF"/>
    <w:rsid w:val="005C22AA"/>
    <w:rsid w:val="005C6D2D"/>
    <w:rsid w:val="005C7959"/>
    <w:rsid w:val="005D0292"/>
    <w:rsid w:val="005D363F"/>
    <w:rsid w:val="005D73D7"/>
    <w:rsid w:val="005E042F"/>
    <w:rsid w:val="005E1234"/>
    <w:rsid w:val="005E5059"/>
    <w:rsid w:val="00604C15"/>
    <w:rsid w:val="006158D5"/>
    <w:rsid w:val="00625D83"/>
    <w:rsid w:val="0063266D"/>
    <w:rsid w:val="00635410"/>
    <w:rsid w:val="006623E7"/>
    <w:rsid w:val="00662B80"/>
    <w:rsid w:val="00670F6C"/>
    <w:rsid w:val="006829CD"/>
    <w:rsid w:val="00682DB7"/>
    <w:rsid w:val="006852C7"/>
    <w:rsid w:val="006852CE"/>
    <w:rsid w:val="00685AFB"/>
    <w:rsid w:val="00686491"/>
    <w:rsid w:val="00692D14"/>
    <w:rsid w:val="0069317B"/>
    <w:rsid w:val="006A10A4"/>
    <w:rsid w:val="006A47BB"/>
    <w:rsid w:val="006A5BED"/>
    <w:rsid w:val="006B65C7"/>
    <w:rsid w:val="006C1727"/>
    <w:rsid w:val="006C32FD"/>
    <w:rsid w:val="006C39CE"/>
    <w:rsid w:val="006D0FCC"/>
    <w:rsid w:val="006D21F5"/>
    <w:rsid w:val="006E126D"/>
    <w:rsid w:val="006E1FC3"/>
    <w:rsid w:val="006E7122"/>
    <w:rsid w:val="006F6504"/>
    <w:rsid w:val="00704CE9"/>
    <w:rsid w:val="0070616B"/>
    <w:rsid w:val="00706295"/>
    <w:rsid w:val="00706FDA"/>
    <w:rsid w:val="00711F9A"/>
    <w:rsid w:val="00712ACD"/>
    <w:rsid w:val="0071371B"/>
    <w:rsid w:val="00713810"/>
    <w:rsid w:val="007164C0"/>
    <w:rsid w:val="007303A5"/>
    <w:rsid w:val="00730B3E"/>
    <w:rsid w:val="00731E3F"/>
    <w:rsid w:val="0073420B"/>
    <w:rsid w:val="0073771B"/>
    <w:rsid w:val="007378F5"/>
    <w:rsid w:val="0074760E"/>
    <w:rsid w:val="00754ABA"/>
    <w:rsid w:val="0076212B"/>
    <w:rsid w:val="00764732"/>
    <w:rsid w:val="007655ED"/>
    <w:rsid w:val="007735C7"/>
    <w:rsid w:val="00773A8A"/>
    <w:rsid w:val="00781AE0"/>
    <w:rsid w:val="007A1546"/>
    <w:rsid w:val="007A1C20"/>
    <w:rsid w:val="007A228C"/>
    <w:rsid w:val="007A368E"/>
    <w:rsid w:val="007A5868"/>
    <w:rsid w:val="007B04CE"/>
    <w:rsid w:val="007B1DB7"/>
    <w:rsid w:val="007B536E"/>
    <w:rsid w:val="007B6871"/>
    <w:rsid w:val="007B7A2F"/>
    <w:rsid w:val="007C1588"/>
    <w:rsid w:val="007C1FA2"/>
    <w:rsid w:val="007C3D33"/>
    <w:rsid w:val="007D294A"/>
    <w:rsid w:val="007D47D2"/>
    <w:rsid w:val="007D69C5"/>
    <w:rsid w:val="007D6EC0"/>
    <w:rsid w:val="007D7E1D"/>
    <w:rsid w:val="007E0E2F"/>
    <w:rsid w:val="007F350F"/>
    <w:rsid w:val="00800A94"/>
    <w:rsid w:val="008012CF"/>
    <w:rsid w:val="008042A6"/>
    <w:rsid w:val="00804496"/>
    <w:rsid w:val="008130D7"/>
    <w:rsid w:val="00824466"/>
    <w:rsid w:val="00831979"/>
    <w:rsid w:val="00840670"/>
    <w:rsid w:val="00847BDF"/>
    <w:rsid w:val="00851352"/>
    <w:rsid w:val="00856D35"/>
    <w:rsid w:val="00857077"/>
    <w:rsid w:val="00860782"/>
    <w:rsid w:val="00863230"/>
    <w:rsid w:val="00865BD0"/>
    <w:rsid w:val="008717D8"/>
    <w:rsid w:val="0087215C"/>
    <w:rsid w:val="008721F7"/>
    <w:rsid w:val="00872257"/>
    <w:rsid w:val="00873C89"/>
    <w:rsid w:val="00875D25"/>
    <w:rsid w:val="00880E35"/>
    <w:rsid w:val="008865E0"/>
    <w:rsid w:val="008875FE"/>
    <w:rsid w:val="00887F8E"/>
    <w:rsid w:val="00896234"/>
    <w:rsid w:val="00897B1D"/>
    <w:rsid w:val="00897E43"/>
    <w:rsid w:val="008A2DC0"/>
    <w:rsid w:val="008A5F2C"/>
    <w:rsid w:val="008B4824"/>
    <w:rsid w:val="008C3418"/>
    <w:rsid w:val="008C5539"/>
    <w:rsid w:val="008C5738"/>
    <w:rsid w:val="008C7EAD"/>
    <w:rsid w:val="008D0CFE"/>
    <w:rsid w:val="008D46B4"/>
    <w:rsid w:val="008D6152"/>
    <w:rsid w:val="008F0F81"/>
    <w:rsid w:val="008F27BF"/>
    <w:rsid w:val="00900C6C"/>
    <w:rsid w:val="009142EC"/>
    <w:rsid w:val="009154C3"/>
    <w:rsid w:val="00916ADE"/>
    <w:rsid w:val="00923540"/>
    <w:rsid w:val="00926767"/>
    <w:rsid w:val="00930009"/>
    <w:rsid w:val="009361D5"/>
    <w:rsid w:val="009428A4"/>
    <w:rsid w:val="0094549D"/>
    <w:rsid w:val="00946F20"/>
    <w:rsid w:val="00953E3B"/>
    <w:rsid w:val="00964702"/>
    <w:rsid w:val="00964F16"/>
    <w:rsid w:val="009659F4"/>
    <w:rsid w:val="00970D60"/>
    <w:rsid w:val="00980D64"/>
    <w:rsid w:val="0099390E"/>
    <w:rsid w:val="009960E5"/>
    <w:rsid w:val="009A53D1"/>
    <w:rsid w:val="009A7992"/>
    <w:rsid w:val="009A7ADC"/>
    <w:rsid w:val="009B582C"/>
    <w:rsid w:val="009C19B7"/>
    <w:rsid w:val="009C5ABB"/>
    <w:rsid w:val="009D0357"/>
    <w:rsid w:val="009D0D96"/>
    <w:rsid w:val="009D7C51"/>
    <w:rsid w:val="009E196C"/>
    <w:rsid w:val="009E3D7B"/>
    <w:rsid w:val="009F30C0"/>
    <w:rsid w:val="009F36BF"/>
    <w:rsid w:val="009F6111"/>
    <w:rsid w:val="00A01BEC"/>
    <w:rsid w:val="00A111B6"/>
    <w:rsid w:val="00A26D27"/>
    <w:rsid w:val="00A35EFB"/>
    <w:rsid w:val="00A36E70"/>
    <w:rsid w:val="00A376EE"/>
    <w:rsid w:val="00A42A99"/>
    <w:rsid w:val="00A45093"/>
    <w:rsid w:val="00A50F27"/>
    <w:rsid w:val="00A5151A"/>
    <w:rsid w:val="00A57E0A"/>
    <w:rsid w:val="00A823F6"/>
    <w:rsid w:val="00A8719E"/>
    <w:rsid w:val="00AA0A89"/>
    <w:rsid w:val="00AA6429"/>
    <w:rsid w:val="00AC01AA"/>
    <w:rsid w:val="00AC4F72"/>
    <w:rsid w:val="00AC5C7E"/>
    <w:rsid w:val="00AC5E8D"/>
    <w:rsid w:val="00AC76A7"/>
    <w:rsid w:val="00AD0EE9"/>
    <w:rsid w:val="00AD6B64"/>
    <w:rsid w:val="00AD7BBA"/>
    <w:rsid w:val="00AF6B02"/>
    <w:rsid w:val="00AF7153"/>
    <w:rsid w:val="00AF741A"/>
    <w:rsid w:val="00B01ADB"/>
    <w:rsid w:val="00B04161"/>
    <w:rsid w:val="00B056F9"/>
    <w:rsid w:val="00B11E3D"/>
    <w:rsid w:val="00B17E82"/>
    <w:rsid w:val="00B32E72"/>
    <w:rsid w:val="00B34D59"/>
    <w:rsid w:val="00B360C9"/>
    <w:rsid w:val="00B4575A"/>
    <w:rsid w:val="00B46C61"/>
    <w:rsid w:val="00B56E97"/>
    <w:rsid w:val="00B575BA"/>
    <w:rsid w:val="00B625BF"/>
    <w:rsid w:val="00B62F17"/>
    <w:rsid w:val="00B709EA"/>
    <w:rsid w:val="00B71608"/>
    <w:rsid w:val="00B76429"/>
    <w:rsid w:val="00B76ADD"/>
    <w:rsid w:val="00B809AE"/>
    <w:rsid w:val="00B956D4"/>
    <w:rsid w:val="00B97446"/>
    <w:rsid w:val="00BA7432"/>
    <w:rsid w:val="00BB2764"/>
    <w:rsid w:val="00BB4A87"/>
    <w:rsid w:val="00BC1AA0"/>
    <w:rsid w:val="00BC2495"/>
    <w:rsid w:val="00BC7EB9"/>
    <w:rsid w:val="00BD2643"/>
    <w:rsid w:val="00BD56B1"/>
    <w:rsid w:val="00BD6558"/>
    <w:rsid w:val="00BE2B53"/>
    <w:rsid w:val="00BF17F7"/>
    <w:rsid w:val="00BF2F76"/>
    <w:rsid w:val="00BF3022"/>
    <w:rsid w:val="00BF3214"/>
    <w:rsid w:val="00BF3605"/>
    <w:rsid w:val="00BF4E1B"/>
    <w:rsid w:val="00BF5573"/>
    <w:rsid w:val="00C03184"/>
    <w:rsid w:val="00C05437"/>
    <w:rsid w:val="00C06224"/>
    <w:rsid w:val="00C15867"/>
    <w:rsid w:val="00C17181"/>
    <w:rsid w:val="00C2296D"/>
    <w:rsid w:val="00C23155"/>
    <w:rsid w:val="00C232AC"/>
    <w:rsid w:val="00C26B5E"/>
    <w:rsid w:val="00C40A0B"/>
    <w:rsid w:val="00C40C41"/>
    <w:rsid w:val="00C45885"/>
    <w:rsid w:val="00C50F22"/>
    <w:rsid w:val="00C52D70"/>
    <w:rsid w:val="00C57971"/>
    <w:rsid w:val="00C65BD7"/>
    <w:rsid w:val="00C66428"/>
    <w:rsid w:val="00C76BA4"/>
    <w:rsid w:val="00C80F5A"/>
    <w:rsid w:val="00C83A48"/>
    <w:rsid w:val="00C85865"/>
    <w:rsid w:val="00C85E85"/>
    <w:rsid w:val="00C95FA5"/>
    <w:rsid w:val="00CA2EAE"/>
    <w:rsid w:val="00CA4AC1"/>
    <w:rsid w:val="00CB0316"/>
    <w:rsid w:val="00CB0B11"/>
    <w:rsid w:val="00CB426A"/>
    <w:rsid w:val="00CB5354"/>
    <w:rsid w:val="00CC3B3D"/>
    <w:rsid w:val="00CC3C9E"/>
    <w:rsid w:val="00CC6A14"/>
    <w:rsid w:val="00CC70A3"/>
    <w:rsid w:val="00CD38CE"/>
    <w:rsid w:val="00CD4442"/>
    <w:rsid w:val="00CD4AE1"/>
    <w:rsid w:val="00CD53C3"/>
    <w:rsid w:val="00CD574E"/>
    <w:rsid w:val="00CE268A"/>
    <w:rsid w:val="00CE4C22"/>
    <w:rsid w:val="00CE7634"/>
    <w:rsid w:val="00CF1B88"/>
    <w:rsid w:val="00CF2CE3"/>
    <w:rsid w:val="00CF41EC"/>
    <w:rsid w:val="00CF5D04"/>
    <w:rsid w:val="00D04DE4"/>
    <w:rsid w:val="00D063F1"/>
    <w:rsid w:val="00D11824"/>
    <w:rsid w:val="00D14F22"/>
    <w:rsid w:val="00D30513"/>
    <w:rsid w:val="00D32B59"/>
    <w:rsid w:val="00D3484B"/>
    <w:rsid w:val="00D35FCB"/>
    <w:rsid w:val="00D444BF"/>
    <w:rsid w:val="00D4741C"/>
    <w:rsid w:val="00D5059D"/>
    <w:rsid w:val="00D57918"/>
    <w:rsid w:val="00D628A4"/>
    <w:rsid w:val="00D66AAD"/>
    <w:rsid w:val="00D7246A"/>
    <w:rsid w:val="00D73DC6"/>
    <w:rsid w:val="00D74379"/>
    <w:rsid w:val="00D74C1A"/>
    <w:rsid w:val="00D754C1"/>
    <w:rsid w:val="00D77393"/>
    <w:rsid w:val="00D77A35"/>
    <w:rsid w:val="00D81B0B"/>
    <w:rsid w:val="00D81B3E"/>
    <w:rsid w:val="00D8393E"/>
    <w:rsid w:val="00D857F8"/>
    <w:rsid w:val="00D86521"/>
    <w:rsid w:val="00D90C70"/>
    <w:rsid w:val="00D90E49"/>
    <w:rsid w:val="00D95823"/>
    <w:rsid w:val="00D9608C"/>
    <w:rsid w:val="00D96ADE"/>
    <w:rsid w:val="00DA0CE2"/>
    <w:rsid w:val="00DA4EBF"/>
    <w:rsid w:val="00DA7D0A"/>
    <w:rsid w:val="00DC6A10"/>
    <w:rsid w:val="00DD437A"/>
    <w:rsid w:val="00DE657E"/>
    <w:rsid w:val="00DF4704"/>
    <w:rsid w:val="00E024AA"/>
    <w:rsid w:val="00E15C77"/>
    <w:rsid w:val="00E250F1"/>
    <w:rsid w:val="00E3550D"/>
    <w:rsid w:val="00E3741F"/>
    <w:rsid w:val="00E41CC1"/>
    <w:rsid w:val="00E422D4"/>
    <w:rsid w:val="00E4516B"/>
    <w:rsid w:val="00E45726"/>
    <w:rsid w:val="00E52838"/>
    <w:rsid w:val="00E614E0"/>
    <w:rsid w:val="00E73F7F"/>
    <w:rsid w:val="00E82F8E"/>
    <w:rsid w:val="00E85409"/>
    <w:rsid w:val="00E92B7D"/>
    <w:rsid w:val="00E97642"/>
    <w:rsid w:val="00EA3490"/>
    <w:rsid w:val="00EA429F"/>
    <w:rsid w:val="00EA4F9E"/>
    <w:rsid w:val="00EA5A37"/>
    <w:rsid w:val="00EA63CA"/>
    <w:rsid w:val="00EA6D3B"/>
    <w:rsid w:val="00EB00AD"/>
    <w:rsid w:val="00EB136C"/>
    <w:rsid w:val="00EB3619"/>
    <w:rsid w:val="00EB480E"/>
    <w:rsid w:val="00EB5EC6"/>
    <w:rsid w:val="00EB7FC9"/>
    <w:rsid w:val="00EC1A03"/>
    <w:rsid w:val="00EC659B"/>
    <w:rsid w:val="00ED27E8"/>
    <w:rsid w:val="00ED3202"/>
    <w:rsid w:val="00ED495E"/>
    <w:rsid w:val="00ED7137"/>
    <w:rsid w:val="00ED74F3"/>
    <w:rsid w:val="00EE0D5E"/>
    <w:rsid w:val="00EF06EA"/>
    <w:rsid w:val="00F004DA"/>
    <w:rsid w:val="00F01126"/>
    <w:rsid w:val="00F0524F"/>
    <w:rsid w:val="00F06694"/>
    <w:rsid w:val="00F21088"/>
    <w:rsid w:val="00F25BE5"/>
    <w:rsid w:val="00F327E7"/>
    <w:rsid w:val="00F35746"/>
    <w:rsid w:val="00F447C7"/>
    <w:rsid w:val="00F459B4"/>
    <w:rsid w:val="00F5211B"/>
    <w:rsid w:val="00F544CF"/>
    <w:rsid w:val="00F554A9"/>
    <w:rsid w:val="00F6032F"/>
    <w:rsid w:val="00F716FD"/>
    <w:rsid w:val="00F80355"/>
    <w:rsid w:val="00F87C43"/>
    <w:rsid w:val="00F92843"/>
    <w:rsid w:val="00FA1664"/>
    <w:rsid w:val="00FA6426"/>
    <w:rsid w:val="00FB0C81"/>
    <w:rsid w:val="00FC2200"/>
    <w:rsid w:val="00FC2540"/>
    <w:rsid w:val="00FD1182"/>
    <w:rsid w:val="00FD5537"/>
    <w:rsid w:val="00FE7FB3"/>
    <w:rsid w:val="00FF0204"/>
    <w:rsid w:val="00FF1F0C"/>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08CB"/>
  <w15:docId w15:val="{F7B77490-E8C1-4A45-98C5-DB2B070A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A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6E126D"/>
    <w:rPr>
      <w:lang w:val="en-GB"/>
    </w:rPr>
  </w:style>
  <w:style w:type="character" w:styleId="FootnoteReference">
    <w:name w:val="footnote reference"/>
    <w:aliases w:val="ftref,Footnote Text1,Footnote Text2,Footnote text"/>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81985"/>
    <w:rPr>
      <w:sz w:val="22"/>
      <w:szCs w:val="22"/>
      <w:lang w:val="en-GB"/>
    </w:rPr>
  </w:style>
  <w:style w:type="character" w:customStyle="1" w:styleId="HeaderChar">
    <w:name w:val="Header Char"/>
    <w:basedOn w:val="DefaultParagraphFont"/>
    <w:link w:val="Header"/>
    <w:rsid w:val="00081985"/>
    <w:rPr>
      <w:sz w:val="22"/>
      <w:szCs w:val="22"/>
      <w:lang w:val="en-GB"/>
    </w:rPr>
  </w:style>
  <w:style w:type="character" w:customStyle="1" w:styleId="FooterChar">
    <w:name w:val="Footer Char"/>
    <w:basedOn w:val="DefaultParagraphFont"/>
    <w:link w:val="Footer"/>
    <w:uiPriority w:val="99"/>
    <w:rsid w:val="00081985"/>
    <w:rPr>
      <w:sz w:val="22"/>
      <w:szCs w:val="22"/>
      <w:lang w:val="en-GB"/>
    </w:rPr>
  </w:style>
  <w:style w:type="character" w:styleId="PageNumber">
    <w:name w:val="page number"/>
    <w:basedOn w:val="DefaultParagraphFont"/>
    <w:uiPriority w:val="99"/>
    <w:semiHidden/>
    <w:unhideWhenUsed/>
    <w:rsid w:val="00081985"/>
  </w:style>
  <w:style w:type="paragraph" w:styleId="ListParagraph">
    <w:name w:val="List Paragraph"/>
    <w:basedOn w:val="Normal"/>
    <w:uiPriority w:val="34"/>
    <w:qFormat/>
    <w:rsid w:val="005C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3266">
      <w:bodyDiv w:val="1"/>
      <w:marLeft w:val="0"/>
      <w:marRight w:val="0"/>
      <w:marTop w:val="0"/>
      <w:marBottom w:val="0"/>
      <w:divBdr>
        <w:top w:val="none" w:sz="0" w:space="0" w:color="auto"/>
        <w:left w:val="none" w:sz="0" w:space="0" w:color="auto"/>
        <w:bottom w:val="none" w:sz="0" w:space="0" w:color="auto"/>
        <w:right w:val="none" w:sz="0" w:space="0" w:color="auto"/>
      </w:divBdr>
    </w:div>
    <w:div w:id="280311195">
      <w:bodyDiv w:val="1"/>
      <w:marLeft w:val="0"/>
      <w:marRight w:val="0"/>
      <w:marTop w:val="0"/>
      <w:marBottom w:val="0"/>
      <w:divBdr>
        <w:top w:val="none" w:sz="0" w:space="0" w:color="auto"/>
        <w:left w:val="none" w:sz="0" w:space="0" w:color="auto"/>
        <w:bottom w:val="none" w:sz="0" w:space="0" w:color="auto"/>
        <w:right w:val="none" w:sz="0" w:space="0" w:color="auto"/>
      </w:divBdr>
    </w:div>
    <w:div w:id="581452093">
      <w:bodyDiv w:val="1"/>
      <w:marLeft w:val="0"/>
      <w:marRight w:val="0"/>
      <w:marTop w:val="0"/>
      <w:marBottom w:val="0"/>
      <w:divBdr>
        <w:top w:val="none" w:sz="0" w:space="0" w:color="auto"/>
        <w:left w:val="none" w:sz="0" w:space="0" w:color="auto"/>
        <w:bottom w:val="none" w:sz="0" w:space="0" w:color="auto"/>
        <w:right w:val="none" w:sz="0" w:space="0" w:color="auto"/>
      </w:divBdr>
    </w:div>
    <w:div w:id="1159153920">
      <w:bodyDiv w:val="1"/>
      <w:marLeft w:val="0"/>
      <w:marRight w:val="0"/>
      <w:marTop w:val="0"/>
      <w:marBottom w:val="0"/>
      <w:divBdr>
        <w:top w:val="none" w:sz="0" w:space="0" w:color="auto"/>
        <w:left w:val="none" w:sz="0" w:space="0" w:color="auto"/>
        <w:bottom w:val="none" w:sz="0" w:space="0" w:color="auto"/>
        <w:right w:val="none" w:sz="0" w:space="0" w:color="auto"/>
      </w:divBdr>
    </w:div>
    <w:div w:id="1232156505">
      <w:bodyDiv w:val="1"/>
      <w:marLeft w:val="0"/>
      <w:marRight w:val="0"/>
      <w:marTop w:val="0"/>
      <w:marBottom w:val="0"/>
      <w:divBdr>
        <w:top w:val="none" w:sz="0" w:space="0" w:color="auto"/>
        <w:left w:val="none" w:sz="0" w:space="0" w:color="auto"/>
        <w:bottom w:val="none" w:sz="0" w:space="0" w:color="auto"/>
        <w:right w:val="none" w:sz="0" w:space="0" w:color="auto"/>
      </w:divBdr>
    </w:div>
    <w:div w:id="1573929889">
      <w:bodyDiv w:val="1"/>
      <w:marLeft w:val="0"/>
      <w:marRight w:val="0"/>
      <w:marTop w:val="0"/>
      <w:marBottom w:val="0"/>
      <w:divBdr>
        <w:top w:val="none" w:sz="0" w:space="0" w:color="auto"/>
        <w:left w:val="none" w:sz="0" w:space="0" w:color="auto"/>
        <w:bottom w:val="none" w:sz="0" w:space="0" w:color="auto"/>
        <w:right w:val="none" w:sz="0" w:space="0" w:color="auto"/>
      </w:divBdr>
    </w:div>
    <w:div w:id="1692411621">
      <w:bodyDiv w:val="1"/>
      <w:marLeft w:val="0"/>
      <w:marRight w:val="0"/>
      <w:marTop w:val="0"/>
      <w:marBottom w:val="0"/>
      <w:divBdr>
        <w:top w:val="none" w:sz="0" w:space="0" w:color="auto"/>
        <w:left w:val="none" w:sz="0" w:space="0" w:color="auto"/>
        <w:bottom w:val="none" w:sz="0" w:space="0" w:color="auto"/>
        <w:right w:val="none" w:sz="0" w:space="0" w:color="auto"/>
      </w:divBdr>
    </w:div>
    <w:div w:id="179459736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111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UNEP/OzL.Pro/ExCom/86/35</Document_x0020_Number>
    <Posted_x0020_after_x0020_IAP xmlns="5ee7b459-7658-46de-b3a9-b270cabc2a0e">true</Posted_x0020_after_x0020_IAP>
  </documentManagement>
</p:properties>
</file>

<file path=customXml/itemProps1.xml><?xml version="1.0" encoding="utf-8"?>
<ds:datastoreItem xmlns:ds="http://schemas.openxmlformats.org/officeDocument/2006/customXml" ds:itemID="{4AF04437-64A1-45B1-8587-521AA30D4D1D}"/>
</file>

<file path=customXml/itemProps2.xml><?xml version="1.0" encoding="utf-8"?>
<ds:datastoreItem xmlns:ds="http://schemas.openxmlformats.org/officeDocument/2006/customXml" ds:itemID="{1DAF4D30-AAC1-4F2A-B7BD-0B4285978EDF}"/>
</file>

<file path=customXml/itemProps3.xml><?xml version="1.0" encoding="utf-8"?>
<ds:datastoreItem xmlns:ds="http://schemas.openxmlformats.org/officeDocument/2006/customXml" ds:itemID="{76C5E8C3-D730-44D1-83AD-A34B33057CDE}"/>
</file>

<file path=customXml/itemProps4.xml><?xml version="1.0" encoding="utf-8"?>
<ds:datastoreItem xmlns:ds="http://schemas.openxmlformats.org/officeDocument/2006/customXml" ds:itemID="{F6289BE0-C70B-405B-BA7C-51962C085DB9}"/>
</file>

<file path=docProps/app.xml><?xml version="1.0" encoding="utf-8"?>
<Properties xmlns="http://schemas.openxmlformats.org/officeDocument/2006/extended-properties" xmlns:vt="http://schemas.openxmlformats.org/officeDocument/2006/docPropsVTypes">
  <Template>Normal</Template>
  <TotalTime>410</TotalTime>
  <Pages>10</Pages>
  <Words>3937</Words>
  <Characters>22446</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Amendements au programme de travail de l’ONUDI pour l’année 2020</vt:lpstr>
      <vt:lpstr>UNIDO's work programme amendments for 2020</vt:lpstr>
    </vt:vector>
  </TitlesOfParts>
  <Company>UNMFS</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Amendements au programme de travail de l’ONUDI pour l’année 2020</dc:title>
  <dc:creator/>
  <cp:lastModifiedBy>HB</cp:lastModifiedBy>
  <cp:revision>21</cp:revision>
  <cp:lastPrinted>2020-11-13T15:48:00Z</cp:lastPrinted>
  <dcterms:created xsi:type="dcterms:W3CDTF">2020-11-12T11:13:00Z</dcterms:created>
  <dcterms:modified xsi:type="dcterms:W3CDTF">2020-11-26T03:16:00Z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UNEP/OzL.Pro/ExCom/86/35</vt:lpwstr>
  </property>
  <property fmtid="{D5CDD505-2E9C-101B-9397-08002B2CF9AE}" pid="3" name="Revision date">
    <vt:lpwstr>11/2/2020</vt:lpwstr>
  </property>
  <property fmtid="{D5CDD505-2E9C-101B-9397-08002B2CF9AE}" pid="4" name="ContentTypeId">
    <vt:lpwstr>0x01010021475DA1A9724F448487545E7E03A732</vt:lpwstr>
  </property>
</Properties>
</file>