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5" w:type="dxa"/>
        <w:tblInd w:w="-432" w:type="dxa"/>
        <w:tblLayout w:type="fixed"/>
        <w:tblLook w:val="0000" w:firstRow="0" w:lastRow="0" w:firstColumn="0" w:lastColumn="0" w:noHBand="0" w:noVBand="0"/>
      </w:tblPr>
      <w:tblGrid>
        <w:gridCol w:w="2070"/>
        <w:gridCol w:w="4991"/>
        <w:gridCol w:w="3544"/>
      </w:tblGrid>
      <w:tr w:rsidR="00441083" w14:paraId="1DB4A84F" w14:textId="77777777">
        <w:trPr>
          <w:trHeight w:val="720"/>
        </w:trPr>
        <w:tc>
          <w:tcPr>
            <w:tcW w:w="7061" w:type="dxa"/>
            <w:gridSpan w:val="2"/>
            <w:tcBorders>
              <w:bottom w:val="single" w:sz="18" w:space="0" w:color="auto"/>
            </w:tcBorders>
          </w:tcPr>
          <w:p w14:paraId="531A5C49" w14:textId="77777777"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rPr>
            </w:pPr>
            <w:r>
              <w:rPr>
                <w:rFonts w:ascii="Univers" w:hAnsi="Univers"/>
                <w:b/>
                <w:sz w:val="28"/>
                <w:szCs w:val="28"/>
              </w:rPr>
              <w:t>NATIONS</w:t>
            </w:r>
          </w:p>
          <w:p w14:paraId="35532BF2" w14:textId="77777777"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Univers" w:hAnsi="Univers"/>
                <w:b/>
                <w:sz w:val="28"/>
                <w:szCs w:val="28"/>
              </w:rPr>
              <w:t xml:space="preserve">UNIES </w:t>
            </w:r>
          </w:p>
        </w:tc>
        <w:tc>
          <w:tcPr>
            <w:tcW w:w="3544" w:type="dxa"/>
            <w:tcBorders>
              <w:bottom w:val="single" w:sz="18" w:space="0" w:color="auto"/>
            </w:tcBorders>
          </w:tcPr>
          <w:p w14:paraId="52C9AB12" w14:textId="77777777" w:rsidR="00441083" w:rsidRDefault="00E60D9C">
            <w:pPr>
              <w:tabs>
                <w:tab w:val="left" w:pos="3010"/>
              </w:tabs>
              <w:jc w:val="center"/>
              <w:rPr>
                <w:sz w:val="52"/>
                <w:szCs w:val="52"/>
              </w:rPr>
            </w:pPr>
            <w:r>
              <w:rPr>
                <w:rFonts w:ascii="Univers Bold" w:hAnsi="Univers Bold"/>
                <w:b/>
                <w:sz w:val="72"/>
                <w:lang w:val="fr-CA"/>
              </w:rPr>
              <w:t xml:space="preserve">          EP</w:t>
            </w:r>
          </w:p>
        </w:tc>
      </w:tr>
      <w:tr w:rsidR="00441083" w14:paraId="2A1DB6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36A99F37" w14:textId="77777777" w:rsidR="00441083" w:rsidRDefault="00C6443E">
            <w:pPr>
              <w:spacing w:before="120"/>
            </w:pPr>
            <w:r>
              <w:rPr>
                <w:noProof/>
                <w:lang w:val="en-US"/>
              </w:rPr>
              <w:drawing>
                <wp:anchor distT="0" distB="0" distL="114300" distR="114300" simplePos="0" relativeHeight="251660288" behindDoc="0" locked="0" layoutInCell="1" allowOverlap="1" wp14:anchorId="270F6552" wp14:editId="72D081FB">
                  <wp:simplePos x="0" y="0"/>
                  <wp:positionH relativeFrom="column">
                    <wp:posOffset>343535</wp:posOffset>
                  </wp:positionH>
                  <wp:positionV relativeFrom="paragraph">
                    <wp:posOffset>920115</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001C3D0C">
              <w:rPr>
                <w:noProof/>
                <w:lang w:val="en-US"/>
              </w:rPr>
              <w:drawing>
                <wp:anchor distT="0" distB="0" distL="114300" distR="114300" simplePos="0" relativeHeight="251661312" behindDoc="1" locked="0" layoutInCell="0" allowOverlap="1" wp14:anchorId="1236F521" wp14:editId="6166AB68">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991" w:type="dxa"/>
            <w:tcBorders>
              <w:top w:val="nil"/>
              <w:left w:val="nil"/>
              <w:bottom w:val="single" w:sz="36" w:space="0" w:color="auto"/>
              <w:right w:val="nil"/>
            </w:tcBorders>
          </w:tcPr>
          <w:p w14:paraId="244DC385" w14:textId="77777777" w:rsidR="00441083" w:rsidRDefault="0044108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p>
          <w:p w14:paraId="5652842E" w14:textId="77777777"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r>
              <w:rPr>
                <w:rFonts w:ascii="Univers" w:hAnsi="Univers"/>
                <w:b/>
                <w:sz w:val="32"/>
                <w:lang w:val="fr-CA"/>
              </w:rPr>
              <w:t>Programme des</w:t>
            </w:r>
          </w:p>
          <w:p w14:paraId="36A5C1C3" w14:textId="77777777" w:rsidR="00441083" w:rsidRDefault="00E60D9C">
            <w:pPr>
              <w:rPr>
                <w:rFonts w:ascii="Univers" w:hAnsi="Univers"/>
                <w:b/>
                <w:sz w:val="32"/>
                <w:lang w:val="fr-CA"/>
              </w:rPr>
            </w:pPr>
            <w:r>
              <w:rPr>
                <w:rFonts w:ascii="Univers" w:hAnsi="Univers"/>
                <w:b/>
                <w:sz w:val="32"/>
                <w:lang w:val="fr-CA"/>
              </w:rPr>
              <w:t>Nations Unies pour</w:t>
            </w:r>
          </w:p>
          <w:p w14:paraId="100722A5" w14:textId="77777777" w:rsidR="00441083" w:rsidRDefault="00E60D9C">
            <w:pPr>
              <w:rPr>
                <w:rFonts w:ascii="Univers" w:hAnsi="Univers"/>
                <w:b/>
                <w:sz w:val="32"/>
                <w:lang w:val="fr-CA"/>
              </w:rPr>
            </w:pPr>
            <w:r>
              <w:rPr>
                <w:rFonts w:ascii="Univers" w:hAnsi="Univers"/>
                <w:b/>
                <w:sz w:val="32"/>
                <w:lang w:val="fr-CA"/>
              </w:rPr>
              <w:t>l’environnement</w:t>
            </w:r>
          </w:p>
          <w:p w14:paraId="7CC8CE62" w14:textId="77777777" w:rsidR="00441083" w:rsidRDefault="00E60D9C">
            <w:pPr>
              <w:spacing w:before="720"/>
              <w:ind w:left="158"/>
              <w:rPr>
                <w:lang w:val="fr-FR"/>
              </w:rPr>
            </w:pPr>
            <w:r>
              <w:rPr>
                <w:lang w:val="fr-FR"/>
              </w:rPr>
              <w:t xml:space="preserve"> </w:t>
            </w:r>
          </w:p>
        </w:tc>
        <w:tc>
          <w:tcPr>
            <w:tcW w:w="3544" w:type="dxa"/>
            <w:tcBorders>
              <w:top w:val="nil"/>
              <w:left w:val="nil"/>
              <w:bottom w:val="single" w:sz="36" w:space="0" w:color="auto"/>
              <w:right w:val="nil"/>
            </w:tcBorders>
          </w:tcPr>
          <w:p w14:paraId="3EA27984" w14:textId="77777777" w:rsidR="00441083" w:rsidRDefault="00441083">
            <w:pPr>
              <w:rPr>
                <w:lang w:val="fr-FR"/>
              </w:rPr>
            </w:pPr>
          </w:p>
          <w:p w14:paraId="7A1C96CA" w14:textId="77777777" w:rsidR="00441083" w:rsidRPr="00DD3433" w:rsidRDefault="00E60D9C">
            <w:pPr>
              <w:rPr>
                <w:lang w:val="fr-FR"/>
              </w:rPr>
            </w:pPr>
            <w:r w:rsidRPr="00DD3433">
              <w:rPr>
                <w:lang w:val="fr-FR"/>
              </w:rPr>
              <w:t>Distr.</w:t>
            </w:r>
          </w:p>
          <w:p w14:paraId="35D1BB6B" w14:textId="77777777" w:rsidR="00441083" w:rsidRPr="00DD3433" w:rsidRDefault="00E60D9C" w:rsidP="00DD3433">
            <w:pPr>
              <w:rPr>
                <w:lang w:val="fr-FR"/>
              </w:rPr>
            </w:pPr>
            <w:r w:rsidRPr="00DD3433">
              <w:rPr>
                <w:lang w:val="fr-FR"/>
              </w:rPr>
              <w:t>G</w:t>
            </w:r>
            <w:r w:rsidR="00DD3433" w:rsidRPr="00DD3433">
              <w:rPr>
                <w:lang w:val="fr-FR"/>
              </w:rPr>
              <w:t>É</w:t>
            </w:r>
            <w:r w:rsidRPr="00DD3433">
              <w:rPr>
                <w:lang w:val="fr-FR"/>
              </w:rPr>
              <w:t>N</w:t>
            </w:r>
            <w:r w:rsidR="00DD3433" w:rsidRPr="00DD3433">
              <w:rPr>
                <w:lang w:val="fr-FR"/>
              </w:rPr>
              <w:t>É</w:t>
            </w:r>
            <w:r w:rsidRPr="00DD3433">
              <w:rPr>
                <w:lang w:val="fr-FR"/>
              </w:rPr>
              <w:t>RAL</w:t>
            </w:r>
            <w:r w:rsidR="00FF3CF1" w:rsidRPr="00DD3433">
              <w:rPr>
                <w:lang w:val="fr-FR"/>
              </w:rPr>
              <w:t>E</w:t>
            </w:r>
          </w:p>
          <w:p w14:paraId="4A0FD169" w14:textId="77777777" w:rsidR="00441083" w:rsidRPr="00DD3433" w:rsidRDefault="00441083">
            <w:pPr>
              <w:rPr>
                <w:lang w:val="fr-FR"/>
              </w:rPr>
            </w:pPr>
          </w:p>
          <w:p w14:paraId="5BE1854E" w14:textId="1D7DBD1D" w:rsidR="00441083" w:rsidRPr="00FF3CF1" w:rsidRDefault="00E60D9C">
            <w:pPr>
              <w:rPr>
                <w:lang w:val="fr-FR"/>
              </w:rPr>
            </w:pPr>
            <w:r>
              <w:fldChar w:fldCharType="begin"/>
            </w:r>
            <w:r w:rsidRPr="00DD3433">
              <w:rPr>
                <w:lang w:val="fr-FR"/>
              </w:rPr>
              <w:instrText xml:space="preserve"> DOCPROPERTY "Document number"  \* MERGEFORMAT </w:instrText>
            </w:r>
            <w:r>
              <w:fldChar w:fldCharType="separate"/>
            </w:r>
            <w:r w:rsidR="00497523">
              <w:rPr>
                <w:lang w:val="fr-FR"/>
              </w:rPr>
              <w:t>UNEP/OzL.Pro/ExCom/86/33</w:t>
            </w:r>
            <w:r>
              <w:fldChar w:fldCharType="end"/>
            </w:r>
          </w:p>
          <w:p w14:paraId="75C3EB35" w14:textId="171A2B70" w:rsidR="002F0B57" w:rsidRPr="00FF3CF1" w:rsidRDefault="002F0B57" w:rsidP="000F6C8E">
            <w:pPr>
              <w:rPr>
                <w:lang w:val="fr-FR"/>
              </w:rPr>
            </w:pPr>
            <w:r>
              <w:fldChar w:fldCharType="begin"/>
            </w:r>
            <w:r w:rsidRPr="00FF3CF1">
              <w:rPr>
                <w:lang w:val="fr-FR"/>
              </w:rPr>
              <w:instrText xml:space="preserve"> DOCPROPERTY "Revision date" \@ "d MMMM YYYY"  \* MERGEFORMAT </w:instrText>
            </w:r>
            <w:r>
              <w:fldChar w:fldCharType="separate"/>
            </w:r>
            <w:r w:rsidR="00497523">
              <w:rPr>
                <w:lang w:val="fr-FR"/>
              </w:rPr>
              <w:t>2 novembre 2020</w:t>
            </w:r>
            <w:r>
              <w:fldChar w:fldCharType="end"/>
            </w:r>
          </w:p>
          <w:p w14:paraId="78234357" w14:textId="77777777" w:rsidR="00441083" w:rsidRDefault="00FC5578">
            <w:pPr>
              <w:rPr>
                <w:caps/>
                <w:lang w:val="fr-FR"/>
              </w:rPr>
            </w:pPr>
            <w:r w:rsidRPr="00FF3CF1">
              <w:rPr>
                <w:caps/>
                <w:lang w:val="fr-FR"/>
              </w:rPr>
              <w:br/>
            </w:r>
            <w:r w:rsidR="00E60D9C">
              <w:rPr>
                <w:caps/>
                <w:lang w:val="fr-FR"/>
              </w:rPr>
              <w:t>FRANÇAIS</w:t>
            </w:r>
          </w:p>
          <w:p w14:paraId="7BDB60CE" w14:textId="77777777" w:rsidR="00441083" w:rsidRDefault="00E60D9C">
            <w:r>
              <w:t xml:space="preserve">ORIGINAL: </w:t>
            </w:r>
            <w:r w:rsidR="0091161A">
              <w:t>ANGLAIS</w:t>
            </w:r>
          </w:p>
        </w:tc>
      </w:tr>
    </w:tbl>
    <w:p w14:paraId="51004259" w14:textId="77777777" w:rsidR="00441083" w:rsidRDefault="00441083">
      <w:pPr>
        <w:jc w:val="left"/>
        <w:rPr>
          <w:lang w:val="fr-CA"/>
        </w:rPr>
      </w:pPr>
    </w:p>
    <w:p w14:paraId="11FE2168" w14:textId="77777777" w:rsidR="00441083" w:rsidRDefault="00E60D9C" w:rsidP="00DD3433">
      <w:pPr>
        <w:jc w:val="left"/>
        <w:rPr>
          <w:lang w:val="fr-CA"/>
        </w:rPr>
      </w:pPr>
      <w:r>
        <w:rPr>
          <w:lang w:val="fr-CA"/>
        </w:rPr>
        <w:t>COMIT</w:t>
      </w:r>
      <w:r w:rsidR="00DD3433">
        <w:rPr>
          <w:lang w:val="fr-CA"/>
        </w:rPr>
        <w:t>É</w:t>
      </w:r>
      <w:r>
        <w:rPr>
          <w:lang w:val="fr-CA"/>
        </w:rPr>
        <w:t xml:space="preserve"> EX</w:t>
      </w:r>
      <w:r w:rsidR="00DD3433">
        <w:rPr>
          <w:lang w:val="fr-CA"/>
        </w:rPr>
        <w:t xml:space="preserve">ÉCUTIF </w:t>
      </w:r>
      <w:r w:rsidR="00DD3433">
        <w:rPr>
          <w:lang w:val="fr-CA"/>
        </w:rPr>
        <w:br/>
        <w:t xml:space="preserve">  DU FONDS MULTILATÉ</w:t>
      </w:r>
      <w:r>
        <w:rPr>
          <w:lang w:val="fr-CA"/>
        </w:rPr>
        <w:t xml:space="preserve">RAL AUX FINS </w:t>
      </w:r>
      <w:r>
        <w:rPr>
          <w:lang w:val="fr-CA"/>
        </w:rPr>
        <w:br/>
        <w:t xml:space="preserve">  D’APPLICATION DU PROTOCOLE DE MONTR</w:t>
      </w:r>
      <w:r w:rsidR="00DD3433">
        <w:rPr>
          <w:lang w:val="fr-CA"/>
        </w:rPr>
        <w:t>É</w:t>
      </w:r>
      <w:r>
        <w:rPr>
          <w:lang w:val="fr-CA"/>
        </w:rPr>
        <w:t>AL</w:t>
      </w:r>
      <w:r>
        <w:rPr>
          <w:lang w:val="fr-CA"/>
        </w:rPr>
        <w:br/>
      </w:r>
      <w:r w:rsidR="00E54871">
        <w:rPr>
          <w:lang w:val="fr-CA"/>
        </w:rPr>
        <w:t>Quatre</w:t>
      </w:r>
      <w:r>
        <w:rPr>
          <w:lang w:val="fr-CA"/>
        </w:rPr>
        <w:t>-</w:t>
      </w:r>
      <w:r w:rsidR="00E54871">
        <w:rPr>
          <w:lang w:val="fr-CA"/>
        </w:rPr>
        <w:t>vingt</w:t>
      </w:r>
      <w:r w:rsidR="009666A1">
        <w:rPr>
          <w:lang w:val="fr-CA"/>
        </w:rPr>
        <w:t>-</w:t>
      </w:r>
      <w:r w:rsidR="009568BB">
        <w:rPr>
          <w:lang w:val="fr-CA"/>
        </w:rPr>
        <w:t>six</w:t>
      </w:r>
      <w:r w:rsidR="004C2C87">
        <w:rPr>
          <w:lang w:val="fr-CA"/>
        </w:rPr>
        <w:t>i</w:t>
      </w:r>
      <w:r w:rsidR="00E54871">
        <w:rPr>
          <w:lang w:val="fr-CA"/>
        </w:rPr>
        <w:t>ème</w:t>
      </w:r>
      <w:r w:rsidR="00FC5578" w:rsidRPr="00FC5578">
        <w:rPr>
          <w:lang w:val="fr-CA"/>
        </w:rPr>
        <w:t xml:space="preserve"> </w:t>
      </w:r>
      <w:r>
        <w:rPr>
          <w:lang w:val="fr-CA"/>
        </w:rPr>
        <w:t>réunion</w:t>
      </w:r>
    </w:p>
    <w:p w14:paraId="5D545AC9" w14:textId="77777777" w:rsidR="00C27322" w:rsidRDefault="00C27322" w:rsidP="00C27322">
      <w:pPr>
        <w:jc w:val="left"/>
        <w:rPr>
          <w:lang w:val="fr-CA"/>
        </w:rPr>
      </w:pPr>
      <w:r>
        <w:rPr>
          <w:lang w:val="fr-CA"/>
        </w:rPr>
        <w:t>Montr</w:t>
      </w:r>
      <w:r w:rsidRPr="00920DEF">
        <w:rPr>
          <w:lang w:val="fr-CA"/>
        </w:rPr>
        <w:t>é</w:t>
      </w:r>
      <w:r>
        <w:rPr>
          <w:lang w:val="fr-CA"/>
        </w:rPr>
        <w:t>al, 2</w:t>
      </w:r>
      <w:r w:rsidR="00812387">
        <w:rPr>
          <w:lang w:val="fr-CA"/>
        </w:rPr>
        <w:t xml:space="preserve"> – 6 novembre</w:t>
      </w:r>
      <w:r>
        <w:rPr>
          <w:lang w:val="fr-CA"/>
        </w:rPr>
        <w:t xml:space="preserve"> 2020</w:t>
      </w:r>
    </w:p>
    <w:p w14:paraId="082BC038" w14:textId="77777777" w:rsidR="00441083" w:rsidRDefault="00C27322" w:rsidP="00AC013C">
      <w:pPr>
        <w:jc w:val="left"/>
        <w:rPr>
          <w:lang w:val="fr-CA"/>
        </w:rPr>
      </w:pPr>
      <w:r>
        <w:rPr>
          <w:lang w:val="fr-CA"/>
        </w:rPr>
        <w:t>Reportée:</w:t>
      </w:r>
      <w:r w:rsidR="00FC5578">
        <w:rPr>
          <w:lang w:val="fr-CA"/>
        </w:rPr>
        <w:t xml:space="preserve"> </w:t>
      </w:r>
      <w:r w:rsidR="00812387">
        <w:rPr>
          <w:lang w:val="fr-CA"/>
        </w:rPr>
        <w:t>8</w:t>
      </w:r>
      <w:r w:rsidR="00AC013C">
        <w:rPr>
          <w:lang w:val="fr-CA"/>
        </w:rPr>
        <w:t xml:space="preserve"> </w:t>
      </w:r>
      <w:r w:rsidR="00E60D9C">
        <w:rPr>
          <w:lang w:val="fr-CA"/>
        </w:rPr>
        <w:t xml:space="preserve">– </w:t>
      </w:r>
      <w:r w:rsidR="00812387">
        <w:rPr>
          <w:lang w:val="fr-CA"/>
        </w:rPr>
        <w:t>1</w:t>
      </w:r>
      <w:r w:rsidR="009666A1">
        <w:rPr>
          <w:lang w:val="fr-CA"/>
        </w:rPr>
        <w:t xml:space="preserve">2 </w:t>
      </w:r>
      <w:r w:rsidR="00812387">
        <w:rPr>
          <w:lang w:val="fr-CA"/>
        </w:rPr>
        <w:t>mars</w:t>
      </w:r>
      <w:r w:rsidR="009666A1">
        <w:rPr>
          <w:lang w:val="fr-CA"/>
        </w:rPr>
        <w:t xml:space="preserve"> 202</w:t>
      </w:r>
      <w:r w:rsidR="00812387">
        <w:rPr>
          <w:lang w:val="fr-CA"/>
        </w:rPr>
        <w:t>1</w:t>
      </w:r>
      <w:r w:rsidR="00F8628C">
        <w:rPr>
          <w:rStyle w:val="FootnoteReference"/>
          <w:lang w:val="fr-CA"/>
        </w:rPr>
        <w:footnoteReference w:id="1"/>
      </w:r>
    </w:p>
    <w:p w14:paraId="1179C6BD" w14:textId="77777777" w:rsidR="00441083" w:rsidRDefault="00441083">
      <w:pPr>
        <w:jc w:val="left"/>
        <w:rPr>
          <w:lang w:val="fr-CA"/>
        </w:rPr>
      </w:pPr>
    </w:p>
    <w:p w14:paraId="07CA0273" w14:textId="77777777" w:rsidR="00F8628C" w:rsidRDefault="00F8628C">
      <w:pPr>
        <w:jc w:val="left"/>
        <w:rPr>
          <w:lang w:val="fr-CA"/>
        </w:rPr>
      </w:pPr>
    </w:p>
    <w:p w14:paraId="6BCCBBAF" w14:textId="77777777" w:rsidR="00F8628C" w:rsidRDefault="00F8628C">
      <w:pPr>
        <w:jc w:val="left"/>
        <w:rPr>
          <w:lang w:val="fr-CA"/>
        </w:rPr>
      </w:pPr>
    </w:p>
    <w:p w14:paraId="28491479" w14:textId="77777777" w:rsidR="00441083" w:rsidRDefault="00441083">
      <w:pPr>
        <w:pStyle w:val="Heading3"/>
        <w:spacing w:after="0"/>
        <w:rPr>
          <w:lang w:val="fr-FR"/>
        </w:rPr>
      </w:pPr>
    </w:p>
    <w:p w14:paraId="39B2988A" w14:textId="77777777" w:rsidR="00F8628C" w:rsidRDefault="00F8628C">
      <w:pPr>
        <w:pStyle w:val="Title1"/>
        <w:rPr>
          <w:lang w:val="fr-FR"/>
        </w:rPr>
      </w:pPr>
      <w:bookmarkStart w:id="0" w:name="_GoBack"/>
      <w:bookmarkEnd w:id="0"/>
    </w:p>
    <w:p w14:paraId="1392AD2B" w14:textId="77777777" w:rsidR="00F8628C" w:rsidRDefault="00F8628C">
      <w:pPr>
        <w:pStyle w:val="Title1"/>
        <w:rPr>
          <w:lang w:val="fr-FR"/>
        </w:rPr>
      </w:pPr>
    </w:p>
    <w:p w14:paraId="7D0A0596" w14:textId="77777777" w:rsidR="00F8628C" w:rsidRDefault="00F8628C">
      <w:pPr>
        <w:pStyle w:val="Title1"/>
        <w:rPr>
          <w:lang w:val="fr-FR"/>
        </w:rPr>
      </w:pPr>
    </w:p>
    <w:p w14:paraId="4AB6613B" w14:textId="77777777" w:rsidR="00497523" w:rsidRDefault="00920DEF">
      <w:pPr>
        <w:jc w:val="center"/>
        <w:rPr>
          <w:b/>
          <w:bCs/>
          <w:lang w:val="fr-CA"/>
        </w:rPr>
      </w:pPr>
      <w:r>
        <w:rPr>
          <w:b/>
          <w:bCs/>
          <w:lang w:val="fr-CA"/>
        </w:rPr>
        <w:t xml:space="preserve">AMENDEMENTS AU PROGRAMME DE TRAVAIL DU PNUD </w:t>
      </w:r>
    </w:p>
    <w:p w14:paraId="048549D3" w14:textId="1301E4E2" w:rsidR="00441083" w:rsidRDefault="00920DEF">
      <w:pPr>
        <w:jc w:val="center"/>
        <w:rPr>
          <w:lang w:val="fr-CA"/>
        </w:rPr>
      </w:pPr>
      <w:r>
        <w:rPr>
          <w:b/>
          <w:bCs/>
          <w:lang w:val="fr-CA"/>
        </w:rPr>
        <w:t>POUR L’ANNÉE 2020</w:t>
      </w:r>
    </w:p>
    <w:p w14:paraId="086DE0B9" w14:textId="77777777" w:rsidR="00441083" w:rsidRDefault="00441083">
      <w:pPr>
        <w:jc w:val="center"/>
        <w:rPr>
          <w:lang w:val="fr-CA"/>
        </w:rPr>
      </w:pPr>
    </w:p>
    <w:p w14:paraId="7A52CE1A" w14:textId="77777777" w:rsidR="00441083" w:rsidRDefault="00441083">
      <w:pPr>
        <w:jc w:val="center"/>
        <w:rPr>
          <w:lang w:val="fr-CA"/>
        </w:rPr>
      </w:pPr>
    </w:p>
    <w:p w14:paraId="55B9C4CA" w14:textId="77777777" w:rsidR="00C27322" w:rsidRDefault="00C27322" w:rsidP="00C27322">
      <w:pPr>
        <w:pStyle w:val="StyleHeading1Para1Heading1CharHeading1Char3CharHeadin"/>
        <w:rPr>
          <w:lang w:val="fr-CA"/>
        </w:rPr>
      </w:pPr>
    </w:p>
    <w:p w14:paraId="52BF5146" w14:textId="77777777" w:rsidR="00C27322" w:rsidRPr="00C27322" w:rsidRDefault="00C27322" w:rsidP="00C27322">
      <w:pPr>
        <w:pStyle w:val="StyleHeader4Para4Left0Firstline0"/>
        <w:numPr>
          <w:ilvl w:val="0"/>
          <w:numId w:val="0"/>
        </w:numPr>
        <w:ind w:left="360"/>
        <w:rPr>
          <w:lang w:val="fr-CA"/>
        </w:rPr>
      </w:pPr>
      <w:r w:rsidRPr="00C27322">
        <w:rPr>
          <w:lang w:val="fr-CA"/>
        </w:rPr>
        <w:br w:type="page"/>
      </w:r>
    </w:p>
    <w:p w14:paraId="109DC6BF" w14:textId="77777777" w:rsidR="00C27322" w:rsidRDefault="00F8628C" w:rsidP="00F8628C">
      <w:pPr>
        <w:pStyle w:val="StyleHeading1Para1Heading1CharHeading1Char3CharHeadin"/>
        <w:ind w:left="360"/>
        <w:jc w:val="center"/>
        <w:rPr>
          <w:b/>
          <w:lang w:val="fr-CA"/>
        </w:rPr>
      </w:pPr>
      <w:r>
        <w:rPr>
          <w:b/>
          <w:lang w:val="fr-CA"/>
        </w:rPr>
        <w:lastRenderedPageBreak/>
        <w:t xml:space="preserve">OBSERVATIONS ET RECOMMANDATION DU SECRÉTARIAT DU FONDS </w:t>
      </w:r>
    </w:p>
    <w:p w14:paraId="0FDE3879" w14:textId="743CD368" w:rsidR="005116D7" w:rsidRDefault="00F8628C" w:rsidP="00747813">
      <w:pPr>
        <w:pStyle w:val="StyleHeading1Para1Heading1CharHeading1Char3CharHeadin"/>
        <w:numPr>
          <w:ilvl w:val="0"/>
          <w:numId w:val="25"/>
        </w:numPr>
        <w:tabs>
          <w:tab w:val="clear" w:pos="720"/>
          <w:tab w:val="left" w:pos="0"/>
        </w:tabs>
        <w:ind w:left="0" w:firstLine="0"/>
        <w:rPr>
          <w:lang w:val="fr-CA"/>
        </w:rPr>
      </w:pPr>
      <w:r>
        <w:rPr>
          <w:lang w:val="fr-CA"/>
        </w:rPr>
        <w:t xml:space="preserve">Le PNUD demande au Comité exécutif d’approuver le montant de 2 664 329 $US, plus des coûts d’appui d’agence de 187 103 $US, pour les amendements de son programme de </w:t>
      </w:r>
      <w:r w:rsidR="002D0F5A">
        <w:rPr>
          <w:lang w:val="fr-CA"/>
        </w:rPr>
        <w:t xml:space="preserve">travail de </w:t>
      </w:r>
      <w:r w:rsidR="00CF4E76">
        <w:rPr>
          <w:lang w:val="fr-CA"/>
        </w:rPr>
        <w:t xml:space="preserve">2020 </w:t>
      </w:r>
      <w:r w:rsidR="005F4996">
        <w:rPr>
          <w:lang w:val="fr-CA"/>
        </w:rPr>
        <w:t>indiqués</w:t>
      </w:r>
      <w:r>
        <w:rPr>
          <w:lang w:val="fr-CA"/>
        </w:rPr>
        <w:t xml:space="preserve"> au tableau 1</w:t>
      </w:r>
      <w:r>
        <w:rPr>
          <w:rStyle w:val="FootnoteReference"/>
          <w:lang w:val="fr-CA"/>
        </w:rPr>
        <w:footnoteReference w:id="2"/>
      </w:r>
      <w:r w:rsidR="00BA3485">
        <w:rPr>
          <w:lang w:val="fr-CA"/>
        </w:rPr>
        <w:t xml:space="preserve">. </w:t>
      </w:r>
      <w:r w:rsidR="005F4996">
        <w:rPr>
          <w:lang w:val="fr-CA"/>
        </w:rPr>
        <w:t>La demande est jointe au présent document.</w:t>
      </w:r>
    </w:p>
    <w:p w14:paraId="5B293E71" w14:textId="77777777" w:rsidR="005116D7" w:rsidRPr="002D0F5A" w:rsidRDefault="005116D7" w:rsidP="005116D7">
      <w:pPr>
        <w:pStyle w:val="Heading1"/>
        <w:spacing w:after="0"/>
        <w:rPr>
          <w:b/>
          <w:lang w:val="fr-FR"/>
        </w:rPr>
      </w:pPr>
      <w:r w:rsidRPr="002D0F5A">
        <w:rPr>
          <w:b/>
          <w:lang w:val="fr-FR"/>
        </w:rPr>
        <w:t>Tableau 1: Amendements au programme de travail du PNUD pour 2020</w:t>
      </w:r>
    </w:p>
    <w:tbl>
      <w:tblPr>
        <w:tblW w:w="525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84"/>
        <w:gridCol w:w="5812"/>
        <w:gridCol w:w="1133"/>
        <w:gridCol w:w="1419"/>
      </w:tblGrid>
      <w:tr w:rsidR="002D0F5A" w:rsidRPr="002D0F5A" w14:paraId="39D40B26" w14:textId="77777777" w:rsidTr="0045311B">
        <w:trPr>
          <w:trHeight w:val="690"/>
          <w:tblHeader/>
        </w:trPr>
        <w:tc>
          <w:tcPr>
            <w:tcW w:w="845" w:type="pct"/>
            <w:gridSpan w:val="2"/>
          </w:tcPr>
          <w:p w14:paraId="584D4FA3" w14:textId="77777777" w:rsidR="005116D7" w:rsidRPr="002D0F5A" w:rsidRDefault="005116D7" w:rsidP="005116D7">
            <w:pPr>
              <w:jc w:val="center"/>
              <w:rPr>
                <w:b/>
                <w:color w:val="000000" w:themeColor="text1"/>
                <w:sz w:val="20"/>
                <w:szCs w:val="20"/>
                <w:lang w:val="fr-FR"/>
              </w:rPr>
            </w:pPr>
            <w:r w:rsidRPr="002D0F5A">
              <w:rPr>
                <w:b/>
                <w:color w:val="000000" w:themeColor="text1"/>
                <w:sz w:val="20"/>
                <w:szCs w:val="20"/>
                <w:lang w:val="fr-FR"/>
              </w:rPr>
              <w:t>Pays</w:t>
            </w:r>
          </w:p>
        </w:tc>
        <w:tc>
          <w:tcPr>
            <w:tcW w:w="2887" w:type="pct"/>
          </w:tcPr>
          <w:p w14:paraId="28F51135" w14:textId="77777777" w:rsidR="005116D7" w:rsidRPr="002D0F5A" w:rsidRDefault="005116D7" w:rsidP="005116D7">
            <w:pPr>
              <w:jc w:val="center"/>
              <w:rPr>
                <w:b/>
                <w:color w:val="000000" w:themeColor="text1"/>
                <w:sz w:val="20"/>
                <w:szCs w:val="20"/>
                <w:lang w:val="fr-FR"/>
              </w:rPr>
            </w:pPr>
            <w:r w:rsidRPr="002D0F5A">
              <w:rPr>
                <w:b/>
                <w:color w:val="000000" w:themeColor="text1"/>
                <w:sz w:val="20"/>
                <w:szCs w:val="20"/>
                <w:lang w:val="fr-FR"/>
              </w:rPr>
              <w:t>Activité/Projet</w:t>
            </w:r>
          </w:p>
        </w:tc>
        <w:tc>
          <w:tcPr>
            <w:tcW w:w="563" w:type="pct"/>
          </w:tcPr>
          <w:p w14:paraId="5CA1F4CB" w14:textId="77777777" w:rsidR="005116D7" w:rsidRPr="002D0F5A" w:rsidRDefault="005116D7" w:rsidP="005116D7">
            <w:pPr>
              <w:jc w:val="center"/>
              <w:rPr>
                <w:b/>
                <w:color w:val="000000" w:themeColor="text1"/>
                <w:sz w:val="20"/>
                <w:szCs w:val="20"/>
                <w:lang w:val="fr-FR"/>
              </w:rPr>
            </w:pPr>
            <w:r w:rsidRPr="002D0F5A">
              <w:rPr>
                <w:b/>
                <w:color w:val="000000" w:themeColor="text1"/>
                <w:sz w:val="20"/>
                <w:szCs w:val="20"/>
                <w:lang w:val="fr-FR"/>
              </w:rPr>
              <w:t>Montant demandé ($ US)</w:t>
            </w:r>
          </w:p>
        </w:tc>
        <w:tc>
          <w:tcPr>
            <w:tcW w:w="705" w:type="pct"/>
          </w:tcPr>
          <w:p w14:paraId="4C390815" w14:textId="77777777" w:rsidR="005116D7" w:rsidRPr="002D0F5A" w:rsidRDefault="005116D7" w:rsidP="005116D7">
            <w:pPr>
              <w:jc w:val="center"/>
              <w:rPr>
                <w:b/>
                <w:color w:val="000000" w:themeColor="text1"/>
                <w:sz w:val="20"/>
                <w:szCs w:val="20"/>
                <w:lang w:val="fr-FR"/>
              </w:rPr>
            </w:pPr>
            <w:r w:rsidRPr="002D0F5A">
              <w:rPr>
                <w:b/>
                <w:color w:val="000000" w:themeColor="text1"/>
                <w:sz w:val="20"/>
                <w:szCs w:val="20"/>
                <w:lang w:val="fr-FR"/>
              </w:rPr>
              <w:t xml:space="preserve">Montant recommandé </w:t>
            </w:r>
          </w:p>
          <w:p w14:paraId="42F7DC87" w14:textId="77777777" w:rsidR="005116D7" w:rsidRPr="002D0F5A" w:rsidRDefault="005116D7" w:rsidP="005116D7">
            <w:pPr>
              <w:jc w:val="center"/>
              <w:rPr>
                <w:b/>
                <w:color w:val="000000" w:themeColor="text1"/>
                <w:sz w:val="20"/>
                <w:szCs w:val="20"/>
                <w:lang w:val="fr-FR"/>
              </w:rPr>
            </w:pPr>
            <w:r w:rsidRPr="002D0F5A">
              <w:rPr>
                <w:b/>
                <w:color w:val="000000" w:themeColor="text1"/>
                <w:sz w:val="20"/>
                <w:szCs w:val="20"/>
                <w:lang w:val="fr-FR"/>
              </w:rPr>
              <w:t>($ US)</w:t>
            </w:r>
          </w:p>
        </w:tc>
      </w:tr>
      <w:tr w:rsidR="005116D7" w:rsidRPr="00497523" w14:paraId="583CC357" w14:textId="77777777" w:rsidTr="0045311B">
        <w:trPr>
          <w:trHeight w:val="219"/>
        </w:trPr>
        <w:tc>
          <w:tcPr>
            <w:tcW w:w="5000" w:type="pct"/>
            <w:gridSpan w:val="5"/>
          </w:tcPr>
          <w:p w14:paraId="16BC7E0F" w14:textId="77777777" w:rsidR="005116D7" w:rsidRPr="002D0F5A" w:rsidRDefault="005116D7" w:rsidP="005116D7">
            <w:pPr>
              <w:widowControl w:val="0"/>
              <w:rPr>
                <w:color w:val="000000" w:themeColor="text1"/>
                <w:sz w:val="20"/>
                <w:szCs w:val="20"/>
                <w:lang w:val="fr-FR"/>
              </w:rPr>
            </w:pPr>
            <w:r w:rsidRPr="002D0F5A">
              <w:rPr>
                <w:b/>
                <w:color w:val="000000" w:themeColor="text1"/>
                <w:sz w:val="20"/>
                <w:szCs w:val="20"/>
                <w:lang w:val="fr-FR"/>
              </w:rPr>
              <w:t>SECTION A: ACTIVITÉS RECOMMANDÉES POUR APPROBATION GLOBALE</w:t>
            </w:r>
          </w:p>
        </w:tc>
      </w:tr>
      <w:tr w:rsidR="005116D7" w:rsidRPr="00497523" w14:paraId="6C1736C1" w14:textId="77777777" w:rsidTr="0045311B">
        <w:trPr>
          <w:trHeight w:val="235"/>
        </w:trPr>
        <w:tc>
          <w:tcPr>
            <w:tcW w:w="5000" w:type="pct"/>
            <w:gridSpan w:val="5"/>
          </w:tcPr>
          <w:p w14:paraId="2E1EBBCB" w14:textId="77777777" w:rsidR="005116D7" w:rsidRPr="002D0F5A" w:rsidRDefault="005116D7" w:rsidP="005116D7">
            <w:pPr>
              <w:rPr>
                <w:b/>
                <w:bCs/>
                <w:color w:val="000000" w:themeColor="text1"/>
                <w:sz w:val="20"/>
                <w:szCs w:val="20"/>
                <w:lang w:val="fr-FR"/>
              </w:rPr>
            </w:pPr>
            <w:r w:rsidRPr="002D0F5A">
              <w:rPr>
                <w:b/>
                <w:bCs/>
                <w:color w:val="000000" w:themeColor="text1"/>
                <w:sz w:val="20"/>
                <w:szCs w:val="20"/>
                <w:lang w:val="fr-FR"/>
              </w:rPr>
              <w:t>A1: Ren</w:t>
            </w:r>
            <w:r w:rsidR="002D0F5A">
              <w:rPr>
                <w:b/>
                <w:bCs/>
                <w:color w:val="000000" w:themeColor="text1"/>
                <w:sz w:val="20"/>
                <w:szCs w:val="20"/>
                <w:lang w:val="fr-FR"/>
              </w:rPr>
              <w:t>ouvellement des projets de renforcement des institutions</w:t>
            </w:r>
          </w:p>
        </w:tc>
      </w:tr>
      <w:tr w:rsidR="0045311B" w:rsidRPr="002D0F5A" w14:paraId="0451701B" w14:textId="77777777" w:rsidTr="00CF4E76">
        <w:trPr>
          <w:trHeight w:val="219"/>
        </w:trPr>
        <w:tc>
          <w:tcPr>
            <w:tcW w:w="704" w:type="pct"/>
            <w:vAlign w:val="bottom"/>
          </w:tcPr>
          <w:p w14:paraId="519C8C6A" w14:textId="77777777" w:rsidR="005116D7" w:rsidRPr="002D0F5A" w:rsidRDefault="005116D7" w:rsidP="005116D7">
            <w:pPr>
              <w:jc w:val="left"/>
              <w:rPr>
                <w:color w:val="000000"/>
                <w:sz w:val="20"/>
                <w:szCs w:val="20"/>
                <w:lang w:val="fr-FR"/>
              </w:rPr>
            </w:pPr>
            <w:r w:rsidRPr="002D0F5A">
              <w:rPr>
                <w:color w:val="000000"/>
                <w:sz w:val="20"/>
                <w:szCs w:val="20"/>
                <w:lang w:val="fr-FR"/>
              </w:rPr>
              <w:t>Brésil</w:t>
            </w:r>
          </w:p>
        </w:tc>
        <w:tc>
          <w:tcPr>
            <w:tcW w:w="3028" w:type="pct"/>
            <w:gridSpan w:val="2"/>
            <w:vAlign w:val="center"/>
          </w:tcPr>
          <w:p w14:paraId="7DC3938C" w14:textId="77777777" w:rsidR="005116D7" w:rsidRPr="002D0F5A" w:rsidRDefault="005116D7" w:rsidP="005116D7">
            <w:pPr>
              <w:snapToGrid w:val="0"/>
              <w:jc w:val="left"/>
              <w:rPr>
                <w:sz w:val="20"/>
                <w:szCs w:val="20"/>
                <w:lang w:val="fr-FR"/>
              </w:rPr>
            </w:pPr>
            <w:r w:rsidRPr="002D0F5A">
              <w:rPr>
                <w:sz w:val="20"/>
                <w:szCs w:val="20"/>
                <w:lang w:val="fr-FR"/>
              </w:rPr>
              <w:t>Renouvellement du projet de renforcement des institutions  (phase IX)</w:t>
            </w:r>
          </w:p>
        </w:tc>
        <w:tc>
          <w:tcPr>
            <w:tcW w:w="563" w:type="pct"/>
          </w:tcPr>
          <w:p w14:paraId="53006848" w14:textId="77777777" w:rsidR="005116D7" w:rsidRPr="002D0F5A" w:rsidRDefault="00ED25A3" w:rsidP="005116D7">
            <w:pPr>
              <w:jc w:val="right"/>
              <w:rPr>
                <w:color w:val="000000"/>
                <w:sz w:val="20"/>
                <w:szCs w:val="20"/>
                <w:lang w:val="fr-FR"/>
              </w:rPr>
            </w:pPr>
            <w:r>
              <w:rPr>
                <w:color w:val="000000"/>
                <w:sz w:val="20"/>
                <w:szCs w:val="20"/>
                <w:lang w:val="fr-FR"/>
              </w:rPr>
              <w:t xml:space="preserve">449 </w:t>
            </w:r>
            <w:r w:rsidR="005116D7" w:rsidRPr="002D0F5A">
              <w:rPr>
                <w:color w:val="000000"/>
                <w:sz w:val="20"/>
                <w:szCs w:val="20"/>
                <w:lang w:val="fr-FR"/>
              </w:rPr>
              <w:t>280</w:t>
            </w:r>
          </w:p>
        </w:tc>
        <w:tc>
          <w:tcPr>
            <w:tcW w:w="705" w:type="pct"/>
          </w:tcPr>
          <w:p w14:paraId="51AD66E6" w14:textId="77777777" w:rsidR="005116D7" w:rsidRPr="002D0F5A" w:rsidRDefault="00ED25A3" w:rsidP="005116D7">
            <w:pPr>
              <w:jc w:val="right"/>
              <w:rPr>
                <w:color w:val="000000"/>
                <w:sz w:val="20"/>
                <w:szCs w:val="20"/>
                <w:lang w:val="fr-FR"/>
              </w:rPr>
            </w:pPr>
            <w:r>
              <w:rPr>
                <w:color w:val="000000"/>
                <w:sz w:val="20"/>
                <w:szCs w:val="20"/>
                <w:lang w:val="fr-FR"/>
              </w:rPr>
              <w:t xml:space="preserve">449 </w:t>
            </w:r>
            <w:r w:rsidR="005116D7" w:rsidRPr="002D0F5A">
              <w:rPr>
                <w:color w:val="000000"/>
                <w:sz w:val="20"/>
                <w:szCs w:val="20"/>
                <w:lang w:val="fr-FR"/>
              </w:rPr>
              <w:t>280</w:t>
            </w:r>
          </w:p>
        </w:tc>
      </w:tr>
      <w:tr w:rsidR="0045311B" w:rsidRPr="002D0F5A" w14:paraId="2B79D0A6" w14:textId="77777777" w:rsidTr="00CF4E76">
        <w:trPr>
          <w:trHeight w:val="219"/>
        </w:trPr>
        <w:tc>
          <w:tcPr>
            <w:tcW w:w="704" w:type="pct"/>
            <w:vAlign w:val="bottom"/>
          </w:tcPr>
          <w:p w14:paraId="43467A86" w14:textId="77777777" w:rsidR="005116D7" w:rsidRPr="002D0F5A" w:rsidRDefault="005116D7" w:rsidP="005116D7">
            <w:pPr>
              <w:rPr>
                <w:color w:val="000000"/>
                <w:sz w:val="20"/>
                <w:szCs w:val="20"/>
                <w:lang w:val="fr-FR"/>
              </w:rPr>
            </w:pPr>
            <w:r w:rsidRPr="002D0F5A">
              <w:rPr>
                <w:color w:val="000000"/>
                <w:sz w:val="20"/>
                <w:szCs w:val="20"/>
                <w:lang w:val="fr-FR"/>
              </w:rPr>
              <w:t>Ghana</w:t>
            </w:r>
          </w:p>
        </w:tc>
        <w:tc>
          <w:tcPr>
            <w:tcW w:w="3028" w:type="pct"/>
            <w:gridSpan w:val="2"/>
            <w:vAlign w:val="center"/>
          </w:tcPr>
          <w:p w14:paraId="01D741CC" w14:textId="77777777" w:rsidR="005116D7" w:rsidRPr="002D0F5A" w:rsidRDefault="005116D7" w:rsidP="005116D7">
            <w:pPr>
              <w:snapToGrid w:val="0"/>
              <w:jc w:val="left"/>
              <w:rPr>
                <w:sz w:val="20"/>
                <w:szCs w:val="20"/>
                <w:lang w:val="fr-FR"/>
              </w:rPr>
            </w:pPr>
            <w:r w:rsidRPr="002D0F5A">
              <w:rPr>
                <w:sz w:val="20"/>
                <w:szCs w:val="20"/>
                <w:lang w:val="fr-FR"/>
              </w:rPr>
              <w:t>Renouvellement du projet de renforcement des institutions (phase XIV)</w:t>
            </w:r>
          </w:p>
        </w:tc>
        <w:tc>
          <w:tcPr>
            <w:tcW w:w="563" w:type="pct"/>
          </w:tcPr>
          <w:p w14:paraId="3A03DDCA" w14:textId="77777777" w:rsidR="005116D7" w:rsidRPr="002D0F5A" w:rsidRDefault="00ED25A3" w:rsidP="005116D7">
            <w:pPr>
              <w:jc w:val="right"/>
              <w:rPr>
                <w:color w:val="000000"/>
                <w:sz w:val="20"/>
                <w:szCs w:val="20"/>
                <w:lang w:val="fr-FR"/>
              </w:rPr>
            </w:pPr>
            <w:r>
              <w:rPr>
                <w:color w:val="000000"/>
                <w:sz w:val="20"/>
                <w:szCs w:val="20"/>
                <w:lang w:val="fr-FR"/>
              </w:rPr>
              <w:t xml:space="preserve">178 </w:t>
            </w:r>
            <w:r w:rsidR="005116D7" w:rsidRPr="002D0F5A">
              <w:rPr>
                <w:color w:val="000000"/>
                <w:sz w:val="20"/>
                <w:szCs w:val="20"/>
                <w:lang w:val="fr-FR"/>
              </w:rPr>
              <w:t>048</w:t>
            </w:r>
          </w:p>
        </w:tc>
        <w:tc>
          <w:tcPr>
            <w:tcW w:w="705" w:type="pct"/>
          </w:tcPr>
          <w:p w14:paraId="41606E72" w14:textId="77777777" w:rsidR="005116D7" w:rsidRPr="002D0F5A" w:rsidRDefault="00ED25A3" w:rsidP="005116D7">
            <w:pPr>
              <w:jc w:val="right"/>
              <w:rPr>
                <w:color w:val="000000"/>
                <w:sz w:val="20"/>
                <w:szCs w:val="20"/>
                <w:lang w:val="fr-FR"/>
              </w:rPr>
            </w:pPr>
            <w:r>
              <w:rPr>
                <w:color w:val="000000"/>
                <w:sz w:val="20"/>
                <w:szCs w:val="20"/>
                <w:lang w:val="fr-FR"/>
              </w:rPr>
              <w:t xml:space="preserve">178 </w:t>
            </w:r>
            <w:r w:rsidR="005116D7" w:rsidRPr="002D0F5A">
              <w:rPr>
                <w:color w:val="000000"/>
                <w:sz w:val="20"/>
                <w:szCs w:val="20"/>
                <w:lang w:val="fr-FR"/>
              </w:rPr>
              <w:t>048</w:t>
            </w:r>
          </w:p>
        </w:tc>
      </w:tr>
      <w:tr w:rsidR="0045311B" w:rsidRPr="002D0F5A" w14:paraId="0B71E2B2" w14:textId="77777777" w:rsidTr="00CF4E76">
        <w:trPr>
          <w:trHeight w:val="219"/>
        </w:trPr>
        <w:tc>
          <w:tcPr>
            <w:tcW w:w="704" w:type="pct"/>
            <w:vAlign w:val="bottom"/>
          </w:tcPr>
          <w:p w14:paraId="7B4643D9" w14:textId="77777777" w:rsidR="002D0F5A" w:rsidRPr="002D0F5A" w:rsidRDefault="002D0F5A" w:rsidP="002D0F5A">
            <w:pPr>
              <w:jc w:val="left"/>
              <w:rPr>
                <w:color w:val="000000"/>
                <w:sz w:val="20"/>
                <w:szCs w:val="20"/>
                <w:lang w:val="fr-FR"/>
              </w:rPr>
            </w:pPr>
            <w:r w:rsidRPr="002D0F5A">
              <w:rPr>
                <w:color w:val="000000"/>
                <w:sz w:val="20"/>
                <w:szCs w:val="20"/>
                <w:lang w:val="fr-FR"/>
              </w:rPr>
              <w:t>Iran (Rép. islamique d’)</w:t>
            </w:r>
          </w:p>
        </w:tc>
        <w:tc>
          <w:tcPr>
            <w:tcW w:w="3028" w:type="pct"/>
            <w:gridSpan w:val="2"/>
            <w:vAlign w:val="center"/>
          </w:tcPr>
          <w:p w14:paraId="51A5C9FA" w14:textId="77777777" w:rsidR="002D0F5A" w:rsidRPr="002D0F5A" w:rsidRDefault="002D0F5A" w:rsidP="002D0F5A">
            <w:pPr>
              <w:snapToGrid w:val="0"/>
              <w:jc w:val="left"/>
              <w:rPr>
                <w:sz w:val="20"/>
                <w:szCs w:val="20"/>
                <w:lang w:val="fr-FR"/>
              </w:rPr>
            </w:pPr>
            <w:r w:rsidRPr="002D0F5A">
              <w:rPr>
                <w:sz w:val="20"/>
                <w:szCs w:val="20"/>
                <w:lang w:val="fr-FR"/>
              </w:rPr>
              <w:t>Renouvellement du projet de renforcement des institutions  (phase XIII)</w:t>
            </w:r>
          </w:p>
        </w:tc>
        <w:tc>
          <w:tcPr>
            <w:tcW w:w="563" w:type="pct"/>
          </w:tcPr>
          <w:p w14:paraId="60425642" w14:textId="77777777" w:rsidR="002D0F5A" w:rsidRPr="002D0F5A" w:rsidRDefault="00ED25A3" w:rsidP="005116D7">
            <w:pPr>
              <w:jc w:val="right"/>
              <w:rPr>
                <w:color w:val="000000"/>
                <w:sz w:val="20"/>
                <w:szCs w:val="20"/>
                <w:lang w:val="fr-FR"/>
              </w:rPr>
            </w:pPr>
            <w:r>
              <w:rPr>
                <w:color w:val="000000"/>
                <w:sz w:val="20"/>
                <w:szCs w:val="20"/>
                <w:lang w:val="fr-FR"/>
              </w:rPr>
              <w:t xml:space="preserve">222 </w:t>
            </w:r>
            <w:r w:rsidR="002D0F5A" w:rsidRPr="002D0F5A">
              <w:rPr>
                <w:color w:val="000000"/>
                <w:sz w:val="20"/>
                <w:szCs w:val="20"/>
                <w:lang w:val="fr-FR"/>
              </w:rPr>
              <w:t>094</w:t>
            </w:r>
          </w:p>
        </w:tc>
        <w:tc>
          <w:tcPr>
            <w:tcW w:w="705" w:type="pct"/>
          </w:tcPr>
          <w:p w14:paraId="6BF40508" w14:textId="77777777" w:rsidR="002D0F5A" w:rsidRPr="002D0F5A" w:rsidRDefault="00ED25A3" w:rsidP="005116D7">
            <w:pPr>
              <w:jc w:val="right"/>
              <w:rPr>
                <w:color w:val="000000"/>
                <w:sz w:val="20"/>
                <w:szCs w:val="20"/>
                <w:lang w:val="fr-FR"/>
              </w:rPr>
            </w:pPr>
            <w:r>
              <w:rPr>
                <w:color w:val="000000"/>
                <w:sz w:val="20"/>
                <w:szCs w:val="20"/>
                <w:lang w:val="fr-FR"/>
              </w:rPr>
              <w:t xml:space="preserve">222 </w:t>
            </w:r>
            <w:r w:rsidR="002D0F5A" w:rsidRPr="002D0F5A">
              <w:rPr>
                <w:color w:val="000000"/>
                <w:sz w:val="20"/>
                <w:szCs w:val="20"/>
                <w:lang w:val="fr-FR"/>
              </w:rPr>
              <w:t>094</w:t>
            </w:r>
          </w:p>
        </w:tc>
      </w:tr>
      <w:tr w:rsidR="0045311B" w:rsidRPr="002D0F5A" w14:paraId="7C7179E4" w14:textId="77777777" w:rsidTr="00CF4E76">
        <w:trPr>
          <w:trHeight w:val="219"/>
        </w:trPr>
        <w:tc>
          <w:tcPr>
            <w:tcW w:w="704" w:type="pct"/>
            <w:vAlign w:val="bottom"/>
          </w:tcPr>
          <w:p w14:paraId="2B127199" w14:textId="77777777" w:rsidR="005116D7" w:rsidRPr="002D0F5A" w:rsidRDefault="002D0F5A" w:rsidP="005116D7">
            <w:pPr>
              <w:rPr>
                <w:color w:val="000000"/>
                <w:sz w:val="20"/>
                <w:szCs w:val="20"/>
                <w:lang w:val="fr-FR"/>
              </w:rPr>
            </w:pPr>
            <w:r w:rsidRPr="002D0F5A">
              <w:rPr>
                <w:color w:val="000000"/>
                <w:sz w:val="20"/>
                <w:szCs w:val="20"/>
                <w:lang w:val="fr-FR"/>
              </w:rPr>
              <w:t>Liban</w:t>
            </w:r>
          </w:p>
        </w:tc>
        <w:tc>
          <w:tcPr>
            <w:tcW w:w="3028" w:type="pct"/>
            <w:gridSpan w:val="2"/>
            <w:vAlign w:val="center"/>
          </w:tcPr>
          <w:p w14:paraId="7D9CD77D" w14:textId="77777777" w:rsidR="005116D7" w:rsidRPr="002D0F5A" w:rsidRDefault="005116D7" w:rsidP="005116D7">
            <w:pPr>
              <w:snapToGrid w:val="0"/>
              <w:jc w:val="left"/>
              <w:rPr>
                <w:sz w:val="20"/>
                <w:szCs w:val="20"/>
                <w:lang w:val="fr-FR"/>
              </w:rPr>
            </w:pPr>
            <w:r w:rsidRPr="002D0F5A">
              <w:rPr>
                <w:sz w:val="20"/>
                <w:szCs w:val="20"/>
                <w:lang w:val="fr-FR"/>
              </w:rPr>
              <w:t>Renouvellement du projet de renforcement des institutions  (phase XII)</w:t>
            </w:r>
          </w:p>
        </w:tc>
        <w:tc>
          <w:tcPr>
            <w:tcW w:w="563" w:type="pct"/>
          </w:tcPr>
          <w:p w14:paraId="0503DF9C" w14:textId="77777777" w:rsidR="005116D7" w:rsidRPr="002D0F5A" w:rsidRDefault="00ED25A3" w:rsidP="005116D7">
            <w:pPr>
              <w:jc w:val="right"/>
              <w:rPr>
                <w:color w:val="000000"/>
                <w:sz w:val="20"/>
                <w:szCs w:val="20"/>
                <w:lang w:val="fr-FR"/>
              </w:rPr>
            </w:pPr>
            <w:r>
              <w:rPr>
                <w:color w:val="000000"/>
                <w:sz w:val="20"/>
                <w:szCs w:val="20"/>
                <w:lang w:val="fr-FR"/>
              </w:rPr>
              <w:t xml:space="preserve">198 </w:t>
            </w:r>
            <w:r w:rsidR="005116D7" w:rsidRPr="002D0F5A">
              <w:rPr>
                <w:color w:val="000000"/>
                <w:sz w:val="20"/>
                <w:szCs w:val="20"/>
                <w:lang w:val="fr-FR"/>
              </w:rPr>
              <w:t>515</w:t>
            </w:r>
          </w:p>
        </w:tc>
        <w:tc>
          <w:tcPr>
            <w:tcW w:w="705" w:type="pct"/>
          </w:tcPr>
          <w:p w14:paraId="00A60744" w14:textId="77777777" w:rsidR="005116D7" w:rsidRPr="002D0F5A" w:rsidRDefault="00ED25A3" w:rsidP="005116D7">
            <w:pPr>
              <w:jc w:val="right"/>
              <w:rPr>
                <w:color w:val="000000"/>
                <w:sz w:val="20"/>
                <w:szCs w:val="20"/>
                <w:lang w:val="fr-FR"/>
              </w:rPr>
            </w:pPr>
            <w:r>
              <w:rPr>
                <w:color w:val="000000"/>
                <w:sz w:val="20"/>
                <w:szCs w:val="20"/>
                <w:lang w:val="fr-FR"/>
              </w:rPr>
              <w:t xml:space="preserve">198 </w:t>
            </w:r>
            <w:r w:rsidR="005116D7" w:rsidRPr="002D0F5A">
              <w:rPr>
                <w:color w:val="000000"/>
                <w:sz w:val="20"/>
                <w:szCs w:val="20"/>
                <w:lang w:val="fr-FR"/>
              </w:rPr>
              <w:t>515</w:t>
            </w:r>
          </w:p>
        </w:tc>
      </w:tr>
      <w:tr w:rsidR="0045311B" w:rsidRPr="002D0F5A" w14:paraId="0F9D99A5" w14:textId="77777777" w:rsidTr="00CF4E76">
        <w:trPr>
          <w:trHeight w:val="219"/>
        </w:trPr>
        <w:tc>
          <w:tcPr>
            <w:tcW w:w="704" w:type="pct"/>
            <w:vAlign w:val="bottom"/>
          </w:tcPr>
          <w:p w14:paraId="285E16E4" w14:textId="77777777" w:rsidR="005116D7" w:rsidRPr="002D0F5A" w:rsidRDefault="005116D7" w:rsidP="005116D7">
            <w:pPr>
              <w:rPr>
                <w:color w:val="000000"/>
                <w:sz w:val="20"/>
                <w:szCs w:val="20"/>
                <w:lang w:val="fr-FR"/>
              </w:rPr>
            </w:pPr>
            <w:r w:rsidRPr="002D0F5A">
              <w:rPr>
                <w:color w:val="000000"/>
                <w:sz w:val="20"/>
                <w:szCs w:val="20"/>
                <w:lang w:val="fr-FR"/>
              </w:rPr>
              <w:t>Nigeria</w:t>
            </w:r>
          </w:p>
        </w:tc>
        <w:tc>
          <w:tcPr>
            <w:tcW w:w="3028" w:type="pct"/>
            <w:gridSpan w:val="2"/>
            <w:vAlign w:val="center"/>
          </w:tcPr>
          <w:p w14:paraId="3CA0FFF8" w14:textId="77777777" w:rsidR="005116D7" w:rsidRPr="002D0F5A" w:rsidRDefault="005116D7" w:rsidP="005116D7">
            <w:pPr>
              <w:snapToGrid w:val="0"/>
              <w:jc w:val="left"/>
              <w:rPr>
                <w:sz w:val="20"/>
                <w:szCs w:val="20"/>
                <w:lang w:val="fr-FR"/>
              </w:rPr>
            </w:pPr>
            <w:r w:rsidRPr="002D0F5A">
              <w:rPr>
                <w:sz w:val="20"/>
                <w:szCs w:val="20"/>
                <w:lang w:val="fr-FR"/>
              </w:rPr>
              <w:t>Renouvellement du projet de renforcement des institutions  (phase XI)</w:t>
            </w:r>
          </w:p>
        </w:tc>
        <w:tc>
          <w:tcPr>
            <w:tcW w:w="563" w:type="pct"/>
          </w:tcPr>
          <w:p w14:paraId="0788B074" w14:textId="77777777" w:rsidR="005116D7" w:rsidRPr="002D0F5A" w:rsidRDefault="00ED25A3" w:rsidP="005116D7">
            <w:pPr>
              <w:jc w:val="right"/>
              <w:rPr>
                <w:color w:val="000000"/>
                <w:sz w:val="20"/>
                <w:szCs w:val="20"/>
                <w:lang w:val="fr-FR"/>
              </w:rPr>
            </w:pPr>
            <w:r>
              <w:rPr>
                <w:color w:val="000000"/>
                <w:sz w:val="20"/>
                <w:szCs w:val="20"/>
                <w:lang w:val="fr-FR"/>
              </w:rPr>
              <w:t xml:space="preserve">332 </w:t>
            </w:r>
            <w:r w:rsidR="005116D7" w:rsidRPr="002D0F5A">
              <w:rPr>
                <w:color w:val="000000"/>
                <w:sz w:val="20"/>
                <w:szCs w:val="20"/>
                <w:lang w:val="fr-FR"/>
              </w:rPr>
              <w:t>800</w:t>
            </w:r>
          </w:p>
        </w:tc>
        <w:tc>
          <w:tcPr>
            <w:tcW w:w="705" w:type="pct"/>
          </w:tcPr>
          <w:p w14:paraId="21E60013" w14:textId="77777777" w:rsidR="005116D7" w:rsidRPr="002D0F5A" w:rsidRDefault="00ED25A3" w:rsidP="005116D7">
            <w:pPr>
              <w:jc w:val="right"/>
              <w:rPr>
                <w:color w:val="000000"/>
                <w:sz w:val="20"/>
                <w:szCs w:val="20"/>
                <w:lang w:val="fr-FR"/>
              </w:rPr>
            </w:pPr>
            <w:r>
              <w:rPr>
                <w:color w:val="000000"/>
                <w:sz w:val="20"/>
                <w:szCs w:val="20"/>
                <w:lang w:val="fr-FR"/>
              </w:rPr>
              <w:t xml:space="preserve">332 </w:t>
            </w:r>
            <w:r w:rsidR="005116D7" w:rsidRPr="002D0F5A">
              <w:rPr>
                <w:color w:val="000000"/>
                <w:sz w:val="20"/>
                <w:szCs w:val="20"/>
                <w:lang w:val="fr-FR"/>
              </w:rPr>
              <w:t>800</w:t>
            </w:r>
          </w:p>
        </w:tc>
      </w:tr>
      <w:tr w:rsidR="0045311B" w:rsidRPr="002D0F5A" w14:paraId="1EF0693F" w14:textId="77777777" w:rsidTr="00CF4E76">
        <w:trPr>
          <w:trHeight w:val="219"/>
        </w:trPr>
        <w:tc>
          <w:tcPr>
            <w:tcW w:w="704" w:type="pct"/>
            <w:vAlign w:val="bottom"/>
          </w:tcPr>
          <w:p w14:paraId="2C1C0005" w14:textId="77777777" w:rsidR="002D0F5A" w:rsidRPr="002D0F5A" w:rsidRDefault="002D0F5A" w:rsidP="005116D7">
            <w:pPr>
              <w:rPr>
                <w:color w:val="000000"/>
                <w:sz w:val="20"/>
                <w:szCs w:val="20"/>
                <w:lang w:val="fr-FR"/>
              </w:rPr>
            </w:pPr>
            <w:r w:rsidRPr="002D0F5A">
              <w:rPr>
                <w:color w:val="000000"/>
                <w:sz w:val="20"/>
                <w:szCs w:val="20"/>
                <w:lang w:val="fr-FR"/>
              </w:rPr>
              <w:t>Sri Lanka</w:t>
            </w:r>
          </w:p>
        </w:tc>
        <w:tc>
          <w:tcPr>
            <w:tcW w:w="3028" w:type="pct"/>
            <w:gridSpan w:val="2"/>
            <w:vAlign w:val="center"/>
          </w:tcPr>
          <w:p w14:paraId="493998AE" w14:textId="77777777" w:rsidR="002D0F5A" w:rsidRPr="002D0F5A" w:rsidRDefault="002D0F5A" w:rsidP="0045311B">
            <w:pPr>
              <w:snapToGrid w:val="0"/>
              <w:jc w:val="left"/>
              <w:rPr>
                <w:sz w:val="20"/>
                <w:szCs w:val="20"/>
                <w:lang w:val="fr-FR"/>
              </w:rPr>
            </w:pPr>
            <w:r w:rsidRPr="002D0F5A">
              <w:rPr>
                <w:sz w:val="20"/>
                <w:szCs w:val="20"/>
                <w:lang w:val="fr-FR"/>
              </w:rPr>
              <w:t>Renouvellement du projet de renforcement des institutions  (phase</w:t>
            </w:r>
            <w:r w:rsidR="00CF4E76">
              <w:rPr>
                <w:sz w:val="20"/>
                <w:szCs w:val="20"/>
                <w:lang w:val="fr-FR"/>
              </w:rPr>
              <w:t xml:space="preserve"> </w:t>
            </w:r>
            <w:r w:rsidR="0045311B">
              <w:rPr>
                <w:sz w:val="20"/>
                <w:szCs w:val="20"/>
                <w:lang w:val="fr-FR"/>
              </w:rPr>
              <w:t>XIII)</w:t>
            </w:r>
            <w:r w:rsidRPr="002D0F5A">
              <w:rPr>
                <w:sz w:val="20"/>
                <w:szCs w:val="20"/>
                <w:lang w:val="fr-FR"/>
              </w:rPr>
              <w:t xml:space="preserve"> </w:t>
            </w:r>
          </w:p>
        </w:tc>
        <w:tc>
          <w:tcPr>
            <w:tcW w:w="563" w:type="pct"/>
          </w:tcPr>
          <w:p w14:paraId="41A33562" w14:textId="77777777" w:rsidR="002D0F5A" w:rsidRPr="002D0F5A" w:rsidRDefault="00ED25A3" w:rsidP="005116D7">
            <w:pPr>
              <w:jc w:val="right"/>
              <w:rPr>
                <w:color w:val="000000"/>
                <w:sz w:val="20"/>
                <w:szCs w:val="20"/>
                <w:lang w:val="fr-FR"/>
              </w:rPr>
            </w:pPr>
            <w:r>
              <w:rPr>
                <w:color w:val="000000"/>
                <w:sz w:val="20"/>
                <w:szCs w:val="20"/>
                <w:lang w:val="fr-FR"/>
              </w:rPr>
              <w:t xml:space="preserve">171 </w:t>
            </w:r>
            <w:r w:rsidR="002D0F5A" w:rsidRPr="002D0F5A">
              <w:rPr>
                <w:color w:val="000000"/>
                <w:sz w:val="20"/>
                <w:szCs w:val="20"/>
                <w:lang w:val="fr-FR"/>
              </w:rPr>
              <w:t>592</w:t>
            </w:r>
          </w:p>
        </w:tc>
        <w:tc>
          <w:tcPr>
            <w:tcW w:w="705" w:type="pct"/>
          </w:tcPr>
          <w:p w14:paraId="2D43D934" w14:textId="77777777" w:rsidR="002D0F5A" w:rsidRPr="002D0F5A" w:rsidRDefault="00ED25A3" w:rsidP="005116D7">
            <w:pPr>
              <w:jc w:val="right"/>
              <w:rPr>
                <w:color w:val="000000"/>
                <w:sz w:val="20"/>
                <w:szCs w:val="20"/>
                <w:lang w:val="fr-FR"/>
              </w:rPr>
            </w:pPr>
            <w:r>
              <w:rPr>
                <w:color w:val="000000"/>
                <w:sz w:val="20"/>
                <w:szCs w:val="20"/>
                <w:lang w:val="fr-FR"/>
              </w:rPr>
              <w:t xml:space="preserve">171 </w:t>
            </w:r>
            <w:r w:rsidR="002D0F5A" w:rsidRPr="002D0F5A">
              <w:rPr>
                <w:color w:val="000000"/>
                <w:sz w:val="20"/>
                <w:szCs w:val="20"/>
                <w:lang w:val="fr-FR"/>
              </w:rPr>
              <w:t>592</w:t>
            </w:r>
          </w:p>
        </w:tc>
      </w:tr>
      <w:tr w:rsidR="002D0F5A" w:rsidRPr="002D0F5A" w14:paraId="0E48D831" w14:textId="77777777" w:rsidTr="0045311B">
        <w:trPr>
          <w:trHeight w:val="235"/>
        </w:trPr>
        <w:tc>
          <w:tcPr>
            <w:tcW w:w="3732" w:type="pct"/>
            <w:gridSpan w:val="3"/>
          </w:tcPr>
          <w:p w14:paraId="08026910" w14:textId="77777777" w:rsidR="005116D7" w:rsidRPr="002D0F5A" w:rsidRDefault="002D0F5A" w:rsidP="005116D7">
            <w:pPr>
              <w:jc w:val="right"/>
              <w:rPr>
                <w:color w:val="000000" w:themeColor="text1"/>
                <w:sz w:val="20"/>
                <w:szCs w:val="20"/>
                <w:lang w:val="fr-FR"/>
              </w:rPr>
            </w:pPr>
            <w:r>
              <w:rPr>
                <w:color w:val="000000" w:themeColor="text1"/>
                <w:sz w:val="20"/>
                <w:szCs w:val="20"/>
                <w:lang w:val="fr-FR"/>
              </w:rPr>
              <w:t>Total partiel pour</w:t>
            </w:r>
            <w:r w:rsidR="005116D7" w:rsidRPr="002D0F5A">
              <w:rPr>
                <w:color w:val="000000" w:themeColor="text1"/>
                <w:sz w:val="20"/>
                <w:szCs w:val="20"/>
                <w:lang w:val="fr-FR"/>
              </w:rPr>
              <w:t xml:space="preserve"> A1</w:t>
            </w:r>
          </w:p>
        </w:tc>
        <w:tc>
          <w:tcPr>
            <w:tcW w:w="563" w:type="pct"/>
          </w:tcPr>
          <w:p w14:paraId="5F852FC0" w14:textId="77777777" w:rsidR="005116D7" w:rsidRPr="002D0F5A" w:rsidRDefault="00ED25A3" w:rsidP="005116D7">
            <w:pPr>
              <w:jc w:val="right"/>
              <w:rPr>
                <w:color w:val="000000" w:themeColor="text1"/>
                <w:sz w:val="20"/>
                <w:szCs w:val="20"/>
                <w:lang w:val="fr-FR"/>
              </w:rPr>
            </w:pPr>
            <w:r>
              <w:rPr>
                <w:color w:val="000000" w:themeColor="text1"/>
                <w:sz w:val="20"/>
                <w:szCs w:val="20"/>
                <w:lang w:val="fr-FR"/>
              </w:rPr>
              <w:t xml:space="preserve">1 552 </w:t>
            </w:r>
            <w:r w:rsidR="005116D7" w:rsidRPr="002D0F5A">
              <w:rPr>
                <w:color w:val="000000" w:themeColor="text1"/>
                <w:sz w:val="20"/>
                <w:szCs w:val="20"/>
                <w:lang w:val="fr-FR"/>
              </w:rPr>
              <w:t>329</w:t>
            </w:r>
          </w:p>
        </w:tc>
        <w:tc>
          <w:tcPr>
            <w:tcW w:w="705" w:type="pct"/>
          </w:tcPr>
          <w:p w14:paraId="1385C7A6" w14:textId="77777777" w:rsidR="005116D7" w:rsidRPr="002D0F5A" w:rsidRDefault="00ED25A3" w:rsidP="005116D7">
            <w:pPr>
              <w:jc w:val="right"/>
              <w:rPr>
                <w:color w:val="000000" w:themeColor="text1"/>
                <w:sz w:val="20"/>
                <w:szCs w:val="20"/>
                <w:lang w:val="fr-FR"/>
              </w:rPr>
            </w:pPr>
            <w:r>
              <w:rPr>
                <w:color w:val="000000" w:themeColor="text1"/>
                <w:sz w:val="20"/>
                <w:szCs w:val="20"/>
                <w:lang w:val="fr-FR"/>
              </w:rPr>
              <w:t xml:space="preserve">1 552 </w:t>
            </w:r>
            <w:r w:rsidR="005116D7" w:rsidRPr="002D0F5A">
              <w:rPr>
                <w:color w:val="000000" w:themeColor="text1"/>
                <w:sz w:val="20"/>
                <w:szCs w:val="20"/>
                <w:lang w:val="fr-FR"/>
              </w:rPr>
              <w:t>329</w:t>
            </w:r>
          </w:p>
        </w:tc>
      </w:tr>
      <w:tr w:rsidR="002D0F5A" w:rsidRPr="002D0F5A" w14:paraId="512A9F82" w14:textId="77777777" w:rsidTr="0045311B">
        <w:trPr>
          <w:trHeight w:val="219"/>
        </w:trPr>
        <w:tc>
          <w:tcPr>
            <w:tcW w:w="3732" w:type="pct"/>
            <w:gridSpan w:val="3"/>
          </w:tcPr>
          <w:p w14:paraId="1B9A7BB6" w14:textId="77777777" w:rsidR="005116D7" w:rsidRPr="002D0F5A" w:rsidRDefault="002D0F5A" w:rsidP="005116D7">
            <w:pPr>
              <w:jc w:val="right"/>
              <w:rPr>
                <w:color w:val="000000" w:themeColor="text1"/>
                <w:sz w:val="20"/>
                <w:szCs w:val="20"/>
                <w:lang w:val="fr-FR"/>
              </w:rPr>
            </w:pPr>
            <w:r>
              <w:rPr>
                <w:color w:val="000000" w:themeColor="text1"/>
                <w:sz w:val="20"/>
                <w:szCs w:val="20"/>
                <w:lang w:val="fr-FR"/>
              </w:rPr>
              <w:t>Coûts d’appui d’agence</w:t>
            </w:r>
          </w:p>
        </w:tc>
        <w:tc>
          <w:tcPr>
            <w:tcW w:w="563" w:type="pct"/>
          </w:tcPr>
          <w:p w14:paraId="1088B988" w14:textId="77777777" w:rsidR="005116D7" w:rsidRPr="002D0F5A" w:rsidRDefault="00ED25A3" w:rsidP="005116D7">
            <w:pPr>
              <w:jc w:val="right"/>
              <w:rPr>
                <w:color w:val="000000" w:themeColor="text1"/>
                <w:sz w:val="20"/>
                <w:szCs w:val="20"/>
                <w:lang w:val="fr-FR"/>
              </w:rPr>
            </w:pPr>
            <w:r>
              <w:rPr>
                <w:color w:val="000000" w:themeColor="text1"/>
                <w:sz w:val="20"/>
                <w:szCs w:val="20"/>
                <w:lang w:val="fr-FR"/>
              </w:rPr>
              <w:t xml:space="preserve">108 </w:t>
            </w:r>
            <w:r w:rsidR="005116D7" w:rsidRPr="002D0F5A">
              <w:rPr>
                <w:color w:val="000000" w:themeColor="text1"/>
                <w:sz w:val="20"/>
                <w:szCs w:val="20"/>
                <w:lang w:val="fr-FR"/>
              </w:rPr>
              <w:t>663</w:t>
            </w:r>
          </w:p>
        </w:tc>
        <w:tc>
          <w:tcPr>
            <w:tcW w:w="705" w:type="pct"/>
          </w:tcPr>
          <w:p w14:paraId="684243A9" w14:textId="77777777" w:rsidR="005116D7" w:rsidRPr="002D0F5A" w:rsidRDefault="00ED25A3" w:rsidP="005116D7">
            <w:pPr>
              <w:jc w:val="right"/>
              <w:rPr>
                <w:color w:val="000000" w:themeColor="text1"/>
                <w:sz w:val="20"/>
                <w:szCs w:val="20"/>
                <w:lang w:val="fr-FR"/>
              </w:rPr>
            </w:pPr>
            <w:r>
              <w:rPr>
                <w:color w:val="000000" w:themeColor="text1"/>
                <w:sz w:val="20"/>
                <w:szCs w:val="20"/>
                <w:lang w:val="fr-FR"/>
              </w:rPr>
              <w:t xml:space="preserve">108 </w:t>
            </w:r>
            <w:r w:rsidR="005116D7" w:rsidRPr="002D0F5A">
              <w:rPr>
                <w:color w:val="000000" w:themeColor="text1"/>
                <w:sz w:val="20"/>
                <w:szCs w:val="20"/>
                <w:lang w:val="fr-FR"/>
              </w:rPr>
              <w:t>663</w:t>
            </w:r>
          </w:p>
        </w:tc>
      </w:tr>
      <w:tr w:rsidR="002D0F5A" w:rsidRPr="002D0F5A" w14:paraId="317381DE" w14:textId="77777777" w:rsidTr="0045311B">
        <w:trPr>
          <w:trHeight w:val="235"/>
        </w:trPr>
        <w:tc>
          <w:tcPr>
            <w:tcW w:w="3732" w:type="pct"/>
            <w:gridSpan w:val="3"/>
          </w:tcPr>
          <w:p w14:paraId="6B361464" w14:textId="77777777" w:rsidR="005116D7" w:rsidRPr="002D0F5A" w:rsidRDefault="005116D7" w:rsidP="005116D7">
            <w:pPr>
              <w:jc w:val="right"/>
              <w:rPr>
                <w:color w:val="000000" w:themeColor="text1"/>
                <w:sz w:val="20"/>
                <w:szCs w:val="20"/>
                <w:lang w:val="fr-FR"/>
              </w:rPr>
            </w:pPr>
            <w:r w:rsidRPr="002D0F5A">
              <w:rPr>
                <w:color w:val="000000" w:themeColor="text1"/>
                <w:sz w:val="20"/>
                <w:szCs w:val="20"/>
                <w:lang w:val="fr-FR"/>
              </w:rPr>
              <w:t xml:space="preserve">Total </w:t>
            </w:r>
            <w:r w:rsidR="002D0F5A">
              <w:rPr>
                <w:color w:val="000000" w:themeColor="text1"/>
                <w:sz w:val="20"/>
                <w:szCs w:val="20"/>
                <w:lang w:val="fr-FR"/>
              </w:rPr>
              <w:t>pour</w:t>
            </w:r>
            <w:r w:rsidRPr="002D0F5A">
              <w:rPr>
                <w:color w:val="000000" w:themeColor="text1"/>
                <w:sz w:val="20"/>
                <w:szCs w:val="20"/>
                <w:lang w:val="fr-FR"/>
              </w:rPr>
              <w:t xml:space="preserve"> A1</w:t>
            </w:r>
          </w:p>
        </w:tc>
        <w:tc>
          <w:tcPr>
            <w:tcW w:w="563" w:type="pct"/>
          </w:tcPr>
          <w:p w14:paraId="14B93C30" w14:textId="77777777" w:rsidR="005116D7" w:rsidRPr="002D0F5A" w:rsidRDefault="00ED25A3" w:rsidP="005116D7">
            <w:pPr>
              <w:jc w:val="right"/>
              <w:rPr>
                <w:color w:val="000000" w:themeColor="text1"/>
                <w:sz w:val="20"/>
                <w:szCs w:val="20"/>
                <w:lang w:val="fr-FR"/>
              </w:rPr>
            </w:pPr>
            <w:r>
              <w:rPr>
                <w:color w:val="000000" w:themeColor="text1"/>
                <w:sz w:val="20"/>
                <w:szCs w:val="20"/>
                <w:lang w:val="fr-FR"/>
              </w:rPr>
              <w:t xml:space="preserve">1 660 </w:t>
            </w:r>
            <w:r w:rsidR="005116D7" w:rsidRPr="002D0F5A">
              <w:rPr>
                <w:color w:val="000000" w:themeColor="text1"/>
                <w:sz w:val="20"/>
                <w:szCs w:val="20"/>
                <w:lang w:val="fr-FR"/>
              </w:rPr>
              <w:t>992</w:t>
            </w:r>
          </w:p>
        </w:tc>
        <w:tc>
          <w:tcPr>
            <w:tcW w:w="705" w:type="pct"/>
          </w:tcPr>
          <w:p w14:paraId="2146BAA8" w14:textId="77777777" w:rsidR="005116D7" w:rsidRPr="002D0F5A" w:rsidRDefault="00ED25A3" w:rsidP="005116D7">
            <w:pPr>
              <w:jc w:val="right"/>
              <w:rPr>
                <w:color w:val="000000" w:themeColor="text1"/>
                <w:sz w:val="20"/>
                <w:szCs w:val="20"/>
                <w:lang w:val="fr-FR"/>
              </w:rPr>
            </w:pPr>
            <w:r>
              <w:rPr>
                <w:color w:val="000000" w:themeColor="text1"/>
                <w:sz w:val="20"/>
                <w:szCs w:val="20"/>
                <w:lang w:val="fr-FR"/>
              </w:rPr>
              <w:t xml:space="preserve">1 660 </w:t>
            </w:r>
            <w:r w:rsidR="005116D7" w:rsidRPr="002D0F5A">
              <w:rPr>
                <w:color w:val="000000" w:themeColor="text1"/>
                <w:sz w:val="20"/>
                <w:szCs w:val="20"/>
                <w:lang w:val="fr-FR"/>
              </w:rPr>
              <w:t>992</w:t>
            </w:r>
          </w:p>
        </w:tc>
      </w:tr>
      <w:tr w:rsidR="005116D7" w:rsidRPr="00497523" w14:paraId="2C643A88" w14:textId="77777777" w:rsidTr="0045311B">
        <w:trPr>
          <w:trHeight w:val="235"/>
        </w:trPr>
        <w:tc>
          <w:tcPr>
            <w:tcW w:w="5000" w:type="pct"/>
            <w:gridSpan w:val="5"/>
          </w:tcPr>
          <w:p w14:paraId="3749FC63" w14:textId="77777777" w:rsidR="005116D7" w:rsidRPr="002D0F5A" w:rsidRDefault="005116D7" w:rsidP="002D0F5A">
            <w:pPr>
              <w:jc w:val="left"/>
              <w:rPr>
                <w:color w:val="000000" w:themeColor="text1"/>
                <w:sz w:val="20"/>
                <w:szCs w:val="20"/>
                <w:highlight w:val="yellow"/>
                <w:lang w:val="fr-FR"/>
              </w:rPr>
            </w:pPr>
            <w:r w:rsidRPr="002D0F5A">
              <w:rPr>
                <w:b/>
                <w:color w:val="000000" w:themeColor="text1"/>
                <w:sz w:val="20"/>
                <w:szCs w:val="20"/>
                <w:lang w:val="fr-FR"/>
              </w:rPr>
              <w:t xml:space="preserve">A2: </w:t>
            </w:r>
            <w:r w:rsidR="002D0F5A">
              <w:rPr>
                <w:b/>
                <w:color w:val="000000" w:themeColor="text1"/>
                <w:sz w:val="20"/>
                <w:szCs w:val="20"/>
                <w:lang w:val="fr-FR"/>
              </w:rPr>
              <w:t xml:space="preserve">Assistance technique pour </w:t>
            </w:r>
            <w:r w:rsidR="00452259">
              <w:rPr>
                <w:b/>
                <w:color w:val="000000" w:themeColor="text1"/>
                <w:sz w:val="20"/>
                <w:szCs w:val="20"/>
                <w:lang w:val="fr-FR"/>
              </w:rPr>
              <w:t xml:space="preserve">la </w:t>
            </w:r>
            <w:r w:rsidR="002D0F5A">
              <w:rPr>
                <w:b/>
                <w:color w:val="000000" w:themeColor="text1"/>
                <w:sz w:val="20"/>
                <w:szCs w:val="20"/>
                <w:lang w:val="fr-FR"/>
              </w:rPr>
              <w:t>prépar</w:t>
            </w:r>
            <w:r w:rsidR="00452259">
              <w:rPr>
                <w:b/>
                <w:color w:val="000000" w:themeColor="text1"/>
                <w:sz w:val="20"/>
                <w:szCs w:val="20"/>
                <w:lang w:val="fr-FR"/>
              </w:rPr>
              <w:t>ation d’un</w:t>
            </w:r>
            <w:r w:rsidR="002D0F5A">
              <w:rPr>
                <w:b/>
                <w:color w:val="000000" w:themeColor="text1"/>
                <w:sz w:val="20"/>
                <w:szCs w:val="20"/>
                <w:lang w:val="fr-FR"/>
              </w:rPr>
              <w:t xml:space="preserve"> rapport de vérification sur la consommation de </w:t>
            </w:r>
            <w:r w:rsidRPr="002D0F5A">
              <w:rPr>
                <w:b/>
                <w:color w:val="000000" w:themeColor="text1"/>
                <w:sz w:val="20"/>
                <w:szCs w:val="20"/>
                <w:lang w:val="fr-FR"/>
              </w:rPr>
              <w:t xml:space="preserve">HCFC </w:t>
            </w:r>
          </w:p>
        </w:tc>
      </w:tr>
      <w:tr w:rsidR="002D0F5A" w:rsidRPr="002D0F5A" w14:paraId="374C404F" w14:textId="77777777" w:rsidTr="0045311B">
        <w:trPr>
          <w:trHeight w:val="235"/>
        </w:trPr>
        <w:tc>
          <w:tcPr>
            <w:tcW w:w="845" w:type="pct"/>
            <w:gridSpan w:val="2"/>
            <w:vAlign w:val="center"/>
          </w:tcPr>
          <w:p w14:paraId="1C2641B5" w14:textId="77777777" w:rsidR="005116D7" w:rsidRPr="002D0F5A" w:rsidRDefault="002D0F5A" w:rsidP="005116D7">
            <w:pPr>
              <w:snapToGrid w:val="0"/>
              <w:jc w:val="left"/>
              <w:rPr>
                <w:sz w:val="20"/>
                <w:szCs w:val="20"/>
                <w:lang w:val="fr-FR"/>
              </w:rPr>
            </w:pPr>
            <w:r>
              <w:rPr>
                <w:color w:val="000000"/>
                <w:sz w:val="20"/>
                <w:szCs w:val="20"/>
                <w:lang w:val="fr-FR"/>
              </w:rPr>
              <w:t>Ré</w:t>
            </w:r>
            <w:r w:rsidR="005116D7" w:rsidRPr="002D0F5A">
              <w:rPr>
                <w:color w:val="000000"/>
                <w:sz w:val="20"/>
                <w:szCs w:val="20"/>
                <w:lang w:val="fr-FR"/>
              </w:rPr>
              <w:t>publi</w:t>
            </w:r>
            <w:r>
              <w:rPr>
                <w:color w:val="000000"/>
                <w:sz w:val="20"/>
                <w:szCs w:val="20"/>
                <w:lang w:val="fr-FR"/>
              </w:rPr>
              <w:t>que de</w:t>
            </w:r>
            <w:r w:rsidR="005116D7" w:rsidRPr="002D0F5A">
              <w:rPr>
                <w:color w:val="000000"/>
                <w:sz w:val="20"/>
                <w:szCs w:val="20"/>
                <w:lang w:val="fr-FR"/>
              </w:rPr>
              <w:t xml:space="preserve"> Moldova</w:t>
            </w:r>
          </w:p>
        </w:tc>
        <w:tc>
          <w:tcPr>
            <w:tcW w:w="2887" w:type="pct"/>
          </w:tcPr>
          <w:p w14:paraId="02B38F7B" w14:textId="77777777" w:rsidR="005116D7" w:rsidRPr="002D0F5A" w:rsidRDefault="002D0F5A" w:rsidP="002D0F5A">
            <w:pPr>
              <w:snapToGrid w:val="0"/>
              <w:rPr>
                <w:sz w:val="20"/>
                <w:szCs w:val="20"/>
                <w:lang w:val="fr-FR"/>
              </w:rPr>
            </w:pPr>
            <w:r>
              <w:rPr>
                <w:sz w:val="20"/>
                <w:szCs w:val="20"/>
                <w:lang w:val="fr-FR"/>
              </w:rPr>
              <w:t>Rapport de vérification pour la phase II du plan de gestion de l’élimination des</w:t>
            </w:r>
            <w:r w:rsidR="005116D7" w:rsidRPr="002D0F5A">
              <w:rPr>
                <w:sz w:val="20"/>
                <w:szCs w:val="20"/>
                <w:lang w:val="fr-FR"/>
              </w:rPr>
              <w:t xml:space="preserve"> HCFC </w:t>
            </w:r>
            <w:r>
              <w:rPr>
                <w:sz w:val="20"/>
                <w:szCs w:val="20"/>
                <w:lang w:val="fr-FR"/>
              </w:rPr>
              <w:t>(PGEH)</w:t>
            </w:r>
          </w:p>
        </w:tc>
        <w:tc>
          <w:tcPr>
            <w:tcW w:w="563" w:type="pct"/>
          </w:tcPr>
          <w:p w14:paraId="3D94032D" w14:textId="77777777" w:rsidR="005116D7" w:rsidRPr="002D0F5A" w:rsidRDefault="00ED25A3" w:rsidP="005116D7">
            <w:pPr>
              <w:jc w:val="right"/>
              <w:rPr>
                <w:sz w:val="20"/>
                <w:szCs w:val="20"/>
                <w:lang w:val="fr-FR"/>
              </w:rPr>
            </w:pPr>
            <w:r>
              <w:rPr>
                <w:sz w:val="20"/>
                <w:szCs w:val="20"/>
                <w:lang w:val="fr-FR"/>
              </w:rPr>
              <w:t xml:space="preserve">30 </w:t>
            </w:r>
            <w:r w:rsidR="005116D7" w:rsidRPr="002D0F5A">
              <w:rPr>
                <w:sz w:val="20"/>
                <w:szCs w:val="20"/>
                <w:lang w:val="fr-FR"/>
              </w:rPr>
              <w:t>000</w:t>
            </w:r>
          </w:p>
        </w:tc>
        <w:tc>
          <w:tcPr>
            <w:tcW w:w="705" w:type="pct"/>
          </w:tcPr>
          <w:p w14:paraId="724AB69B" w14:textId="77777777" w:rsidR="005116D7" w:rsidRPr="002D0F5A" w:rsidRDefault="00ED25A3" w:rsidP="005116D7">
            <w:pPr>
              <w:jc w:val="right"/>
              <w:rPr>
                <w:sz w:val="20"/>
                <w:szCs w:val="20"/>
                <w:lang w:val="fr-FR"/>
              </w:rPr>
            </w:pPr>
            <w:r>
              <w:rPr>
                <w:sz w:val="20"/>
                <w:szCs w:val="20"/>
                <w:lang w:val="fr-FR"/>
              </w:rPr>
              <w:t xml:space="preserve">30 </w:t>
            </w:r>
            <w:r w:rsidR="005116D7" w:rsidRPr="002D0F5A">
              <w:rPr>
                <w:sz w:val="20"/>
                <w:szCs w:val="20"/>
                <w:lang w:val="fr-FR"/>
              </w:rPr>
              <w:t>000</w:t>
            </w:r>
          </w:p>
        </w:tc>
      </w:tr>
      <w:tr w:rsidR="002D0F5A" w:rsidRPr="002D0F5A" w14:paraId="3A35A177" w14:textId="77777777" w:rsidTr="0045311B">
        <w:trPr>
          <w:trHeight w:val="235"/>
        </w:trPr>
        <w:tc>
          <w:tcPr>
            <w:tcW w:w="3732" w:type="pct"/>
            <w:gridSpan w:val="3"/>
          </w:tcPr>
          <w:p w14:paraId="034BF50A" w14:textId="77777777" w:rsidR="005116D7" w:rsidRPr="002D0F5A" w:rsidRDefault="002D0F5A" w:rsidP="002D0F5A">
            <w:pPr>
              <w:jc w:val="right"/>
              <w:rPr>
                <w:color w:val="000000" w:themeColor="text1"/>
                <w:sz w:val="20"/>
                <w:szCs w:val="20"/>
                <w:lang w:val="fr-FR"/>
              </w:rPr>
            </w:pPr>
            <w:r>
              <w:rPr>
                <w:color w:val="000000" w:themeColor="text1"/>
                <w:sz w:val="20"/>
                <w:szCs w:val="20"/>
                <w:lang w:val="fr-FR"/>
              </w:rPr>
              <w:t xml:space="preserve">Total partiel pour </w:t>
            </w:r>
            <w:r w:rsidR="005116D7" w:rsidRPr="002D0F5A">
              <w:rPr>
                <w:color w:val="000000" w:themeColor="text1"/>
                <w:sz w:val="20"/>
                <w:szCs w:val="20"/>
                <w:lang w:val="fr-FR"/>
              </w:rPr>
              <w:t>A2</w:t>
            </w:r>
          </w:p>
        </w:tc>
        <w:tc>
          <w:tcPr>
            <w:tcW w:w="563" w:type="pct"/>
          </w:tcPr>
          <w:p w14:paraId="1404280C" w14:textId="77777777" w:rsidR="005116D7" w:rsidRPr="002D0F5A" w:rsidRDefault="00ED25A3" w:rsidP="005116D7">
            <w:pPr>
              <w:jc w:val="right"/>
              <w:rPr>
                <w:color w:val="000000" w:themeColor="text1"/>
                <w:sz w:val="20"/>
                <w:szCs w:val="20"/>
                <w:lang w:val="fr-FR"/>
              </w:rPr>
            </w:pPr>
            <w:r>
              <w:rPr>
                <w:color w:val="000000" w:themeColor="text1"/>
                <w:sz w:val="20"/>
                <w:szCs w:val="20"/>
                <w:lang w:val="fr-FR"/>
              </w:rPr>
              <w:t xml:space="preserve">30 </w:t>
            </w:r>
            <w:r w:rsidR="005116D7" w:rsidRPr="002D0F5A">
              <w:rPr>
                <w:color w:val="000000" w:themeColor="text1"/>
                <w:sz w:val="20"/>
                <w:szCs w:val="20"/>
                <w:lang w:val="fr-FR"/>
              </w:rPr>
              <w:t>000</w:t>
            </w:r>
          </w:p>
        </w:tc>
        <w:tc>
          <w:tcPr>
            <w:tcW w:w="705" w:type="pct"/>
          </w:tcPr>
          <w:p w14:paraId="7E811CAA" w14:textId="77777777" w:rsidR="005116D7" w:rsidRPr="002D0F5A" w:rsidRDefault="00ED25A3" w:rsidP="005116D7">
            <w:pPr>
              <w:jc w:val="right"/>
              <w:rPr>
                <w:color w:val="000000" w:themeColor="text1"/>
                <w:sz w:val="20"/>
                <w:szCs w:val="20"/>
                <w:lang w:val="fr-FR"/>
              </w:rPr>
            </w:pPr>
            <w:r>
              <w:rPr>
                <w:color w:val="000000" w:themeColor="text1"/>
                <w:sz w:val="20"/>
                <w:szCs w:val="20"/>
                <w:lang w:val="fr-FR"/>
              </w:rPr>
              <w:t xml:space="preserve">30 </w:t>
            </w:r>
            <w:r w:rsidR="005116D7" w:rsidRPr="002D0F5A">
              <w:rPr>
                <w:color w:val="000000" w:themeColor="text1"/>
                <w:sz w:val="20"/>
                <w:szCs w:val="20"/>
                <w:lang w:val="fr-FR"/>
              </w:rPr>
              <w:t>000</w:t>
            </w:r>
          </w:p>
        </w:tc>
      </w:tr>
      <w:tr w:rsidR="002D0F5A" w:rsidRPr="002D0F5A" w14:paraId="7B409CAB" w14:textId="77777777" w:rsidTr="0045311B">
        <w:trPr>
          <w:trHeight w:val="235"/>
        </w:trPr>
        <w:tc>
          <w:tcPr>
            <w:tcW w:w="3732" w:type="pct"/>
            <w:gridSpan w:val="3"/>
          </w:tcPr>
          <w:p w14:paraId="368027E0" w14:textId="77777777" w:rsidR="005116D7" w:rsidRPr="002D0F5A" w:rsidRDefault="002D0F5A" w:rsidP="005116D7">
            <w:pPr>
              <w:jc w:val="right"/>
              <w:rPr>
                <w:color w:val="000000" w:themeColor="text1"/>
                <w:sz w:val="20"/>
                <w:szCs w:val="20"/>
                <w:lang w:val="fr-FR"/>
              </w:rPr>
            </w:pPr>
            <w:r>
              <w:rPr>
                <w:color w:val="000000" w:themeColor="text1"/>
                <w:sz w:val="20"/>
                <w:szCs w:val="20"/>
                <w:lang w:val="fr-FR"/>
              </w:rPr>
              <w:t>Coûts d’appui d’agence</w:t>
            </w:r>
          </w:p>
        </w:tc>
        <w:tc>
          <w:tcPr>
            <w:tcW w:w="563" w:type="pct"/>
          </w:tcPr>
          <w:p w14:paraId="6D868773" w14:textId="77777777" w:rsidR="005116D7" w:rsidRPr="002D0F5A" w:rsidRDefault="00ED25A3" w:rsidP="005116D7">
            <w:pPr>
              <w:jc w:val="right"/>
              <w:rPr>
                <w:color w:val="000000" w:themeColor="text1"/>
                <w:sz w:val="20"/>
                <w:szCs w:val="20"/>
                <w:lang w:val="fr-FR"/>
              </w:rPr>
            </w:pPr>
            <w:r>
              <w:rPr>
                <w:color w:val="000000" w:themeColor="text1"/>
                <w:sz w:val="20"/>
                <w:szCs w:val="20"/>
                <w:lang w:val="fr-FR"/>
              </w:rPr>
              <w:t xml:space="preserve">2 </w:t>
            </w:r>
            <w:r w:rsidR="005116D7" w:rsidRPr="002D0F5A">
              <w:rPr>
                <w:color w:val="000000" w:themeColor="text1"/>
                <w:sz w:val="20"/>
                <w:szCs w:val="20"/>
                <w:lang w:val="fr-FR"/>
              </w:rPr>
              <w:t>700</w:t>
            </w:r>
          </w:p>
        </w:tc>
        <w:tc>
          <w:tcPr>
            <w:tcW w:w="705" w:type="pct"/>
          </w:tcPr>
          <w:p w14:paraId="5D074721" w14:textId="77777777" w:rsidR="005116D7" w:rsidRPr="002D0F5A" w:rsidRDefault="00ED25A3" w:rsidP="005116D7">
            <w:pPr>
              <w:jc w:val="right"/>
              <w:rPr>
                <w:color w:val="000000" w:themeColor="text1"/>
                <w:sz w:val="20"/>
                <w:szCs w:val="20"/>
                <w:lang w:val="fr-FR"/>
              </w:rPr>
            </w:pPr>
            <w:r>
              <w:rPr>
                <w:color w:val="000000" w:themeColor="text1"/>
                <w:sz w:val="20"/>
                <w:szCs w:val="20"/>
                <w:lang w:val="fr-FR"/>
              </w:rPr>
              <w:t xml:space="preserve">2 </w:t>
            </w:r>
            <w:r w:rsidR="005116D7" w:rsidRPr="002D0F5A">
              <w:rPr>
                <w:color w:val="000000" w:themeColor="text1"/>
                <w:sz w:val="20"/>
                <w:szCs w:val="20"/>
                <w:lang w:val="fr-FR"/>
              </w:rPr>
              <w:t>700</w:t>
            </w:r>
          </w:p>
        </w:tc>
      </w:tr>
      <w:tr w:rsidR="002D0F5A" w:rsidRPr="002D0F5A" w14:paraId="66433C6D" w14:textId="77777777" w:rsidTr="0045311B">
        <w:trPr>
          <w:trHeight w:val="235"/>
        </w:trPr>
        <w:tc>
          <w:tcPr>
            <w:tcW w:w="3732" w:type="pct"/>
            <w:gridSpan w:val="3"/>
          </w:tcPr>
          <w:p w14:paraId="78C74A99" w14:textId="77777777" w:rsidR="005116D7" w:rsidRPr="002D0F5A" w:rsidRDefault="002D0F5A" w:rsidP="005116D7">
            <w:pPr>
              <w:jc w:val="right"/>
              <w:rPr>
                <w:color w:val="000000" w:themeColor="text1"/>
                <w:sz w:val="20"/>
                <w:szCs w:val="20"/>
                <w:lang w:val="fr-FR"/>
              </w:rPr>
            </w:pPr>
            <w:r>
              <w:rPr>
                <w:color w:val="000000" w:themeColor="text1"/>
                <w:sz w:val="20"/>
                <w:szCs w:val="20"/>
                <w:lang w:val="fr-FR"/>
              </w:rPr>
              <w:t>Total p</w:t>
            </w:r>
            <w:r w:rsidR="005116D7" w:rsidRPr="002D0F5A">
              <w:rPr>
                <w:color w:val="000000" w:themeColor="text1"/>
                <w:sz w:val="20"/>
                <w:szCs w:val="20"/>
                <w:lang w:val="fr-FR"/>
              </w:rPr>
              <w:t>o</w:t>
            </w:r>
            <w:r>
              <w:rPr>
                <w:color w:val="000000" w:themeColor="text1"/>
                <w:sz w:val="20"/>
                <w:szCs w:val="20"/>
                <w:lang w:val="fr-FR"/>
              </w:rPr>
              <w:t>u</w:t>
            </w:r>
            <w:r w:rsidR="005116D7" w:rsidRPr="002D0F5A">
              <w:rPr>
                <w:color w:val="000000" w:themeColor="text1"/>
                <w:sz w:val="20"/>
                <w:szCs w:val="20"/>
                <w:lang w:val="fr-FR"/>
              </w:rPr>
              <w:t>r A2</w:t>
            </w:r>
          </w:p>
        </w:tc>
        <w:tc>
          <w:tcPr>
            <w:tcW w:w="563" w:type="pct"/>
          </w:tcPr>
          <w:p w14:paraId="1085C0CD" w14:textId="77777777" w:rsidR="005116D7" w:rsidRPr="002D0F5A" w:rsidRDefault="00ED25A3" w:rsidP="005116D7">
            <w:pPr>
              <w:jc w:val="right"/>
              <w:rPr>
                <w:color w:val="000000" w:themeColor="text1"/>
                <w:sz w:val="20"/>
                <w:szCs w:val="20"/>
                <w:lang w:val="fr-FR"/>
              </w:rPr>
            </w:pPr>
            <w:r>
              <w:rPr>
                <w:color w:val="000000" w:themeColor="text1"/>
                <w:sz w:val="20"/>
                <w:szCs w:val="20"/>
                <w:lang w:val="fr-FR"/>
              </w:rPr>
              <w:t xml:space="preserve">32 </w:t>
            </w:r>
            <w:r w:rsidR="005116D7" w:rsidRPr="002D0F5A">
              <w:rPr>
                <w:color w:val="000000" w:themeColor="text1"/>
                <w:sz w:val="20"/>
                <w:szCs w:val="20"/>
                <w:lang w:val="fr-FR"/>
              </w:rPr>
              <w:t>700</w:t>
            </w:r>
          </w:p>
        </w:tc>
        <w:tc>
          <w:tcPr>
            <w:tcW w:w="705" w:type="pct"/>
          </w:tcPr>
          <w:p w14:paraId="76423DA1" w14:textId="77777777" w:rsidR="005116D7" w:rsidRPr="002D0F5A" w:rsidRDefault="00ED25A3" w:rsidP="005116D7">
            <w:pPr>
              <w:jc w:val="right"/>
              <w:rPr>
                <w:color w:val="000000" w:themeColor="text1"/>
                <w:sz w:val="20"/>
                <w:szCs w:val="20"/>
                <w:lang w:val="fr-FR"/>
              </w:rPr>
            </w:pPr>
            <w:r>
              <w:rPr>
                <w:color w:val="000000" w:themeColor="text1"/>
                <w:sz w:val="20"/>
                <w:szCs w:val="20"/>
                <w:lang w:val="fr-FR"/>
              </w:rPr>
              <w:t xml:space="preserve">32 </w:t>
            </w:r>
            <w:r w:rsidR="005116D7" w:rsidRPr="002D0F5A">
              <w:rPr>
                <w:color w:val="000000" w:themeColor="text1"/>
                <w:sz w:val="20"/>
                <w:szCs w:val="20"/>
                <w:lang w:val="fr-FR"/>
              </w:rPr>
              <w:t>700</w:t>
            </w:r>
          </w:p>
        </w:tc>
      </w:tr>
      <w:tr w:rsidR="005116D7" w:rsidRPr="00497523" w14:paraId="7F769EF0" w14:textId="77777777" w:rsidTr="0045311B">
        <w:trPr>
          <w:trHeight w:val="235"/>
        </w:trPr>
        <w:tc>
          <w:tcPr>
            <w:tcW w:w="5000" w:type="pct"/>
            <w:gridSpan w:val="5"/>
          </w:tcPr>
          <w:p w14:paraId="3C721404" w14:textId="77777777" w:rsidR="005116D7" w:rsidRPr="002D0F5A" w:rsidRDefault="002D0F5A" w:rsidP="005116D7">
            <w:pPr>
              <w:jc w:val="left"/>
              <w:rPr>
                <w:b/>
                <w:color w:val="000000" w:themeColor="text1"/>
                <w:sz w:val="20"/>
                <w:szCs w:val="20"/>
                <w:lang w:val="fr-FR"/>
              </w:rPr>
            </w:pPr>
            <w:r>
              <w:rPr>
                <w:b/>
                <w:color w:val="000000" w:themeColor="text1"/>
                <w:sz w:val="20"/>
                <w:szCs w:val="20"/>
                <w:lang w:val="fr-FR"/>
              </w:rPr>
              <w:t>SECTION B: ACTIVITÉ</w:t>
            </w:r>
            <w:r w:rsidR="005116D7" w:rsidRPr="002D0F5A">
              <w:rPr>
                <w:b/>
                <w:color w:val="000000" w:themeColor="text1"/>
                <w:sz w:val="20"/>
                <w:szCs w:val="20"/>
                <w:lang w:val="fr-FR"/>
              </w:rPr>
              <w:t>S RECOMM</w:t>
            </w:r>
            <w:r>
              <w:rPr>
                <w:b/>
                <w:color w:val="000000" w:themeColor="text1"/>
                <w:sz w:val="20"/>
                <w:szCs w:val="20"/>
                <w:lang w:val="fr-FR"/>
              </w:rPr>
              <w:t>AN</w:t>
            </w:r>
            <w:r w:rsidR="005116D7" w:rsidRPr="002D0F5A">
              <w:rPr>
                <w:b/>
                <w:color w:val="000000" w:themeColor="text1"/>
                <w:sz w:val="20"/>
                <w:szCs w:val="20"/>
                <w:lang w:val="fr-FR"/>
              </w:rPr>
              <w:t>D</w:t>
            </w:r>
            <w:r>
              <w:rPr>
                <w:b/>
                <w:color w:val="000000" w:themeColor="text1"/>
                <w:sz w:val="20"/>
                <w:szCs w:val="20"/>
                <w:lang w:val="fr-FR"/>
              </w:rPr>
              <w:t>É</w:t>
            </w:r>
            <w:r w:rsidR="005116D7" w:rsidRPr="002D0F5A">
              <w:rPr>
                <w:b/>
                <w:color w:val="000000" w:themeColor="text1"/>
                <w:sz w:val="20"/>
                <w:szCs w:val="20"/>
                <w:lang w:val="fr-FR"/>
              </w:rPr>
              <w:t>E</w:t>
            </w:r>
            <w:r>
              <w:rPr>
                <w:b/>
                <w:color w:val="000000" w:themeColor="text1"/>
                <w:sz w:val="20"/>
                <w:szCs w:val="20"/>
                <w:lang w:val="fr-FR"/>
              </w:rPr>
              <w:t>S</w:t>
            </w:r>
            <w:r w:rsidR="005116D7" w:rsidRPr="002D0F5A">
              <w:rPr>
                <w:b/>
                <w:color w:val="000000" w:themeColor="text1"/>
                <w:sz w:val="20"/>
                <w:szCs w:val="20"/>
                <w:lang w:val="fr-FR"/>
              </w:rPr>
              <w:t xml:space="preserve"> </w:t>
            </w:r>
            <w:r>
              <w:rPr>
                <w:b/>
                <w:color w:val="000000" w:themeColor="text1"/>
                <w:sz w:val="20"/>
                <w:szCs w:val="20"/>
                <w:lang w:val="fr-FR"/>
              </w:rPr>
              <w:t xml:space="preserve">AUX FINS D’EXAMEN INDIVIDUEL </w:t>
            </w:r>
          </w:p>
        </w:tc>
      </w:tr>
      <w:tr w:rsidR="005116D7" w:rsidRPr="00497523" w14:paraId="47ED675F" w14:textId="77777777" w:rsidTr="0045311B">
        <w:trPr>
          <w:trHeight w:val="235"/>
        </w:trPr>
        <w:tc>
          <w:tcPr>
            <w:tcW w:w="5000" w:type="pct"/>
            <w:gridSpan w:val="5"/>
            <w:tcBorders>
              <w:top w:val="single" w:sz="4" w:space="0" w:color="auto"/>
              <w:left w:val="single" w:sz="4" w:space="0" w:color="auto"/>
              <w:bottom w:val="single" w:sz="4" w:space="0" w:color="auto"/>
              <w:right w:val="single" w:sz="4" w:space="0" w:color="auto"/>
            </w:tcBorders>
          </w:tcPr>
          <w:p w14:paraId="04BC53F4" w14:textId="77777777" w:rsidR="005116D7" w:rsidRPr="002D0F5A" w:rsidRDefault="005116D7" w:rsidP="005116D7">
            <w:pPr>
              <w:jc w:val="left"/>
              <w:rPr>
                <w:b/>
                <w:color w:val="000000" w:themeColor="text1"/>
                <w:sz w:val="20"/>
                <w:szCs w:val="20"/>
                <w:lang w:val="fr-FR"/>
              </w:rPr>
            </w:pPr>
            <w:r w:rsidRPr="002D0F5A">
              <w:rPr>
                <w:b/>
                <w:color w:val="000000" w:themeColor="text1"/>
                <w:sz w:val="20"/>
                <w:szCs w:val="20"/>
                <w:lang w:val="fr-FR"/>
              </w:rPr>
              <w:t xml:space="preserve">B1: </w:t>
            </w:r>
            <w:r w:rsidRPr="002D0F5A">
              <w:rPr>
                <w:b/>
                <w:sz w:val="20"/>
                <w:szCs w:val="20"/>
                <w:lang w:val="fr-FR"/>
              </w:rPr>
              <w:t>Pr</w:t>
            </w:r>
            <w:r w:rsidR="002D0F5A">
              <w:rPr>
                <w:b/>
                <w:sz w:val="20"/>
                <w:szCs w:val="20"/>
                <w:lang w:val="fr-FR"/>
              </w:rPr>
              <w:t>éparation de proje</w:t>
            </w:r>
            <w:r w:rsidRPr="002D0F5A">
              <w:rPr>
                <w:b/>
                <w:sz w:val="20"/>
                <w:szCs w:val="20"/>
                <w:lang w:val="fr-FR"/>
              </w:rPr>
              <w:t>t p</w:t>
            </w:r>
            <w:r w:rsidR="002D0F5A">
              <w:rPr>
                <w:b/>
                <w:sz w:val="20"/>
                <w:szCs w:val="20"/>
                <w:lang w:val="fr-FR"/>
              </w:rPr>
              <w:t>ou</w:t>
            </w:r>
            <w:r w:rsidRPr="002D0F5A">
              <w:rPr>
                <w:b/>
                <w:sz w:val="20"/>
                <w:szCs w:val="20"/>
                <w:lang w:val="fr-FR"/>
              </w:rPr>
              <w:t>r</w:t>
            </w:r>
            <w:r w:rsidR="002D0F5A">
              <w:rPr>
                <w:b/>
                <w:sz w:val="20"/>
                <w:szCs w:val="20"/>
                <w:lang w:val="fr-FR"/>
              </w:rPr>
              <w:t xml:space="preserve"> d</w:t>
            </w:r>
            <w:r w:rsidRPr="002D0F5A">
              <w:rPr>
                <w:b/>
                <w:sz w:val="20"/>
                <w:szCs w:val="20"/>
                <w:lang w:val="fr-FR"/>
              </w:rPr>
              <w:t>e</w:t>
            </w:r>
            <w:r w:rsidR="002D0F5A">
              <w:rPr>
                <w:b/>
                <w:sz w:val="20"/>
                <w:szCs w:val="20"/>
                <w:lang w:val="fr-FR"/>
              </w:rPr>
              <w:t xml:space="preserve">s plans de gestion de la réduction progressive des HFC </w:t>
            </w:r>
          </w:p>
        </w:tc>
      </w:tr>
      <w:tr w:rsidR="0045311B" w:rsidRPr="002D0F5A" w14:paraId="0583805A" w14:textId="77777777" w:rsidTr="0045311B">
        <w:trPr>
          <w:trHeight w:val="235"/>
        </w:trPr>
        <w:tc>
          <w:tcPr>
            <w:tcW w:w="845" w:type="pct"/>
            <w:gridSpan w:val="2"/>
            <w:shd w:val="clear" w:color="auto" w:fill="auto"/>
          </w:tcPr>
          <w:p w14:paraId="79A37609" w14:textId="77777777" w:rsidR="005116D7" w:rsidRPr="002D0F5A" w:rsidRDefault="005116D7" w:rsidP="005116D7">
            <w:pPr>
              <w:jc w:val="left"/>
              <w:rPr>
                <w:color w:val="000000" w:themeColor="text1"/>
                <w:sz w:val="20"/>
                <w:szCs w:val="20"/>
                <w:lang w:val="fr-FR"/>
              </w:rPr>
            </w:pPr>
            <w:r w:rsidRPr="002D0F5A">
              <w:rPr>
                <w:color w:val="000000" w:themeColor="text1"/>
                <w:sz w:val="20"/>
                <w:szCs w:val="20"/>
                <w:lang w:val="fr-FR"/>
              </w:rPr>
              <w:t>Bh</w:t>
            </w:r>
            <w:r w:rsidR="0045311B">
              <w:rPr>
                <w:color w:val="000000" w:themeColor="text1"/>
                <w:sz w:val="20"/>
                <w:szCs w:val="20"/>
                <w:lang w:val="fr-FR"/>
              </w:rPr>
              <w:t>o</w:t>
            </w:r>
            <w:r w:rsidRPr="002D0F5A">
              <w:rPr>
                <w:color w:val="000000" w:themeColor="text1"/>
                <w:sz w:val="20"/>
                <w:szCs w:val="20"/>
                <w:lang w:val="fr-FR"/>
              </w:rPr>
              <w:t>utan**</w:t>
            </w:r>
          </w:p>
        </w:tc>
        <w:tc>
          <w:tcPr>
            <w:tcW w:w="2887" w:type="pct"/>
            <w:shd w:val="clear" w:color="auto" w:fill="auto"/>
          </w:tcPr>
          <w:p w14:paraId="0EF41EE6" w14:textId="77777777" w:rsidR="005116D7" w:rsidRPr="002D0F5A" w:rsidRDefault="0045311B" w:rsidP="0045311B">
            <w:pPr>
              <w:rPr>
                <w:color w:val="000000" w:themeColor="text1"/>
                <w:sz w:val="20"/>
                <w:szCs w:val="20"/>
                <w:lang w:val="fr-FR"/>
              </w:rPr>
            </w:pPr>
            <w:r>
              <w:rPr>
                <w:bCs/>
                <w:sz w:val="20"/>
                <w:szCs w:val="20"/>
                <w:lang w:val="fr-FR"/>
              </w:rPr>
              <w:t>Pré</w:t>
            </w:r>
            <w:r w:rsidR="005116D7" w:rsidRPr="002D0F5A">
              <w:rPr>
                <w:bCs/>
                <w:sz w:val="20"/>
                <w:szCs w:val="20"/>
                <w:lang w:val="fr-FR"/>
              </w:rPr>
              <w:t xml:space="preserve">paration </w:t>
            </w:r>
            <w:r>
              <w:rPr>
                <w:bCs/>
                <w:sz w:val="20"/>
                <w:szCs w:val="20"/>
                <w:lang w:val="fr-FR"/>
              </w:rPr>
              <w:t xml:space="preserve">d’un plan de gestion de la réduction progressive des HFC </w:t>
            </w:r>
          </w:p>
        </w:tc>
        <w:tc>
          <w:tcPr>
            <w:tcW w:w="563" w:type="pct"/>
            <w:shd w:val="clear" w:color="auto" w:fill="auto"/>
          </w:tcPr>
          <w:p w14:paraId="4652191F" w14:textId="77777777" w:rsidR="005116D7" w:rsidRPr="002D0F5A" w:rsidRDefault="00ED25A3" w:rsidP="005116D7">
            <w:pPr>
              <w:jc w:val="right"/>
              <w:rPr>
                <w:color w:val="000000" w:themeColor="text1"/>
                <w:sz w:val="20"/>
                <w:szCs w:val="20"/>
                <w:lang w:val="fr-FR"/>
              </w:rPr>
            </w:pPr>
            <w:r>
              <w:rPr>
                <w:color w:val="000000" w:themeColor="text1"/>
                <w:sz w:val="20"/>
                <w:szCs w:val="20"/>
                <w:lang w:val="fr-FR"/>
              </w:rPr>
              <w:t xml:space="preserve">10 </w:t>
            </w:r>
            <w:r w:rsidR="005116D7" w:rsidRPr="002D0F5A">
              <w:rPr>
                <w:color w:val="000000" w:themeColor="text1"/>
                <w:sz w:val="20"/>
                <w:szCs w:val="20"/>
                <w:lang w:val="fr-FR"/>
              </w:rPr>
              <w:t>000</w:t>
            </w:r>
          </w:p>
        </w:tc>
        <w:tc>
          <w:tcPr>
            <w:tcW w:w="705" w:type="pct"/>
            <w:shd w:val="clear" w:color="auto" w:fill="auto"/>
          </w:tcPr>
          <w:p w14:paraId="569AA39C" w14:textId="77777777" w:rsidR="005116D7" w:rsidRPr="002D0F5A" w:rsidRDefault="005116D7" w:rsidP="005116D7">
            <w:pPr>
              <w:jc w:val="right"/>
              <w:rPr>
                <w:color w:val="000000" w:themeColor="text1"/>
                <w:sz w:val="20"/>
                <w:szCs w:val="20"/>
                <w:lang w:val="fr-FR"/>
              </w:rPr>
            </w:pPr>
            <w:r w:rsidRPr="002D0F5A">
              <w:rPr>
                <w:color w:val="000000" w:themeColor="text1"/>
                <w:sz w:val="20"/>
                <w:szCs w:val="20"/>
                <w:lang w:val="fr-FR"/>
              </w:rPr>
              <w:t>***</w:t>
            </w:r>
          </w:p>
        </w:tc>
      </w:tr>
      <w:tr w:rsidR="0045311B" w:rsidRPr="002D0F5A" w14:paraId="6889FEC1" w14:textId="77777777" w:rsidTr="0045311B">
        <w:trPr>
          <w:trHeight w:val="235"/>
        </w:trPr>
        <w:tc>
          <w:tcPr>
            <w:tcW w:w="845" w:type="pct"/>
            <w:gridSpan w:val="2"/>
            <w:tcBorders>
              <w:top w:val="single" w:sz="4" w:space="0" w:color="auto"/>
              <w:left w:val="single" w:sz="4" w:space="0" w:color="auto"/>
              <w:bottom w:val="single" w:sz="4" w:space="0" w:color="auto"/>
              <w:right w:val="single" w:sz="4" w:space="0" w:color="auto"/>
            </w:tcBorders>
            <w:shd w:val="clear" w:color="auto" w:fill="auto"/>
          </w:tcPr>
          <w:p w14:paraId="20DFA6A8" w14:textId="77777777" w:rsidR="0045311B" w:rsidRPr="002D0F5A" w:rsidRDefault="0045311B" w:rsidP="005116D7">
            <w:pPr>
              <w:jc w:val="left"/>
              <w:rPr>
                <w:color w:val="000000" w:themeColor="text1"/>
                <w:sz w:val="20"/>
                <w:szCs w:val="20"/>
                <w:lang w:val="fr-FR"/>
              </w:rPr>
            </w:pPr>
            <w:r w:rsidRPr="002D0F5A">
              <w:rPr>
                <w:color w:val="000000"/>
                <w:sz w:val="20"/>
                <w:szCs w:val="20"/>
                <w:lang w:val="fr-FR"/>
              </w:rPr>
              <w:t>Costa Rica</w:t>
            </w:r>
            <w:r w:rsidRPr="002D0F5A">
              <w:rPr>
                <w:sz w:val="19"/>
                <w:szCs w:val="19"/>
                <w:lang w:val="fr-FR"/>
              </w:rPr>
              <w:t>§</w:t>
            </w:r>
          </w:p>
        </w:tc>
        <w:tc>
          <w:tcPr>
            <w:tcW w:w="2887" w:type="pct"/>
            <w:tcBorders>
              <w:top w:val="single" w:sz="4" w:space="0" w:color="auto"/>
              <w:left w:val="single" w:sz="4" w:space="0" w:color="auto"/>
              <w:bottom w:val="single" w:sz="4" w:space="0" w:color="auto"/>
              <w:right w:val="single" w:sz="4" w:space="0" w:color="auto"/>
            </w:tcBorders>
            <w:shd w:val="clear" w:color="auto" w:fill="auto"/>
          </w:tcPr>
          <w:p w14:paraId="3F094A15" w14:textId="77777777" w:rsidR="0045311B" w:rsidRPr="002D0F5A" w:rsidRDefault="0045311B" w:rsidP="0045311B">
            <w:pPr>
              <w:rPr>
                <w:color w:val="000000" w:themeColor="text1"/>
                <w:sz w:val="20"/>
                <w:szCs w:val="20"/>
                <w:lang w:val="fr-FR"/>
              </w:rPr>
            </w:pPr>
            <w:r>
              <w:rPr>
                <w:bCs/>
                <w:sz w:val="20"/>
                <w:szCs w:val="20"/>
                <w:lang w:val="fr-FR"/>
              </w:rPr>
              <w:t>Pré</w:t>
            </w:r>
            <w:r w:rsidRPr="002D0F5A">
              <w:rPr>
                <w:bCs/>
                <w:sz w:val="20"/>
                <w:szCs w:val="20"/>
                <w:lang w:val="fr-FR"/>
              </w:rPr>
              <w:t xml:space="preserve">paration </w:t>
            </w:r>
            <w:r>
              <w:rPr>
                <w:bCs/>
                <w:sz w:val="20"/>
                <w:szCs w:val="20"/>
                <w:lang w:val="fr-FR"/>
              </w:rPr>
              <w:t xml:space="preserve">d’un plan de gestion de la réduction progressive des HFC </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626BD34E" w14:textId="77777777" w:rsidR="0045311B" w:rsidRPr="002D0F5A" w:rsidRDefault="00ED25A3" w:rsidP="005116D7">
            <w:pPr>
              <w:jc w:val="right"/>
              <w:rPr>
                <w:color w:val="000000" w:themeColor="text1"/>
                <w:sz w:val="20"/>
                <w:szCs w:val="20"/>
                <w:lang w:val="fr-FR"/>
              </w:rPr>
            </w:pPr>
            <w:r>
              <w:rPr>
                <w:color w:val="000000" w:themeColor="text1"/>
                <w:sz w:val="20"/>
                <w:szCs w:val="20"/>
                <w:lang w:val="fr-FR"/>
              </w:rPr>
              <w:t xml:space="preserve">150 </w:t>
            </w:r>
            <w:r w:rsidR="0045311B" w:rsidRPr="002D0F5A">
              <w:rPr>
                <w:color w:val="000000" w:themeColor="text1"/>
                <w:sz w:val="20"/>
                <w:szCs w:val="20"/>
                <w:lang w:val="fr-FR"/>
              </w:rPr>
              <w:t>000</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5D9642B5" w14:textId="77777777" w:rsidR="0045311B" w:rsidRPr="002D0F5A" w:rsidRDefault="0045311B" w:rsidP="005116D7">
            <w:pPr>
              <w:jc w:val="right"/>
              <w:rPr>
                <w:color w:val="000000" w:themeColor="text1"/>
                <w:sz w:val="20"/>
                <w:szCs w:val="20"/>
                <w:lang w:val="fr-FR"/>
              </w:rPr>
            </w:pPr>
            <w:r w:rsidRPr="002D0F5A">
              <w:rPr>
                <w:color w:val="000000" w:themeColor="text1"/>
                <w:sz w:val="20"/>
                <w:szCs w:val="20"/>
                <w:lang w:val="fr-FR"/>
              </w:rPr>
              <w:t>***</w:t>
            </w:r>
          </w:p>
        </w:tc>
      </w:tr>
      <w:tr w:rsidR="0045311B" w:rsidRPr="002D0F5A" w14:paraId="40CB09C9" w14:textId="77777777" w:rsidTr="0045311B">
        <w:trPr>
          <w:trHeight w:val="235"/>
        </w:trPr>
        <w:tc>
          <w:tcPr>
            <w:tcW w:w="845" w:type="pct"/>
            <w:gridSpan w:val="2"/>
            <w:tcBorders>
              <w:top w:val="single" w:sz="4" w:space="0" w:color="auto"/>
              <w:left w:val="single" w:sz="4" w:space="0" w:color="auto"/>
              <w:bottom w:val="single" w:sz="4" w:space="0" w:color="auto"/>
              <w:right w:val="single" w:sz="4" w:space="0" w:color="auto"/>
            </w:tcBorders>
            <w:shd w:val="clear" w:color="auto" w:fill="auto"/>
          </w:tcPr>
          <w:p w14:paraId="10FF2CA0" w14:textId="77777777" w:rsidR="0045311B" w:rsidRPr="002D0F5A" w:rsidRDefault="0045311B" w:rsidP="005116D7">
            <w:pPr>
              <w:jc w:val="left"/>
              <w:rPr>
                <w:color w:val="000000" w:themeColor="text1"/>
                <w:sz w:val="20"/>
                <w:szCs w:val="20"/>
                <w:lang w:val="fr-FR"/>
              </w:rPr>
            </w:pPr>
            <w:r w:rsidRPr="002D0F5A">
              <w:rPr>
                <w:color w:val="000000"/>
                <w:sz w:val="20"/>
                <w:szCs w:val="20"/>
                <w:lang w:val="fr-FR"/>
              </w:rPr>
              <w:t>Cuba</w:t>
            </w:r>
            <w:r w:rsidRPr="002D0F5A">
              <w:rPr>
                <w:sz w:val="19"/>
                <w:szCs w:val="19"/>
                <w:lang w:val="fr-FR"/>
              </w:rPr>
              <w:t>§</w:t>
            </w:r>
          </w:p>
        </w:tc>
        <w:tc>
          <w:tcPr>
            <w:tcW w:w="2887" w:type="pct"/>
            <w:tcBorders>
              <w:top w:val="single" w:sz="4" w:space="0" w:color="auto"/>
              <w:left w:val="single" w:sz="4" w:space="0" w:color="auto"/>
              <w:bottom w:val="single" w:sz="4" w:space="0" w:color="auto"/>
              <w:right w:val="single" w:sz="4" w:space="0" w:color="auto"/>
            </w:tcBorders>
            <w:shd w:val="clear" w:color="auto" w:fill="auto"/>
          </w:tcPr>
          <w:p w14:paraId="285FA8EE" w14:textId="77777777" w:rsidR="0045311B" w:rsidRPr="002D0F5A" w:rsidRDefault="0045311B" w:rsidP="0045311B">
            <w:pPr>
              <w:rPr>
                <w:color w:val="000000" w:themeColor="text1"/>
                <w:sz w:val="20"/>
                <w:szCs w:val="20"/>
                <w:lang w:val="fr-FR"/>
              </w:rPr>
            </w:pPr>
            <w:r>
              <w:rPr>
                <w:bCs/>
                <w:sz w:val="20"/>
                <w:szCs w:val="20"/>
                <w:lang w:val="fr-FR"/>
              </w:rPr>
              <w:t>Pré</w:t>
            </w:r>
            <w:r w:rsidRPr="002D0F5A">
              <w:rPr>
                <w:bCs/>
                <w:sz w:val="20"/>
                <w:szCs w:val="20"/>
                <w:lang w:val="fr-FR"/>
              </w:rPr>
              <w:t xml:space="preserve">paration </w:t>
            </w:r>
            <w:r>
              <w:rPr>
                <w:bCs/>
                <w:sz w:val="20"/>
                <w:szCs w:val="20"/>
                <w:lang w:val="fr-FR"/>
              </w:rPr>
              <w:t xml:space="preserve">d’un plan de gestion de la réduction progressive des HFC </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78E06BC7" w14:textId="77777777" w:rsidR="0045311B" w:rsidRPr="002D0F5A" w:rsidRDefault="00ED25A3" w:rsidP="005116D7">
            <w:pPr>
              <w:jc w:val="right"/>
              <w:rPr>
                <w:color w:val="000000" w:themeColor="text1"/>
                <w:sz w:val="20"/>
                <w:szCs w:val="20"/>
                <w:lang w:val="fr-FR"/>
              </w:rPr>
            </w:pPr>
            <w:r>
              <w:rPr>
                <w:color w:val="000000" w:themeColor="text1"/>
                <w:sz w:val="20"/>
                <w:szCs w:val="20"/>
                <w:lang w:val="fr-FR"/>
              </w:rPr>
              <w:t xml:space="preserve">150 </w:t>
            </w:r>
            <w:r w:rsidR="0045311B" w:rsidRPr="002D0F5A">
              <w:rPr>
                <w:color w:val="000000" w:themeColor="text1"/>
                <w:sz w:val="20"/>
                <w:szCs w:val="20"/>
                <w:lang w:val="fr-FR"/>
              </w:rPr>
              <w:t>000</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5493AFC5" w14:textId="77777777" w:rsidR="0045311B" w:rsidRPr="002D0F5A" w:rsidRDefault="0045311B" w:rsidP="005116D7">
            <w:pPr>
              <w:jc w:val="right"/>
              <w:rPr>
                <w:color w:val="000000" w:themeColor="text1"/>
                <w:sz w:val="20"/>
                <w:szCs w:val="20"/>
                <w:lang w:val="fr-FR"/>
              </w:rPr>
            </w:pPr>
            <w:r w:rsidRPr="002D0F5A">
              <w:rPr>
                <w:color w:val="000000" w:themeColor="text1"/>
                <w:sz w:val="20"/>
                <w:szCs w:val="20"/>
                <w:lang w:val="fr-FR"/>
              </w:rPr>
              <w:t>***</w:t>
            </w:r>
          </w:p>
        </w:tc>
      </w:tr>
      <w:tr w:rsidR="0045311B" w:rsidRPr="002D0F5A" w14:paraId="4A944A18" w14:textId="77777777" w:rsidTr="0045311B">
        <w:trPr>
          <w:trHeight w:val="235"/>
        </w:trPr>
        <w:tc>
          <w:tcPr>
            <w:tcW w:w="845" w:type="pct"/>
            <w:gridSpan w:val="2"/>
            <w:shd w:val="clear" w:color="auto" w:fill="auto"/>
          </w:tcPr>
          <w:p w14:paraId="4843291A" w14:textId="77777777" w:rsidR="0045311B" w:rsidRPr="002D0F5A" w:rsidRDefault="0045311B" w:rsidP="005116D7">
            <w:pPr>
              <w:jc w:val="left"/>
              <w:rPr>
                <w:color w:val="000000" w:themeColor="text1"/>
                <w:sz w:val="20"/>
                <w:szCs w:val="20"/>
                <w:lang w:val="fr-FR"/>
              </w:rPr>
            </w:pPr>
            <w:r w:rsidRPr="002D0F5A">
              <w:rPr>
                <w:color w:val="000000" w:themeColor="text1"/>
                <w:sz w:val="20"/>
                <w:szCs w:val="20"/>
                <w:lang w:val="fr-FR"/>
              </w:rPr>
              <w:t>Ghana*</w:t>
            </w:r>
          </w:p>
        </w:tc>
        <w:tc>
          <w:tcPr>
            <w:tcW w:w="2887" w:type="pct"/>
            <w:shd w:val="clear" w:color="auto" w:fill="auto"/>
          </w:tcPr>
          <w:p w14:paraId="538CB66B" w14:textId="77777777" w:rsidR="0045311B" w:rsidRPr="002D0F5A" w:rsidRDefault="0045311B" w:rsidP="0045311B">
            <w:pPr>
              <w:rPr>
                <w:color w:val="000000" w:themeColor="text1"/>
                <w:sz w:val="20"/>
                <w:szCs w:val="20"/>
                <w:lang w:val="fr-FR"/>
              </w:rPr>
            </w:pPr>
            <w:r>
              <w:rPr>
                <w:bCs/>
                <w:sz w:val="20"/>
                <w:szCs w:val="20"/>
                <w:lang w:val="fr-FR"/>
              </w:rPr>
              <w:t>Pré</w:t>
            </w:r>
            <w:r w:rsidRPr="002D0F5A">
              <w:rPr>
                <w:bCs/>
                <w:sz w:val="20"/>
                <w:szCs w:val="20"/>
                <w:lang w:val="fr-FR"/>
              </w:rPr>
              <w:t xml:space="preserve">paration </w:t>
            </w:r>
            <w:r>
              <w:rPr>
                <w:bCs/>
                <w:sz w:val="20"/>
                <w:szCs w:val="20"/>
                <w:lang w:val="fr-FR"/>
              </w:rPr>
              <w:t xml:space="preserve">d’un plan de gestion de la réduction progressive des HFC </w:t>
            </w:r>
          </w:p>
        </w:tc>
        <w:tc>
          <w:tcPr>
            <w:tcW w:w="563" w:type="pct"/>
            <w:shd w:val="clear" w:color="auto" w:fill="auto"/>
          </w:tcPr>
          <w:p w14:paraId="583EF6E5" w14:textId="77777777" w:rsidR="0045311B" w:rsidRPr="002D0F5A" w:rsidRDefault="00ED25A3" w:rsidP="005116D7">
            <w:pPr>
              <w:jc w:val="right"/>
              <w:rPr>
                <w:color w:val="000000" w:themeColor="text1"/>
                <w:sz w:val="20"/>
                <w:szCs w:val="20"/>
                <w:lang w:val="fr-FR"/>
              </w:rPr>
            </w:pPr>
            <w:r>
              <w:rPr>
                <w:color w:val="000000" w:themeColor="text1"/>
                <w:sz w:val="20"/>
                <w:szCs w:val="20"/>
                <w:lang w:val="fr-FR"/>
              </w:rPr>
              <w:t xml:space="preserve">105 </w:t>
            </w:r>
            <w:r w:rsidR="0045311B" w:rsidRPr="002D0F5A">
              <w:rPr>
                <w:color w:val="000000" w:themeColor="text1"/>
                <w:sz w:val="20"/>
                <w:szCs w:val="20"/>
                <w:lang w:val="fr-FR"/>
              </w:rPr>
              <w:t>000</w:t>
            </w:r>
          </w:p>
        </w:tc>
        <w:tc>
          <w:tcPr>
            <w:tcW w:w="705" w:type="pct"/>
            <w:shd w:val="clear" w:color="auto" w:fill="auto"/>
          </w:tcPr>
          <w:p w14:paraId="029288BC" w14:textId="77777777" w:rsidR="0045311B" w:rsidRPr="002D0F5A" w:rsidRDefault="0045311B" w:rsidP="005116D7">
            <w:pPr>
              <w:jc w:val="right"/>
              <w:rPr>
                <w:color w:val="000000" w:themeColor="text1"/>
                <w:sz w:val="20"/>
                <w:szCs w:val="20"/>
                <w:lang w:val="fr-FR"/>
              </w:rPr>
            </w:pPr>
            <w:r w:rsidRPr="002D0F5A">
              <w:rPr>
                <w:color w:val="000000" w:themeColor="text1"/>
                <w:sz w:val="20"/>
                <w:szCs w:val="20"/>
                <w:lang w:val="fr-FR"/>
              </w:rPr>
              <w:t>***</w:t>
            </w:r>
          </w:p>
        </w:tc>
      </w:tr>
      <w:tr w:rsidR="0045311B" w:rsidRPr="002D0F5A" w14:paraId="14D217BC" w14:textId="77777777" w:rsidTr="0045311B">
        <w:trPr>
          <w:trHeight w:val="235"/>
        </w:trPr>
        <w:tc>
          <w:tcPr>
            <w:tcW w:w="845" w:type="pct"/>
            <w:gridSpan w:val="2"/>
            <w:shd w:val="clear" w:color="auto" w:fill="auto"/>
          </w:tcPr>
          <w:p w14:paraId="35EB6499" w14:textId="77777777" w:rsidR="0045311B" w:rsidRPr="002D0F5A" w:rsidRDefault="0045311B" w:rsidP="005116D7">
            <w:pPr>
              <w:jc w:val="left"/>
              <w:rPr>
                <w:color w:val="000000" w:themeColor="text1"/>
                <w:sz w:val="20"/>
                <w:szCs w:val="20"/>
                <w:lang w:val="fr-FR"/>
              </w:rPr>
            </w:pPr>
            <w:r>
              <w:rPr>
                <w:color w:val="000000" w:themeColor="text1"/>
                <w:sz w:val="20"/>
                <w:szCs w:val="20"/>
                <w:lang w:val="fr-FR"/>
              </w:rPr>
              <w:t>Ki</w:t>
            </w:r>
            <w:r w:rsidRPr="002D0F5A">
              <w:rPr>
                <w:color w:val="000000" w:themeColor="text1"/>
                <w:sz w:val="20"/>
                <w:szCs w:val="20"/>
                <w:lang w:val="fr-FR"/>
              </w:rPr>
              <w:t>rg</w:t>
            </w:r>
            <w:r>
              <w:rPr>
                <w:color w:val="000000" w:themeColor="text1"/>
                <w:sz w:val="20"/>
                <w:szCs w:val="20"/>
                <w:lang w:val="fr-FR"/>
              </w:rPr>
              <w:t>hizi</w:t>
            </w:r>
            <w:r w:rsidRPr="002D0F5A">
              <w:rPr>
                <w:color w:val="000000" w:themeColor="text1"/>
                <w:sz w:val="20"/>
                <w:szCs w:val="20"/>
                <w:lang w:val="fr-FR"/>
              </w:rPr>
              <w:t>stan*</w:t>
            </w:r>
          </w:p>
        </w:tc>
        <w:tc>
          <w:tcPr>
            <w:tcW w:w="2887" w:type="pct"/>
            <w:shd w:val="clear" w:color="auto" w:fill="auto"/>
          </w:tcPr>
          <w:p w14:paraId="227EFEF3" w14:textId="77777777" w:rsidR="0045311B" w:rsidRPr="002D0F5A" w:rsidRDefault="0045311B" w:rsidP="0045311B">
            <w:pPr>
              <w:rPr>
                <w:color w:val="000000" w:themeColor="text1"/>
                <w:sz w:val="20"/>
                <w:szCs w:val="20"/>
                <w:lang w:val="fr-FR"/>
              </w:rPr>
            </w:pPr>
            <w:r>
              <w:rPr>
                <w:bCs/>
                <w:sz w:val="20"/>
                <w:szCs w:val="20"/>
                <w:lang w:val="fr-FR"/>
              </w:rPr>
              <w:t>Pré</w:t>
            </w:r>
            <w:r w:rsidRPr="002D0F5A">
              <w:rPr>
                <w:bCs/>
                <w:sz w:val="20"/>
                <w:szCs w:val="20"/>
                <w:lang w:val="fr-FR"/>
              </w:rPr>
              <w:t xml:space="preserve">paration </w:t>
            </w:r>
            <w:r>
              <w:rPr>
                <w:bCs/>
                <w:sz w:val="20"/>
                <w:szCs w:val="20"/>
                <w:lang w:val="fr-FR"/>
              </w:rPr>
              <w:t xml:space="preserve">d’un plan de gestion de la réduction progressive des HFC </w:t>
            </w:r>
          </w:p>
        </w:tc>
        <w:tc>
          <w:tcPr>
            <w:tcW w:w="563" w:type="pct"/>
            <w:shd w:val="clear" w:color="auto" w:fill="auto"/>
          </w:tcPr>
          <w:p w14:paraId="7D07810C" w14:textId="77777777" w:rsidR="0045311B" w:rsidRPr="002D0F5A" w:rsidRDefault="00ED25A3" w:rsidP="005116D7">
            <w:pPr>
              <w:jc w:val="right"/>
              <w:rPr>
                <w:color w:val="000000" w:themeColor="text1"/>
                <w:sz w:val="20"/>
                <w:szCs w:val="20"/>
                <w:lang w:val="fr-FR"/>
              </w:rPr>
            </w:pPr>
            <w:r>
              <w:rPr>
                <w:color w:val="000000" w:themeColor="text1"/>
                <w:sz w:val="20"/>
                <w:szCs w:val="20"/>
                <w:lang w:val="fr-FR"/>
              </w:rPr>
              <w:t xml:space="preserve">60 </w:t>
            </w:r>
            <w:r w:rsidR="0045311B" w:rsidRPr="002D0F5A">
              <w:rPr>
                <w:color w:val="000000" w:themeColor="text1"/>
                <w:sz w:val="20"/>
                <w:szCs w:val="20"/>
                <w:lang w:val="fr-FR"/>
              </w:rPr>
              <w:t>000</w:t>
            </w:r>
          </w:p>
        </w:tc>
        <w:tc>
          <w:tcPr>
            <w:tcW w:w="705" w:type="pct"/>
            <w:shd w:val="clear" w:color="auto" w:fill="auto"/>
          </w:tcPr>
          <w:p w14:paraId="23EEA239" w14:textId="77777777" w:rsidR="0045311B" w:rsidRPr="002D0F5A" w:rsidRDefault="0045311B" w:rsidP="005116D7">
            <w:pPr>
              <w:jc w:val="right"/>
              <w:rPr>
                <w:color w:val="000000" w:themeColor="text1"/>
                <w:sz w:val="20"/>
                <w:szCs w:val="20"/>
                <w:lang w:val="fr-FR"/>
              </w:rPr>
            </w:pPr>
            <w:r w:rsidRPr="002D0F5A">
              <w:rPr>
                <w:color w:val="000000" w:themeColor="text1"/>
                <w:sz w:val="20"/>
                <w:szCs w:val="20"/>
                <w:lang w:val="fr-FR"/>
              </w:rPr>
              <w:t>***</w:t>
            </w:r>
          </w:p>
        </w:tc>
      </w:tr>
      <w:tr w:rsidR="0045311B" w:rsidRPr="002D0F5A" w14:paraId="1A2B4B28" w14:textId="77777777" w:rsidTr="0045311B">
        <w:trPr>
          <w:trHeight w:val="235"/>
        </w:trPr>
        <w:tc>
          <w:tcPr>
            <w:tcW w:w="845" w:type="pct"/>
            <w:gridSpan w:val="2"/>
            <w:shd w:val="clear" w:color="auto" w:fill="auto"/>
          </w:tcPr>
          <w:p w14:paraId="5AE55585" w14:textId="77777777" w:rsidR="0045311B" w:rsidRPr="002D0F5A" w:rsidRDefault="0045311B" w:rsidP="005116D7">
            <w:pPr>
              <w:jc w:val="left"/>
              <w:rPr>
                <w:color w:val="000000"/>
                <w:sz w:val="18"/>
                <w:szCs w:val="18"/>
                <w:lang w:val="fr-FR"/>
              </w:rPr>
            </w:pPr>
            <w:r>
              <w:rPr>
                <w:color w:val="000000"/>
                <w:sz w:val="19"/>
                <w:szCs w:val="19"/>
                <w:lang w:val="fr-FR"/>
              </w:rPr>
              <w:t>Rép.démocratique populaire lao</w:t>
            </w:r>
            <w:r w:rsidRPr="002D0F5A">
              <w:rPr>
                <w:color w:val="000000"/>
                <w:sz w:val="18"/>
                <w:szCs w:val="18"/>
                <w:lang w:val="fr-FR"/>
              </w:rPr>
              <w:t>**</w:t>
            </w:r>
          </w:p>
        </w:tc>
        <w:tc>
          <w:tcPr>
            <w:tcW w:w="2887" w:type="pct"/>
            <w:shd w:val="clear" w:color="auto" w:fill="auto"/>
          </w:tcPr>
          <w:p w14:paraId="2B0EC16F" w14:textId="77777777" w:rsidR="0045311B" w:rsidRPr="002D0F5A" w:rsidRDefault="0045311B" w:rsidP="0045311B">
            <w:pPr>
              <w:rPr>
                <w:color w:val="000000" w:themeColor="text1"/>
                <w:sz w:val="20"/>
                <w:szCs w:val="20"/>
                <w:lang w:val="fr-FR"/>
              </w:rPr>
            </w:pPr>
            <w:r>
              <w:rPr>
                <w:bCs/>
                <w:sz w:val="20"/>
                <w:szCs w:val="20"/>
                <w:lang w:val="fr-FR"/>
              </w:rPr>
              <w:t>Pré</w:t>
            </w:r>
            <w:r w:rsidRPr="002D0F5A">
              <w:rPr>
                <w:bCs/>
                <w:sz w:val="20"/>
                <w:szCs w:val="20"/>
                <w:lang w:val="fr-FR"/>
              </w:rPr>
              <w:t xml:space="preserve">paration </w:t>
            </w:r>
            <w:r>
              <w:rPr>
                <w:bCs/>
                <w:sz w:val="20"/>
                <w:szCs w:val="20"/>
                <w:lang w:val="fr-FR"/>
              </w:rPr>
              <w:t xml:space="preserve">d’un plan de gestion de la réduction progressive des HFC </w:t>
            </w:r>
          </w:p>
        </w:tc>
        <w:tc>
          <w:tcPr>
            <w:tcW w:w="563" w:type="pct"/>
            <w:shd w:val="clear" w:color="auto" w:fill="auto"/>
          </w:tcPr>
          <w:p w14:paraId="701F8B4D" w14:textId="77777777" w:rsidR="0045311B" w:rsidRPr="002D0F5A" w:rsidRDefault="00ED25A3" w:rsidP="005116D7">
            <w:pPr>
              <w:jc w:val="right"/>
              <w:rPr>
                <w:color w:val="000000" w:themeColor="text1"/>
                <w:sz w:val="20"/>
                <w:szCs w:val="20"/>
                <w:lang w:val="fr-FR"/>
              </w:rPr>
            </w:pPr>
            <w:r>
              <w:rPr>
                <w:color w:val="000000" w:themeColor="text1"/>
                <w:sz w:val="20"/>
                <w:szCs w:val="20"/>
                <w:lang w:val="fr-FR"/>
              </w:rPr>
              <w:t xml:space="preserve">10 </w:t>
            </w:r>
            <w:r w:rsidR="0045311B" w:rsidRPr="002D0F5A">
              <w:rPr>
                <w:color w:val="000000" w:themeColor="text1"/>
                <w:sz w:val="20"/>
                <w:szCs w:val="20"/>
                <w:lang w:val="fr-FR"/>
              </w:rPr>
              <w:t>000</w:t>
            </w:r>
          </w:p>
        </w:tc>
        <w:tc>
          <w:tcPr>
            <w:tcW w:w="705" w:type="pct"/>
            <w:shd w:val="clear" w:color="auto" w:fill="auto"/>
          </w:tcPr>
          <w:p w14:paraId="052FE9DC" w14:textId="77777777" w:rsidR="0045311B" w:rsidRPr="002D0F5A" w:rsidRDefault="0045311B" w:rsidP="005116D7">
            <w:pPr>
              <w:jc w:val="right"/>
              <w:rPr>
                <w:color w:val="000000" w:themeColor="text1"/>
                <w:sz w:val="20"/>
                <w:szCs w:val="20"/>
                <w:lang w:val="fr-FR"/>
              </w:rPr>
            </w:pPr>
            <w:r w:rsidRPr="002D0F5A">
              <w:rPr>
                <w:color w:val="000000" w:themeColor="text1"/>
                <w:sz w:val="20"/>
                <w:szCs w:val="20"/>
                <w:lang w:val="fr-FR"/>
              </w:rPr>
              <w:t>***</w:t>
            </w:r>
          </w:p>
        </w:tc>
      </w:tr>
      <w:tr w:rsidR="0045311B" w:rsidRPr="002D0F5A" w14:paraId="25DDFFFC" w14:textId="77777777" w:rsidTr="0045311B">
        <w:trPr>
          <w:trHeight w:val="235"/>
        </w:trPr>
        <w:tc>
          <w:tcPr>
            <w:tcW w:w="845" w:type="pct"/>
            <w:gridSpan w:val="2"/>
            <w:shd w:val="clear" w:color="auto" w:fill="auto"/>
          </w:tcPr>
          <w:p w14:paraId="09EEF3C8" w14:textId="77777777" w:rsidR="0045311B" w:rsidRPr="002D0F5A" w:rsidRDefault="0045311B" w:rsidP="005116D7">
            <w:pPr>
              <w:jc w:val="left"/>
              <w:rPr>
                <w:color w:val="000000"/>
                <w:sz w:val="20"/>
                <w:szCs w:val="20"/>
                <w:lang w:val="fr-FR"/>
              </w:rPr>
            </w:pPr>
            <w:r>
              <w:rPr>
                <w:color w:val="000000"/>
                <w:sz w:val="20"/>
                <w:szCs w:val="20"/>
                <w:lang w:val="fr-FR"/>
              </w:rPr>
              <w:t>Liban</w:t>
            </w:r>
          </w:p>
        </w:tc>
        <w:tc>
          <w:tcPr>
            <w:tcW w:w="2887" w:type="pct"/>
            <w:shd w:val="clear" w:color="auto" w:fill="auto"/>
          </w:tcPr>
          <w:p w14:paraId="2F0B069D" w14:textId="77777777" w:rsidR="0045311B" w:rsidRPr="002D0F5A" w:rsidRDefault="0045311B" w:rsidP="0045311B">
            <w:pPr>
              <w:rPr>
                <w:color w:val="000000" w:themeColor="text1"/>
                <w:sz w:val="20"/>
                <w:szCs w:val="20"/>
                <w:lang w:val="fr-FR"/>
              </w:rPr>
            </w:pPr>
            <w:r>
              <w:rPr>
                <w:bCs/>
                <w:sz w:val="20"/>
                <w:szCs w:val="20"/>
                <w:lang w:val="fr-FR"/>
              </w:rPr>
              <w:t>Pré</w:t>
            </w:r>
            <w:r w:rsidRPr="002D0F5A">
              <w:rPr>
                <w:bCs/>
                <w:sz w:val="20"/>
                <w:szCs w:val="20"/>
                <w:lang w:val="fr-FR"/>
              </w:rPr>
              <w:t xml:space="preserve">paration </w:t>
            </w:r>
            <w:r>
              <w:rPr>
                <w:bCs/>
                <w:sz w:val="20"/>
                <w:szCs w:val="20"/>
                <w:lang w:val="fr-FR"/>
              </w:rPr>
              <w:t xml:space="preserve">d’un plan de gestion de la réduction progressive des HFC </w:t>
            </w:r>
          </w:p>
        </w:tc>
        <w:tc>
          <w:tcPr>
            <w:tcW w:w="563" w:type="pct"/>
            <w:shd w:val="clear" w:color="auto" w:fill="auto"/>
          </w:tcPr>
          <w:p w14:paraId="55098F66" w14:textId="77777777" w:rsidR="0045311B" w:rsidRPr="002D0F5A" w:rsidRDefault="00ED25A3" w:rsidP="005116D7">
            <w:pPr>
              <w:jc w:val="right"/>
              <w:rPr>
                <w:color w:val="000000" w:themeColor="text1"/>
                <w:sz w:val="20"/>
                <w:szCs w:val="20"/>
                <w:lang w:val="fr-FR"/>
              </w:rPr>
            </w:pPr>
            <w:r>
              <w:rPr>
                <w:color w:val="000000" w:themeColor="text1"/>
                <w:sz w:val="20"/>
                <w:szCs w:val="20"/>
                <w:lang w:val="fr-FR"/>
              </w:rPr>
              <w:t xml:space="preserve">150 </w:t>
            </w:r>
            <w:r w:rsidR="0045311B" w:rsidRPr="002D0F5A">
              <w:rPr>
                <w:color w:val="000000" w:themeColor="text1"/>
                <w:sz w:val="20"/>
                <w:szCs w:val="20"/>
                <w:lang w:val="fr-FR"/>
              </w:rPr>
              <w:t>000</w:t>
            </w:r>
          </w:p>
        </w:tc>
        <w:tc>
          <w:tcPr>
            <w:tcW w:w="705" w:type="pct"/>
            <w:shd w:val="clear" w:color="auto" w:fill="auto"/>
          </w:tcPr>
          <w:p w14:paraId="6ACF1824" w14:textId="77777777" w:rsidR="0045311B" w:rsidRPr="002D0F5A" w:rsidRDefault="0045311B" w:rsidP="005116D7">
            <w:pPr>
              <w:jc w:val="right"/>
              <w:rPr>
                <w:color w:val="000000" w:themeColor="text1"/>
                <w:sz w:val="20"/>
                <w:szCs w:val="20"/>
                <w:lang w:val="fr-FR"/>
              </w:rPr>
            </w:pPr>
            <w:r w:rsidRPr="002D0F5A">
              <w:rPr>
                <w:color w:val="000000" w:themeColor="text1"/>
                <w:sz w:val="20"/>
                <w:szCs w:val="20"/>
                <w:lang w:val="fr-FR"/>
              </w:rPr>
              <w:t>***</w:t>
            </w:r>
          </w:p>
        </w:tc>
      </w:tr>
      <w:tr w:rsidR="0045311B" w:rsidRPr="002D0F5A" w14:paraId="243DC03F" w14:textId="77777777" w:rsidTr="0045311B">
        <w:trPr>
          <w:trHeight w:val="235"/>
        </w:trPr>
        <w:tc>
          <w:tcPr>
            <w:tcW w:w="845" w:type="pct"/>
            <w:gridSpan w:val="2"/>
            <w:shd w:val="clear" w:color="auto" w:fill="auto"/>
          </w:tcPr>
          <w:p w14:paraId="50B23765" w14:textId="77777777" w:rsidR="0045311B" w:rsidRPr="002D0F5A" w:rsidRDefault="0045311B" w:rsidP="005116D7">
            <w:pPr>
              <w:jc w:val="left"/>
              <w:rPr>
                <w:color w:val="000000"/>
                <w:sz w:val="20"/>
                <w:szCs w:val="20"/>
                <w:lang w:val="fr-FR"/>
              </w:rPr>
            </w:pPr>
            <w:r w:rsidRPr="002D0F5A">
              <w:rPr>
                <w:color w:val="000000"/>
                <w:sz w:val="20"/>
                <w:szCs w:val="20"/>
                <w:lang w:val="fr-FR"/>
              </w:rPr>
              <w:t>Maldives**</w:t>
            </w:r>
          </w:p>
        </w:tc>
        <w:tc>
          <w:tcPr>
            <w:tcW w:w="2887" w:type="pct"/>
            <w:shd w:val="clear" w:color="auto" w:fill="auto"/>
          </w:tcPr>
          <w:p w14:paraId="6003F727" w14:textId="77777777" w:rsidR="0045311B" w:rsidRPr="002D0F5A" w:rsidRDefault="0045311B" w:rsidP="0045311B">
            <w:pPr>
              <w:rPr>
                <w:color w:val="000000" w:themeColor="text1"/>
                <w:sz w:val="20"/>
                <w:szCs w:val="20"/>
                <w:lang w:val="fr-FR"/>
              </w:rPr>
            </w:pPr>
            <w:r>
              <w:rPr>
                <w:bCs/>
                <w:sz w:val="20"/>
                <w:szCs w:val="20"/>
                <w:lang w:val="fr-FR"/>
              </w:rPr>
              <w:t>Pré</w:t>
            </w:r>
            <w:r w:rsidRPr="002D0F5A">
              <w:rPr>
                <w:bCs/>
                <w:sz w:val="20"/>
                <w:szCs w:val="20"/>
                <w:lang w:val="fr-FR"/>
              </w:rPr>
              <w:t xml:space="preserve">paration </w:t>
            </w:r>
            <w:r>
              <w:rPr>
                <w:bCs/>
                <w:sz w:val="20"/>
                <w:szCs w:val="20"/>
                <w:lang w:val="fr-FR"/>
              </w:rPr>
              <w:t xml:space="preserve">d’un plan de gestion de la réduction progressive des HFC </w:t>
            </w:r>
          </w:p>
        </w:tc>
        <w:tc>
          <w:tcPr>
            <w:tcW w:w="563" w:type="pct"/>
            <w:shd w:val="clear" w:color="auto" w:fill="auto"/>
          </w:tcPr>
          <w:p w14:paraId="132D8EBA" w14:textId="77777777" w:rsidR="0045311B" w:rsidRPr="002D0F5A" w:rsidRDefault="00ED25A3" w:rsidP="005116D7">
            <w:pPr>
              <w:jc w:val="right"/>
              <w:rPr>
                <w:color w:val="000000" w:themeColor="text1"/>
                <w:sz w:val="20"/>
                <w:szCs w:val="20"/>
                <w:lang w:val="fr-FR"/>
              </w:rPr>
            </w:pPr>
            <w:r>
              <w:rPr>
                <w:color w:val="000000" w:themeColor="text1"/>
                <w:sz w:val="20"/>
                <w:szCs w:val="20"/>
                <w:lang w:val="fr-FR"/>
              </w:rPr>
              <w:t xml:space="preserve">10 </w:t>
            </w:r>
            <w:r w:rsidR="0045311B" w:rsidRPr="002D0F5A">
              <w:rPr>
                <w:color w:val="000000" w:themeColor="text1"/>
                <w:sz w:val="20"/>
                <w:szCs w:val="20"/>
                <w:lang w:val="fr-FR"/>
              </w:rPr>
              <w:t>000</w:t>
            </w:r>
          </w:p>
        </w:tc>
        <w:tc>
          <w:tcPr>
            <w:tcW w:w="705" w:type="pct"/>
            <w:shd w:val="clear" w:color="auto" w:fill="auto"/>
          </w:tcPr>
          <w:p w14:paraId="55C93D33" w14:textId="77777777" w:rsidR="0045311B" w:rsidRPr="002D0F5A" w:rsidRDefault="0045311B" w:rsidP="005116D7">
            <w:pPr>
              <w:jc w:val="right"/>
              <w:rPr>
                <w:color w:val="000000" w:themeColor="text1"/>
                <w:sz w:val="20"/>
                <w:szCs w:val="20"/>
                <w:lang w:val="fr-FR"/>
              </w:rPr>
            </w:pPr>
            <w:r w:rsidRPr="002D0F5A">
              <w:rPr>
                <w:color w:val="000000" w:themeColor="text1"/>
                <w:sz w:val="20"/>
                <w:szCs w:val="20"/>
                <w:lang w:val="fr-FR"/>
              </w:rPr>
              <w:t>***</w:t>
            </w:r>
          </w:p>
        </w:tc>
      </w:tr>
      <w:tr w:rsidR="0045311B" w:rsidRPr="002D0F5A" w14:paraId="24221DDC" w14:textId="77777777" w:rsidTr="0045311B">
        <w:trPr>
          <w:trHeight w:val="235"/>
        </w:trPr>
        <w:tc>
          <w:tcPr>
            <w:tcW w:w="845" w:type="pct"/>
            <w:gridSpan w:val="2"/>
            <w:shd w:val="clear" w:color="auto" w:fill="auto"/>
          </w:tcPr>
          <w:p w14:paraId="7004E7E2" w14:textId="77777777" w:rsidR="0045311B" w:rsidRPr="002D0F5A" w:rsidRDefault="0045311B" w:rsidP="005116D7">
            <w:pPr>
              <w:jc w:val="left"/>
              <w:rPr>
                <w:color w:val="000000"/>
                <w:sz w:val="20"/>
                <w:szCs w:val="20"/>
                <w:lang w:val="fr-FR"/>
              </w:rPr>
            </w:pPr>
            <w:r w:rsidRPr="002D0F5A">
              <w:rPr>
                <w:color w:val="000000"/>
                <w:sz w:val="20"/>
                <w:szCs w:val="20"/>
                <w:lang w:val="fr-FR"/>
              </w:rPr>
              <w:t>Nigeria*</w:t>
            </w:r>
          </w:p>
        </w:tc>
        <w:tc>
          <w:tcPr>
            <w:tcW w:w="2887" w:type="pct"/>
            <w:shd w:val="clear" w:color="auto" w:fill="auto"/>
          </w:tcPr>
          <w:p w14:paraId="0740AF62" w14:textId="77777777" w:rsidR="0045311B" w:rsidRPr="002D0F5A" w:rsidRDefault="0045311B" w:rsidP="0045311B">
            <w:pPr>
              <w:rPr>
                <w:color w:val="000000" w:themeColor="text1"/>
                <w:sz w:val="20"/>
                <w:szCs w:val="20"/>
                <w:lang w:val="fr-FR"/>
              </w:rPr>
            </w:pPr>
            <w:r>
              <w:rPr>
                <w:bCs/>
                <w:sz w:val="20"/>
                <w:szCs w:val="20"/>
                <w:lang w:val="fr-FR"/>
              </w:rPr>
              <w:t>Pré</w:t>
            </w:r>
            <w:r w:rsidRPr="002D0F5A">
              <w:rPr>
                <w:bCs/>
                <w:sz w:val="20"/>
                <w:szCs w:val="20"/>
                <w:lang w:val="fr-FR"/>
              </w:rPr>
              <w:t xml:space="preserve">paration </w:t>
            </w:r>
            <w:r>
              <w:rPr>
                <w:bCs/>
                <w:sz w:val="20"/>
                <w:szCs w:val="20"/>
                <w:lang w:val="fr-FR"/>
              </w:rPr>
              <w:t xml:space="preserve">d’un plan de gestion de la réduction progressive des HFC </w:t>
            </w:r>
          </w:p>
        </w:tc>
        <w:tc>
          <w:tcPr>
            <w:tcW w:w="563" w:type="pct"/>
            <w:shd w:val="clear" w:color="auto" w:fill="auto"/>
          </w:tcPr>
          <w:p w14:paraId="5794F3D4" w14:textId="77777777" w:rsidR="0045311B" w:rsidRPr="002D0F5A" w:rsidRDefault="00ED25A3" w:rsidP="005116D7">
            <w:pPr>
              <w:jc w:val="right"/>
              <w:rPr>
                <w:color w:val="000000" w:themeColor="text1"/>
                <w:sz w:val="20"/>
                <w:szCs w:val="20"/>
                <w:lang w:val="fr-FR"/>
              </w:rPr>
            </w:pPr>
            <w:r>
              <w:rPr>
                <w:color w:val="000000" w:themeColor="text1"/>
                <w:sz w:val="20"/>
                <w:szCs w:val="20"/>
                <w:lang w:val="fr-FR"/>
              </w:rPr>
              <w:t xml:space="preserve">137 </w:t>
            </w:r>
            <w:r w:rsidR="0045311B" w:rsidRPr="002D0F5A">
              <w:rPr>
                <w:color w:val="000000" w:themeColor="text1"/>
                <w:sz w:val="20"/>
                <w:szCs w:val="20"/>
                <w:lang w:val="fr-FR"/>
              </w:rPr>
              <w:t>000</w:t>
            </w:r>
          </w:p>
        </w:tc>
        <w:tc>
          <w:tcPr>
            <w:tcW w:w="705" w:type="pct"/>
            <w:shd w:val="clear" w:color="auto" w:fill="auto"/>
          </w:tcPr>
          <w:p w14:paraId="085AF2D2" w14:textId="77777777" w:rsidR="0045311B" w:rsidRPr="002D0F5A" w:rsidRDefault="0045311B" w:rsidP="005116D7">
            <w:pPr>
              <w:jc w:val="right"/>
              <w:rPr>
                <w:color w:val="000000" w:themeColor="text1"/>
                <w:sz w:val="20"/>
                <w:szCs w:val="20"/>
                <w:lang w:val="fr-FR"/>
              </w:rPr>
            </w:pPr>
            <w:r w:rsidRPr="002D0F5A">
              <w:rPr>
                <w:color w:val="000000" w:themeColor="text1"/>
                <w:sz w:val="20"/>
                <w:szCs w:val="20"/>
                <w:lang w:val="fr-FR"/>
              </w:rPr>
              <w:t>***</w:t>
            </w:r>
          </w:p>
        </w:tc>
      </w:tr>
      <w:tr w:rsidR="0045311B" w:rsidRPr="002D0F5A" w14:paraId="7342455A" w14:textId="77777777" w:rsidTr="0045311B">
        <w:trPr>
          <w:trHeight w:val="235"/>
        </w:trPr>
        <w:tc>
          <w:tcPr>
            <w:tcW w:w="845" w:type="pct"/>
            <w:gridSpan w:val="2"/>
            <w:shd w:val="clear" w:color="auto" w:fill="auto"/>
          </w:tcPr>
          <w:p w14:paraId="4BE043E8" w14:textId="77777777" w:rsidR="0045311B" w:rsidRPr="002D0F5A" w:rsidRDefault="0045311B" w:rsidP="005116D7">
            <w:pPr>
              <w:jc w:val="left"/>
              <w:rPr>
                <w:color w:val="000000"/>
                <w:sz w:val="20"/>
                <w:szCs w:val="20"/>
                <w:lang w:val="fr-FR"/>
              </w:rPr>
            </w:pPr>
            <w:r>
              <w:rPr>
                <w:color w:val="000000"/>
                <w:sz w:val="20"/>
                <w:szCs w:val="20"/>
                <w:lang w:val="fr-FR"/>
              </w:rPr>
              <w:t>Pé</w:t>
            </w:r>
            <w:r w:rsidRPr="002D0F5A">
              <w:rPr>
                <w:color w:val="000000"/>
                <w:sz w:val="20"/>
                <w:szCs w:val="20"/>
                <w:lang w:val="fr-FR"/>
              </w:rPr>
              <w:t>r</w:t>
            </w:r>
            <w:r>
              <w:rPr>
                <w:color w:val="000000"/>
                <w:sz w:val="20"/>
                <w:szCs w:val="20"/>
                <w:lang w:val="fr-FR"/>
              </w:rPr>
              <w:t>o</w:t>
            </w:r>
            <w:r w:rsidRPr="002D0F5A">
              <w:rPr>
                <w:color w:val="000000"/>
                <w:sz w:val="20"/>
                <w:szCs w:val="20"/>
                <w:lang w:val="fr-FR"/>
              </w:rPr>
              <w:t>u</w:t>
            </w:r>
          </w:p>
        </w:tc>
        <w:tc>
          <w:tcPr>
            <w:tcW w:w="2887" w:type="pct"/>
            <w:shd w:val="clear" w:color="auto" w:fill="auto"/>
          </w:tcPr>
          <w:p w14:paraId="759A03F4" w14:textId="77777777" w:rsidR="0045311B" w:rsidRPr="002D0F5A" w:rsidRDefault="0045311B" w:rsidP="0045311B">
            <w:pPr>
              <w:rPr>
                <w:color w:val="000000" w:themeColor="text1"/>
                <w:sz w:val="20"/>
                <w:szCs w:val="20"/>
                <w:lang w:val="fr-FR"/>
              </w:rPr>
            </w:pPr>
            <w:r>
              <w:rPr>
                <w:bCs/>
                <w:sz w:val="20"/>
                <w:szCs w:val="20"/>
                <w:lang w:val="fr-FR"/>
              </w:rPr>
              <w:t>Pré</w:t>
            </w:r>
            <w:r w:rsidRPr="002D0F5A">
              <w:rPr>
                <w:bCs/>
                <w:sz w:val="20"/>
                <w:szCs w:val="20"/>
                <w:lang w:val="fr-FR"/>
              </w:rPr>
              <w:t xml:space="preserve">paration </w:t>
            </w:r>
            <w:r>
              <w:rPr>
                <w:bCs/>
                <w:sz w:val="20"/>
                <w:szCs w:val="20"/>
                <w:lang w:val="fr-FR"/>
              </w:rPr>
              <w:t xml:space="preserve">d’un plan de gestion de la réduction progressive des HFC </w:t>
            </w:r>
          </w:p>
        </w:tc>
        <w:tc>
          <w:tcPr>
            <w:tcW w:w="563" w:type="pct"/>
            <w:shd w:val="clear" w:color="auto" w:fill="auto"/>
          </w:tcPr>
          <w:p w14:paraId="30969E54" w14:textId="77777777" w:rsidR="0045311B" w:rsidRPr="002D0F5A" w:rsidRDefault="00ED25A3" w:rsidP="005116D7">
            <w:pPr>
              <w:jc w:val="right"/>
              <w:rPr>
                <w:color w:val="000000" w:themeColor="text1"/>
                <w:sz w:val="20"/>
                <w:szCs w:val="20"/>
                <w:lang w:val="fr-FR"/>
              </w:rPr>
            </w:pPr>
            <w:r>
              <w:rPr>
                <w:color w:val="000000" w:themeColor="text1"/>
                <w:sz w:val="20"/>
                <w:szCs w:val="20"/>
                <w:lang w:val="fr-FR"/>
              </w:rPr>
              <w:t xml:space="preserve">150 </w:t>
            </w:r>
            <w:r w:rsidR="0045311B" w:rsidRPr="002D0F5A">
              <w:rPr>
                <w:color w:val="000000" w:themeColor="text1"/>
                <w:sz w:val="20"/>
                <w:szCs w:val="20"/>
                <w:lang w:val="fr-FR"/>
              </w:rPr>
              <w:t>000</w:t>
            </w:r>
          </w:p>
        </w:tc>
        <w:tc>
          <w:tcPr>
            <w:tcW w:w="705" w:type="pct"/>
            <w:shd w:val="clear" w:color="auto" w:fill="auto"/>
          </w:tcPr>
          <w:p w14:paraId="1D44CB91" w14:textId="77777777" w:rsidR="0045311B" w:rsidRPr="002D0F5A" w:rsidRDefault="0045311B" w:rsidP="005116D7">
            <w:pPr>
              <w:jc w:val="right"/>
              <w:rPr>
                <w:color w:val="000000" w:themeColor="text1"/>
                <w:sz w:val="20"/>
                <w:szCs w:val="20"/>
                <w:lang w:val="fr-FR"/>
              </w:rPr>
            </w:pPr>
            <w:r w:rsidRPr="002D0F5A">
              <w:rPr>
                <w:color w:val="000000" w:themeColor="text1"/>
                <w:sz w:val="20"/>
                <w:szCs w:val="20"/>
                <w:lang w:val="fr-FR"/>
              </w:rPr>
              <w:t>***</w:t>
            </w:r>
          </w:p>
        </w:tc>
      </w:tr>
      <w:tr w:rsidR="0045311B" w:rsidRPr="002D0F5A" w14:paraId="1E9D212C" w14:textId="77777777" w:rsidTr="0045311B">
        <w:trPr>
          <w:trHeight w:val="235"/>
        </w:trPr>
        <w:tc>
          <w:tcPr>
            <w:tcW w:w="845" w:type="pct"/>
            <w:gridSpan w:val="2"/>
            <w:tcBorders>
              <w:top w:val="single" w:sz="4" w:space="0" w:color="auto"/>
              <w:left w:val="single" w:sz="4" w:space="0" w:color="auto"/>
              <w:bottom w:val="single" w:sz="4" w:space="0" w:color="auto"/>
              <w:right w:val="single" w:sz="4" w:space="0" w:color="auto"/>
            </w:tcBorders>
            <w:shd w:val="clear" w:color="auto" w:fill="auto"/>
          </w:tcPr>
          <w:p w14:paraId="506B7911" w14:textId="77777777" w:rsidR="0045311B" w:rsidRPr="002D0F5A" w:rsidRDefault="0045311B" w:rsidP="005116D7">
            <w:pPr>
              <w:jc w:val="left"/>
              <w:rPr>
                <w:color w:val="000000" w:themeColor="text1"/>
                <w:sz w:val="20"/>
                <w:szCs w:val="20"/>
                <w:lang w:val="fr-FR"/>
              </w:rPr>
            </w:pPr>
            <w:r w:rsidRPr="002D0F5A">
              <w:rPr>
                <w:color w:val="000000"/>
                <w:sz w:val="20"/>
                <w:szCs w:val="20"/>
                <w:lang w:val="fr-FR"/>
              </w:rPr>
              <w:t>Uruguay</w:t>
            </w:r>
            <w:r w:rsidRPr="002D0F5A">
              <w:rPr>
                <w:sz w:val="19"/>
                <w:szCs w:val="19"/>
                <w:lang w:val="fr-FR"/>
              </w:rPr>
              <w:t>§</w:t>
            </w:r>
          </w:p>
        </w:tc>
        <w:tc>
          <w:tcPr>
            <w:tcW w:w="2887" w:type="pct"/>
            <w:tcBorders>
              <w:top w:val="single" w:sz="4" w:space="0" w:color="auto"/>
              <w:left w:val="single" w:sz="4" w:space="0" w:color="auto"/>
              <w:bottom w:val="single" w:sz="4" w:space="0" w:color="auto"/>
              <w:right w:val="single" w:sz="4" w:space="0" w:color="auto"/>
            </w:tcBorders>
            <w:shd w:val="clear" w:color="auto" w:fill="auto"/>
          </w:tcPr>
          <w:p w14:paraId="46106641" w14:textId="77777777" w:rsidR="0045311B" w:rsidRPr="002D0F5A" w:rsidRDefault="0045311B" w:rsidP="0045311B">
            <w:pPr>
              <w:rPr>
                <w:color w:val="000000" w:themeColor="text1"/>
                <w:sz w:val="20"/>
                <w:szCs w:val="20"/>
                <w:lang w:val="fr-FR"/>
              </w:rPr>
            </w:pPr>
            <w:r>
              <w:rPr>
                <w:bCs/>
                <w:sz w:val="20"/>
                <w:szCs w:val="20"/>
                <w:lang w:val="fr-FR"/>
              </w:rPr>
              <w:t>Pré</w:t>
            </w:r>
            <w:r w:rsidRPr="002D0F5A">
              <w:rPr>
                <w:bCs/>
                <w:sz w:val="20"/>
                <w:szCs w:val="20"/>
                <w:lang w:val="fr-FR"/>
              </w:rPr>
              <w:t xml:space="preserve">paration </w:t>
            </w:r>
            <w:r>
              <w:rPr>
                <w:bCs/>
                <w:sz w:val="20"/>
                <w:szCs w:val="20"/>
                <w:lang w:val="fr-FR"/>
              </w:rPr>
              <w:t xml:space="preserve">d’un plan de gestion de la réduction progressive des HFC </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7E2FA6B9" w14:textId="77777777" w:rsidR="0045311B" w:rsidRPr="002D0F5A" w:rsidRDefault="00ED25A3" w:rsidP="005116D7">
            <w:pPr>
              <w:jc w:val="right"/>
              <w:rPr>
                <w:color w:val="000000" w:themeColor="text1"/>
                <w:sz w:val="20"/>
                <w:szCs w:val="20"/>
                <w:lang w:val="fr-FR"/>
              </w:rPr>
            </w:pPr>
            <w:r>
              <w:rPr>
                <w:color w:val="000000" w:themeColor="text1"/>
                <w:sz w:val="20"/>
                <w:szCs w:val="20"/>
                <w:lang w:val="fr-FR"/>
              </w:rPr>
              <w:t xml:space="preserve">150 </w:t>
            </w:r>
            <w:r w:rsidR="0045311B" w:rsidRPr="002D0F5A">
              <w:rPr>
                <w:color w:val="000000" w:themeColor="text1"/>
                <w:sz w:val="20"/>
                <w:szCs w:val="20"/>
                <w:lang w:val="fr-FR"/>
              </w:rPr>
              <w:t>000</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051C029E" w14:textId="77777777" w:rsidR="0045311B" w:rsidRPr="002D0F5A" w:rsidRDefault="0045311B" w:rsidP="005116D7">
            <w:pPr>
              <w:jc w:val="right"/>
              <w:rPr>
                <w:color w:val="000000" w:themeColor="text1"/>
                <w:sz w:val="20"/>
                <w:szCs w:val="20"/>
                <w:lang w:val="fr-FR"/>
              </w:rPr>
            </w:pPr>
            <w:r w:rsidRPr="002D0F5A">
              <w:rPr>
                <w:color w:val="000000" w:themeColor="text1"/>
                <w:sz w:val="20"/>
                <w:szCs w:val="20"/>
                <w:lang w:val="fr-FR"/>
              </w:rPr>
              <w:t>***</w:t>
            </w:r>
          </w:p>
        </w:tc>
      </w:tr>
      <w:tr w:rsidR="002D0F5A" w:rsidRPr="002D0F5A" w14:paraId="4D2E0A91" w14:textId="77777777" w:rsidTr="0045311B">
        <w:trPr>
          <w:trHeight w:val="235"/>
        </w:trPr>
        <w:tc>
          <w:tcPr>
            <w:tcW w:w="3732" w:type="pct"/>
            <w:gridSpan w:val="3"/>
            <w:shd w:val="clear" w:color="auto" w:fill="auto"/>
          </w:tcPr>
          <w:p w14:paraId="0D0E4A30" w14:textId="77777777" w:rsidR="005116D7" w:rsidRPr="002D0F5A" w:rsidRDefault="0045311B" w:rsidP="0045311B">
            <w:pPr>
              <w:jc w:val="right"/>
              <w:rPr>
                <w:color w:val="000000" w:themeColor="text1"/>
                <w:sz w:val="20"/>
                <w:szCs w:val="20"/>
                <w:lang w:val="fr-FR"/>
              </w:rPr>
            </w:pPr>
            <w:r>
              <w:rPr>
                <w:color w:val="000000" w:themeColor="text1"/>
                <w:sz w:val="20"/>
                <w:szCs w:val="20"/>
                <w:lang w:val="fr-FR"/>
              </w:rPr>
              <w:t xml:space="preserve">Total partiel pour </w:t>
            </w:r>
            <w:r w:rsidR="005116D7" w:rsidRPr="002D0F5A">
              <w:rPr>
                <w:color w:val="000000" w:themeColor="text1"/>
                <w:sz w:val="20"/>
                <w:szCs w:val="20"/>
                <w:lang w:val="fr-FR"/>
              </w:rPr>
              <w:t>B1</w:t>
            </w:r>
          </w:p>
        </w:tc>
        <w:tc>
          <w:tcPr>
            <w:tcW w:w="563" w:type="pct"/>
            <w:shd w:val="clear" w:color="auto" w:fill="auto"/>
          </w:tcPr>
          <w:p w14:paraId="7840C590" w14:textId="77777777" w:rsidR="005116D7" w:rsidRPr="002D0F5A" w:rsidRDefault="00ED25A3" w:rsidP="005116D7">
            <w:pPr>
              <w:jc w:val="right"/>
              <w:rPr>
                <w:color w:val="000000" w:themeColor="text1"/>
                <w:sz w:val="20"/>
                <w:szCs w:val="20"/>
                <w:lang w:val="fr-FR"/>
              </w:rPr>
            </w:pPr>
            <w:r>
              <w:rPr>
                <w:color w:val="000000" w:themeColor="text1"/>
                <w:sz w:val="20"/>
                <w:szCs w:val="20"/>
                <w:lang w:val="fr-FR"/>
              </w:rPr>
              <w:t xml:space="preserve">1 082 </w:t>
            </w:r>
            <w:r w:rsidR="005116D7" w:rsidRPr="002D0F5A">
              <w:rPr>
                <w:color w:val="000000" w:themeColor="text1"/>
                <w:sz w:val="20"/>
                <w:szCs w:val="20"/>
                <w:lang w:val="fr-FR"/>
              </w:rPr>
              <w:t>000</w:t>
            </w:r>
          </w:p>
        </w:tc>
        <w:tc>
          <w:tcPr>
            <w:tcW w:w="705" w:type="pct"/>
            <w:shd w:val="clear" w:color="auto" w:fill="auto"/>
          </w:tcPr>
          <w:p w14:paraId="67E81301" w14:textId="77777777" w:rsidR="005116D7" w:rsidRPr="002D0F5A" w:rsidRDefault="005116D7" w:rsidP="005116D7">
            <w:pPr>
              <w:jc w:val="right"/>
              <w:rPr>
                <w:color w:val="000000" w:themeColor="text1"/>
                <w:sz w:val="20"/>
                <w:szCs w:val="20"/>
                <w:lang w:val="fr-FR"/>
              </w:rPr>
            </w:pPr>
            <w:r w:rsidRPr="002D0F5A">
              <w:rPr>
                <w:color w:val="000000" w:themeColor="text1"/>
                <w:sz w:val="20"/>
                <w:szCs w:val="20"/>
                <w:lang w:val="fr-FR"/>
              </w:rPr>
              <w:t>***</w:t>
            </w:r>
          </w:p>
        </w:tc>
      </w:tr>
      <w:tr w:rsidR="002D0F5A" w:rsidRPr="002D0F5A" w14:paraId="33E3F230" w14:textId="77777777" w:rsidTr="0045311B">
        <w:trPr>
          <w:trHeight w:val="235"/>
        </w:trPr>
        <w:tc>
          <w:tcPr>
            <w:tcW w:w="3732" w:type="pct"/>
            <w:gridSpan w:val="3"/>
            <w:shd w:val="clear" w:color="auto" w:fill="auto"/>
          </w:tcPr>
          <w:p w14:paraId="7A584A84" w14:textId="77777777" w:rsidR="005116D7" w:rsidRPr="002D0F5A" w:rsidRDefault="0045311B" w:rsidP="005116D7">
            <w:pPr>
              <w:jc w:val="right"/>
              <w:rPr>
                <w:color w:val="000000" w:themeColor="text1"/>
                <w:sz w:val="20"/>
                <w:szCs w:val="20"/>
                <w:lang w:val="fr-FR"/>
              </w:rPr>
            </w:pPr>
            <w:r>
              <w:rPr>
                <w:color w:val="000000" w:themeColor="text1"/>
                <w:sz w:val="20"/>
                <w:szCs w:val="20"/>
                <w:lang w:val="fr-FR"/>
              </w:rPr>
              <w:t>Coûts d’appui d’agence</w:t>
            </w:r>
          </w:p>
        </w:tc>
        <w:tc>
          <w:tcPr>
            <w:tcW w:w="563" w:type="pct"/>
            <w:shd w:val="clear" w:color="auto" w:fill="auto"/>
          </w:tcPr>
          <w:p w14:paraId="282FB519" w14:textId="77777777" w:rsidR="005116D7" w:rsidRPr="002D0F5A" w:rsidRDefault="00ED25A3" w:rsidP="005116D7">
            <w:pPr>
              <w:jc w:val="right"/>
              <w:rPr>
                <w:color w:val="000000" w:themeColor="text1"/>
                <w:sz w:val="20"/>
                <w:szCs w:val="20"/>
                <w:lang w:val="fr-FR"/>
              </w:rPr>
            </w:pPr>
            <w:r>
              <w:rPr>
                <w:color w:val="000000" w:themeColor="text1"/>
                <w:sz w:val="20"/>
                <w:szCs w:val="20"/>
                <w:lang w:val="fr-FR"/>
              </w:rPr>
              <w:t xml:space="preserve">75 </w:t>
            </w:r>
            <w:r w:rsidR="005116D7" w:rsidRPr="002D0F5A">
              <w:rPr>
                <w:color w:val="000000" w:themeColor="text1"/>
                <w:sz w:val="20"/>
                <w:szCs w:val="20"/>
                <w:lang w:val="fr-FR"/>
              </w:rPr>
              <w:t>740</w:t>
            </w:r>
          </w:p>
        </w:tc>
        <w:tc>
          <w:tcPr>
            <w:tcW w:w="705" w:type="pct"/>
            <w:shd w:val="clear" w:color="auto" w:fill="auto"/>
          </w:tcPr>
          <w:p w14:paraId="49433F65" w14:textId="77777777" w:rsidR="005116D7" w:rsidRPr="002D0F5A" w:rsidRDefault="005116D7" w:rsidP="005116D7">
            <w:pPr>
              <w:jc w:val="right"/>
              <w:rPr>
                <w:color w:val="000000" w:themeColor="text1"/>
                <w:sz w:val="20"/>
                <w:szCs w:val="20"/>
                <w:lang w:val="fr-FR"/>
              </w:rPr>
            </w:pPr>
            <w:r w:rsidRPr="002D0F5A">
              <w:rPr>
                <w:color w:val="000000" w:themeColor="text1"/>
                <w:sz w:val="20"/>
                <w:szCs w:val="20"/>
                <w:lang w:val="fr-FR"/>
              </w:rPr>
              <w:t>***</w:t>
            </w:r>
          </w:p>
        </w:tc>
      </w:tr>
      <w:tr w:rsidR="002D0F5A" w:rsidRPr="002D0F5A" w14:paraId="13BEFF9D" w14:textId="77777777" w:rsidTr="0045311B">
        <w:trPr>
          <w:trHeight w:val="235"/>
        </w:trPr>
        <w:tc>
          <w:tcPr>
            <w:tcW w:w="3732" w:type="pct"/>
            <w:gridSpan w:val="3"/>
            <w:shd w:val="clear" w:color="auto" w:fill="auto"/>
          </w:tcPr>
          <w:p w14:paraId="4ACEF5E0" w14:textId="77777777" w:rsidR="005116D7" w:rsidRPr="002D0F5A" w:rsidRDefault="0045311B" w:rsidP="005116D7">
            <w:pPr>
              <w:jc w:val="right"/>
              <w:rPr>
                <w:color w:val="000000" w:themeColor="text1"/>
                <w:sz w:val="20"/>
                <w:szCs w:val="20"/>
                <w:lang w:val="fr-FR"/>
              </w:rPr>
            </w:pPr>
            <w:r>
              <w:rPr>
                <w:color w:val="000000" w:themeColor="text1"/>
                <w:sz w:val="20"/>
                <w:szCs w:val="20"/>
                <w:lang w:val="fr-FR"/>
              </w:rPr>
              <w:t>Total p</w:t>
            </w:r>
            <w:r w:rsidR="005116D7" w:rsidRPr="002D0F5A">
              <w:rPr>
                <w:color w:val="000000" w:themeColor="text1"/>
                <w:sz w:val="20"/>
                <w:szCs w:val="20"/>
                <w:lang w:val="fr-FR"/>
              </w:rPr>
              <w:t>o</w:t>
            </w:r>
            <w:r>
              <w:rPr>
                <w:color w:val="000000" w:themeColor="text1"/>
                <w:sz w:val="20"/>
                <w:szCs w:val="20"/>
                <w:lang w:val="fr-FR"/>
              </w:rPr>
              <w:t>u</w:t>
            </w:r>
            <w:r w:rsidR="005116D7" w:rsidRPr="002D0F5A">
              <w:rPr>
                <w:color w:val="000000" w:themeColor="text1"/>
                <w:sz w:val="20"/>
                <w:szCs w:val="20"/>
                <w:lang w:val="fr-FR"/>
              </w:rPr>
              <w:t>r B1</w:t>
            </w:r>
          </w:p>
        </w:tc>
        <w:tc>
          <w:tcPr>
            <w:tcW w:w="563" w:type="pct"/>
            <w:shd w:val="clear" w:color="auto" w:fill="auto"/>
          </w:tcPr>
          <w:p w14:paraId="00BB756F" w14:textId="77777777" w:rsidR="005116D7" w:rsidRPr="002D0F5A" w:rsidRDefault="00ED25A3" w:rsidP="005116D7">
            <w:pPr>
              <w:jc w:val="right"/>
              <w:rPr>
                <w:color w:val="000000" w:themeColor="text1"/>
                <w:sz w:val="20"/>
                <w:szCs w:val="20"/>
                <w:lang w:val="fr-FR"/>
              </w:rPr>
            </w:pPr>
            <w:r>
              <w:rPr>
                <w:color w:val="000000" w:themeColor="text1"/>
                <w:sz w:val="20"/>
                <w:szCs w:val="20"/>
                <w:lang w:val="fr-FR"/>
              </w:rPr>
              <w:t xml:space="preserve">1 157 </w:t>
            </w:r>
            <w:r w:rsidR="005116D7" w:rsidRPr="002D0F5A">
              <w:rPr>
                <w:color w:val="000000" w:themeColor="text1"/>
                <w:sz w:val="20"/>
                <w:szCs w:val="20"/>
                <w:lang w:val="fr-FR"/>
              </w:rPr>
              <w:t xml:space="preserve">740 </w:t>
            </w:r>
          </w:p>
        </w:tc>
        <w:tc>
          <w:tcPr>
            <w:tcW w:w="705" w:type="pct"/>
            <w:shd w:val="clear" w:color="auto" w:fill="auto"/>
          </w:tcPr>
          <w:p w14:paraId="3294DBBF" w14:textId="77777777" w:rsidR="005116D7" w:rsidRPr="002D0F5A" w:rsidRDefault="005116D7" w:rsidP="005116D7">
            <w:pPr>
              <w:jc w:val="right"/>
              <w:rPr>
                <w:color w:val="000000" w:themeColor="text1"/>
                <w:sz w:val="20"/>
                <w:szCs w:val="20"/>
                <w:lang w:val="fr-FR"/>
              </w:rPr>
            </w:pPr>
            <w:r w:rsidRPr="002D0F5A">
              <w:rPr>
                <w:color w:val="000000" w:themeColor="text1"/>
                <w:sz w:val="20"/>
                <w:szCs w:val="20"/>
                <w:lang w:val="fr-FR"/>
              </w:rPr>
              <w:t>***</w:t>
            </w:r>
          </w:p>
        </w:tc>
      </w:tr>
      <w:tr w:rsidR="002D0F5A" w:rsidRPr="002D0F5A" w14:paraId="6FDAB3BD" w14:textId="77777777" w:rsidTr="0045311B">
        <w:trPr>
          <w:trHeight w:val="235"/>
        </w:trPr>
        <w:tc>
          <w:tcPr>
            <w:tcW w:w="3732" w:type="pct"/>
            <w:gridSpan w:val="3"/>
            <w:tcBorders>
              <w:top w:val="single" w:sz="4" w:space="0" w:color="auto"/>
              <w:left w:val="single" w:sz="4" w:space="0" w:color="auto"/>
              <w:bottom w:val="single" w:sz="4" w:space="0" w:color="auto"/>
              <w:right w:val="single" w:sz="4" w:space="0" w:color="auto"/>
            </w:tcBorders>
          </w:tcPr>
          <w:p w14:paraId="2160E51E" w14:textId="77777777" w:rsidR="005116D7" w:rsidRPr="002D0F5A" w:rsidRDefault="0045311B" w:rsidP="005116D7">
            <w:pPr>
              <w:jc w:val="right"/>
              <w:rPr>
                <w:color w:val="000000" w:themeColor="text1"/>
                <w:sz w:val="20"/>
                <w:szCs w:val="20"/>
                <w:lang w:val="fr-FR"/>
              </w:rPr>
            </w:pPr>
            <w:r>
              <w:rPr>
                <w:color w:val="000000" w:themeColor="text1"/>
                <w:sz w:val="20"/>
                <w:szCs w:val="20"/>
                <w:lang w:val="fr-FR"/>
              </w:rPr>
              <w:t>T</w:t>
            </w:r>
            <w:r w:rsidR="005116D7" w:rsidRPr="002D0F5A">
              <w:rPr>
                <w:color w:val="000000" w:themeColor="text1"/>
                <w:sz w:val="20"/>
                <w:szCs w:val="20"/>
                <w:lang w:val="fr-FR"/>
              </w:rPr>
              <w:t>otal</w:t>
            </w:r>
            <w:r>
              <w:rPr>
                <w:color w:val="000000" w:themeColor="text1"/>
                <w:sz w:val="20"/>
                <w:szCs w:val="20"/>
                <w:lang w:val="fr-FR"/>
              </w:rPr>
              <w:t xml:space="preserve"> général</w:t>
            </w:r>
            <w:r w:rsidR="005116D7" w:rsidRPr="002D0F5A">
              <w:rPr>
                <w:color w:val="000000" w:themeColor="text1"/>
                <w:sz w:val="20"/>
                <w:szCs w:val="20"/>
                <w:lang w:val="fr-FR"/>
              </w:rPr>
              <w:t xml:space="preserve"> (A1, A2, B1)</w:t>
            </w:r>
          </w:p>
        </w:tc>
        <w:tc>
          <w:tcPr>
            <w:tcW w:w="563" w:type="pct"/>
            <w:tcBorders>
              <w:top w:val="single" w:sz="4" w:space="0" w:color="auto"/>
              <w:left w:val="single" w:sz="4" w:space="0" w:color="auto"/>
              <w:bottom w:val="single" w:sz="4" w:space="0" w:color="auto"/>
              <w:right w:val="single" w:sz="4" w:space="0" w:color="auto"/>
            </w:tcBorders>
          </w:tcPr>
          <w:p w14:paraId="1D427F23" w14:textId="77777777" w:rsidR="005116D7" w:rsidRPr="002D0F5A" w:rsidRDefault="00ED25A3" w:rsidP="005116D7">
            <w:pPr>
              <w:jc w:val="right"/>
              <w:rPr>
                <w:color w:val="000000" w:themeColor="text1"/>
                <w:sz w:val="20"/>
                <w:szCs w:val="20"/>
                <w:lang w:val="fr-FR"/>
              </w:rPr>
            </w:pPr>
            <w:r>
              <w:rPr>
                <w:color w:val="000000" w:themeColor="text1"/>
                <w:sz w:val="20"/>
                <w:szCs w:val="20"/>
                <w:lang w:val="fr-FR"/>
              </w:rPr>
              <w:t xml:space="preserve">2 851 </w:t>
            </w:r>
            <w:r w:rsidR="005116D7" w:rsidRPr="002D0F5A">
              <w:rPr>
                <w:color w:val="000000" w:themeColor="text1"/>
                <w:sz w:val="20"/>
                <w:szCs w:val="20"/>
                <w:lang w:val="fr-FR"/>
              </w:rPr>
              <w:t>432</w:t>
            </w:r>
          </w:p>
        </w:tc>
        <w:tc>
          <w:tcPr>
            <w:tcW w:w="705" w:type="pct"/>
            <w:tcBorders>
              <w:top w:val="single" w:sz="4" w:space="0" w:color="auto"/>
              <w:left w:val="single" w:sz="4" w:space="0" w:color="auto"/>
              <w:bottom w:val="single" w:sz="4" w:space="0" w:color="auto"/>
              <w:right w:val="single" w:sz="4" w:space="0" w:color="auto"/>
            </w:tcBorders>
          </w:tcPr>
          <w:p w14:paraId="1B142BA2" w14:textId="77777777" w:rsidR="005116D7" w:rsidRPr="002D0F5A" w:rsidRDefault="00ED25A3" w:rsidP="005116D7">
            <w:pPr>
              <w:jc w:val="right"/>
              <w:rPr>
                <w:color w:val="000000" w:themeColor="text1"/>
                <w:sz w:val="20"/>
                <w:szCs w:val="20"/>
                <w:lang w:val="fr-FR"/>
              </w:rPr>
            </w:pPr>
            <w:r>
              <w:rPr>
                <w:color w:val="000000" w:themeColor="text1"/>
                <w:sz w:val="20"/>
                <w:szCs w:val="20"/>
                <w:lang w:val="fr-FR"/>
              </w:rPr>
              <w:t xml:space="preserve">1 693 </w:t>
            </w:r>
            <w:r w:rsidR="005116D7" w:rsidRPr="002D0F5A">
              <w:rPr>
                <w:color w:val="000000" w:themeColor="text1"/>
                <w:sz w:val="20"/>
                <w:szCs w:val="20"/>
                <w:lang w:val="fr-FR"/>
              </w:rPr>
              <w:t>692</w:t>
            </w:r>
          </w:p>
        </w:tc>
      </w:tr>
    </w:tbl>
    <w:p w14:paraId="342E3F9A" w14:textId="77777777" w:rsidR="005116D7" w:rsidRPr="002D0F5A" w:rsidRDefault="0045311B" w:rsidP="005116D7">
      <w:pPr>
        <w:tabs>
          <w:tab w:val="left" w:pos="8280"/>
        </w:tabs>
        <w:rPr>
          <w:sz w:val="19"/>
          <w:szCs w:val="19"/>
          <w:lang w:val="fr-FR"/>
        </w:rPr>
      </w:pPr>
      <w:r>
        <w:rPr>
          <w:sz w:val="19"/>
          <w:szCs w:val="19"/>
          <w:lang w:val="fr-FR"/>
        </w:rPr>
        <w:t xml:space="preserve">* </w:t>
      </w:r>
      <w:r w:rsidR="005116D7" w:rsidRPr="002D0F5A">
        <w:rPr>
          <w:sz w:val="19"/>
          <w:szCs w:val="19"/>
          <w:lang w:val="fr-FR"/>
        </w:rPr>
        <w:t>P</w:t>
      </w:r>
      <w:r>
        <w:rPr>
          <w:sz w:val="19"/>
          <w:szCs w:val="19"/>
          <w:lang w:val="fr-FR"/>
        </w:rPr>
        <w:t xml:space="preserve">NUE en qualité d’agence d’exécution coopérante  </w:t>
      </w:r>
    </w:p>
    <w:p w14:paraId="6D4AC265" w14:textId="77777777" w:rsidR="005116D7" w:rsidRPr="002D0F5A" w:rsidRDefault="0045311B" w:rsidP="005116D7">
      <w:pPr>
        <w:tabs>
          <w:tab w:val="left" w:pos="8280"/>
        </w:tabs>
        <w:rPr>
          <w:sz w:val="19"/>
          <w:szCs w:val="19"/>
          <w:lang w:val="fr-FR"/>
        </w:rPr>
      </w:pPr>
      <w:r>
        <w:rPr>
          <w:sz w:val="19"/>
          <w:szCs w:val="19"/>
          <w:lang w:val="fr-FR"/>
        </w:rPr>
        <w:t xml:space="preserve">** </w:t>
      </w:r>
      <w:r w:rsidR="005116D7" w:rsidRPr="002D0F5A">
        <w:rPr>
          <w:sz w:val="19"/>
          <w:szCs w:val="19"/>
          <w:lang w:val="fr-FR"/>
        </w:rPr>
        <w:t>P</w:t>
      </w:r>
      <w:r>
        <w:rPr>
          <w:sz w:val="19"/>
          <w:szCs w:val="19"/>
          <w:lang w:val="fr-FR"/>
        </w:rPr>
        <w:t>NUE</w:t>
      </w:r>
      <w:r w:rsidR="005116D7" w:rsidRPr="002D0F5A">
        <w:rPr>
          <w:sz w:val="19"/>
          <w:szCs w:val="19"/>
          <w:lang w:val="fr-FR"/>
        </w:rPr>
        <w:t xml:space="preserve"> </w:t>
      </w:r>
      <w:r>
        <w:rPr>
          <w:sz w:val="19"/>
          <w:szCs w:val="19"/>
          <w:lang w:val="fr-FR"/>
        </w:rPr>
        <w:t>en qualité d’agence d’exécution principale</w:t>
      </w:r>
    </w:p>
    <w:p w14:paraId="68109985" w14:textId="77777777" w:rsidR="005116D7" w:rsidRPr="002D0F5A" w:rsidRDefault="005116D7" w:rsidP="005116D7">
      <w:pPr>
        <w:tabs>
          <w:tab w:val="left" w:pos="8280"/>
        </w:tabs>
        <w:rPr>
          <w:sz w:val="19"/>
          <w:szCs w:val="19"/>
          <w:lang w:val="fr-FR"/>
        </w:rPr>
      </w:pPr>
      <w:r w:rsidRPr="002D0F5A">
        <w:rPr>
          <w:sz w:val="19"/>
          <w:szCs w:val="19"/>
          <w:lang w:val="fr-FR"/>
        </w:rPr>
        <w:t xml:space="preserve">*** </w:t>
      </w:r>
      <w:r w:rsidR="0045311B">
        <w:rPr>
          <w:sz w:val="19"/>
          <w:szCs w:val="19"/>
          <w:lang w:val="fr-FR"/>
        </w:rPr>
        <w:t>Aux fins d’examen individuel</w:t>
      </w:r>
    </w:p>
    <w:p w14:paraId="5FDE74D5" w14:textId="77777777" w:rsidR="005116D7" w:rsidRPr="002D0F5A" w:rsidRDefault="005116D7" w:rsidP="005116D7">
      <w:pPr>
        <w:tabs>
          <w:tab w:val="left" w:pos="8280"/>
        </w:tabs>
        <w:rPr>
          <w:sz w:val="19"/>
          <w:szCs w:val="19"/>
          <w:lang w:val="fr-FR"/>
        </w:rPr>
      </w:pPr>
      <w:r w:rsidRPr="002D0F5A">
        <w:rPr>
          <w:sz w:val="19"/>
          <w:szCs w:val="19"/>
          <w:lang w:val="fr-FR"/>
        </w:rPr>
        <w:t>§ S</w:t>
      </w:r>
      <w:r w:rsidR="0045311B">
        <w:rPr>
          <w:sz w:val="19"/>
          <w:szCs w:val="19"/>
          <w:lang w:val="fr-FR"/>
        </w:rPr>
        <w:t>oumis à la 85</w:t>
      </w:r>
      <w:r w:rsidR="0045311B" w:rsidRPr="0045311B">
        <w:rPr>
          <w:sz w:val="19"/>
          <w:szCs w:val="19"/>
          <w:vertAlign w:val="superscript"/>
          <w:lang w:val="fr-FR"/>
        </w:rPr>
        <w:t>e</w:t>
      </w:r>
      <w:r w:rsidR="0045311B">
        <w:rPr>
          <w:sz w:val="19"/>
          <w:szCs w:val="19"/>
          <w:lang w:val="fr-FR"/>
        </w:rPr>
        <w:t xml:space="preserve"> réunion </w:t>
      </w:r>
    </w:p>
    <w:p w14:paraId="2DF4EEBB" w14:textId="760B2ADA" w:rsidR="00F8628C" w:rsidRPr="002D0F5A" w:rsidRDefault="00F8628C" w:rsidP="00F8628C">
      <w:pPr>
        <w:pStyle w:val="StyleHeading1Para1Heading1CharHeading1Char3CharHeadin"/>
        <w:tabs>
          <w:tab w:val="clear" w:pos="720"/>
          <w:tab w:val="left" w:pos="567"/>
        </w:tabs>
        <w:rPr>
          <w:lang w:val="fr-FR"/>
        </w:rPr>
      </w:pPr>
    </w:p>
    <w:p w14:paraId="28774D88" w14:textId="77777777" w:rsidR="00441083" w:rsidRPr="00ED25A3" w:rsidRDefault="00ED25A3" w:rsidP="00BA3485">
      <w:pPr>
        <w:pStyle w:val="Heading1"/>
        <w:keepNext/>
        <w:keepLines/>
        <w:rPr>
          <w:b/>
          <w:lang w:val="fr-FR"/>
        </w:rPr>
      </w:pPr>
      <w:r w:rsidRPr="00ED25A3">
        <w:rPr>
          <w:b/>
          <w:lang w:val="fr-FR"/>
        </w:rPr>
        <w:lastRenderedPageBreak/>
        <w:t>SECTION A : ACTIVITÉS RECOMMANDÉES POUR APPROBATION GLOBALE</w:t>
      </w:r>
    </w:p>
    <w:p w14:paraId="03E62CD5" w14:textId="77777777" w:rsidR="00ED25A3" w:rsidRDefault="00ED25A3" w:rsidP="00ED25A3">
      <w:pPr>
        <w:rPr>
          <w:b/>
          <w:lang w:val="fr-FR"/>
        </w:rPr>
      </w:pPr>
      <w:r w:rsidRPr="00ED25A3">
        <w:rPr>
          <w:b/>
          <w:lang w:val="fr-FR"/>
        </w:rPr>
        <w:t>A1: Renouvellement des projets de renforcement des institutions</w:t>
      </w:r>
    </w:p>
    <w:p w14:paraId="3052935D" w14:textId="77777777" w:rsidR="00ED25A3" w:rsidRDefault="00ED25A3" w:rsidP="00ED25A3">
      <w:pPr>
        <w:rPr>
          <w:b/>
          <w:lang w:val="fr-FR"/>
        </w:rPr>
      </w:pPr>
    </w:p>
    <w:p w14:paraId="6AEC2229" w14:textId="77777777" w:rsidR="00ED25A3" w:rsidRDefault="00EF4F55" w:rsidP="00ED25A3">
      <w:pPr>
        <w:rPr>
          <w:b/>
          <w:lang w:val="fr-FR"/>
        </w:rPr>
      </w:pPr>
      <w:r>
        <w:rPr>
          <w:b/>
          <w:lang w:val="fr-FR"/>
        </w:rPr>
        <w:t>Description des</w:t>
      </w:r>
      <w:r w:rsidR="00ED25A3">
        <w:rPr>
          <w:b/>
          <w:lang w:val="fr-FR"/>
        </w:rPr>
        <w:t xml:space="preserve"> projet</w:t>
      </w:r>
      <w:r>
        <w:rPr>
          <w:b/>
          <w:lang w:val="fr-FR"/>
        </w:rPr>
        <w:t>s</w:t>
      </w:r>
    </w:p>
    <w:p w14:paraId="7FE774C1" w14:textId="77777777" w:rsidR="00ED25A3" w:rsidRDefault="00ED25A3" w:rsidP="00ED25A3">
      <w:pPr>
        <w:rPr>
          <w:b/>
          <w:lang w:val="fr-FR"/>
        </w:rPr>
      </w:pPr>
    </w:p>
    <w:p w14:paraId="6D7705AC" w14:textId="0BE7EE6D" w:rsidR="00ED25A3" w:rsidRDefault="00ED25A3" w:rsidP="00747813">
      <w:pPr>
        <w:pStyle w:val="StyleHeading1Para1Heading1CharHeading1Char3CharHeadin"/>
        <w:numPr>
          <w:ilvl w:val="0"/>
          <w:numId w:val="25"/>
        </w:numPr>
        <w:tabs>
          <w:tab w:val="clear" w:pos="720"/>
          <w:tab w:val="left" w:pos="0"/>
        </w:tabs>
        <w:ind w:left="0" w:firstLine="0"/>
        <w:rPr>
          <w:lang w:val="fr-FR"/>
        </w:rPr>
      </w:pPr>
      <w:r>
        <w:rPr>
          <w:lang w:val="fr-FR"/>
        </w:rPr>
        <w:t>Le PNUD a présenté des demandes pour le renouvellement de</w:t>
      </w:r>
      <w:r w:rsidR="00EF4F55">
        <w:rPr>
          <w:lang w:val="fr-FR"/>
        </w:rPr>
        <w:t>s</w:t>
      </w:r>
      <w:r>
        <w:rPr>
          <w:lang w:val="fr-FR"/>
        </w:rPr>
        <w:t xml:space="preserve"> projets de renforcement des institutions </w:t>
      </w:r>
      <w:r w:rsidR="00EF4F55">
        <w:rPr>
          <w:lang w:val="fr-FR"/>
        </w:rPr>
        <w:t xml:space="preserve">(RI) </w:t>
      </w:r>
      <w:r w:rsidR="00CF4E76">
        <w:rPr>
          <w:lang w:val="fr-FR"/>
        </w:rPr>
        <w:t xml:space="preserve">pour les pays </w:t>
      </w:r>
      <w:r w:rsidR="00EF4F55">
        <w:rPr>
          <w:lang w:val="fr-FR"/>
        </w:rPr>
        <w:t>mentionné</w:t>
      </w:r>
      <w:r>
        <w:rPr>
          <w:lang w:val="fr-FR"/>
        </w:rPr>
        <w:t>s d</w:t>
      </w:r>
      <w:r w:rsidR="00BA3485">
        <w:rPr>
          <w:lang w:val="fr-FR"/>
        </w:rPr>
        <w:t>ans la section A1 du tableau 1.</w:t>
      </w:r>
      <w:r>
        <w:rPr>
          <w:lang w:val="fr-FR"/>
        </w:rPr>
        <w:t xml:space="preserve"> La description de ces projets est présentée à l’Annexe 1 au présent document.</w:t>
      </w:r>
    </w:p>
    <w:p w14:paraId="45BF4CF1" w14:textId="77777777" w:rsidR="00EF4F55" w:rsidRDefault="00EF4F55" w:rsidP="00ED25A3">
      <w:pPr>
        <w:tabs>
          <w:tab w:val="left" w:pos="567"/>
        </w:tabs>
        <w:rPr>
          <w:b/>
          <w:lang w:val="fr-FR"/>
        </w:rPr>
      </w:pPr>
      <w:r>
        <w:rPr>
          <w:b/>
          <w:lang w:val="fr-FR"/>
        </w:rPr>
        <w:t>Observations du Secrétariat</w:t>
      </w:r>
    </w:p>
    <w:p w14:paraId="56F7A226" w14:textId="77777777" w:rsidR="00EF4F55" w:rsidRDefault="00EF4F55" w:rsidP="00ED25A3">
      <w:pPr>
        <w:tabs>
          <w:tab w:val="left" w:pos="567"/>
        </w:tabs>
        <w:rPr>
          <w:b/>
          <w:lang w:val="fr-FR"/>
        </w:rPr>
      </w:pPr>
    </w:p>
    <w:p w14:paraId="75147B85" w14:textId="2C514449" w:rsidR="00EF4F55" w:rsidRPr="00EF4F55" w:rsidRDefault="00EF4F55" w:rsidP="00747813">
      <w:pPr>
        <w:pStyle w:val="StyleHeading1Para1Heading1CharHeading1Char3CharHeadin"/>
        <w:numPr>
          <w:ilvl w:val="0"/>
          <w:numId w:val="25"/>
        </w:numPr>
        <w:tabs>
          <w:tab w:val="clear" w:pos="720"/>
          <w:tab w:val="left" w:pos="0"/>
        </w:tabs>
        <w:ind w:left="0" w:firstLine="0"/>
        <w:rPr>
          <w:lang w:val="fr-FR"/>
        </w:rPr>
      </w:pPr>
      <w:r>
        <w:rPr>
          <w:lang w:val="fr-FR"/>
        </w:rPr>
        <w:t>Le Secrétariat a examiné les demandes de renouvellement de six projets de RI</w:t>
      </w:r>
      <w:r w:rsidR="00CF4E76">
        <w:rPr>
          <w:lang w:val="fr-FR"/>
        </w:rPr>
        <w:t>,</w:t>
      </w:r>
      <w:r>
        <w:rPr>
          <w:lang w:val="fr-FR"/>
        </w:rPr>
        <w:t xml:space="preserve"> </w:t>
      </w:r>
      <w:r w:rsidR="001B7F4C">
        <w:rPr>
          <w:lang w:val="fr-FR"/>
        </w:rPr>
        <w:t xml:space="preserve">soumis </w:t>
      </w:r>
      <w:r w:rsidR="00CF4E76">
        <w:rPr>
          <w:lang w:val="fr-FR"/>
        </w:rPr>
        <w:t xml:space="preserve">par le PNUD </w:t>
      </w:r>
      <w:r>
        <w:rPr>
          <w:lang w:val="fr-FR"/>
        </w:rPr>
        <w:t xml:space="preserve">au nom des gouvernements concernés, à la lumière des lignes directrices et des décisions pertinentes </w:t>
      </w:r>
      <w:r w:rsidR="001B7F4C">
        <w:rPr>
          <w:lang w:val="fr-FR"/>
        </w:rPr>
        <w:t>sur</w:t>
      </w:r>
      <w:r>
        <w:rPr>
          <w:lang w:val="fr-FR"/>
        </w:rPr>
        <w:t xml:space="preserve"> l’admissibilité e</w:t>
      </w:r>
      <w:r w:rsidR="001B7F4C">
        <w:rPr>
          <w:lang w:val="fr-FR"/>
        </w:rPr>
        <w:t>t les niveaux de financement.  C</w:t>
      </w:r>
      <w:r>
        <w:rPr>
          <w:lang w:val="fr-FR"/>
        </w:rPr>
        <w:t xml:space="preserve">es demandes ont été </w:t>
      </w:r>
      <w:r w:rsidR="001B7F4C">
        <w:rPr>
          <w:lang w:val="fr-FR"/>
        </w:rPr>
        <w:t>recoup</w:t>
      </w:r>
      <w:r w:rsidR="00E376D5">
        <w:rPr>
          <w:lang w:val="fr-FR"/>
        </w:rPr>
        <w:t xml:space="preserve">ées </w:t>
      </w:r>
      <w:r w:rsidR="001B7F4C">
        <w:rPr>
          <w:lang w:val="fr-FR"/>
        </w:rPr>
        <w:t xml:space="preserve">avec les </w:t>
      </w:r>
      <w:r w:rsidR="00423328">
        <w:rPr>
          <w:lang w:val="fr-FR"/>
        </w:rPr>
        <w:t>plans de travail initiaux de</w:t>
      </w:r>
      <w:r w:rsidR="00E376D5">
        <w:rPr>
          <w:lang w:val="fr-FR"/>
        </w:rPr>
        <w:t xml:space="preserve"> R</w:t>
      </w:r>
      <w:r w:rsidR="00CF4E76">
        <w:rPr>
          <w:lang w:val="fr-FR"/>
        </w:rPr>
        <w:t>I pour</w:t>
      </w:r>
      <w:r w:rsidR="000E0460">
        <w:rPr>
          <w:lang w:val="fr-FR"/>
        </w:rPr>
        <w:t xml:space="preserve"> la phase précédente, </w:t>
      </w:r>
      <w:r w:rsidR="001B7F4C">
        <w:rPr>
          <w:lang w:val="fr-FR"/>
        </w:rPr>
        <w:t xml:space="preserve">les </w:t>
      </w:r>
      <w:r w:rsidR="00CF4E76">
        <w:rPr>
          <w:lang w:val="fr-FR"/>
        </w:rPr>
        <w:t xml:space="preserve">données des </w:t>
      </w:r>
      <w:r w:rsidR="001B7F4C">
        <w:rPr>
          <w:lang w:val="fr-FR"/>
        </w:rPr>
        <w:t>programmes de pays et les</w:t>
      </w:r>
      <w:r w:rsidR="00E376D5">
        <w:rPr>
          <w:lang w:val="fr-FR"/>
        </w:rPr>
        <w:t xml:space="preserve"> données </w:t>
      </w:r>
      <w:r w:rsidR="00CF4E76">
        <w:rPr>
          <w:lang w:val="fr-FR"/>
        </w:rPr>
        <w:t xml:space="preserve">transmises en vertu </w:t>
      </w:r>
      <w:r w:rsidR="000E0460">
        <w:rPr>
          <w:lang w:val="fr-FR"/>
        </w:rPr>
        <w:t xml:space="preserve">de l’article 7, </w:t>
      </w:r>
      <w:r w:rsidR="001B7F4C">
        <w:rPr>
          <w:lang w:val="fr-FR"/>
        </w:rPr>
        <w:t>le</w:t>
      </w:r>
      <w:r w:rsidR="000E0460">
        <w:rPr>
          <w:lang w:val="fr-FR"/>
        </w:rPr>
        <w:t xml:space="preserve"> dernier rapport sur la mise en œuvre de leurs plans de gestion de l’élimination des HCFC (PGEH), </w:t>
      </w:r>
      <w:r w:rsidR="001B7F4C">
        <w:rPr>
          <w:lang w:val="fr-FR"/>
        </w:rPr>
        <w:t>le</w:t>
      </w:r>
      <w:r w:rsidR="00E376D5">
        <w:rPr>
          <w:lang w:val="fr-FR"/>
        </w:rPr>
        <w:t xml:space="preserve"> rapport</w:t>
      </w:r>
      <w:r w:rsidR="001B7F4C">
        <w:rPr>
          <w:lang w:val="fr-FR"/>
        </w:rPr>
        <w:t xml:space="preserve"> périodique de l’agence et </w:t>
      </w:r>
      <w:r w:rsidR="000E0460">
        <w:rPr>
          <w:lang w:val="fr-FR"/>
        </w:rPr>
        <w:t xml:space="preserve">toutes </w:t>
      </w:r>
      <w:r w:rsidR="001B7F4C">
        <w:rPr>
          <w:lang w:val="fr-FR"/>
        </w:rPr>
        <w:t xml:space="preserve">les </w:t>
      </w:r>
      <w:r w:rsidR="000E0460">
        <w:rPr>
          <w:lang w:val="fr-FR"/>
        </w:rPr>
        <w:t>décisions pertinentes de la Réunion des Parties.</w:t>
      </w:r>
      <w:r w:rsidR="00E376D5">
        <w:rPr>
          <w:lang w:val="fr-FR"/>
        </w:rPr>
        <w:t xml:space="preserve"> </w:t>
      </w:r>
      <w:r w:rsidR="000E0460">
        <w:rPr>
          <w:lang w:val="fr-FR"/>
        </w:rPr>
        <w:t>Il a été noté que ces pays ont soumis les données de leur</w:t>
      </w:r>
      <w:r w:rsidR="00CF4E76">
        <w:rPr>
          <w:lang w:val="fr-FR"/>
        </w:rPr>
        <w:t>s</w:t>
      </w:r>
      <w:r w:rsidR="000E0460">
        <w:rPr>
          <w:lang w:val="fr-FR"/>
        </w:rPr>
        <w:t xml:space="preserve"> programme</w:t>
      </w:r>
      <w:r w:rsidR="00CF4E76">
        <w:rPr>
          <w:lang w:val="fr-FR"/>
        </w:rPr>
        <w:t>s</w:t>
      </w:r>
      <w:r w:rsidR="000E0460">
        <w:rPr>
          <w:lang w:val="fr-FR"/>
        </w:rPr>
        <w:t xml:space="preserve"> de pays pour 2019 et qu’</w:t>
      </w:r>
      <w:r w:rsidR="00CF4E76">
        <w:rPr>
          <w:lang w:val="fr-FR"/>
        </w:rPr>
        <w:t>il</w:t>
      </w:r>
      <w:r w:rsidR="000E0460">
        <w:rPr>
          <w:lang w:val="fr-FR"/>
        </w:rPr>
        <w:t>s s</w:t>
      </w:r>
      <w:r w:rsidR="00CF4E76">
        <w:rPr>
          <w:lang w:val="fr-FR"/>
        </w:rPr>
        <w:t>ont e</w:t>
      </w:r>
      <w:r w:rsidR="00BD409B">
        <w:rPr>
          <w:lang w:val="fr-FR"/>
        </w:rPr>
        <w:t xml:space="preserve">n conformité avec les </w:t>
      </w:r>
      <w:r w:rsidR="000E0460">
        <w:rPr>
          <w:lang w:val="fr-FR"/>
        </w:rPr>
        <w:t>objectifs de la réglementation dans le cadre du Protocole de Montréal, et que leur consommation annuelle de HCFC ne dépasse pas la consommation annuelle maximale admissible</w:t>
      </w:r>
      <w:r w:rsidR="00BD409B">
        <w:rPr>
          <w:lang w:val="fr-FR"/>
        </w:rPr>
        <w:t>, indiquée</w:t>
      </w:r>
      <w:r w:rsidR="000E0460">
        <w:rPr>
          <w:lang w:val="fr-FR"/>
        </w:rPr>
        <w:t xml:space="preserve"> dans leurs Accords de PGEH respectifs conclu</w:t>
      </w:r>
      <w:r w:rsidR="001B7F4C">
        <w:rPr>
          <w:lang w:val="fr-FR"/>
        </w:rPr>
        <w:t>s</w:t>
      </w:r>
      <w:r w:rsidR="00BA3485">
        <w:rPr>
          <w:lang w:val="fr-FR"/>
        </w:rPr>
        <w:t xml:space="preserve"> avec le Comité exécutif.</w:t>
      </w:r>
      <w:r w:rsidR="000E0460">
        <w:rPr>
          <w:lang w:val="fr-FR"/>
        </w:rPr>
        <w:t xml:space="preserve"> En outre, les demandes soumises incluaient des indicateurs de rendement </w:t>
      </w:r>
      <w:r w:rsidR="00BD409B">
        <w:rPr>
          <w:lang w:val="fr-FR"/>
        </w:rPr>
        <w:t>pour</w:t>
      </w:r>
      <w:r w:rsidR="000E0460">
        <w:rPr>
          <w:lang w:val="fr-FR"/>
        </w:rPr>
        <w:t xml:space="preserve"> les activités prévues </w:t>
      </w:r>
      <w:r w:rsidR="00BD409B">
        <w:rPr>
          <w:lang w:val="fr-FR"/>
        </w:rPr>
        <w:t>dans</w:t>
      </w:r>
      <w:r w:rsidR="000E0460">
        <w:rPr>
          <w:lang w:val="fr-FR"/>
        </w:rPr>
        <w:t xml:space="preserve"> la prochaine phase des projets de RI, conformément à la décision 74/51(e).</w:t>
      </w:r>
    </w:p>
    <w:p w14:paraId="294EF4A6" w14:textId="77777777" w:rsidR="00441083" w:rsidRPr="00452259" w:rsidRDefault="00760BFB">
      <w:pPr>
        <w:pStyle w:val="StyleHeader4Para4Left0Firstline0"/>
        <w:numPr>
          <w:ilvl w:val="0"/>
          <w:numId w:val="0"/>
        </w:numPr>
        <w:rPr>
          <w:b/>
          <w:sz w:val="22"/>
          <w:lang w:val="fr-FR"/>
        </w:rPr>
      </w:pPr>
      <w:r w:rsidRPr="00452259">
        <w:rPr>
          <w:b/>
          <w:sz w:val="22"/>
          <w:lang w:val="fr-FR"/>
        </w:rPr>
        <w:t>Recommandation du Secrétariat</w:t>
      </w:r>
    </w:p>
    <w:p w14:paraId="550C5AC5" w14:textId="190AB292" w:rsidR="001B7F4C" w:rsidRPr="00452259" w:rsidRDefault="001B7F4C" w:rsidP="00747813">
      <w:pPr>
        <w:pStyle w:val="StyleHeading1Para1Heading1CharHeading1Char3CharHeadin"/>
        <w:numPr>
          <w:ilvl w:val="0"/>
          <w:numId w:val="25"/>
        </w:numPr>
        <w:tabs>
          <w:tab w:val="clear" w:pos="720"/>
          <w:tab w:val="left" w:pos="0"/>
        </w:tabs>
        <w:ind w:left="0" w:firstLine="0"/>
        <w:rPr>
          <w:lang w:val="fr-FR"/>
        </w:rPr>
      </w:pPr>
      <w:r w:rsidRPr="00452259">
        <w:rPr>
          <w:lang w:val="fr-FR"/>
        </w:rPr>
        <w:t>Le Secrétariat recommande l’approbation globale des demandes de renouvellement des projets de renforcement des institutions pour le Brésil, le Ghana, la République islamique d’Iran, le Liban, le Nigeria et le Sri Lanka, au niveau de financement indiqué dans la section A1 du tableau 1 du présent document.  Le Comité exécutif pourrait souhaiter faire part aux gouve</w:t>
      </w:r>
      <w:r w:rsidR="00BA3485">
        <w:rPr>
          <w:lang w:val="fr-FR"/>
        </w:rPr>
        <w:t>rnements des pays mentionnés ci</w:t>
      </w:r>
      <w:r w:rsidR="00BA3485" w:rsidRPr="00BA3485">
        <w:rPr>
          <w:lang w:val="fr-CA"/>
        </w:rPr>
        <w:noBreakHyphen/>
      </w:r>
      <w:r w:rsidRPr="00452259">
        <w:rPr>
          <w:lang w:val="fr-FR"/>
        </w:rPr>
        <w:t>dessus, des observations contenues dans l’Annexe II au présent document.</w:t>
      </w:r>
    </w:p>
    <w:p w14:paraId="560328EF" w14:textId="77777777" w:rsidR="001B7F4C" w:rsidRPr="00BD409B" w:rsidRDefault="001B7F4C" w:rsidP="001B7F4C">
      <w:pPr>
        <w:pStyle w:val="StyleHeader4Para4Left0Firstline0"/>
        <w:numPr>
          <w:ilvl w:val="0"/>
          <w:numId w:val="0"/>
        </w:numPr>
        <w:tabs>
          <w:tab w:val="left" w:pos="567"/>
        </w:tabs>
        <w:rPr>
          <w:b/>
          <w:szCs w:val="20"/>
          <w:lang w:val="fr-FR"/>
        </w:rPr>
      </w:pPr>
      <w:r w:rsidRPr="00BD409B">
        <w:rPr>
          <w:b/>
          <w:szCs w:val="20"/>
          <w:lang w:val="fr-FR"/>
        </w:rPr>
        <w:t xml:space="preserve">A2 : Assistance technique pour </w:t>
      </w:r>
      <w:r w:rsidR="00BD409B" w:rsidRPr="00BD409B">
        <w:rPr>
          <w:b/>
          <w:szCs w:val="20"/>
          <w:lang w:val="fr-FR"/>
        </w:rPr>
        <w:t xml:space="preserve">la </w:t>
      </w:r>
      <w:r w:rsidRPr="00BD409B">
        <w:rPr>
          <w:b/>
          <w:szCs w:val="20"/>
          <w:lang w:val="fr-FR"/>
        </w:rPr>
        <w:t>prépar</w:t>
      </w:r>
      <w:r w:rsidR="00BD409B" w:rsidRPr="00BD409B">
        <w:rPr>
          <w:b/>
          <w:szCs w:val="20"/>
          <w:lang w:val="fr-FR"/>
        </w:rPr>
        <w:t xml:space="preserve">ation d’un </w:t>
      </w:r>
      <w:r w:rsidRPr="00BD409B">
        <w:rPr>
          <w:b/>
          <w:szCs w:val="20"/>
          <w:lang w:val="fr-FR"/>
        </w:rPr>
        <w:t>rapport de vérification sur la consommation de HCFC</w:t>
      </w:r>
    </w:p>
    <w:p w14:paraId="52462BD8" w14:textId="77777777" w:rsidR="001B7F4C" w:rsidRPr="00452259" w:rsidRDefault="001B7F4C" w:rsidP="001B7F4C">
      <w:pPr>
        <w:pStyle w:val="StyleHeader4Para4Left0Firstline0"/>
        <w:numPr>
          <w:ilvl w:val="0"/>
          <w:numId w:val="0"/>
        </w:numPr>
        <w:tabs>
          <w:tab w:val="left" w:pos="567"/>
        </w:tabs>
        <w:rPr>
          <w:b/>
          <w:sz w:val="22"/>
          <w:lang w:val="fr-FR"/>
        </w:rPr>
      </w:pPr>
      <w:r w:rsidRPr="00452259">
        <w:rPr>
          <w:b/>
          <w:sz w:val="22"/>
          <w:lang w:val="fr-FR"/>
        </w:rPr>
        <w:t>Description du projet</w:t>
      </w:r>
    </w:p>
    <w:p w14:paraId="690CE132" w14:textId="19A87900" w:rsidR="001B7F4C" w:rsidRPr="00452259" w:rsidRDefault="001B7F4C" w:rsidP="00747813">
      <w:pPr>
        <w:pStyle w:val="StyleHeading1Para1Heading1CharHeading1Char3CharHeadin"/>
        <w:numPr>
          <w:ilvl w:val="0"/>
          <w:numId w:val="25"/>
        </w:numPr>
        <w:tabs>
          <w:tab w:val="clear" w:pos="720"/>
          <w:tab w:val="left" w:pos="0"/>
        </w:tabs>
        <w:ind w:left="0" w:firstLine="0"/>
        <w:rPr>
          <w:lang w:val="fr-FR"/>
        </w:rPr>
      </w:pPr>
      <w:r w:rsidRPr="00452259">
        <w:rPr>
          <w:lang w:val="fr-FR"/>
        </w:rPr>
        <w:t xml:space="preserve">Le Comité exécutif a demandé aux agences bilatérales et d’exécution </w:t>
      </w:r>
      <w:r w:rsidR="003042A7" w:rsidRPr="00452259">
        <w:rPr>
          <w:lang w:val="fr-FR"/>
        </w:rPr>
        <w:t>concernées d’inclure, dans les amendements à leurs programmes de travail respectifs qui seront présentés à la 86</w:t>
      </w:r>
      <w:r w:rsidR="003042A7" w:rsidRPr="00452259">
        <w:rPr>
          <w:vertAlign w:val="superscript"/>
          <w:lang w:val="fr-FR"/>
        </w:rPr>
        <w:t>e</w:t>
      </w:r>
      <w:r w:rsidR="003042A7" w:rsidRPr="00452259">
        <w:rPr>
          <w:lang w:val="fr-FR"/>
        </w:rPr>
        <w:t xml:space="preserve"> réunion, le financement de la préparation d’un rapport de vérification pour la phase II du PGEH pour la République de Moldova</w:t>
      </w:r>
      <w:r w:rsidR="003042A7" w:rsidRPr="00452259">
        <w:rPr>
          <w:rStyle w:val="FootnoteReference"/>
          <w:lang w:val="fr-FR"/>
        </w:rPr>
        <w:footnoteReference w:id="3"/>
      </w:r>
      <w:r w:rsidR="003042A7" w:rsidRPr="00452259">
        <w:rPr>
          <w:lang w:val="fr-FR"/>
        </w:rPr>
        <w:t xml:space="preserve">, </w:t>
      </w:r>
      <w:r w:rsidR="00BD409B">
        <w:rPr>
          <w:lang w:val="fr-FR"/>
        </w:rPr>
        <w:t>où le PNUD est l’</w:t>
      </w:r>
      <w:r w:rsidR="003042A7" w:rsidRPr="00452259">
        <w:rPr>
          <w:lang w:val="fr-FR"/>
        </w:rPr>
        <w:t>agence d’exécution principale.</w:t>
      </w:r>
      <w:r w:rsidRPr="00452259">
        <w:rPr>
          <w:lang w:val="fr-FR"/>
        </w:rPr>
        <w:tab/>
      </w:r>
    </w:p>
    <w:p w14:paraId="2E28324D" w14:textId="77777777" w:rsidR="003042A7" w:rsidRPr="00452259" w:rsidRDefault="003042A7" w:rsidP="001B7F4C">
      <w:pPr>
        <w:pStyle w:val="StyleHeader4Para4Left0Firstline0"/>
        <w:numPr>
          <w:ilvl w:val="0"/>
          <w:numId w:val="0"/>
        </w:numPr>
        <w:tabs>
          <w:tab w:val="left" w:pos="567"/>
        </w:tabs>
        <w:rPr>
          <w:b/>
          <w:sz w:val="22"/>
          <w:lang w:val="fr-FR"/>
        </w:rPr>
      </w:pPr>
      <w:r w:rsidRPr="00452259">
        <w:rPr>
          <w:b/>
          <w:sz w:val="22"/>
          <w:lang w:val="fr-FR"/>
        </w:rPr>
        <w:t>Observations du Secrétariat</w:t>
      </w:r>
    </w:p>
    <w:p w14:paraId="571E8678" w14:textId="5C02161B" w:rsidR="003042A7" w:rsidRPr="00452259" w:rsidRDefault="003042A7" w:rsidP="00747813">
      <w:pPr>
        <w:pStyle w:val="StyleHeading1Para1Heading1CharHeading1Char3CharHeadin"/>
        <w:numPr>
          <w:ilvl w:val="0"/>
          <w:numId w:val="25"/>
        </w:numPr>
        <w:tabs>
          <w:tab w:val="clear" w:pos="720"/>
          <w:tab w:val="left" w:pos="0"/>
        </w:tabs>
        <w:ind w:left="0" w:firstLine="0"/>
        <w:rPr>
          <w:lang w:val="fr-FR"/>
        </w:rPr>
      </w:pPr>
      <w:r w:rsidRPr="00452259">
        <w:rPr>
          <w:lang w:val="fr-FR"/>
        </w:rPr>
        <w:t>Le Secrétariat a noté que le financement demandé correspondait aux fonds approuvés pour des vérifications similaires</w:t>
      </w:r>
      <w:r w:rsidR="006A30C5" w:rsidRPr="00452259">
        <w:rPr>
          <w:lang w:val="fr-FR"/>
        </w:rPr>
        <w:t xml:space="preserve"> lors de réunions précédentes.</w:t>
      </w:r>
      <w:r w:rsidR="00BA3485">
        <w:rPr>
          <w:lang w:val="fr-FR"/>
        </w:rPr>
        <w:t xml:space="preserve"> </w:t>
      </w:r>
      <w:r w:rsidR="006A30C5" w:rsidRPr="00452259">
        <w:rPr>
          <w:lang w:val="fr-FR"/>
        </w:rPr>
        <w:t xml:space="preserve">Il a noté aussi que le rapport de vérification doit être soumis au moins 10 semaines avant la réunion du Comité exécutif durant laquelle la </w:t>
      </w:r>
      <w:r w:rsidR="00BD409B">
        <w:rPr>
          <w:lang w:val="fr-FR"/>
        </w:rPr>
        <w:t xml:space="preserve">demande pour la </w:t>
      </w:r>
      <w:r w:rsidR="006A30C5" w:rsidRPr="00452259">
        <w:rPr>
          <w:lang w:val="fr-FR"/>
        </w:rPr>
        <w:t xml:space="preserve">prochaine tranche de financement </w:t>
      </w:r>
      <w:r w:rsidR="00BD409B">
        <w:rPr>
          <w:lang w:val="fr-FR"/>
        </w:rPr>
        <w:t>du</w:t>
      </w:r>
      <w:r w:rsidR="006A30C5" w:rsidRPr="00452259">
        <w:rPr>
          <w:lang w:val="fr-FR"/>
        </w:rPr>
        <w:t xml:space="preserve"> PGEH sera </w:t>
      </w:r>
      <w:r w:rsidR="00BD409B">
        <w:rPr>
          <w:lang w:val="fr-FR"/>
        </w:rPr>
        <w:t>présenté</w:t>
      </w:r>
      <w:r w:rsidR="006A30C5" w:rsidRPr="00452259">
        <w:rPr>
          <w:lang w:val="fr-FR"/>
        </w:rPr>
        <w:t>e.</w:t>
      </w:r>
    </w:p>
    <w:p w14:paraId="47C9CCCB" w14:textId="77777777" w:rsidR="006A30C5" w:rsidRPr="00452259" w:rsidRDefault="006A30C5" w:rsidP="00747813">
      <w:pPr>
        <w:pStyle w:val="StyleHeader4Para4Left0Firstline0"/>
        <w:keepNext/>
        <w:keepLines/>
        <w:widowControl/>
        <w:numPr>
          <w:ilvl w:val="0"/>
          <w:numId w:val="0"/>
        </w:numPr>
        <w:tabs>
          <w:tab w:val="left" w:pos="567"/>
        </w:tabs>
        <w:rPr>
          <w:b/>
          <w:sz w:val="22"/>
          <w:lang w:val="fr-FR"/>
        </w:rPr>
      </w:pPr>
      <w:r w:rsidRPr="00452259">
        <w:rPr>
          <w:b/>
          <w:sz w:val="22"/>
          <w:lang w:val="fr-FR"/>
        </w:rPr>
        <w:lastRenderedPageBreak/>
        <w:t>Recommandation du Secrétariat</w:t>
      </w:r>
    </w:p>
    <w:p w14:paraId="23C25380" w14:textId="1F790E90" w:rsidR="006A30C5" w:rsidRDefault="006A30C5" w:rsidP="00747813">
      <w:pPr>
        <w:pStyle w:val="StyleHeading1Para1Heading1CharHeading1Char3CharHeadin"/>
        <w:numPr>
          <w:ilvl w:val="0"/>
          <w:numId w:val="25"/>
        </w:numPr>
        <w:tabs>
          <w:tab w:val="clear" w:pos="720"/>
          <w:tab w:val="left" w:pos="0"/>
        </w:tabs>
        <w:ind w:left="0" w:firstLine="0"/>
        <w:rPr>
          <w:lang w:val="fr-FR"/>
        </w:rPr>
      </w:pPr>
      <w:r w:rsidRPr="00452259">
        <w:rPr>
          <w:lang w:val="fr-FR"/>
        </w:rPr>
        <w:t xml:space="preserve">Le Secrétariat recommande l’approbation globale </w:t>
      </w:r>
      <w:r w:rsidR="00BD409B">
        <w:rPr>
          <w:lang w:val="fr-FR"/>
        </w:rPr>
        <w:t>de</w:t>
      </w:r>
      <w:r w:rsidRPr="00452259">
        <w:rPr>
          <w:lang w:val="fr-FR"/>
        </w:rPr>
        <w:t xml:space="preserve"> la préparation du rapport de vérification pour la phase II du plan de gestion de l’élimination des HCFC (PGEH) pour la République de Moldova, au niveau de financement indiqué dans la section A2 du tableau 1, étant entendu que le</w:t>
      </w:r>
      <w:r w:rsidR="00BD409B">
        <w:rPr>
          <w:lang w:val="fr-FR"/>
        </w:rPr>
        <w:t xml:space="preserve"> rapport de vérification devra</w:t>
      </w:r>
      <w:r w:rsidRPr="00452259">
        <w:rPr>
          <w:lang w:val="fr-FR"/>
        </w:rPr>
        <w:t xml:space="preserve"> être soumis au moins 10 semaines avant la réunion du Comité exécutif durant laquelle la </w:t>
      </w:r>
      <w:r w:rsidR="00BD409B">
        <w:rPr>
          <w:lang w:val="fr-FR"/>
        </w:rPr>
        <w:t xml:space="preserve">demande pour la </w:t>
      </w:r>
      <w:r w:rsidRPr="00452259">
        <w:rPr>
          <w:lang w:val="fr-FR"/>
        </w:rPr>
        <w:t xml:space="preserve">prochaine tranche de financement </w:t>
      </w:r>
      <w:r w:rsidR="00BD409B">
        <w:rPr>
          <w:lang w:val="fr-FR"/>
        </w:rPr>
        <w:t>du</w:t>
      </w:r>
      <w:r w:rsidRPr="00452259">
        <w:rPr>
          <w:lang w:val="fr-FR"/>
        </w:rPr>
        <w:t xml:space="preserve"> PGEH sera </w:t>
      </w:r>
      <w:r w:rsidR="00BD409B">
        <w:rPr>
          <w:lang w:val="fr-FR"/>
        </w:rPr>
        <w:t>présent</w:t>
      </w:r>
      <w:r w:rsidRPr="00452259">
        <w:rPr>
          <w:lang w:val="fr-FR"/>
        </w:rPr>
        <w:t>ée.</w:t>
      </w:r>
    </w:p>
    <w:p w14:paraId="2CB32634" w14:textId="77777777" w:rsidR="006A30C5" w:rsidRPr="00452259" w:rsidRDefault="006A30C5" w:rsidP="001B7F4C">
      <w:pPr>
        <w:pStyle w:val="StyleHeader4Para4Left0Firstline0"/>
        <w:numPr>
          <w:ilvl w:val="0"/>
          <w:numId w:val="0"/>
        </w:numPr>
        <w:tabs>
          <w:tab w:val="left" w:pos="567"/>
        </w:tabs>
        <w:rPr>
          <w:b/>
          <w:sz w:val="22"/>
          <w:lang w:val="fr-FR"/>
        </w:rPr>
      </w:pPr>
      <w:r w:rsidRPr="00452259">
        <w:rPr>
          <w:b/>
          <w:sz w:val="22"/>
          <w:lang w:val="fr-FR"/>
        </w:rPr>
        <w:t>SECTION B : ACTIVITÉS RECOMMANDÉES AUX FINS D’EXAMEN INDIVIDUEL</w:t>
      </w:r>
    </w:p>
    <w:p w14:paraId="6FCD6D7B" w14:textId="77777777" w:rsidR="006A30C5" w:rsidRPr="00452259" w:rsidRDefault="006A30C5" w:rsidP="001B7F4C">
      <w:pPr>
        <w:pStyle w:val="StyleHeader4Para4Left0Firstline0"/>
        <w:numPr>
          <w:ilvl w:val="0"/>
          <w:numId w:val="0"/>
        </w:numPr>
        <w:tabs>
          <w:tab w:val="left" w:pos="567"/>
        </w:tabs>
        <w:rPr>
          <w:b/>
          <w:sz w:val="22"/>
          <w:lang w:val="fr-FR"/>
        </w:rPr>
      </w:pPr>
      <w:r w:rsidRPr="00452259">
        <w:rPr>
          <w:b/>
          <w:sz w:val="22"/>
          <w:lang w:val="fr-FR"/>
        </w:rPr>
        <w:t>B1 : Préparation de projet pour des plans de gestion de la réduction progressive des HFC</w:t>
      </w:r>
    </w:p>
    <w:p w14:paraId="36EE0AA9" w14:textId="403928E4" w:rsidR="006A30C5" w:rsidRPr="00452259" w:rsidRDefault="006A30C5" w:rsidP="00747813">
      <w:pPr>
        <w:pStyle w:val="StyleHeading1Para1Heading1CharHeading1Char3CharHeadin"/>
        <w:numPr>
          <w:ilvl w:val="0"/>
          <w:numId w:val="25"/>
        </w:numPr>
        <w:tabs>
          <w:tab w:val="clear" w:pos="720"/>
          <w:tab w:val="left" w:pos="0"/>
        </w:tabs>
        <w:ind w:left="0" w:firstLine="0"/>
        <w:rPr>
          <w:lang w:val="fr-FR"/>
        </w:rPr>
      </w:pPr>
      <w:r w:rsidRPr="00452259">
        <w:rPr>
          <w:lang w:val="fr-FR"/>
        </w:rPr>
        <w:t>À la 85</w:t>
      </w:r>
      <w:r w:rsidRPr="00747813">
        <w:rPr>
          <w:lang w:val="fr-FR"/>
        </w:rPr>
        <w:t>e</w:t>
      </w:r>
      <w:r w:rsidRPr="00452259">
        <w:rPr>
          <w:lang w:val="fr-FR"/>
        </w:rPr>
        <w:t xml:space="preserve"> réunion, le PNUD</w:t>
      </w:r>
      <w:r w:rsidR="00452259" w:rsidRPr="00452259">
        <w:rPr>
          <w:lang w:val="fr-FR"/>
        </w:rPr>
        <w:t>, en tant qu’agence d’exécution désignée,</w:t>
      </w:r>
      <w:r w:rsidRPr="00452259">
        <w:rPr>
          <w:lang w:val="fr-FR"/>
        </w:rPr>
        <w:t xml:space="preserve"> a inclus, dans son programme de travail</w:t>
      </w:r>
      <w:r w:rsidRPr="00747813">
        <w:footnoteReference w:id="4"/>
      </w:r>
      <w:r w:rsidRPr="00452259">
        <w:rPr>
          <w:lang w:val="fr-FR"/>
        </w:rPr>
        <w:t xml:space="preserve">, des demandes pour le financement de la préparation des plans de gestion de la réduction progressive des HFC pour le Costa Rica, Cuba et l’Uruguay, </w:t>
      </w:r>
      <w:r w:rsidR="00452259" w:rsidRPr="00452259">
        <w:rPr>
          <w:lang w:val="fr-FR"/>
        </w:rPr>
        <w:t>mentionnés dans la section B1 du tableau 1.</w:t>
      </w:r>
    </w:p>
    <w:p w14:paraId="651BBC5A" w14:textId="2482DA87" w:rsidR="00452259" w:rsidRPr="00452259" w:rsidRDefault="00452259" w:rsidP="00747813">
      <w:pPr>
        <w:pStyle w:val="StyleHeading1Para1Heading1CharHeading1Char3CharHeadin"/>
        <w:numPr>
          <w:ilvl w:val="0"/>
          <w:numId w:val="25"/>
        </w:numPr>
        <w:tabs>
          <w:tab w:val="clear" w:pos="720"/>
          <w:tab w:val="left" w:pos="0"/>
        </w:tabs>
        <w:ind w:left="0" w:firstLine="0"/>
        <w:rPr>
          <w:lang w:val="fr-FR"/>
        </w:rPr>
      </w:pPr>
      <w:r w:rsidRPr="00452259">
        <w:rPr>
          <w:lang w:val="fr-FR"/>
        </w:rPr>
        <w:t xml:space="preserve">Ces demandes de financement, soumises aux fins d’examen individuel par le Comité exécutif, n’ont pas été </w:t>
      </w:r>
      <w:r w:rsidR="00BD409B">
        <w:rPr>
          <w:lang w:val="fr-FR"/>
        </w:rPr>
        <w:t xml:space="preserve">examinées durant </w:t>
      </w:r>
      <w:r w:rsidRPr="00452259">
        <w:rPr>
          <w:lang w:val="fr-FR"/>
        </w:rPr>
        <w:t>le processus d’approbation intersessions, mis en place pour la 85</w:t>
      </w:r>
      <w:r w:rsidRPr="00452259">
        <w:rPr>
          <w:vertAlign w:val="superscript"/>
          <w:lang w:val="fr-FR"/>
        </w:rPr>
        <w:t>e</w:t>
      </w:r>
      <w:r w:rsidRPr="00452259">
        <w:rPr>
          <w:lang w:val="fr-FR"/>
        </w:rPr>
        <w:t xml:space="preserve"> réunion, et </w:t>
      </w:r>
      <w:r w:rsidR="00BD409B">
        <w:rPr>
          <w:lang w:val="fr-FR"/>
        </w:rPr>
        <w:t xml:space="preserve">ont été </w:t>
      </w:r>
      <w:r w:rsidRPr="00452259">
        <w:rPr>
          <w:lang w:val="fr-FR"/>
        </w:rPr>
        <w:t>reportées à la 86</w:t>
      </w:r>
      <w:r w:rsidRPr="00452259">
        <w:rPr>
          <w:vertAlign w:val="superscript"/>
          <w:lang w:val="fr-FR"/>
        </w:rPr>
        <w:t>e</w:t>
      </w:r>
      <w:r w:rsidRPr="00452259">
        <w:rPr>
          <w:lang w:val="fr-FR"/>
        </w:rPr>
        <w:t xml:space="preserve"> réunion, tel q</w:t>
      </w:r>
      <w:r w:rsidR="00BD409B">
        <w:rPr>
          <w:lang w:val="fr-FR"/>
        </w:rPr>
        <w:t xml:space="preserve">ue convenu le Comité exécutif. </w:t>
      </w:r>
      <w:r w:rsidRPr="00452259">
        <w:rPr>
          <w:lang w:val="fr-FR"/>
        </w:rPr>
        <w:t>En conséquence, les propositions soumises à la 85</w:t>
      </w:r>
      <w:r w:rsidRPr="00452259">
        <w:rPr>
          <w:vertAlign w:val="superscript"/>
          <w:lang w:val="fr-FR"/>
        </w:rPr>
        <w:t>e</w:t>
      </w:r>
      <w:r w:rsidRPr="00452259">
        <w:rPr>
          <w:lang w:val="fr-FR"/>
        </w:rPr>
        <w:t xml:space="preserve"> réunion ont été incluses dans le présent document.</w:t>
      </w:r>
    </w:p>
    <w:p w14:paraId="7415A30E" w14:textId="77777777" w:rsidR="00452259" w:rsidRPr="00452259" w:rsidRDefault="00452259" w:rsidP="001B7F4C">
      <w:pPr>
        <w:pStyle w:val="StyleHeader4Para4Left0Firstline0"/>
        <w:numPr>
          <w:ilvl w:val="0"/>
          <w:numId w:val="0"/>
        </w:numPr>
        <w:tabs>
          <w:tab w:val="left" w:pos="567"/>
        </w:tabs>
        <w:rPr>
          <w:b/>
          <w:sz w:val="22"/>
          <w:lang w:val="fr-FR"/>
        </w:rPr>
      </w:pPr>
      <w:r w:rsidRPr="00452259">
        <w:rPr>
          <w:b/>
          <w:sz w:val="22"/>
          <w:lang w:val="fr-FR"/>
        </w:rPr>
        <w:t>Description des projets</w:t>
      </w:r>
    </w:p>
    <w:p w14:paraId="7D1D5288" w14:textId="4853B02A" w:rsidR="00452259" w:rsidRDefault="00747813" w:rsidP="00747813">
      <w:pPr>
        <w:pStyle w:val="StyleHeading1Para1Heading1CharHeading1Char3CharHeadin"/>
        <w:numPr>
          <w:ilvl w:val="0"/>
          <w:numId w:val="25"/>
        </w:numPr>
        <w:tabs>
          <w:tab w:val="clear" w:pos="720"/>
          <w:tab w:val="left" w:pos="0"/>
        </w:tabs>
        <w:ind w:left="0" w:firstLine="0"/>
        <w:rPr>
          <w:lang w:val="fr-FR"/>
        </w:rPr>
      </w:pPr>
      <w:r>
        <w:rPr>
          <w:lang w:val="fr-FR"/>
        </w:rPr>
        <w:t>L</w:t>
      </w:r>
      <w:r w:rsidR="00452259" w:rsidRPr="00452259">
        <w:rPr>
          <w:lang w:val="fr-FR"/>
        </w:rPr>
        <w:t xml:space="preserve">e PNUD a présenté </w:t>
      </w:r>
      <w:r w:rsidR="00452259">
        <w:rPr>
          <w:lang w:val="fr-FR"/>
        </w:rPr>
        <w:t>des demandes pour la préparation des plans de gestion de la réduction progressive des HFC</w:t>
      </w:r>
      <w:r w:rsidR="005C3941">
        <w:rPr>
          <w:lang w:val="fr-FR"/>
        </w:rPr>
        <w:t xml:space="preserve"> pou</w:t>
      </w:r>
      <w:r w:rsidR="00192F3A">
        <w:rPr>
          <w:lang w:val="fr-FR"/>
        </w:rPr>
        <w:t>r cinq pays visés à l’article 5</w:t>
      </w:r>
      <w:r w:rsidR="005C3941">
        <w:rPr>
          <w:lang w:val="fr-FR"/>
        </w:rPr>
        <w:t xml:space="preserve"> </w:t>
      </w:r>
      <w:r w:rsidR="00192F3A">
        <w:rPr>
          <w:lang w:val="fr-FR"/>
        </w:rPr>
        <w:t>à titre d</w:t>
      </w:r>
      <w:r w:rsidR="005C3941">
        <w:rPr>
          <w:lang w:val="fr-FR"/>
        </w:rPr>
        <w:t xml:space="preserve">’agence d’exécution désignée, pour trois pays </w:t>
      </w:r>
      <w:r w:rsidR="00192F3A">
        <w:rPr>
          <w:lang w:val="fr-FR"/>
        </w:rPr>
        <w:t>à titre d</w:t>
      </w:r>
      <w:r w:rsidR="005C3941">
        <w:rPr>
          <w:lang w:val="fr-FR"/>
        </w:rPr>
        <w:t xml:space="preserve">’agence d’exécution principale et pour trois </w:t>
      </w:r>
      <w:r w:rsidR="00192F3A">
        <w:rPr>
          <w:lang w:val="fr-FR"/>
        </w:rPr>
        <w:t xml:space="preserve">autres </w:t>
      </w:r>
      <w:r w:rsidR="005C3941">
        <w:rPr>
          <w:lang w:val="fr-FR"/>
        </w:rPr>
        <w:t xml:space="preserve">pays, </w:t>
      </w:r>
      <w:r w:rsidR="00192F3A">
        <w:rPr>
          <w:lang w:val="fr-FR"/>
        </w:rPr>
        <w:t>à titre d</w:t>
      </w:r>
      <w:r w:rsidR="005C3941">
        <w:rPr>
          <w:lang w:val="fr-FR"/>
        </w:rPr>
        <w:t>’agence d’exécution coopérante, tel qu’indiqué da</w:t>
      </w:r>
      <w:r w:rsidR="00192F3A">
        <w:rPr>
          <w:lang w:val="fr-FR"/>
        </w:rPr>
        <w:t xml:space="preserve">ns la section B1 du tableau 1. </w:t>
      </w:r>
      <w:r w:rsidR="005C3941">
        <w:rPr>
          <w:lang w:val="fr-FR"/>
        </w:rPr>
        <w:t>Le PNU</w:t>
      </w:r>
      <w:r w:rsidR="00192F3A">
        <w:rPr>
          <w:lang w:val="fr-FR"/>
        </w:rPr>
        <w:t>E</w:t>
      </w:r>
      <w:r w:rsidR="005C3941">
        <w:rPr>
          <w:lang w:val="fr-FR"/>
        </w:rPr>
        <w:t xml:space="preserve">, </w:t>
      </w:r>
      <w:r w:rsidR="00192F3A">
        <w:rPr>
          <w:lang w:val="fr-FR"/>
        </w:rPr>
        <w:t>à titre d’</w:t>
      </w:r>
      <w:r w:rsidR="005C3941">
        <w:rPr>
          <w:lang w:val="fr-FR"/>
        </w:rPr>
        <w:t xml:space="preserve">agence d’exécution principale pour le Bhoutan, la République démocratique populaire lao et les Maldives, et </w:t>
      </w:r>
      <w:r w:rsidR="00192F3A">
        <w:rPr>
          <w:lang w:val="fr-FR"/>
        </w:rPr>
        <w:t>à titre d</w:t>
      </w:r>
      <w:r w:rsidR="005C3941">
        <w:rPr>
          <w:lang w:val="fr-FR"/>
        </w:rPr>
        <w:t>’agence d’exécution coopérante pour le Ghana</w:t>
      </w:r>
      <w:r w:rsidR="00192F3A">
        <w:rPr>
          <w:lang w:val="fr-FR"/>
        </w:rPr>
        <w:t>, le K</w:t>
      </w:r>
      <w:r w:rsidR="007E700F">
        <w:rPr>
          <w:lang w:val="fr-FR"/>
        </w:rPr>
        <w:t>irg</w:t>
      </w:r>
      <w:r w:rsidR="00192F3A">
        <w:rPr>
          <w:lang w:val="fr-FR"/>
        </w:rPr>
        <w:t>h</w:t>
      </w:r>
      <w:r w:rsidR="007E700F">
        <w:rPr>
          <w:lang w:val="fr-FR"/>
        </w:rPr>
        <w:t>izistan et le Nigeria, a demandé 353 000 $US, plus des coûts d’appui d’agence de 45 890 $US, dans l’amendement à son programme de travail pour 2020.</w:t>
      </w:r>
      <w:r w:rsidR="007E700F">
        <w:rPr>
          <w:rStyle w:val="FootnoteReference"/>
          <w:lang w:val="fr-FR"/>
        </w:rPr>
        <w:footnoteReference w:id="5"/>
      </w:r>
    </w:p>
    <w:p w14:paraId="68F434BF" w14:textId="77777777" w:rsidR="007E700F" w:rsidRDefault="007E700F" w:rsidP="001B7F4C">
      <w:pPr>
        <w:pStyle w:val="StyleHeader4Para4Left0Firstline0"/>
        <w:numPr>
          <w:ilvl w:val="0"/>
          <w:numId w:val="0"/>
        </w:numPr>
        <w:tabs>
          <w:tab w:val="left" w:pos="567"/>
        </w:tabs>
        <w:rPr>
          <w:b/>
          <w:sz w:val="22"/>
          <w:lang w:val="fr-FR"/>
        </w:rPr>
      </w:pPr>
      <w:r>
        <w:rPr>
          <w:b/>
          <w:sz w:val="22"/>
          <w:lang w:val="fr-FR"/>
        </w:rPr>
        <w:t>Observations du Secrétariat</w:t>
      </w:r>
    </w:p>
    <w:p w14:paraId="7B9881A3" w14:textId="0700F2A0" w:rsidR="00E165AF" w:rsidRDefault="007E700F" w:rsidP="00747813">
      <w:pPr>
        <w:pStyle w:val="StyleHeading1Para1Heading1CharHeading1Char3CharHeadin"/>
        <w:numPr>
          <w:ilvl w:val="0"/>
          <w:numId w:val="25"/>
        </w:numPr>
        <w:tabs>
          <w:tab w:val="clear" w:pos="720"/>
          <w:tab w:val="left" w:pos="0"/>
        </w:tabs>
        <w:ind w:left="0" w:firstLine="0"/>
        <w:rPr>
          <w:lang w:val="fr-FR"/>
        </w:rPr>
      </w:pPr>
      <w:r>
        <w:rPr>
          <w:lang w:val="fr-FR"/>
        </w:rPr>
        <w:t xml:space="preserve">Le PNUD, </w:t>
      </w:r>
      <w:r w:rsidR="00192F3A">
        <w:rPr>
          <w:lang w:val="fr-FR"/>
        </w:rPr>
        <w:t>à titre d</w:t>
      </w:r>
      <w:r>
        <w:rPr>
          <w:lang w:val="fr-FR"/>
        </w:rPr>
        <w:t>’agence d’exécution principale, a fourni une description des activités r</w:t>
      </w:r>
      <w:r w:rsidR="00192F3A">
        <w:rPr>
          <w:lang w:val="fr-FR"/>
        </w:rPr>
        <w:t>equises pour la préparation d</w:t>
      </w:r>
      <w:r>
        <w:rPr>
          <w:lang w:val="fr-FR"/>
        </w:rPr>
        <w:t>e stratégie</w:t>
      </w:r>
      <w:r w:rsidR="00192F3A">
        <w:rPr>
          <w:lang w:val="fr-FR"/>
        </w:rPr>
        <w:t>s</w:t>
      </w:r>
      <w:r>
        <w:rPr>
          <w:lang w:val="fr-FR"/>
        </w:rPr>
        <w:t xml:space="preserve"> globale</w:t>
      </w:r>
      <w:r w:rsidR="00192F3A">
        <w:rPr>
          <w:lang w:val="fr-FR"/>
        </w:rPr>
        <w:t>s</w:t>
      </w:r>
      <w:r>
        <w:rPr>
          <w:lang w:val="fr-FR"/>
        </w:rPr>
        <w:t xml:space="preserve"> pour la réduction progressive des HFC pour le Costa Rica, le Ghana, le Kirghizistan, le Liban, le Nigeria, le Pérou et l’Uruguay, incluant les coûts correspondants de chaque activité, en utilisant le formulaire pour les demandes de préparation de projet des </w:t>
      </w:r>
      <w:r w:rsidR="00423328">
        <w:rPr>
          <w:lang w:val="fr-FR"/>
        </w:rPr>
        <w:t>phases</w:t>
      </w:r>
      <w:r>
        <w:rPr>
          <w:lang w:val="fr-FR"/>
        </w:rPr>
        <w:t xml:space="preserve"> des PGEH.</w:t>
      </w:r>
      <w:r w:rsidR="00BA3485">
        <w:rPr>
          <w:lang w:val="fr-FR"/>
        </w:rPr>
        <w:t xml:space="preserve"> </w:t>
      </w:r>
      <w:r>
        <w:rPr>
          <w:lang w:val="fr-FR"/>
        </w:rPr>
        <w:t xml:space="preserve">Les demandes soumises contenaient des informations sur les importations estimatives de HFC et de mélanges de HFC </w:t>
      </w:r>
      <w:r w:rsidR="00192F3A">
        <w:rPr>
          <w:lang w:val="fr-FR"/>
        </w:rPr>
        <w:t>de 2012 à</w:t>
      </w:r>
      <w:r>
        <w:rPr>
          <w:lang w:val="fr-FR"/>
        </w:rPr>
        <w:t xml:space="preserve"> 2015 pour le Ghana, le Kirghizistan, le Liban et le Nigeria et de 2016 à 2019 pour le Costa Rica, Cuba, le Pérou et l’Uruguay; la liste des activités pour la préparation de projet incluant l’évaluation, par les pays, des besoins de formation et de certification</w:t>
      </w:r>
      <w:r w:rsidR="00E165AF">
        <w:rPr>
          <w:lang w:val="fr-FR"/>
        </w:rPr>
        <w:t>; le développement d’une stratégie de réduction progressive des HFC</w:t>
      </w:r>
      <w:r w:rsidR="00192F3A">
        <w:rPr>
          <w:lang w:val="fr-FR"/>
        </w:rPr>
        <w:t>;</w:t>
      </w:r>
      <w:r w:rsidR="00E165AF">
        <w:rPr>
          <w:lang w:val="fr-FR"/>
        </w:rPr>
        <w:t xml:space="preserve"> et l’élaboration de plans de communication et de vulgarisation.</w:t>
      </w:r>
      <w:r w:rsidR="00BA3485">
        <w:rPr>
          <w:lang w:val="fr-FR"/>
        </w:rPr>
        <w:t xml:space="preserve"> </w:t>
      </w:r>
      <w:r w:rsidR="00E165AF">
        <w:rPr>
          <w:lang w:val="fr-FR"/>
        </w:rPr>
        <w:t>Six de ces pays ont inclus des activités reliées à la collecte de données et à l’analyse de la répartition sectorielle et</w:t>
      </w:r>
      <w:r w:rsidR="00423328">
        <w:rPr>
          <w:lang w:val="fr-FR"/>
        </w:rPr>
        <w:t xml:space="preserve"> de la consommation de HFC et </w:t>
      </w:r>
      <w:r w:rsidR="00E165AF">
        <w:rPr>
          <w:lang w:val="fr-FR"/>
        </w:rPr>
        <w:t>des consultations avec les parties prenantes.</w:t>
      </w:r>
    </w:p>
    <w:p w14:paraId="24B24CE4" w14:textId="24EF4E66" w:rsidR="009112AC" w:rsidRDefault="00E165AF" w:rsidP="00747813">
      <w:pPr>
        <w:pStyle w:val="StyleHeading1Para1Heading1CharHeading1Char3CharHeadin"/>
        <w:numPr>
          <w:ilvl w:val="0"/>
          <w:numId w:val="25"/>
        </w:numPr>
        <w:tabs>
          <w:tab w:val="clear" w:pos="720"/>
          <w:tab w:val="left" w:pos="0"/>
        </w:tabs>
        <w:ind w:left="0" w:firstLine="0"/>
        <w:rPr>
          <w:lang w:val="fr-FR"/>
        </w:rPr>
      </w:pPr>
      <w:r>
        <w:rPr>
          <w:lang w:val="fr-FR"/>
        </w:rPr>
        <w:t>Le montant demandé pour la préparation de propositions de projet à la 85</w:t>
      </w:r>
      <w:r w:rsidRPr="00E165AF">
        <w:rPr>
          <w:vertAlign w:val="superscript"/>
          <w:lang w:val="fr-FR"/>
        </w:rPr>
        <w:t>e</w:t>
      </w:r>
      <w:r>
        <w:rPr>
          <w:lang w:val="fr-FR"/>
        </w:rPr>
        <w:t xml:space="preserve"> réunion </w:t>
      </w:r>
      <w:r w:rsidR="00D20FEF">
        <w:rPr>
          <w:lang w:val="fr-FR"/>
        </w:rPr>
        <w:t>s’appuy</w:t>
      </w:r>
      <w:r>
        <w:rPr>
          <w:lang w:val="fr-FR"/>
        </w:rPr>
        <w:t>ait sur le financement des acti</w:t>
      </w:r>
      <w:r w:rsidR="00D20FEF">
        <w:rPr>
          <w:lang w:val="fr-FR"/>
        </w:rPr>
        <w:t>vités de facilitation (contenu</w:t>
      </w:r>
      <w:r>
        <w:rPr>
          <w:lang w:val="fr-FR"/>
        </w:rPr>
        <w:t xml:space="preserve"> dans la décision 79/46(c)); toutefois, le financement demandé à la 86</w:t>
      </w:r>
      <w:r w:rsidRPr="00E165AF">
        <w:rPr>
          <w:vertAlign w:val="superscript"/>
          <w:lang w:val="fr-FR"/>
        </w:rPr>
        <w:t>e</w:t>
      </w:r>
      <w:r w:rsidR="00D20FEF">
        <w:rPr>
          <w:lang w:val="fr-FR"/>
        </w:rPr>
        <w:t xml:space="preserve"> réunion s’appuy</w:t>
      </w:r>
      <w:r>
        <w:rPr>
          <w:lang w:val="fr-FR"/>
        </w:rPr>
        <w:t>ait sur le financement de la préparation de projet pour la phase I des PGEH</w:t>
      </w:r>
      <w:r w:rsidR="00BA3485">
        <w:rPr>
          <w:lang w:val="fr-FR"/>
        </w:rPr>
        <w:t xml:space="preserve"> </w:t>
      </w:r>
      <w:r>
        <w:rPr>
          <w:lang w:val="fr-FR"/>
        </w:rPr>
        <w:t>(contenu dans la décision 56/16(c)) puisque ce financement était utilisé par les agences bilatérales et d’exécution pour préparer leurs plans d’activités de 2021-2023 soumis à la 86</w:t>
      </w:r>
      <w:r w:rsidRPr="00E165AF">
        <w:rPr>
          <w:vertAlign w:val="superscript"/>
          <w:lang w:val="fr-FR"/>
        </w:rPr>
        <w:t>e</w:t>
      </w:r>
      <w:r>
        <w:rPr>
          <w:lang w:val="fr-FR"/>
        </w:rPr>
        <w:t xml:space="preserve"> réunion.</w:t>
      </w:r>
      <w:r w:rsidR="00BA3485">
        <w:rPr>
          <w:lang w:val="fr-FR"/>
        </w:rPr>
        <w:t xml:space="preserve"> </w:t>
      </w:r>
      <w:r>
        <w:rPr>
          <w:lang w:val="fr-FR"/>
        </w:rPr>
        <w:t xml:space="preserve">Le Secrétariat </w:t>
      </w:r>
      <w:r>
        <w:rPr>
          <w:lang w:val="fr-FR"/>
        </w:rPr>
        <w:lastRenderedPageBreak/>
        <w:t>note que le</w:t>
      </w:r>
      <w:r w:rsidR="009112AC">
        <w:rPr>
          <w:lang w:val="fr-FR"/>
        </w:rPr>
        <w:t>s</w:t>
      </w:r>
      <w:r>
        <w:rPr>
          <w:lang w:val="fr-FR"/>
        </w:rPr>
        <w:t xml:space="preserve"> </w:t>
      </w:r>
      <w:r w:rsidR="009112AC">
        <w:rPr>
          <w:lang w:val="fr-FR"/>
        </w:rPr>
        <w:t xml:space="preserve">montants du </w:t>
      </w:r>
      <w:r>
        <w:rPr>
          <w:lang w:val="fr-FR"/>
        </w:rPr>
        <w:t xml:space="preserve">financement </w:t>
      </w:r>
      <w:r w:rsidR="00D20FEF">
        <w:rPr>
          <w:lang w:val="fr-FR"/>
        </w:rPr>
        <w:t>pour l</w:t>
      </w:r>
      <w:r w:rsidR="009112AC">
        <w:rPr>
          <w:lang w:val="fr-FR"/>
        </w:rPr>
        <w:t>es demandes de préparation de projet soumises aux 85</w:t>
      </w:r>
      <w:r w:rsidR="009112AC" w:rsidRPr="009112AC">
        <w:rPr>
          <w:vertAlign w:val="superscript"/>
          <w:lang w:val="fr-FR"/>
        </w:rPr>
        <w:t>e</w:t>
      </w:r>
      <w:r w:rsidR="009112AC">
        <w:rPr>
          <w:lang w:val="fr-FR"/>
        </w:rPr>
        <w:t xml:space="preserve"> et 86</w:t>
      </w:r>
      <w:r w:rsidR="009112AC" w:rsidRPr="009112AC">
        <w:rPr>
          <w:vertAlign w:val="superscript"/>
          <w:lang w:val="fr-FR"/>
        </w:rPr>
        <w:t>e</w:t>
      </w:r>
      <w:r w:rsidR="009112AC">
        <w:rPr>
          <w:lang w:val="fr-FR"/>
        </w:rPr>
        <w:t xml:space="preserve"> réunions sont indicatifs, </w:t>
      </w:r>
      <w:r w:rsidR="00D20FEF">
        <w:rPr>
          <w:lang w:val="fr-FR"/>
        </w:rPr>
        <w:t>puisque</w:t>
      </w:r>
      <w:r w:rsidR="009112AC">
        <w:rPr>
          <w:lang w:val="fr-FR"/>
        </w:rPr>
        <w:t xml:space="preserve"> les montants réels seront déterminés lorsque le Comité exécutif </w:t>
      </w:r>
      <w:r w:rsidR="00D20FEF">
        <w:rPr>
          <w:lang w:val="fr-FR"/>
        </w:rPr>
        <w:t>aura examiné</w:t>
      </w:r>
      <w:r w:rsidR="009112AC">
        <w:rPr>
          <w:lang w:val="fr-FR"/>
        </w:rPr>
        <w:t xml:space="preserve"> le document UNEP/OzL.Pro/ExCom/86/88, Lignes directrices sur la préparation des plans de réduction progressive des HFC pour les pays visés à l’article 5 (décision 84/54(a)).</w:t>
      </w:r>
    </w:p>
    <w:p w14:paraId="673C9846" w14:textId="08A9312A" w:rsidR="009112AC" w:rsidRDefault="009112AC" w:rsidP="00747813">
      <w:pPr>
        <w:pStyle w:val="StyleHeading1Para1Heading1CharHeading1Char3CharHeadin"/>
        <w:numPr>
          <w:ilvl w:val="0"/>
          <w:numId w:val="25"/>
        </w:numPr>
        <w:tabs>
          <w:tab w:val="clear" w:pos="720"/>
          <w:tab w:val="left" w:pos="0"/>
        </w:tabs>
        <w:ind w:left="0" w:firstLine="0"/>
        <w:rPr>
          <w:lang w:val="fr-FR"/>
        </w:rPr>
      </w:pPr>
      <w:r>
        <w:rPr>
          <w:lang w:val="fr-FR"/>
        </w:rPr>
        <w:t>Tandis que le niveau réel du financement pour la préparation des plans de gestion de la réduction progressive des HFC reste à déterminer, le Secrétariat a examiné les demandes en s’appuyant sur son expérience d’examen des demandes de préparation de projet pour les PGEH et en tenant compte des orientations fournies et des décisions adoptées par le Comité exécutif pour de tels projets.</w:t>
      </w:r>
      <w:r w:rsidR="00BA3485">
        <w:rPr>
          <w:lang w:val="fr-FR"/>
        </w:rPr>
        <w:t xml:space="preserve"> </w:t>
      </w:r>
      <w:r>
        <w:rPr>
          <w:lang w:val="fr-FR"/>
        </w:rPr>
        <w:t>À l’issue de cet examen, le Secrétariat a noté ce qui suit :</w:t>
      </w:r>
    </w:p>
    <w:p w14:paraId="1AAAA048" w14:textId="2AEF0096" w:rsidR="002534AF" w:rsidRDefault="009112AC" w:rsidP="002534AF">
      <w:pPr>
        <w:pStyle w:val="StyleHeader4Para4Left0Firstline0"/>
        <w:numPr>
          <w:ilvl w:val="0"/>
          <w:numId w:val="0"/>
        </w:numPr>
        <w:tabs>
          <w:tab w:val="left" w:pos="567"/>
          <w:tab w:val="left" w:pos="1134"/>
        </w:tabs>
        <w:ind w:left="1134" w:hanging="1134"/>
        <w:rPr>
          <w:sz w:val="22"/>
          <w:lang w:val="fr-FR"/>
        </w:rPr>
      </w:pPr>
      <w:r>
        <w:rPr>
          <w:sz w:val="22"/>
          <w:lang w:val="fr-FR"/>
        </w:rPr>
        <w:tab/>
        <w:t>(a)</w:t>
      </w:r>
      <w:r>
        <w:rPr>
          <w:sz w:val="22"/>
          <w:lang w:val="fr-FR"/>
        </w:rPr>
        <w:tab/>
        <w:t>Les huit pays pour lesquels le PNUD</w:t>
      </w:r>
      <w:r w:rsidR="002534AF">
        <w:rPr>
          <w:sz w:val="22"/>
          <w:lang w:val="fr-FR"/>
        </w:rPr>
        <w:t xml:space="preserve">, </w:t>
      </w:r>
      <w:r w:rsidR="00D20FEF">
        <w:rPr>
          <w:sz w:val="22"/>
          <w:lang w:val="fr-FR"/>
        </w:rPr>
        <w:t>à titre d</w:t>
      </w:r>
      <w:r w:rsidR="002534AF">
        <w:rPr>
          <w:sz w:val="22"/>
          <w:lang w:val="fr-FR"/>
        </w:rPr>
        <w:t>’agence d’exécution désignée ou principale,</w:t>
      </w:r>
      <w:r w:rsidR="00BA3485">
        <w:rPr>
          <w:sz w:val="22"/>
          <w:lang w:val="fr-FR"/>
        </w:rPr>
        <w:t xml:space="preserve"> </w:t>
      </w:r>
      <w:r>
        <w:rPr>
          <w:sz w:val="22"/>
          <w:lang w:val="fr-FR"/>
        </w:rPr>
        <w:t>a demandé un financement pour la préparation d’un p</w:t>
      </w:r>
      <w:r w:rsidR="00D20FEF">
        <w:rPr>
          <w:sz w:val="22"/>
          <w:lang w:val="fr-FR"/>
        </w:rPr>
        <w:t>lan</w:t>
      </w:r>
      <w:r>
        <w:rPr>
          <w:sz w:val="22"/>
          <w:lang w:val="fr-FR"/>
        </w:rPr>
        <w:t xml:space="preserve"> de réduction progressive des HFC</w:t>
      </w:r>
      <w:r w:rsidR="002534AF">
        <w:rPr>
          <w:sz w:val="22"/>
          <w:lang w:val="fr-FR"/>
        </w:rPr>
        <w:t xml:space="preserve"> ont ratifié l’Amendement de Kigali</w:t>
      </w:r>
      <w:r w:rsidR="002534AF">
        <w:rPr>
          <w:rStyle w:val="FootnoteReference"/>
          <w:sz w:val="22"/>
          <w:lang w:val="fr-FR"/>
        </w:rPr>
        <w:footnoteReference w:id="6"/>
      </w:r>
      <w:r w:rsidR="002534AF">
        <w:rPr>
          <w:sz w:val="22"/>
          <w:lang w:val="fr-FR"/>
        </w:rPr>
        <w:t>; chaqu</w:t>
      </w:r>
      <w:r>
        <w:rPr>
          <w:sz w:val="22"/>
          <w:lang w:val="fr-FR"/>
        </w:rPr>
        <w:t>e p</w:t>
      </w:r>
      <w:r w:rsidR="002534AF">
        <w:rPr>
          <w:sz w:val="22"/>
          <w:lang w:val="fr-FR"/>
        </w:rPr>
        <w:t xml:space="preserve">ays serait admissible au financement de </w:t>
      </w:r>
      <w:r w:rsidR="00D20FEF">
        <w:rPr>
          <w:sz w:val="22"/>
          <w:lang w:val="fr-FR"/>
        </w:rPr>
        <w:t xml:space="preserve">la </w:t>
      </w:r>
      <w:r w:rsidR="002534AF">
        <w:rPr>
          <w:sz w:val="22"/>
          <w:lang w:val="fr-FR"/>
        </w:rPr>
        <w:t>préparation de p</w:t>
      </w:r>
      <w:r>
        <w:rPr>
          <w:sz w:val="22"/>
          <w:lang w:val="fr-FR"/>
        </w:rPr>
        <w:t xml:space="preserve">rojet </w:t>
      </w:r>
      <w:r w:rsidR="002534AF">
        <w:rPr>
          <w:sz w:val="22"/>
          <w:lang w:val="fr-FR"/>
        </w:rPr>
        <w:t>conformément à la décision 79/46(b)(iii)</w:t>
      </w:r>
      <w:r w:rsidR="002534AF">
        <w:rPr>
          <w:rStyle w:val="FootnoteReference"/>
          <w:sz w:val="22"/>
          <w:lang w:val="fr-FR"/>
        </w:rPr>
        <w:footnoteReference w:id="7"/>
      </w:r>
      <w:r w:rsidR="002534AF">
        <w:rPr>
          <w:sz w:val="22"/>
          <w:lang w:val="fr-FR"/>
        </w:rPr>
        <w:t> ; les pays ont fourni aussi des lettres d’endossement indiquant leur intention de prendre des mesures précoces pour la réduction progressive des HFC; et</w:t>
      </w:r>
    </w:p>
    <w:p w14:paraId="1ED39E62" w14:textId="3EDC86F6" w:rsidR="002878E5" w:rsidRDefault="002534AF" w:rsidP="002534AF">
      <w:pPr>
        <w:pStyle w:val="StyleHeader4Para4Left0Firstline0"/>
        <w:numPr>
          <w:ilvl w:val="0"/>
          <w:numId w:val="0"/>
        </w:numPr>
        <w:tabs>
          <w:tab w:val="left" w:pos="567"/>
          <w:tab w:val="left" w:pos="1134"/>
        </w:tabs>
        <w:ind w:left="1134" w:hanging="1134"/>
        <w:rPr>
          <w:sz w:val="22"/>
          <w:lang w:val="fr-FR"/>
        </w:rPr>
      </w:pPr>
      <w:r>
        <w:rPr>
          <w:sz w:val="22"/>
          <w:lang w:val="fr-FR"/>
        </w:rPr>
        <w:tab/>
        <w:t>(b)</w:t>
      </w:r>
      <w:r>
        <w:rPr>
          <w:sz w:val="22"/>
          <w:lang w:val="fr-FR"/>
        </w:rPr>
        <w:tab/>
        <w:t>Les activités incluses dans la préparation de projet sont similaires à celles requises pour la préparation des PGEH.</w:t>
      </w:r>
      <w:r w:rsidR="00BA3485">
        <w:rPr>
          <w:sz w:val="22"/>
          <w:lang w:val="fr-FR"/>
        </w:rPr>
        <w:t xml:space="preserve"> </w:t>
      </w:r>
      <w:r w:rsidR="002878E5">
        <w:rPr>
          <w:sz w:val="22"/>
          <w:lang w:val="fr-FR"/>
        </w:rPr>
        <w:t xml:space="preserve">Certaines activités ressemblaient </w:t>
      </w:r>
      <w:r w:rsidR="009112AC">
        <w:rPr>
          <w:sz w:val="22"/>
          <w:lang w:val="fr-FR"/>
        </w:rPr>
        <w:t xml:space="preserve">à </w:t>
      </w:r>
      <w:r w:rsidR="002878E5">
        <w:rPr>
          <w:sz w:val="22"/>
          <w:lang w:val="fr-FR"/>
        </w:rPr>
        <w:t>celles incluses au titre des activités de facilitation pour la r</w:t>
      </w:r>
      <w:r w:rsidR="00D20FEF">
        <w:rPr>
          <w:sz w:val="22"/>
          <w:lang w:val="fr-FR"/>
        </w:rPr>
        <w:t xml:space="preserve">éduction progressive des HFC </w:t>
      </w:r>
      <w:r w:rsidR="002878E5">
        <w:rPr>
          <w:sz w:val="22"/>
          <w:lang w:val="fr-FR"/>
        </w:rPr>
        <w:t>pour lesquelles du financement a déjà été fourni à chaque pays et qui sont achevées.</w:t>
      </w:r>
    </w:p>
    <w:p w14:paraId="376FE03B" w14:textId="1552546E" w:rsidR="002878E5" w:rsidRDefault="002878E5" w:rsidP="00747813">
      <w:pPr>
        <w:pStyle w:val="StyleHeading1Para1Heading1CharHeading1Char3CharHeadin"/>
        <w:numPr>
          <w:ilvl w:val="0"/>
          <w:numId w:val="25"/>
        </w:numPr>
        <w:tabs>
          <w:tab w:val="clear" w:pos="720"/>
          <w:tab w:val="left" w:pos="0"/>
        </w:tabs>
        <w:ind w:left="0" w:firstLine="0"/>
        <w:rPr>
          <w:lang w:val="fr-FR"/>
        </w:rPr>
      </w:pPr>
      <w:r>
        <w:rPr>
          <w:lang w:val="fr-FR"/>
        </w:rPr>
        <w:t>Le PNUD a précisé que</w:t>
      </w:r>
      <w:r w:rsidR="00D20FEF">
        <w:rPr>
          <w:lang w:val="fr-FR"/>
        </w:rPr>
        <w:t xml:space="preserve"> la préparation de projet pour l</w:t>
      </w:r>
      <w:r>
        <w:rPr>
          <w:lang w:val="fr-FR"/>
        </w:rPr>
        <w:t xml:space="preserve">es stratégies globales </w:t>
      </w:r>
      <w:r w:rsidR="00D20FEF">
        <w:rPr>
          <w:lang w:val="fr-FR"/>
        </w:rPr>
        <w:t>de</w:t>
      </w:r>
      <w:r>
        <w:rPr>
          <w:lang w:val="fr-FR"/>
        </w:rPr>
        <w:t xml:space="preserve"> réduction progressive des HFC puiserait dans les activités mises en œuvre au titre d’activités de facilitation, puisqu’elles étaient les premières mesures associées à la réduction progressive des HFC et </w:t>
      </w:r>
      <w:r w:rsidR="00D20FEF">
        <w:rPr>
          <w:lang w:val="fr-FR"/>
        </w:rPr>
        <w:t xml:space="preserve">qu’elles </w:t>
      </w:r>
      <w:r>
        <w:rPr>
          <w:lang w:val="fr-FR"/>
        </w:rPr>
        <w:t>ont contribué à la ratification de l’Amendement de Kigali.</w:t>
      </w:r>
      <w:r w:rsidR="00BA3485">
        <w:rPr>
          <w:lang w:val="fr-FR"/>
        </w:rPr>
        <w:t xml:space="preserve"> </w:t>
      </w:r>
      <w:r>
        <w:rPr>
          <w:lang w:val="fr-FR"/>
        </w:rPr>
        <w:t>L’approbation du financement de ces demandes à la 86</w:t>
      </w:r>
      <w:r w:rsidRPr="00747813">
        <w:rPr>
          <w:lang w:val="fr-FR"/>
        </w:rPr>
        <w:t>e</w:t>
      </w:r>
      <w:r>
        <w:rPr>
          <w:lang w:val="fr-FR"/>
        </w:rPr>
        <w:t xml:space="preserve"> réunion permettra à la mise en œuvre de la réduction progressive des HFC de débuter d’ici 2022 et de </w:t>
      </w:r>
      <w:r w:rsidR="00D20FEF">
        <w:rPr>
          <w:lang w:val="fr-FR"/>
        </w:rPr>
        <w:t xml:space="preserve">parvenir à la conformité avec </w:t>
      </w:r>
      <w:r>
        <w:rPr>
          <w:lang w:val="fr-FR"/>
        </w:rPr>
        <w:t>l’Amendement de Kigali.</w:t>
      </w:r>
    </w:p>
    <w:p w14:paraId="59FA0DF9" w14:textId="388833FD" w:rsidR="002878E5" w:rsidRDefault="002878E5" w:rsidP="00747813">
      <w:pPr>
        <w:pStyle w:val="StyleHeading1Para1Heading1CharHeading1Char3CharHeadin"/>
        <w:numPr>
          <w:ilvl w:val="0"/>
          <w:numId w:val="25"/>
        </w:numPr>
        <w:tabs>
          <w:tab w:val="clear" w:pos="720"/>
          <w:tab w:val="left" w:pos="0"/>
        </w:tabs>
        <w:ind w:left="0" w:firstLine="0"/>
        <w:rPr>
          <w:lang w:val="fr-FR"/>
        </w:rPr>
      </w:pPr>
      <w:r>
        <w:rPr>
          <w:lang w:val="fr-FR"/>
        </w:rPr>
        <w:t>Le Secrétariat a avisé le PNUD qu’il ne sera pas en mesure d</w:t>
      </w:r>
      <w:r w:rsidR="00D20FEF">
        <w:rPr>
          <w:lang w:val="fr-FR"/>
        </w:rPr>
        <w:t>e faire une recommandation sur c</w:t>
      </w:r>
      <w:r>
        <w:rPr>
          <w:lang w:val="fr-FR"/>
        </w:rPr>
        <w:t>es demandes puisque les lignes directrices sur le financement de ces demandes feront l’objet de discussions à la 86</w:t>
      </w:r>
      <w:r w:rsidRPr="002878E5">
        <w:rPr>
          <w:vertAlign w:val="superscript"/>
          <w:lang w:val="fr-FR"/>
        </w:rPr>
        <w:t>e</w:t>
      </w:r>
      <w:r>
        <w:rPr>
          <w:lang w:val="fr-FR"/>
        </w:rPr>
        <w:t xml:space="preserve"> réunion.</w:t>
      </w:r>
    </w:p>
    <w:p w14:paraId="68F701CA" w14:textId="77777777" w:rsidR="002878E5" w:rsidRDefault="002878E5" w:rsidP="002878E5">
      <w:pPr>
        <w:pStyle w:val="StyleHeader4Para4Left0Firstline0"/>
        <w:numPr>
          <w:ilvl w:val="0"/>
          <w:numId w:val="0"/>
        </w:numPr>
        <w:tabs>
          <w:tab w:val="clear" w:pos="2880"/>
          <w:tab w:val="left" w:pos="0"/>
          <w:tab w:val="left" w:pos="567"/>
        </w:tabs>
        <w:rPr>
          <w:b/>
          <w:sz w:val="22"/>
          <w:lang w:val="fr-FR"/>
        </w:rPr>
      </w:pPr>
      <w:r>
        <w:rPr>
          <w:b/>
          <w:sz w:val="22"/>
          <w:lang w:val="fr-FR"/>
        </w:rPr>
        <w:t>Recommandation du Secrétariat</w:t>
      </w:r>
    </w:p>
    <w:p w14:paraId="670C97A5" w14:textId="435C2EF9" w:rsidR="00E6536B" w:rsidRDefault="002878E5" w:rsidP="00747813">
      <w:pPr>
        <w:pStyle w:val="StyleHeading1Para1Heading1CharHeading1Char3CharHeadin"/>
        <w:numPr>
          <w:ilvl w:val="0"/>
          <w:numId w:val="25"/>
        </w:numPr>
        <w:tabs>
          <w:tab w:val="clear" w:pos="720"/>
          <w:tab w:val="left" w:pos="0"/>
        </w:tabs>
        <w:ind w:left="0" w:firstLine="0"/>
        <w:rPr>
          <w:lang w:val="fr-FR"/>
        </w:rPr>
      </w:pPr>
      <w:r>
        <w:rPr>
          <w:lang w:val="fr-FR"/>
        </w:rPr>
        <w:t>Le Comité exécutif pourrait souhaiter</w:t>
      </w:r>
      <w:r w:rsidR="00E6536B">
        <w:rPr>
          <w:lang w:val="fr-FR"/>
        </w:rPr>
        <w:t xml:space="preserve"> examiner</w:t>
      </w:r>
      <w:r>
        <w:rPr>
          <w:lang w:val="fr-FR"/>
        </w:rPr>
        <w:t xml:space="preserve">, </w:t>
      </w:r>
      <w:r w:rsidR="00423328">
        <w:rPr>
          <w:lang w:val="fr-FR"/>
        </w:rPr>
        <w:t>selon les</w:t>
      </w:r>
      <w:r>
        <w:rPr>
          <w:lang w:val="fr-FR"/>
        </w:rPr>
        <w:t xml:space="preserve"> discussions au point 9(a) de l’ordre du jour, Aperçu des questions soulevées pendant l’examen des projets, </w:t>
      </w:r>
      <w:r w:rsidR="00E6536B">
        <w:rPr>
          <w:lang w:val="fr-FR"/>
        </w:rPr>
        <w:t>et au point 13(c) de l’ordre du jour, Projet de lignes directrices sur la préparation des plans de réduction progressive des HFC pour les pays visés à l’article 5 (décision 84/54(a)), les demande</w:t>
      </w:r>
      <w:r w:rsidR="00D20FEF">
        <w:rPr>
          <w:lang w:val="fr-FR"/>
        </w:rPr>
        <w:t>s</w:t>
      </w:r>
      <w:r w:rsidR="00E6536B">
        <w:rPr>
          <w:lang w:val="fr-FR"/>
        </w:rPr>
        <w:t xml:space="preserve"> pour la préparation des plans de gestion de la réduction progressive des HFC pour les pays mentionnés à la section B1 du tableau 1.</w:t>
      </w:r>
    </w:p>
    <w:p w14:paraId="34F35AF2" w14:textId="77777777" w:rsidR="00BA3485" w:rsidRDefault="00BA3485">
      <w:pPr>
        <w:jc w:val="left"/>
        <w:rPr>
          <w:lang w:val="fr-FR"/>
        </w:rPr>
        <w:sectPr w:rsidR="00BA3485">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14:paraId="608DDAED" w14:textId="77777777" w:rsidR="007E700F" w:rsidRDefault="00E6536B" w:rsidP="00E6536B">
      <w:pPr>
        <w:pStyle w:val="StyleHeader4Para4Left0Firstline0"/>
        <w:numPr>
          <w:ilvl w:val="0"/>
          <w:numId w:val="0"/>
        </w:numPr>
        <w:tabs>
          <w:tab w:val="clear" w:pos="2880"/>
          <w:tab w:val="left" w:pos="0"/>
          <w:tab w:val="left" w:pos="567"/>
        </w:tabs>
        <w:jc w:val="center"/>
        <w:rPr>
          <w:b/>
          <w:sz w:val="22"/>
          <w:lang w:val="fr-FR"/>
        </w:rPr>
      </w:pPr>
      <w:r>
        <w:rPr>
          <w:b/>
          <w:sz w:val="22"/>
          <w:lang w:val="fr-FR"/>
        </w:rPr>
        <w:lastRenderedPageBreak/>
        <w:t>Annexe II</w:t>
      </w:r>
    </w:p>
    <w:p w14:paraId="3D149149" w14:textId="77777777" w:rsidR="00E6536B" w:rsidRDefault="002E714E" w:rsidP="00E6536B">
      <w:pPr>
        <w:pStyle w:val="StyleHeader4Para4Left0Firstline0"/>
        <w:numPr>
          <w:ilvl w:val="0"/>
          <w:numId w:val="0"/>
        </w:numPr>
        <w:tabs>
          <w:tab w:val="clear" w:pos="2880"/>
          <w:tab w:val="left" w:pos="0"/>
          <w:tab w:val="left" w:pos="567"/>
        </w:tabs>
        <w:spacing w:after="0"/>
        <w:jc w:val="center"/>
        <w:rPr>
          <w:b/>
          <w:sz w:val="22"/>
          <w:lang w:val="fr-FR"/>
        </w:rPr>
      </w:pPr>
      <w:r>
        <w:rPr>
          <w:b/>
          <w:sz w:val="22"/>
          <w:lang w:val="fr-FR"/>
        </w:rPr>
        <w:t xml:space="preserve">ÉBAUCHE </w:t>
      </w:r>
      <w:r w:rsidR="00E6536B">
        <w:rPr>
          <w:b/>
          <w:sz w:val="22"/>
          <w:lang w:val="fr-FR"/>
        </w:rPr>
        <w:t>DE POINTS DE VUE EXPRIMÉS PAR LE COMITÉ EXÉCUTIF SUR LE RENOUVELLEMENT DES PROJETS DE RENFORCEMENT DES INSTITUTIONS</w:t>
      </w:r>
    </w:p>
    <w:p w14:paraId="59167988" w14:textId="77777777" w:rsidR="00E6536B" w:rsidRDefault="00E6536B" w:rsidP="00E6536B">
      <w:pPr>
        <w:pStyle w:val="StyleHeader4Para4Left0Firstline0"/>
        <w:numPr>
          <w:ilvl w:val="0"/>
          <w:numId w:val="0"/>
        </w:numPr>
        <w:tabs>
          <w:tab w:val="clear" w:pos="2880"/>
          <w:tab w:val="left" w:pos="0"/>
          <w:tab w:val="left" w:pos="567"/>
        </w:tabs>
        <w:jc w:val="center"/>
        <w:rPr>
          <w:b/>
          <w:sz w:val="22"/>
          <w:lang w:val="fr-FR"/>
        </w:rPr>
      </w:pPr>
      <w:r>
        <w:rPr>
          <w:b/>
          <w:sz w:val="22"/>
          <w:lang w:val="fr-FR"/>
        </w:rPr>
        <w:t xml:space="preserve"> SOUMIS À LA 86</w:t>
      </w:r>
      <w:r w:rsidRPr="00E6536B">
        <w:rPr>
          <w:b/>
          <w:sz w:val="22"/>
          <w:vertAlign w:val="superscript"/>
          <w:lang w:val="fr-FR"/>
        </w:rPr>
        <w:t>e</w:t>
      </w:r>
      <w:r>
        <w:rPr>
          <w:b/>
          <w:sz w:val="22"/>
          <w:lang w:val="fr-FR"/>
        </w:rPr>
        <w:t xml:space="preserve"> RÉUNION</w:t>
      </w:r>
    </w:p>
    <w:p w14:paraId="4E413258" w14:textId="77777777" w:rsidR="00E6536B" w:rsidRDefault="00E6536B" w:rsidP="00E6536B">
      <w:pPr>
        <w:pStyle w:val="StyleHeader4Para4Left0Firstline0"/>
        <w:numPr>
          <w:ilvl w:val="0"/>
          <w:numId w:val="0"/>
        </w:numPr>
        <w:tabs>
          <w:tab w:val="clear" w:pos="2880"/>
          <w:tab w:val="left" w:pos="0"/>
          <w:tab w:val="left" w:pos="567"/>
        </w:tabs>
        <w:rPr>
          <w:b/>
          <w:sz w:val="22"/>
          <w:lang w:val="fr-FR"/>
        </w:rPr>
      </w:pPr>
      <w:r>
        <w:rPr>
          <w:b/>
          <w:sz w:val="22"/>
          <w:lang w:val="fr-FR"/>
        </w:rPr>
        <w:t>Brésil</w:t>
      </w:r>
    </w:p>
    <w:p w14:paraId="36352EF0" w14:textId="2F2949B8" w:rsidR="00E6536B" w:rsidRDefault="00E6536B" w:rsidP="00747813">
      <w:pPr>
        <w:pStyle w:val="Heading1"/>
        <w:numPr>
          <w:ilvl w:val="0"/>
          <w:numId w:val="24"/>
        </w:numPr>
        <w:ind w:left="0" w:firstLine="0"/>
        <w:rPr>
          <w:lang w:val="fr-FR"/>
        </w:rPr>
      </w:pPr>
      <w:r>
        <w:rPr>
          <w:lang w:val="fr-FR"/>
        </w:rPr>
        <w:t>Le Comité exécutif a examiné le rapport présenté avec la demande de renouvellement du projet de renforcement des institutions</w:t>
      </w:r>
      <w:r w:rsidR="003C7365">
        <w:rPr>
          <w:lang w:val="fr-FR"/>
        </w:rPr>
        <w:t xml:space="preserve"> (RI)</w:t>
      </w:r>
      <w:r>
        <w:rPr>
          <w:lang w:val="fr-FR"/>
        </w:rPr>
        <w:t xml:space="preserve"> pour le Brésil (phase IX) et pris note avec satisfaction du</w:t>
      </w:r>
      <w:r w:rsidR="003C7365">
        <w:rPr>
          <w:lang w:val="fr-FR"/>
        </w:rPr>
        <w:t xml:space="preserve"> fait que le pays a communiqué d</w:t>
      </w:r>
      <w:r>
        <w:rPr>
          <w:lang w:val="fr-FR"/>
        </w:rPr>
        <w:t xml:space="preserve">es données sur la mise en œuvre du programme de pays au Secrétariat du Fonds et les </w:t>
      </w:r>
      <w:r w:rsidR="003C7365">
        <w:rPr>
          <w:lang w:val="fr-FR"/>
        </w:rPr>
        <w:t>données exigées en vertu de l’article 7 au Secrétariat de l’ozone, indiquant que le pays est en conformité avec le Protocole de Montréal.</w:t>
      </w:r>
      <w:r w:rsidR="00BA3485">
        <w:rPr>
          <w:lang w:val="fr-FR"/>
        </w:rPr>
        <w:t xml:space="preserve"> </w:t>
      </w:r>
      <w:r w:rsidR="003C7365">
        <w:rPr>
          <w:lang w:val="fr-FR"/>
        </w:rPr>
        <w:t>Le Comité a noté aussi que le gouvernement du Brésil a pris des mesures pour éliminer la consommation de SAO, notamment la mise en œuvre d’une interdiction d’utilisation du HCFC-141b dans le secteur des mousses qui est entrée en vigueur le 1</w:t>
      </w:r>
      <w:r w:rsidR="003C7365" w:rsidRPr="003C7365">
        <w:rPr>
          <w:vertAlign w:val="superscript"/>
          <w:lang w:val="fr-FR"/>
        </w:rPr>
        <w:t>er</w:t>
      </w:r>
      <w:r w:rsidR="003C7365">
        <w:rPr>
          <w:lang w:val="fr-FR"/>
        </w:rPr>
        <w:t xml:space="preserve"> janvier 2020, et la poursuite de la mise en œuvre des activités dans le cadre de son plan de gestion de l’élimination des HCFC </w:t>
      </w:r>
      <w:r w:rsidR="002E714E">
        <w:rPr>
          <w:lang w:val="fr-FR"/>
        </w:rPr>
        <w:t xml:space="preserve">(PGEH) </w:t>
      </w:r>
      <w:r w:rsidR="003C7365">
        <w:rPr>
          <w:lang w:val="fr-FR"/>
        </w:rPr>
        <w:t>dans les deux secteurs de la fabrication et de l’entretien.</w:t>
      </w:r>
      <w:r w:rsidR="00BA3485">
        <w:rPr>
          <w:lang w:val="fr-FR"/>
        </w:rPr>
        <w:t xml:space="preserve"> </w:t>
      </w:r>
      <w:r w:rsidR="003C7365">
        <w:rPr>
          <w:lang w:val="fr-FR"/>
        </w:rPr>
        <w:t xml:space="preserve">Le Comité exécutif a donc bon espoir que le gouvernement du Brésil poursuivra la mise en œuvre de la phase II du PGEH </w:t>
      </w:r>
      <w:r w:rsidR="002E714E">
        <w:rPr>
          <w:lang w:val="fr-FR"/>
        </w:rPr>
        <w:t>et</w:t>
      </w:r>
      <w:r w:rsidR="003C7365">
        <w:rPr>
          <w:lang w:val="fr-FR"/>
        </w:rPr>
        <w:t xml:space="preserve"> les activités du projet de RI avec succès pour atteindre les objectifs de réduction établis dans son Accord sur le PGEH conclu avec le Comité exécutif.</w:t>
      </w:r>
    </w:p>
    <w:p w14:paraId="31568647" w14:textId="77777777" w:rsidR="003C7365" w:rsidRDefault="003C7365" w:rsidP="00E6536B">
      <w:pPr>
        <w:pStyle w:val="StyleHeader4Para4Left0Firstline0"/>
        <w:numPr>
          <w:ilvl w:val="0"/>
          <w:numId w:val="0"/>
        </w:numPr>
        <w:tabs>
          <w:tab w:val="clear" w:pos="2880"/>
          <w:tab w:val="left" w:pos="0"/>
          <w:tab w:val="left" w:pos="567"/>
        </w:tabs>
        <w:rPr>
          <w:b/>
          <w:sz w:val="22"/>
          <w:lang w:val="fr-FR"/>
        </w:rPr>
      </w:pPr>
      <w:r>
        <w:rPr>
          <w:b/>
          <w:sz w:val="22"/>
          <w:lang w:val="fr-FR"/>
        </w:rPr>
        <w:t>Ghana</w:t>
      </w:r>
    </w:p>
    <w:p w14:paraId="5F6A2A82" w14:textId="269C0F21" w:rsidR="00D4525F" w:rsidRDefault="003C7365" w:rsidP="00747813">
      <w:pPr>
        <w:pStyle w:val="Heading1"/>
        <w:numPr>
          <w:ilvl w:val="0"/>
          <w:numId w:val="24"/>
        </w:numPr>
        <w:ind w:left="0" w:firstLine="0"/>
        <w:rPr>
          <w:lang w:val="fr-FR"/>
        </w:rPr>
      </w:pPr>
      <w:r>
        <w:rPr>
          <w:lang w:val="fr-FR"/>
        </w:rPr>
        <w:t xml:space="preserve">Le Comité exécutif a examiné la demande de renouvellement du projet de renforcement des institutions (RI) pour le Ghana (phase XIV) et pris note avec satisfaction du fait que le pays a communiqué des données sur </w:t>
      </w:r>
      <w:r w:rsidR="00D4525F">
        <w:rPr>
          <w:lang w:val="fr-FR"/>
        </w:rPr>
        <w:t xml:space="preserve">le </w:t>
      </w:r>
      <w:r>
        <w:rPr>
          <w:lang w:val="fr-FR"/>
        </w:rPr>
        <w:t>programme de pays au Secrétariat du Fonds et les données exigées en vertu de l’article 7 au Secrétariat de l’ozone, indiquant que le pays est en conformité avec le Protocole de Montréal.</w:t>
      </w:r>
      <w:r w:rsidR="00BA3485">
        <w:rPr>
          <w:lang w:val="fr-FR"/>
        </w:rPr>
        <w:t xml:space="preserve"> </w:t>
      </w:r>
      <w:r>
        <w:rPr>
          <w:lang w:val="fr-FR"/>
        </w:rPr>
        <w:t xml:space="preserve">Le Comité a </w:t>
      </w:r>
      <w:r w:rsidR="00D4525F">
        <w:rPr>
          <w:lang w:val="fr-FR"/>
        </w:rPr>
        <w:t>reconnu que le Ghana a continué de mettre en œuvre son système d’octroi de permis et de quotas pour les HCFC et d’assurer la conformité aux règlements par des inspections</w:t>
      </w:r>
      <w:r w:rsidR="0021407A">
        <w:rPr>
          <w:lang w:val="fr-FR"/>
        </w:rPr>
        <w:t xml:space="preserve"> </w:t>
      </w:r>
      <w:r w:rsidR="00D4525F">
        <w:rPr>
          <w:lang w:val="fr-FR"/>
        </w:rPr>
        <w:t xml:space="preserve">; </w:t>
      </w:r>
      <w:r w:rsidR="002E714E">
        <w:rPr>
          <w:lang w:val="fr-FR"/>
        </w:rPr>
        <w:t xml:space="preserve">et </w:t>
      </w:r>
      <w:r w:rsidR="00D4525F">
        <w:rPr>
          <w:lang w:val="fr-FR"/>
        </w:rPr>
        <w:t>de mettre en place efficacement et rapidement son plan de gestion de l’élimination des HCFC, incluant le renforcement des capacités pour les agents des douanes et les tech</w:t>
      </w:r>
      <w:r w:rsidR="002E714E">
        <w:rPr>
          <w:lang w:val="fr-FR"/>
        </w:rPr>
        <w:t xml:space="preserve">niciens en réfrigération et </w:t>
      </w:r>
      <w:r w:rsidR="00D4525F">
        <w:rPr>
          <w:lang w:val="fr-FR"/>
        </w:rPr>
        <w:t>des activités de sensibilisation et de vulgarisation.</w:t>
      </w:r>
      <w:r w:rsidR="00BA3485">
        <w:rPr>
          <w:lang w:val="fr-FR"/>
        </w:rPr>
        <w:t xml:space="preserve"> </w:t>
      </w:r>
      <w:r w:rsidR="00D4525F">
        <w:rPr>
          <w:lang w:val="fr-FR"/>
        </w:rPr>
        <w:t>Le Comité exécutif a donc bon espoir que le gouvernement du Ghana poursuivra la mise en œuvre des activités pour permettre au pays de se conformer aux objectifs du Protocole de Montréal.</w:t>
      </w:r>
      <w:r w:rsidR="00BA3485">
        <w:rPr>
          <w:lang w:val="fr-FR"/>
        </w:rPr>
        <w:t xml:space="preserve"> </w:t>
      </w:r>
      <w:r w:rsidR="00D4525F">
        <w:rPr>
          <w:lang w:val="fr-FR"/>
        </w:rPr>
        <w:t>Le Comité a pris note aussi avec satisfaction de la ratification de l’Amendement de Kigali par le Ghana le 2 août 2019 et des mesures prises pour respecter les obligations initiales au titre de l’Amendement, incluant la révision de la législation pour inclure la réglementation des HFC et des mélanges de HFC.</w:t>
      </w:r>
    </w:p>
    <w:p w14:paraId="06ED9978" w14:textId="77777777" w:rsidR="00D4525F" w:rsidRDefault="009B4312" w:rsidP="00E6536B">
      <w:pPr>
        <w:pStyle w:val="StyleHeader4Para4Left0Firstline0"/>
        <w:numPr>
          <w:ilvl w:val="0"/>
          <w:numId w:val="0"/>
        </w:numPr>
        <w:tabs>
          <w:tab w:val="clear" w:pos="2880"/>
          <w:tab w:val="left" w:pos="0"/>
          <w:tab w:val="left" w:pos="567"/>
        </w:tabs>
        <w:rPr>
          <w:b/>
          <w:sz w:val="22"/>
          <w:lang w:val="fr-FR"/>
        </w:rPr>
      </w:pPr>
      <w:r>
        <w:rPr>
          <w:b/>
          <w:sz w:val="22"/>
          <w:lang w:val="fr-FR"/>
        </w:rPr>
        <w:t>Iran (République islamique d’)</w:t>
      </w:r>
    </w:p>
    <w:p w14:paraId="642534B5" w14:textId="1C1DD905" w:rsidR="009B4312" w:rsidRDefault="009B4312" w:rsidP="00747813">
      <w:pPr>
        <w:pStyle w:val="Heading1"/>
        <w:numPr>
          <w:ilvl w:val="0"/>
          <w:numId w:val="24"/>
        </w:numPr>
        <w:ind w:left="0" w:firstLine="0"/>
        <w:rPr>
          <w:lang w:val="fr-FR"/>
        </w:rPr>
      </w:pPr>
      <w:r>
        <w:rPr>
          <w:lang w:val="fr-FR"/>
        </w:rPr>
        <w:t>Le Comité exécutif a examiné le rapport présenté avec la demande de renouvellement du projet de renforcement des institutions (RI) pour la République islamique d’Iran (phase XIII) et pris note avec satisfaction du fait que le pays a communiqué les données du programme de pays pour 2018 et 2019 au Secrétariat du Fonds et les données exigées en vertu de l’article 7 du Protocole de Montréal au Secrétariat de l’ozone, indiquant que le pays est en conformité avec le Protocole de Montréal.</w:t>
      </w:r>
      <w:r w:rsidR="00BA3485">
        <w:rPr>
          <w:lang w:val="fr-FR"/>
        </w:rPr>
        <w:t xml:space="preserve"> </w:t>
      </w:r>
      <w:r>
        <w:rPr>
          <w:lang w:val="fr-FR"/>
        </w:rPr>
        <w:t xml:space="preserve">Le Comité a pris note aussi que le gouvernement a continué de travailler avec les intervenants concernés pour gérer et surveiller la consommation de SAO, qu’il a pris des mesures pour soutenir la consommation nulle de SAO déjà </w:t>
      </w:r>
      <w:r w:rsidR="00B05AF2">
        <w:rPr>
          <w:lang w:val="fr-FR"/>
        </w:rPr>
        <w:t>atteinte</w:t>
      </w:r>
      <w:r>
        <w:rPr>
          <w:lang w:val="fr-FR"/>
        </w:rPr>
        <w:t xml:space="preserve"> et qu’il a instauré un système d’octroi de permis et de quotas qui assure la conformité au calendrier d’élimination des HCFC.</w:t>
      </w:r>
      <w:r w:rsidR="00BA3485">
        <w:rPr>
          <w:lang w:val="fr-FR"/>
        </w:rPr>
        <w:t xml:space="preserve"> </w:t>
      </w:r>
      <w:r>
        <w:rPr>
          <w:lang w:val="fr-FR"/>
        </w:rPr>
        <w:t>Le Comité reconnaît les efforts du gouvernement et il a donc bon espoir que le gouvernement de la République islamique d’Iran poursuivra la mise en œuvre de son plan de gestion de l’élimination des HCFC et de son projet de RI de manière rapide et efficace pour permettre au pays d’atteindre la réduction de 75 pour cent d’ici le 1</w:t>
      </w:r>
      <w:r w:rsidRPr="009B4312">
        <w:rPr>
          <w:vertAlign w:val="superscript"/>
          <w:lang w:val="fr-FR"/>
        </w:rPr>
        <w:t>er</w:t>
      </w:r>
      <w:r w:rsidR="00B05AF2">
        <w:rPr>
          <w:lang w:val="fr-FR"/>
        </w:rPr>
        <w:t xml:space="preserve"> janvier 2023, conformément à son </w:t>
      </w:r>
      <w:r>
        <w:rPr>
          <w:lang w:val="fr-FR"/>
        </w:rPr>
        <w:t>Accord conclu avec le Comité exécutif pour la phase II du PGEH.</w:t>
      </w:r>
    </w:p>
    <w:p w14:paraId="0263F2BA" w14:textId="77777777" w:rsidR="009B4312" w:rsidRDefault="009B4312" w:rsidP="00E6536B">
      <w:pPr>
        <w:pStyle w:val="StyleHeader4Para4Left0Firstline0"/>
        <w:numPr>
          <w:ilvl w:val="0"/>
          <w:numId w:val="0"/>
        </w:numPr>
        <w:tabs>
          <w:tab w:val="clear" w:pos="2880"/>
          <w:tab w:val="left" w:pos="0"/>
          <w:tab w:val="left" w:pos="567"/>
        </w:tabs>
        <w:rPr>
          <w:b/>
          <w:sz w:val="22"/>
          <w:lang w:val="fr-FR"/>
        </w:rPr>
      </w:pPr>
      <w:r>
        <w:rPr>
          <w:b/>
          <w:sz w:val="22"/>
          <w:lang w:val="fr-FR"/>
        </w:rPr>
        <w:lastRenderedPageBreak/>
        <w:t>Liban</w:t>
      </w:r>
    </w:p>
    <w:p w14:paraId="51A41625" w14:textId="672D3309" w:rsidR="000B6AF0" w:rsidRDefault="009B4312" w:rsidP="00747813">
      <w:pPr>
        <w:pStyle w:val="Heading1"/>
        <w:numPr>
          <w:ilvl w:val="0"/>
          <w:numId w:val="24"/>
        </w:numPr>
        <w:ind w:left="0" w:firstLine="0"/>
        <w:rPr>
          <w:lang w:val="fr-FR"/>
        </w:rPr>
      </w:pPr>
      <w:r>
        <w:rPr>
          <w:lang w:val="fr-FR"/>
        </w:rPr>
        <w:t xml:space="preserve">Le Comité exécutif a examiné le rapport présenté avec la demande de renouvellement du projet de renforcement des institutions pour le Liban (phase XII) et pris note avec satisfaction du fait que le pays a communiqué les données du programme de pays au Secrétariat du Fonds et les données exigées en vertu de l’article 7 du Protocole de Montréal au Secrétariat de l’ozone, indiquant que le pays est en conformité </w:t>
      </w:r>
      <w:r w:rsidR="00B05AF2">
        <w:rPr>
          <w:lang w:val="fr-FR"/>
        </w:rPr>
        <w:t xml:space="preserve">avec le Protocole de Montréal. </w:t>
      </w:r>
      <w:r>
        <w:rPr>
          <w:lang w:val="fr-FR"/>
        </w:rPr>
        <w:t xml:space="preserve">Le Comité a reconnu que le Liban a </w:t>
      </w:r>
      <w:r w:rsidR="000B6AF0">
        <w:rPr>
          <w:lang w:val="fr-FR"/>
        </w:rPr>
        <w:t xml:space="preserve">continué à mettre </w:t>
      </w:r>
      <w:r>
        <w:rPr>
          <w:lang w:val="fr-FR"/>
        </w:rPr>
        <w:t>en œuvre son système d’octroi de permis et de quotas</w:t>
      </w:r>
      <w:r w:rsidR="000B6AF0">
        <w:rPr>
          <w:lang w:val="fr-FR"/>
        </w:rPr>
        <w:t xml:space="preserve"> </w:t>
      </w:r>
      <w:r w:rsidR="00B05AF2">
        <w:rPr>
          <w:lang w:val="fr-FR"/>
        </w:rPr>
        <w:t xml:space="preserve">pour les HCFC </w:t>
      </w:r>
      <w:r w:rsidR="000B6AF0">
        <w:rPr>
          <w:lang w:val="fr-FR"/>
        </w:rPr>
        <w:t>et d’assurer la conformité aux règlements par des inspections</w:t>
      </w:r>
      <w:r w:rsidR="0021407A">
        <w:rPr>
          <w:lang w:val="fr-FR"/>
        </w:rPr>
        <w:t xml:space="preserve"> </w:t>
      </w:r>
      <w:r w:rsidR="000B6AF0">
        <w:rPr>
          <w:lang w:val="fr-FR"/>
        </w:rPr>
        <w:t>;</w:t>
      </w:r>
      <w:r w:rsidR="000D7799">
        <w:rPr>
          <w:lang w:val="fr-FR"/>
        </w:rPr>
        <w:t xml:space="preserve"> et de mettre en place efficacement et rapidement son plan de gestion de l’élimination des HCFC, incluant le renforcement des capacités pour les agents des douanes et les techniciens en réfrigération et des activités de sensibilisation et de vulgarisation.</w:t>
      </w:r>
      <w:r w:rsidR="00BA3485">
        <w:rPr>
          <w:lang w:val="fr-FR"/>
        </w:rPr>
        <w:t xml:space="preserve"> </w:t>
      </w:r>
      <w:r w:rsidR="000D7799">
        <w:rPr>
          <w:lang w:val="fr-FR"/>
        </w:rPr>
        <w:t>Le Comité exécutif a donc bon espoir que le gouvernement du Liban poursuivra la mise en œuvre des activités pour permettre au pays de se conformer aux objectifs du Protocole de Montréal.</w:t>
      </w:r>
      <w:r w:rsidR="00BA3485">
        <w:rPr>
          <w:lang w:val="fr-FR"/>
        </w:rPr>
        <w:t xml:space="preserve"> </w:t>
      </w:r>
      <w:r w:rsidR="000D7799">
        <w:rPr>
          <w:lang w:val="fr-FR"/>
        </w:rPr>
        <w:t>Le Comité a pris note aussi avec satisfaction de la ratification de l’Amendement de Kigali par le Liban le 5 février 2020 et des mesures prises pour respecte</w:t>
      </w:r>
      <w:r w:rsidR="00611A2B">
        <w:rPr>
          <w:lang w:val="fr-FR"/>
        </w:rPr>
        <w:t>r les obligations initiales</w:t>
      </w:r>
      <w:r w:rsidR="000D7799">
        <w:rPr>
          <w:lang w:val="fr-FR"/>
        </w:rPr>
        <w:t xml:space="preserve"> au titre de l’Amendement, incluant la révision de la législation pour inclure la réglementation des HFC et des mélanges de HFC.</w:t>
      </w:r>
    </w:p>
    <w:p w14:paraId="1EF26AC7" w14:textId="77777777" w:rsidR="000B6AF0" w:rsidRDefault="000B6AF0">
      <w:pPr>
        <w:pStyle w:val="StyleHeader4Para4Left0Firstline0"/>
        <w:numPr>
          <w:ilvl w:val="0"/>
          <w:numId w:val="0"/>
        </w:numPr>
        <w:rPr>
          <w:b/>
          <w:sz w:val="22"/>
          <w:lang w:val="fr-FR"/>
        </w:rPr>
      </w:pPr>
      <w:r>
        <w:rPr>
          <w:b/>
          <w:sz w:val="22"/>
          <w:lang w:val="fr-FR"/>
        </w:rPr>
        <w:t>Nigeria</w:t>
      </w:r>
    </w:p>
    <w:p w14:paraId="4DFD7561" w14:textId="2F84D065" w:rsidR="00441083" w:rsidRPr="00611A2B" w:rsidRDefault="000B6AF0" w:rsidP="00747813">
      <w:pPr>
        <w:pStyle w:val="Heading1"/>
        <w:numPr>
          <w:ilvl w:val="0"/>
          <w:numId w:val="24"/>
        </w:numPr>
        <w:ind w:left="0" w:firstLine="0"/>
        <w:rPr>
          <w:lang w:val="fr-FR"/>
        </w:rPr>
      </w:pPr>
      <w:r>
        <w:rPr>
          <w:lang w:val="fr-FR"/>
        </w:rPr>
        <w:t>Le Comité exécutif a examiné le rapport présenté avec la demande de renouvellement du projet de renforcement des institutions pour le Nigeria (phase XI) et pris note avec satisfaction du fait que le pays a communiqué les données du programme de pays au Secrétariat du Fonds et les données exigées en vertu de l’article 7 du Protocole de Montréal au Secrétariat de l’ozone, indiquant que le pays est en conformité avec le Protocole de Montréal.</w:t>
      </w:r>
      <w:r w:rsidR="00611A2B">
        <w:rPr>
          <w:lang w:val="fr-FR"/>
        </w:rPr>
        <w:t xml:space="preserve"> Le Comité a reconnu que le Nigeria a continué à mettre en œuvre son système d’octroi de permis et de quotas pour les HCFC et d’assurer </w:t>
      </w:r>
      <w:r w:rsidR="008E38FA">
        <w:rPr>
          <w:lang w:val="fr-FR"/>
        </w:rPr>
        <w:t>la conformité aux règlements</w:t>
      </w:r>
      <w:r w:rsidR="0021407A">
        <w:rPr>
          <w:lang w:val="fr-FR"/>
        </w:rPr>
        <w:t xml:space="preserve"> </w:t>
      </w:r>
      <w:r w:rsidR="008E38FA">
        <w:rPr>
          <w:lang w:val="fr-FR"/>
        </w:rPr>
        <w:t>;</w:t>
      </w:r>
      <w:r w:rsidR="00611A2B">
        <w:rPr>
          <w:lang w:val="fr-FR"/>
        </w:rPr>
        <w:t xml:space="preserve"> de mettre en place efficacement et rapidement son plan de gestion de l’élimination des HCFC</w:t>
      </w:r>
      <w:r w:rsidR="0021407A">
        <w:rPr>
          <w:lang w:val="fr-FR"/>
        </w:rPr>
        <w:t xml:space="preserve"> </w:t>
      </w:r>
      <w:r w:rsidR="00611A2B">
        <w:rPr>
          <w:lang w:val="fr-FR"/>
        </w:rPr>
        <w:t xml:space="preserve">; </w:t>
      </w:r>
      <w:r w:rsidR="008E38FA">
        <w:rPr>
          <w:lang w:val="fr-FR"/>
        </w:rPr>
        <w:t xml:space="preserve">et </w:t>
      </w:r>
      <w:r w:rsidR="00611A2B">
        <w:rPr>
          <w:lang w:val="fr-FR"/>
        </w:rPr>
        <w:t>d’organiser des activités de sensibilisation et de vulgarisation.</w:t>
      </w:r>
      <w:r w:rsidR="00BA3485">
        <w:rPr>
          <w:lang w:val="fr-FR"/>
        </w:rPr>
        <w:t xml:space="preserve"> </w:t>
      </w:r>
      <w:r w:rsidR="00611A2B">
        <w:rPr>
          <w:lang w:val="fr-FR"/>
        </w:rPr>
        <w:t>Le Comité exécutif a donc bon espoir que le gouvernement du Nigeria poursuivra la mise en œuvre des activités pour permettre au pays de se conformer aux objectifs du Protocole de Montréal.</w:t>
      </w:r>
      <w:r w:rsidR="00BA3485">
        <w:rPr>
          <w:lang w:val="fr-FR"/>
        </w:rPr>
        <w:t xml:space="preserve"> </w:t>
      </w:r>
      <w:r w:rsidR="00611A2B">
        <w:rPr>
          <w:lang w:val="fr-FR"/>
        </w:rPr>
        <w:t>Le Comité a pris note aussi avec satisfaction de la ratification de l’Amendement de Kigali par le Nigeria le 20 décembre 2018 et des mesures prises pour respecter les obligations initiales au titre de l’Amendement, incluant la révision de la législation pour inclure la réglementation des HFC et des mélanges de HFC.</w:t>
      </w:r>
    </w:p>
    <w:p w14:paraId="0F8CE14F" w14:textId="1979ABE5" w:rsidR="00441083" w:rsidRDefault="00611A2B">
      <w:pPr>
        <w:pStyle w:val="StyleHeader4Para4Left0Firstline0"/>
        <w:numPr>
          <w:ilvl w:val="0"/>
          <w:numId w:val="0"/>
        </w:numPr>
        <w:rPr>
          <w:b/>
          <w:sz w:val="22"/>
          <w:lang w:val="fr-FR"/>
        </w:rPr>
      </w:pPr>
      <w:r>
        <w:rPr>
          <w:b/>
          <w:sz w:val="22"/>
          <w:lang w:val="fr-FR"/>
        </w:rPr>
        <w:t>Sri Lanka</w:t>
      </w:r>
    </w:p>
    <w:p w14:paraId="29A2AAC9" w14:textId="589B32E1" w:rsidR="00DE3E04" w:rsidRPr="000B6AF0" w:rsidRDefault="000B6AF0" w:rsidP="00747813">
      <w:pPr>
        <w:pStyle w:val="Heading1"/>
        <w:numPr>
          <w:ilvl w:val="0"/>
          <w:numId w:val="24"/>
        </w:numPr>
        <w:ind w:left="0" w:firstLine="0"/>
        <w:rPr>
          <w:lang w:val="fr-FR"/>
        </w:rPr>
      </w:pPr>
      <w:r>
        <w:rPr>
          <w:lang w:val="fr-FR"/>
        </w:rPr>
        <w:t>Le Comité exécutif a examiné le rapport présenté avec la demande de renouvellement du projet de renforcement des institutions (RI) pour le Sri Lanka (phase XIII) et pris note avec satisfaction du fait que le pays a communiqué les données de 2018 et 2019 sur la mise en œuvre du programme de pays au Secrétariat du Fonds et les données exigées en vertu de l’article 7 du Protocole de Montréal au Secrétariat de l’ozone, indiquant que le pays est en conformité avec le Protocole de Montréal.</w:t>
      </w:r>
      <w:r w:rsidR="00BA3485">
        <w:rPr>
          <w:lang w:val="fr-FR"/>
        </w:rPr>
        <w:t xml:space="preserve"> </w:t>
      </w:r>
      <w:r w:rsidR="00611A2B">
        <w:rPr>
          <w:lang w:val="fr-FR"/>
        </w:rPr>
        <w:t xml:space="preserve"> Le Comité a pris note aussi que le pays a renforcé l’application de la loi sur le contrôle du commerce des SAO, incluant son système d’octroi</w:t>
      </w:r>
      <w:r w:rsidR="008E38FA">
        <w:rPr>
          <w:lang w:val="fr-FR"/>
        </w:rPr>
        <w:t xml:space="preserve"> de permis et de quotas</w:t>
      </w:r>
      <w:r w:rsidR="0021407A">
        <w:rPr>
          <w:lang w:val="fr-FR"/>
        </w:rPr>
        <w:t xml:space="preserve"> </w:t>
      </w:r>
      <w:r w:rsidR="008E38FA">
        <w:rPr>
          <w:lang w:val="fr-FR"/>
        </w:rPr>
        <w:t>;</w:t>
      </w:r>
      <w:r w:rsidR="00611A2B">
        <w:rPr>
          <w:lang w:val="fr-FR"/>
        </w:rPr>
        <w:t xml:space="preserve"> a mis en œuvre les activités de son plan de gestion de l’élimination des HCFC (PGEH) de manière coordonnée.</w:t>
      </w:r>
      <w:r w:rsidR="00BA3485">
        <w:rPr>
          <w:lang w:val="fr-FR"/>
        </w:rPr>
        <w:t xml:space="preserve"> </w:t>
      </w:r>
      <w:r w:rsidR="00611A2B">
        <w:rPr>
          <w:lang w:val="fr-FR"/>
        </w:rPr>
        <w:t>Le Comité reconnaît avec satisfaction que le Sri Lanka a ratifié l’Amendement de Kigali en 2018 et qu’il formulera une stratégie pour s</w:t>
      </w:r>
      <w:r w:rsidR="00DE3E04">
        <w:rPr>
          <w:lang w:val="fr-FR"/>
        </w:rPr>
        <w:t>a mise en œuvre.</w:t>
      </w:r>
      <w:r w:rsidR="00BA3485">
        <w:rPr>
          <w:lang w:val="fr-FR"/>
        </w:rPr>
        <w:t xml:space="preserve"> </w:t>
      </w:r>
      <w:r w:rsidR="00DE3E04">
        <w:rPr>
          <w:lang w:val="fr-FR"/>
        </w:rPr>
        <w:t xml:space="preserve">Le Comité exécutif a donc bon espoir que le gouvernement du Sri Lanka poursuivra la mise en œuvre des activités du PGEH, incluant l’achèvement du processus de vérification, des activités de facilitation pour la réduction progressive des HFC et le projet de RI, de manière rapide et efficace afin de permettre au pays d’atteindre et de maintenir sa conformité aux objectifs du Protocole de Montréal. </w:t>
      </w:r>
    </w:p>
    <w:sectPr w:rsidR="00DE3E04" w:rsidRPr="000B6AF0">
      <w:headerReference w:type="even" r:id="rId15"/>
      <w:headerReference w:type="first" r:id="rId16"/>
      <w:footerReference w:type="first" r:id="rId17"/>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626D7" w14:textId="77777777" w:rsidR="00EC6A15" w:rsidRDefault="00EC6A15">
      <w:r>
        <w:separator/>
      </w:r>
    </w:p>
  </w:endnote>
  <w:endnote w:type="continuationSeparator" w:id="0">
    <w:p w14:paraId="02929950" w14:textId="77777777" w:rsidR="00EC6A15" w:rsidRDefault="00EC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MS Serif">
    <w:panose1 w:val="00000000000000000000"/>
    <w:charset w:val="4D"/>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481FB" w14:textId="45A943BB" w:rsidR="00611A2B" w:rsidRDefault="00611A2B">
    <w:pPr>
      <w:jc w:val="center"/>
    </w:pPr>
    <w:r>
      <w:fldChar w:fldCharType="begin"/>
    </w:r>
    <w:r>
      <w:instrText xml:space="preserve"> PAGE </w:instrText>
    </w:r>
    <w:r>
      <w:fldChar w:fldCharType="separate"/>
    </w:r>
    <w:r w:rsidR="00E87AF3">
      <w:rPr>
        <w:noProof/>
      </w:rPr>
      <w:t>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60B2A" w14:textId="45CC5C3B" w:rsidR="00611A2B" w:rsidRDefault="00611A2B">
    <w:pPr>
      <w:jc w:val="center"/>
    </w:pPr>
    <w:r>
      <w:fldChar w:fldCharType="begin"/>
    </w:r>
    <w:r>
      <w:instrText xml:space="preserve"> PAGE </w:instrText>
    </w:r>
    <w:r>
      <w:fldChar w:fldCharType="separate"/>
    </w:r>
    <w:r w:rsidR="00E87AF3">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3D9D1" w14:textId="77777777" w:rsidR="00611A2B" w:rsidRDefault="00611A2B">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 xml:space="preserve">Les documents de présession du Comité exécutif du Fonds multilatéral aux fins d’application du Protocole de </w:t>
    </w:r>
  </w:p>
  <w:p w14:paraId="097E7788" w14:textId="49690DBC" w:rsidR="00611A2B" w:rsidRPr="00920DEF" w:rsidRDefault="00611A2B" w:rsidP="00920DEF">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Montréal sont présentés sous réserve des décisions pouvant être prises par le Comité exécutif après leur publication.</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08631"/>
      <w:docPartObj>
        <w:docPartGallery w:val="Page Numbers (Bottom of Page)"/>
        <w:docPartUnique/>
      </w:docPartObj>
    </w:sdtPr>
    <w:sdtEndPr>
      <w:rPr>
        <w:noProof/>
      </w:rPr>
    </w:sdtEndPr>
    <w:sdtContent>
      <w:p w14:paraId="473ADAD9" w14:textId="491F5B2F" w:rsidR="00611A2B" w:rsidRPr="00BA3485" w:rsidRDefault="00611A2B" w:rsidP="00BA3485">
        <w:pPr>
          <w:pStyle w:val="Footer"/>
          <w:jc w:val="center"/>
        </w:pPr>
        <w:r>
          <w:fldChar w:fldCharType="begin"/>
        </w:r>
        <w:r>
          <w:instrText xml:space="preserve"> PAGE   \* MERGEFORMAT </w:instrText>
        </w:r>
        <w:r>
          <w:fldChar w:fldCharType="separate"/>
        </w:r>
        <w:r w:rsidR="00E87AF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646FD" w14:textId="77777777" w:rsidR="00EC6A15" w:rsidRDefault="00EC6A15">
      <w:r>
        <w:separator/>
      </w:r>
    </w:p>
  </w:footnote>
  <w:footnote w:type="continuationSeparator" w:id="0">
    <w:p w14:paraId="79C985B2" w14:textId="77777777" w:rsidR="00EC6A15" w:rsidRDefault="00EC6A15">
      <w:r>
        <w:continuationSeparator/>
      </w:r>
    </w:p>
  </w:footnote>
  <w:footnote w:id="1">
    <w:p w14:paraId="14589D8E" w14:textId="52C52695" w:rsidR="00611A2B" w:rsidRDefault="00611A2B">
      <w:pPr>
        <w:pStyle w:val="FootnoteText"/>
        <w:rPr>
          <w:sz w:val="20"/>
          <w:lang w:val="fr-FR"/>
        </w:rPr>
      </w:pPr>
      <w:r w:rsidRPr="00920DEF">
        <w:rPr>
          <w:rStyle w:val="FootnoteReference"/>
          <w:sz w:val="20"/>
        </w:rPr>
        <w:footnoteRef/>
      </w:r>
      <w:r w:rsidRPr="00920DEF">
        <w:rPr>
          <w:sz w:val="20"/>
          <w:lang w:val="fr-CA"/>
        </w:rPr>
        <w:t xml:space="preserve"> </w:t>
      </w:r>
      <w:r w:rsidRPr="00920DEF">
        <w:rPr>
          <w:sz w:val="20"/>
          <w:lang w:val="fr-FR"/>
        </w:rPr>
        <w:t>À cause du coronavirus (COVID-19)</w:t>
      </w:r>
    </w:p>
    <w:p w14:paraId="7066154B" w14:textId="77777777" w:rsidR="00497523" w:rsidRPr="00920DEF" w:rsidRDefault="00497523">
      <w:pPr>
        <w:pStyle w:val="FootnoteText"/>
        <w:rPr>
          <w:sz w:val="20"/>
          <w:lang w:val="fr-FR"/>
        </w:rPr>
      </w:pPr>
    </w:p>
  </w:footnote>
  <w:footnote w:id="2">
    <w:p w14:paraId="26A11107" w14:textId="77777777" w:rsidR="00611A2B" w:rsidRPr="00F8628C" w:rsidRDefault="00611A2B">
      <w:pPr>
        <w:pStyle w:val="FootnoteText"/>
        <w:rPr>
          <w:sz w:val="18"/>
          <w:szCs w:val="18"/>
          <w:lang w:val="fr-FR"/>
        </w:rPr>
      </w:pPr>
      <w:r w:rsidRPr="00F8628C">
        <w:rPr>
          <w:rStyle w:val="FootnoteReference"/>
          <w:sz w:val="18"/>
          <w:szCs w:val="18"/>
        </w:rPr>
        <w:footnoteRef/>
      </w:r>
      <w:r w:rsidRPr="00920DEF">
        <w:rPr>
          <w:sz w:val="18"/>
          <w:szCs w:val="18"/>
          <w:lang w:val="fr-CA"/>
        </w:rPr>
        <w:t xml:space="preserve"> </w:t>
      </w:r>
      <w:r w:rsidRPr="00F8628C">
        <w:rPr>
          <w:sz w:val="18"/>
          <w:szCs w:val="18"/>
          <w:lang w:val="fr-FR"/>
        </w:rPr>
        <w:t xml:space="preserve">Incluant les nouvelles demandes </w:t>
      </w:r>
      <w:r>
        <w:rPr>
          <w:sz w:val="18"/>
          <w:szCs w:val="18"/>
          <w:lang w:val="fr-FR"/>
        </w:rPr>
        <w:t xml:space="preserve">soumises </w:t>
      </w:r>
      <w:r w:rsidRPr="00F8628C">
        <w:rPr>
          <w:sz w:val="18"/>
          <w:szCs w:val="18"/>
          <w:lang w:val="fr-FR"/>
        </w:rPr>
        <w:t>à la 86</w:t>
      </w:r>
      <w:r w:rsidRPr="00F8628C">
        <w:rPr>
          <w:sz w:val="18"/>
          <w:szCs w:val="18"/>
          <w:vertAlign w:val="superscript"/>
          <w:lang w:val="fr-FR"/>
        </w:rPr>
        <w:t>e</w:t>
      </w:r>
      <w:r w:rsidRPr="00F8628C">
        <w:rPr>
          <w:sz w:val="18"/>
          <w:szCs w:val="18"/>
          <w:lang w:val="fr-FR"/>
        </w:rPr>
        <w:t xml:space="preserve"> réunion, jointes au présent document, et les demandes reportées de la 85</w:t>
      </w:r>
      <w:r w:rsidRPr="00F8628C">
        <w:rPr>
          <w:sz w:val="18"/>
          <w:szCs w:val="18"/>
          <w:vertAlign w:val="superscript"/>
          <w:lang w:val="fr-FR"/>
        </w:rPr>
        <w:t>e</w:t>
      </w:r>
      <w:r w:rsidRPr="00F8628C">
        <w:rPr>
          <w:sz w:val="18"/>
          <w:szCs w:val="18"/>
          <w:lang w:val="fr-FR"/>
        </w:rPr>
        <w:t xml:space="preserve"> réunion, présentées dans le document UNEP/OzL.Pro/ExCom/85/15.</w:t>
      </w:r>
    </w:p>
  </w:footnote>
  <w:footnote w:id="3">
    <w:p w14:paraId="0C16F51D" w14:textId="77777777" w:rsidR="00611A2B" w:rsidRPr="003042A7" w:rsidRDefault="00611A2B">
      <w:pPr>
        <w:pStyle w:val="FootnoteText"/>
        <w:rPr>
          <w:sz w:val="18"/>
          <w:szCs w:val="18"/>
          <w:lang w:val="fr-FR"/>
        </w:rPr>
      </w:pPr>
      <w:r w:rsidRPr="003042A7">
        <w:rPr>
          <w:rStyle w:val="FootnoteReference"/>
          <w:sz w:val="18"/>
          <w:szCs w:val="18"/>
        </w:rPr>
        <w:footnoteRef/>
      </w:r>
      <w:r w:rsidRPr="00920DEF">
        <w:rPr>
          <w:sz w:val="18"/>
          <w:szCs w:val="18"/>
          <w:lang w:val="fr-CA"/>
        </w:rPr>
        <w:t xml:space="preserve"> </w:t>
      </w:r>
      <w:r w:rsidRPr="003042A7">
        <w:rPr>
          <w:sz w:val="18"/>
          <w:szCs w:val="18"/>
          <w:lang w:val="fr-FR"/>
        </w:rPr>
        <w:t>Paragraphe 63 du document UNEP/OzL.Pro/ExCom/85/IAP/3, Projets approuvés en</w:t>
      </w:r>
      <w:r>
        <w:rPr>
          <w:sz w:val="18"/>
          <w:szCs w:val="18"/>
          <w:lang w:val="fr-FR"/>
        </w:rPr>
        <w:t xml:space="preserve">tre les </w:t>
      </w:r>
      <w:r w:rsidRPr="003042A7">
        <w:rPr>
          <w:sz w:val="18"/>
          <w:szCs w:val="18"/>
          <w:lang w:val="fr-FR"/>
        </w:rPr>
        <w:t>session</w:t>
      </w:r>
      <w:r>
        <w:rPr>
          <w:sz w:val="18"/>
          <w:szCs w:val="18"/>
          <w:lang w:val="fr-FR"/>
        </w:rPr>
        <w:t>s.</w:t>
      </w:r>
    </w:p>
  </w:footnote>
  <w:footnote w:id="4">
    <w:p w14:paraId="67C61C85" w14:textId="77777777" w:rsidR="00611A2B" w:rsidRPr="006A30C5" w:rsidRDefault="00611A2B">
      <w:pPr>
        <w:pStyle w:val="FootnoteText"/>
        <w:rPr>
          <w:sz w:val="18"/>
          <w:szCs w:val="18"/>
          <w:lang w:val="fr-FR"/>
        </w:rPr>
      </w:pPr>
      <w:r w:rsidRPr="006A30C5">
        <w:rPr>
          <w:rStyle w:val="FootnoteReference"/>
          <w:sz w:val="18"/>
          <w:szCs w:val="18"/>
        </w:rPr>
        <w:footnoteRef/>
      </w:r>
      <w:r w:rsidRPr="00920DEF">
        <w:rPr>
          <w:sz w:val="18"/>
          <w:szCs w:val="18"/>
          <w:lang w:val="fr-FR"/>
        </w:rPr>
        <w:t xml:space="preserve"> </w:t>
      </w:r>
      <w:r w:rsidRPr="006A30C5">
        <w:rPr>
          <w:sz w:val="18"/>
          <w:szCs w:val="18"/>
          <w:lang w:val="fr-FR"/>
        </w:rPr>
        <w:t>UNEP/OzL.Pro/ExCpm/85/15</w:t>
      </w:r>
    </w:p>
  </w:footnote>
  <w:footnote w:id="5">
    <w:p w14:paraId="364102FE" w14:textId="77777777" w:rsidR="00611A2B" w:rsidRPr="007E700F" w:rsidRDefault="00611A2B">
      <w:pPr>
        <w:pStyle w:val="FootnoteText"/>
        <w:rPr>
          <w:sz w:val="18"/>
          <w:szCs w:val="18"/>
          <w:lang w:val="fr-FR"/>
        </w:rPr>
      </w:pPr>
      <w:r w:rsidRPr="007E700F">
        <w:rPr>
          <w:rStyle w:val="FootnoteReference"/>
          <w:sz w:val="18"/>
          <w:szCs w:val="18"/>
        </w:rPr>
        <w:footnoteRef/>
      </w:r>
      <w:r w:rsidRPr="00920DEF">
        <w:rPr>
          <w:sz w:val="18"/>
          <w:szCs w:val="18"/>
          <w:lang w:val="fr-FR"/>
        </w:rPr>
        <w:t xml:space="preserve"> </w:t>
      </w:r>
      <w:r w:rsidRPr="007E700F">
        <w:rPr>
          <w:sz w:val="18"/>
          <w:szCs w:val="18"/>
          <w:lang w:val="fr-FR"/>
        </w:rPr>
        <w:t>UNEP/OzL.Pro/ExCom/86/34</w:t>
      </w:r>
    </w:p>
  </w:footnote>
  <w:footnote w:id="6">
    <w:p w14:paraId="771C9A98" w14:textId="77777777" w:rsidR="00611A2B" w:rsidRPr="002534AF" w:rsidRDefault="00611A2B">
      <w:pPr>
        <w:pStyle w:val="FootnoteText"/>
        <w:rPr>
          <w:sz w:val="18"/>
          <w:szCs w:val="18"/>
          <w:lang w:val="fr-FR"/>
        </w:rPr>
      </w:pPr>
      <w:r w:rsidRPr="002534AF">
        <w:rPr>
          <w:rStyle w:val="FootnoteReference"/>
          <w:sz w:val="18"/>
          <w:szCs w:val="18"/>
        </w:rPr>
        <w:footnoteRef/>
      </w:r>
      <w:r w:rsidRPr="00920DEF">
        <w:rPr>
          <w:sz w:val="18"/>
          <w:szCs w:val="18"/>
          <w:lang w:val="fr-CA"/>
        </w:rPr>
        <w:t xml:space="preserve"> </w:t>
      </w:r>
      <w:r w:rsidRPr="002534AF">
        <w:rPr>
          <w:sz w:val="18"/>
          <w:szCs w:val="18"/>
          <w:lang w:val="fr-FR"/>
        </w:rPr>
        <w:t>Date de ratification (ou d’acceptation) de l’Amendement de Kigali : Costa Rica, 23 mai 2018; Cuba, 20 juin 2019; Ghana, 2 août 2019; Kirghizistan, 8 septembre 2020; Liban, 5 février 2020; Nigeria, 20 décembre 2018; Pérou, 7 août 2019; et Uruguay, 12 septembre 2018.</w:t>
      </w:r>
    </w:p>
  </w:footnote>
  <w:footnote w:id="7">
    <w:p w14:paraId="1F63AEA2" w14:textId="77777777" w:rsidR="00611A2B" w:rsidRPr="002534AF" w:rsidRDefault="00611A2B">
      <w:pPr>
        <w:pStyle w:val="FootnoteText"/>
        <w:rPr>
          <w:sz w:val="18"/>
          <w:szCs w:val="18"/>
          <w:lang w:val="fr-FR"/>
        </w:rPr>
      </w:pPr>
      <w:r w:rsidRPr="002534AF">
        <w:rPr>
          <w:rStyle w:val="FootnoteReference"/>
          <w:sz w:val="18"/>
          <w:szCs w:val="18"/>
        </w:rPr>
        <w:footnoteRef/>
      </w:r>
      <w:r w:rsidRPr="00920DEF">
        <w:rPr>
          <w:sz w:val="18"/>
          <w:szCs w:val="18"/>
          <w:lang w:val="fr-CA"/>
        </w:rPr>
        <w:t xml:space="preserve"> </w:t>
      </w:r>
      <w:r w:rsidRPr="002534AF">
        <w:rPr>
          <w:sz w:val="18"/>
          <w:szCs w:val="18"/>
          <w:lang w:val="fr-FR"/>
        </w:rPr>
        <w:t xml:space="preserve">Un financement pourrait être accordé pour la préparation de plans nationaux de mise en œuvre afin de respecter les premières obligations de réduction dans le cadre de la réduction progressive cinq ans avant ces obligations, au plus tôt, à la suite de la ratification de l’Amendement de Kigali par le pays et conformément aux lignes directrices qui seront approuvées.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2660C" w14:textId="79EA13C7" w:rsidR="00611A2B" w:rsidRDefault="00EC6A15">
    <w:r>
      <w:fldChar w:fldCharType="begin"/>
    </w:r>
    <w:r>
      <w:instrText xml:space="preserve"> DO</w:instrText>
    </w:r>
    <w:r>
      <w:instrText xml:space="preserve">CPROPERTY "Document number"  \* MERGEFORMAT </w:instrText>
    </w:r>
    <w:r>
      <w:fldChar w:fldCharType="separate"/>
    </w:r>
    <w:r w:rsidR="00BA3485">
      <w:t>UNEP/OzL.Pro/ExCom/86/33</w:t>
    </w:r>
    <w:r>
      <w:fldChar w:fldCharType="end"/>
    </w:r>
  </w:p>
  <w:p w14:paraId="45F1C941" w14:textId="77777777" w:rsidR="00611A2B" w:rsidRDefault="00611A2B"/>
  <w:p w14:paraId="67C295DB" w14:textId="77777777" w:rsidR="00611A2B" w:rsidRDefault="00611A2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AA194" w14:textId="4AA38E00" w:rsidR="00611A2B" w:rsidRDefault="00EC6A15">
    <w:pPr>
      <w:jc w:val="right"/>
    </w:pPr>
    <w:r>
      <w:fldChar w:fldCharType="begin"/>
    </w:r>
    <w:r>
      <w:instrText xml:space="preserve"> DOCPROPERTY "Document number"  \* MERGEFORMAT </w:instrText>
    </w:r>
    <w:r>
      <w:fldChar w:fldCharType="separate"/>
    </w:r>
    <w:r w:rsidR="00BA3485">
      <w:t>UNEP/OzL.Pro/ExCom/86/33</w:t>
    </w:r>
    <w:r>
      <w:fldChar w:fldCharType="end"/>
    </w:r>
  </w:p>
  <w:p w14:paraId="28955806" w14:textId="77777777" w:rsidR="00611A2B" w:rsidRDefault="00611A2B"/>
  <w:p w14:paraId="045EACEF" w14:textId="77777777" w:rsidR="00611A2B" w:rsidRDefault="00611A2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7AA96" w14:textId="610D9BF1" w:rsidR="00BA3485" w:rsidRDefault="00EC6A15">
    <w:r>
      <w:fldChar w:fldCharType="begin"/>
    </w:r>
    <w:r>
      <w:instrText xml:space="preserve"> DOCPROPERTY "Document number"  \* MERGEFORMAT </w:instrText>
    </w:r>
    <w:r>
      <w:fldChar w:fldCharType="separate"/>
    </w:r>
    <w:r w:rsidR="00BA3485">
      <w:t>UNEP/OzL.Pro/ExCom/86/33</w:t>
    </w:r>
    <w:r>
      <w:fldChar w:fldCharType="end"/>
    </w:r>
  </w:p>
  <w:p w14:paraId="73F81CD9" w14:textId="6A382C7C" w:rsidR="00BA3485" w:rsidRDefault="00BA3485">
    <w:r>
      <w:t>Annexe II</w:t>
    </w:r>
  </w:p>
  <w:p w14:paraId="1077A14D" w14:textId="77777777" w:rsidR="00BA3485" w:rsidRDefault="00BA3485"/>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BE358" w14:textId="2E6F0BE0" w:rsidR="00611A2B" w:rsidRDefault="00EC6A15">
    <w:pPr>
      <w:jc w:val="right"/>
    </w:pPr>
    <w:r>
      <w:fldChar w:fldCharType="begin"/>
    </w:r>
    <w:r>
      <w:instrText xml:space="preserve"> DOCPROPERTY "Document number"  \* MERGEFORMAT </w:instrText>
    </w:r>
    <w:r>
      <w:fldChar w:fldCharType="separate"/>
    </w:r>
    <w:r w:rsidR="00BA3485">
      <w:t>UNEP/OzL.Pro/ExCom/86/33</w:t>
    </w:r>
    <w:r>
      <w:fldChar w:fldCharType="end"/>
    </w:r>
  </w:p>
  <w:p w14:paraId="4C1DA2C0" w14:textId="6B2C93CB" w:rsidR="00611A2B" w:rsidRDefault="00BA3485" w:rsidP="00BA3485">
    <w:pPr>
      <w:jc w:val="right"/>
    </w:pPr>
    <w:r>
      <w:t>Annexe II</w:t>
    </w:r>
  </w:p>
  <w:p w14:paraId="27F97C4A" w14:textId="77777777" w:rsidR="00611A2B" w:rsidRDefault="00611A2B">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1" w15:restartNumberingAfterBreak="0">
    <w:nsid w:val="05E00F85"/>
    <w:multiLevelType w:val="hybridMultilevel"/>
    <w:tmpl w:val="0262C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7A837CD"/>
    <w:multiLevelType w:val="hybridMultilevel"/>
    <w:tmpl w:val="EA7412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9FE79AE"/>
    <w:multiLevelType w:val="hybridMultilevel"/>
    <w:tmpl w:val="6ADE4D38"/>
    <w:lvl w:ilvl="0" w:tplc="E4AC52E4">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D7A2E9B"/>
    <w:multiLevelType w:val="hybridMultilevel"/>
    <w:tmpl w:val="48AAF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646A90"/>
    <w:multiLevelType w:val="hybridMultilevel"/>
    <w:tmpl w:val="EBEA0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6"/>
  </w:num>
  <w:num w:numId="19">
    <w:abstractNumId w:val="20"/>
  </w:num>
  <w:num w:numId="20">
    <w:abstractNumId w:val="14"/>
  </w:num>
  <w:num w:numId="21">
    <w:abstractNumId w:val="11"/>
  </w:num>
  <w:num w:numId="22">
    <w:abstractNumId w:val="12"/>
  </w:num>
  <w:num w:numId="23">
    <w:abstractNumId w:val="17"/>
  </w:num>
  <w:num w:numId="24">
    <w:abstractNumId w:val="19"/>
  </w:num>
  <w:num w:numId="25">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28C"/>
    <w:rsid w:val="000B6AF0"/>
    <w:rsid w:val="000D7799"/>
    <w:rsid w:val="000E0460"/>
    <w:rsid w:val="000F6C8E"/>
    <w:rsid w:val="00125F83"/>
    <w:rsid w:val="00192F3A"/>
    <w:rsid w:val="001B7F4C"/>
    <w:rsid w:val="001C3D0C"/>
    <w:rsid w:val="001D4CE7"/>
    <w:rsid w:val="0021407A"/>
    <w:rsid w:val="002534AF"/>
    <w:rsid w:val="00265AF0"/>
    <w:rsid w:val="00280EC5"/>
    <w:rsid w:val="002878E5"/>
    <w:rsid w:val="002D0F5A"/>
    <w:rsid w:val="002E714E"/>
    <w:rsid w:val="002F0B57"/>
    <w:rsid w:val="003042A7"/>
    <w:rsid w:val="0037465A"/>
    <w:rsid w:val="003A0CA4"/>
    <w:rsid w:val="003C7365"/>
    <w:rsid w:val="00423328"/>
    <w:rsid w:val="00441083"/>
    <w:rsid w:val="00452259"/>
    <w:rsid w:val="0045311B"/>
    <w:rsid w:val="00497523"/>
    <w:rsid w:val="004C2C87"/>
    <w:rsid w:val="004E3A36"/>
    <w:rsid w:val="005116D7"/>
    <w:rsid w:val="00524711"/>
    <w:rsid w:val="005B3CAD"/>
    <w:rsid w:val="005C278F"/>
    <w:rsid w:val="005C3941"/>
    <w:rsid w:val="005F4996"/>
    <w:rsid w:val="00605093"/>
    <w:rsid w:val="00611A2B"/>
    <w:rsid w:val="00652EF6"/>
    <w:rsid w:val="006A30C5"/>
    <w:rsid w:val="007034FA"/>
    <w:rsid w:val="00747813"/>
    <w:rsid w:val="0075750B"/>
    <w:rsid w:val="00760BFB"/>
    <w:rsid w:val="007E700F"/>
    <w:rsid w:val="00812387"/>
    <w:rsid w:val="008A31BD"/>
    <w:rsid w:val="008E38FA"/>
    <w:rsid w:val="008E3A0C"/>
    <w:rsid w:val="009112AC"/>
    <w:rsid w:val="0091161A"/>
    <w:rsid w:val="00920DEF"/>
    <w:rsid w:val="009568BB"/>
    <w:rsid w:val="009666A1"/>
    <w:rsid w:val="00972E99"/>
    <w:rsid w:val="009A5180"/>
    <w:rsid w:val="009B4312"/>
    <w:rsid w:val="00AC013C"/>
    <w:rsid w:val="00AE63D8"/>
    <w:rsid w:val="00B05AF2"/>
    <w:rsid w:val="00B811F2"/>
    <w:rsid w:val="00BA3485"/>
    <w:rsid w:val="00BC3C7D"/>
    <w:rsid w:val="00BD409B"/>
    <w:rsid w:val="00C27322"/>
    <w:rsid w:val="00C6443E"/>
    <w:rsid w:val="00CF4E76"/>
    <w:rsid w:val="00D20FEF"/>
    <w:rsid w:val="00D4525F"/>
    <w:rsid w:val="00D7654A"/>
    <w:rsid w:val="00DB4E64"/>
    <w:rsid w:val="00DD3433"/>
    <w:rsid w:val="00DE3E04"/>
    <w:rsid w:val="00E165AF"/>
    <w:rsid w:val="00E348C6"/>
    <w:rsid w:val="00E376D5"/>
    <w:rsid w:val="00E54871"/>
    <w:rsid w:val="00E60D9C"/>
    <w:rsid w:val="00E6536B"/>
    <w:rsid w:val="00E87AF3"/>
    <w:rsid w:val="00EB2067"/>
    <w:rsid w:val="00EC6A15"/>
    <w:rsid w:val="00ED25A3"/>
    <w:rsid w:val="00EF4F55"/>
    <w:rsid w:val="00F21458"/>
    <w:rsid w:val="00F37A42"/>
    <w:rsid w:val="00F557F5"/>
    <w:rsid w:val="00F8628C"/>
    <w:rsid w:val="00FC0D87"/>
    <w:rsid w:val="00FC5578"/>
    <w:rsid w:val="00FD22FE"/>
    <w:rsid w:val="00FE431D"/>
    <w:rsid w:val="00FF3C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598767"/>
  <w15:docId w15:val="{E645CB52-27E9-44BE-A28A-A2F9D54E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485"/>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pPr>
      <w:widowControl w:val="0"/>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Char"/>
    <w:basedOn w:val="Normal"/>
    <w:next w:val="Normal"/>
    <w:qFormat/>
    <w:pPr>
      <w:widowControl w:val="0"/>
      <w:spacing w:after="240"/>
      <w:outlineLvl w:val="2"/>
    </w:pPr>
  </w:style>
  <w:style w:type="paragraph" w:styleId="Heading4">
    <w:name w:val="heading 4"/>
    <w:aliases w:val="Heading 11,para 4,Título 41,heading 4,Heading 41,标题 41"/>
    <w:basedOn w:val="Normal"/>
    <w:next w:val="Heading9"/>
    <w:qFormat/>
    <w:pPr>
      <w:keepNext/>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spacing w:before="240" w:after="60"/>
      <w:outlineLvl w:val="5"/>
    </w:pPr>
    <w:rPr>
      <w:rFonts w:ascii="Arial" w:hAnsi="Arial"/>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customStyle="1" w:styleId="StyleHeading1Para1Heading1CharHeading1Char3CharHeadin">
    <w:name w:val="Style Heading 1Para (1)Heading 1 CharHeading 1 Char3 CharHeadin..."/>
    <w:basedOn w:val="Heading1"/>
    <w:pPr>
      <w:tabs>
        <w:tab w:val="left" w:pos="720"/>
      </w:tabs>
    </w:pPr>
    <w:rPr>
      <w:szCs w:val="20"/>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basedOn w:val="Normal"/>
    <w:link w:val="FootnoteTextChar"/>
    <w:uiPriority w:val="99"/>
    <w:unhideWhenUsed/>
    <w:rsid w:val="00F8628C"/>
    <w:rPr>
      <w:sz w:val="24"/>
      <w:szCs w:val="24"/>
    </w:rPr>
  </w:style>
  <w:style w:type="character" w:customStyle="1" w:styleId="FootnoteTextChar">
    <w:name w:val="Footnote Text Char"/>
    <w:basedOn w:val="DefaultParagraphFont"/>
    <w:link w:val="FootnoteText"/>
    <w:uiPriority w:val="99"/>
    <w:rsid w:val="00F8628C"/>
    <w:rPr>
      <w:sz w:val="24"/>
      <w:szCs w:val="24"/>
      <w:lang w:val="en-GB"/>
    </w:rPr>
  </w:style>
  <w:style w:type="character" w:styleId="FootnoteReference">
    <w:name w:val="footnote reference"/>
    <w:basedOn w:val="DefaultParagraphFont"/>
    <w:uiPriority w:val="99"/>
    <w:unhideWhenUsed/>
    <w:rsid w:val="00F862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UNEP/OzL.Pro/ExCom/86/33</Document_x0020_Number>
    <Posted_x0020_after_x0020_IAP xmlns="5ee7b459-7658-46de-b3a9-b270cabc2a0e">true</Posted_x0020_after_x0020_IAP>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475DA1A9724F448487545E7E03A732" ma:contentTypeVersion="3" ma:contentTypeDescription="Create a new document." ma:contentTypeScope="" ma:versionID="da5691930c19fb9c2ca01aa0b69eb0c3">
  <xsd:schema xmlns:xsd="http://www.w3.org/2001/XMLSchema" xmlns:p="http://schemas.microsoft.com/office/2006/metadata/properties" xmlns:ns2="8662b4aa-cf42-4f00-a3f0-9d3b4acad230" xmlns:ns3="310e179b-1379-4e79-9b74-d5a32b1812d3" xmlns:ns4="5ee7b459-7658-46de-b3a9-b270cabc2a0e" targetNamespace="http://schemas.microsoft.com/office/2006/metadata/properties" ma:root="true" ma:fieldsID="1405f2c8d337e7b86d2f79585a06f983" ns2:_="" ns3:_="" ns4:_="">
    <xsd:import namespace="8662b4aa-cf42-4f00-a3f0-9d3b4acad230"/>
    <xsd:import namespace="310e179b-1379-4e79-9b74-d5a32b1812d3"/>
    <xsd:import namespace="5ee7b459-7658-46de-b3a9-b270cabc2a0e"/>
    <xsd:element name="properties">
      <xsd:complexType>
        <xsd:sequence>
          <xsd:element name="documentManagement">
            <xsd:complexType>
              <xsd:all>
                <xsd:element ref="ns2:Document_x0020_Number" minOccurs="0"/>
                <xsd:element ref="ns3:DocumentType" minOccurs="0"/>
                <xsd:element ref="ns4:Posted_x0020_after_x0020_IAP"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5ee7b459-7658-46de-b3a9-b270cabc2a0e" elementFormDefault="qualified">
    <xsd:import namespace="http://schemas.microsoft.com/office/2006/documentManagement/types"/>
    <xsd:element name="Posted_x0020_after_x0020_IAP" ma:index="10"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E90C34E-0C30-4E54-ABA1-BFD79327FF5B}"/>
</file>

<file path=customXml/itemProps2.xml><?xml version="1.0" encoding="utf-8"?>
<ds:datastoreItem xmlns:ds="http://schemas.openxmlformats.org/officeDocument/2006/customXml" ds:itemID="{F42B2049-C9BB-44FF-9734-0FD22C08E3F0}"/>
</file>

<file path=customXml/itemProps3.xml><?xml version="1.0" encoding="utf-8"?>
<ds:datastoreItem xmlns:ds="http://schemas.openxmlformats.org/officeDocument/2006/customXml" ds:itemID="{29D6E8A2-A194-4397-998D-6374F22C1DE2}"/>
</file>

<file path=customXml/itemProps4.xml><?xml version="1.0" encoding="utf-8"?>
<ds:datastoreItem xmlns:ds="http://schemas.openxmlformats.org/officeDocument/2006/customXml" ds:itemID="{DDA4A49A-DBB7-4601-9448-8ADFF4670476}"/>
</file>

<file path=docProps/app.xml><?xml version="1.0" encoding="utf-8"?>
<Properties xmlns="http://schemas.openxmlformats.org/officeDocument/2006/extended-properties" xmlns:vt="http://schemas.openxmlformats.org/officeDocument/2006/docPropsVTypes">
  <Template>Normal</Template>
  <TotalTime>24</TotalTime>
  <Pages>8</Pages>
  <Words>3180</Words>
  <Characters>18127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Amendements au programme de travail du PNUD pour l’année 2020</vt:lpstr>
    </vt:vector>
  </TitlesOfParts>
  <Company>UNMFS</Company>
  <LinksUpToDate>false</LinksUpToDate>
  <CharactersWithSpaces>21265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Amendements au programme de travail du PNUD pour l’année 2020</dc:title>
  <dc:creator/>
  <cp:lastModifiedBy>HB</cp:lastModifiedBy>
  <cp:revision>9</cp:revision>
  <cp:lastPrinted>2001-05-26T16:40:00Z</cp:lastPrinted>
  <dcterms:created xsi:type="dcterms:W3CDTF">2020-11-11T17:13:00Z</dcterms:created>
  <dcterms:modified xsi:type="dcterms:W3CDTF">2020-11-25T18:14:00Z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UNEP/OzL.Pro/ExCom/86/33</vt:lpwstr>
  </property>
  <property fmtid="{D5CDD505-2E9C-101B-9397-08002B2CF9AE}" pid="3" name="Revision date">
    <vt:lpwstr>11/02/2020</vt:lpwstr>
  </property>
  <property fmtid="{D5CDD505-2E9C-101B-9397-08002B2CF9AE}" pid="4" name="ContentTypeId">
    <vt:lpwstr>0x01010021475DA1A9724F448487545E7E03A732</vt:lpwstr>
  </property>
</Properties>
</file>